
<file path=[Content_Types].xml><?xml version="1.0" encoding="utf-8"?>
<Types xmlns="http://schemas.openxmlformats.org/package/2006/content-types">
  <Default Extension="png" ContentType="image/png"/>
  <Default Extension="rels" ContentType="application/vnd.openxmlformats-package.relationships+xml"/>
  <Default Extension="jpeg" ContentType="image/jpeg"/>
  <Default Extension="xml" ContentType="application/xml"/>
  <Override PartName="/word/document.xml" ContentType="application/vnd.openxmlformats-officedocument.wordprocessingml.document.main+xml"/>
  <Override PartName="/word/settings.xml" ContentType="application/vnd.openxmlformats-officedocument.wordprocessingml.settings+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numbering.xml" ContentType="application/vnd.openxmlformats-officedocument.wordprocessingml.numbering+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theme/theme1.xml" ContentType="application/vnd.openxmlformats-officedocument.theme+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rFonts w:ascii="Times New Roman"/>
        </w:rPr>
      </w:pPr>
    </w:p>
    <w:p>
      <w:pPr>
        <w:pStyle w:val="BodyText"/>
        <w:rPr>
          <w:rFonts w:ascii="Times New Roman"/>
        </w:rPr>
      </w:pPr>
    </w:p>
    <w:p>
      <w:pPr>
        <w:pStyle w:val="BodyText"/>
        <w:rPr>
          <w:rFonts w:ascii="Times New Roman"/>
        </w:rPr>
      </w:pPr>
    </w:p>
    <w:p>
      <w:pPr>
        <w:pStyle w:val="BodyText"/>
        <w:spacing w:before="1"/>
        <w:rPr>
          <w:rFonts w:ascii="Times New Roman"/>
          <w:sz w:val="15"/>
        </w:rPr>
      </w:pPr>
    </w:p>
    <w:p>
      <w:pPr>
        <w:pStyle w:val="BodyText"/>
        <w:tabs>
          <w:tab w:pos="4846" w:val="left" w:leader="none"/>
          <w:tab w:pos="8451" w:val="left" w:leader="none"/>
        </w:tabs>
        <w:ind w:left="1267"/>
        <w:rPr>
          <w:rFonts w:ascii="Times New Roman"/>
        </w:rPr>
      </w:pPr>
      <w:r>
        <w:rPr>
          <w:rFonts w:ascii="Times New Roman"/>
        </w:rPr>
        <w:pict>
          <v:shapetype id="_x0000_t202" o:spt="202" coordsize="21600,21600" path="m,l,21600r21600,l21600,xe">
            <v:stroke joinstyle="miter"/>
            <v:path gradientshapeok="t" o:connecttype="rect"/>
          </v:shapetype>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509" w:hRule="exact"/>
                    </w:trPr>
                    <w:tc>
                      <w:tcPr>
                        <w:tcW w:w="461" w:type="dxa"/>
                        <w:tcBorders>
                          <w:right w:val="single" w:sz="4" w:space="0" w:color="C9CBCC"/>
                        </w:tcBorders>
                      </w:tcPr>
                      <w:p>
                        <w:pPr>
                          <w:pStyle w:val="TableParagraph"/>
                          <w:rPr>
                            <w:rFonts w:ascii="Times New Roman"/>
                            <w:sz w:val="18"/>
                          </w:rPr>
                        </w:pPr>
                      </w:p>
                      <w:p>
                        <w:pPr>
                          <w:pStyle w:val="TableParagraph"/>
                          <w:ind w:left="90"/>
                          <w:rPr>
                            <w:rFonts w:ascii="Arial"/>
                            <w:sz w:val="12"/>
                          </w:rPr>
                        </w:pPr>
                        <w:bookmarkStart w:name="Consolidated Highlights" w:id="1"/>
                        <w:bookmarkEnd w:id="1"/>
                        <w:r>
                          <w:rPr/>
                        </w:r>
                        <w:r>
                          <w:rPr>
                            <w:rFonts w:ascii="Arial"/>
                            <w:color w:val="292425"/>
                            <w:sz w:val="12"/>
                          </w:rPr>
                          <w:t>10.4%</w:t>
                        </w:r>
                      </w:p>
                    </w:tc>
                    <w:tc>
                      <w:tcPr>
                        <w:tcW w:w="420" w:type="dxa"/>
                        <w:tcBorders>
                          <w:left w:val="single" w:sz="4" w:space="0" w:color="C9CBCC"/>
                          <w:right w:val="single" w:sz="4" w:space="0" w:color="C9CBCC"/>
                        </w:tcBorders>
                      </w:tcPr>
                      <w:p>
                        <w:pPr>
                          <w:pStyle w:val="TableParagraph"/>
                          <w:spacing w:before="8"/>
                          <w:rPr>
                            <w:rFonts w:ascii="Times New Roman"/>
                            <w:sz w:val="20"/>
                          </w:rPr>
                        </w:pPr>
                      </w:p>
                      <w:p>
                        <w:pPr>
                          <w:pStyle w:val="TableParagraph"/>
                          <w:ind w:left="72"/>
                          <w:rPr>
                            <w:rFonts w:ascii="Arial"/>
                            <w:sz w:val="12"/>
                          </w:rPr>
                        </w:pPr>
                        <w:r>
                          <w:rPr>
                            <w:rFonts w:ascii="Arial"/>
                            <w:color w:val="292425"/>
                            <w:w w:val="95"/>
                            <w:sz w:val="12"/>
                          </w:rPr>
                          <w:t>10.0%</w:t>
                        </w:r>
                      </w:p>
                    </w:tc>
                    <w:tc>
                      <w:tcPr>
                        <w:tcW w:w="420" w:type="dxa"/>
                        <w:tcBorders>
                          <w:left w:val="single" w:sz="4" w:space="0" w:color="C9CBCC"/>
                          <w:right w:val="single" w:sz="4" w:space="0" w:color="C9CBCC"/>
                        </w:tcBorders>
                      </w:tcPr>
                      <w:p>
                        <w:pPr>
                          <w:pStyle w:val="TableParagraph"/>
                          <w:spacing w:before="96"/>
                          <w:ind w:left="57"/>
                          <w:rPr>
                            <w:rFonts w:ascii="Arial"/>
                            <w:sz w:val="12"/>
                          </w:rPr>
                        </w:pPr>
                        <w:r>
                          <w:rPr>
                            <w:rFonts w:ascii="Arial"/>
                            <w:color w:val="292425"/>
                            <w:sz w:val="12"/>
                          </w:rPr>
                          <w:t>11.1%</w:t>
                        </w:r>
                      </w:p>
                    </w:tc>
                    <w:tc>
                      <w:tcPr>
                        <w:tcW w:w="420" w:type="dxa"/>
                        <w:tcBorders>
                          <w:left w:val="single" w:sz="4" w:space="0" w:color="C9CBCC"/>
                          <w:right w:val="single" w:sz="4" w:space="0" w:color="C9CBCC"/>
                        </w:tcBorders>
                      </w:tcPr>
                      <w:p>
                        <w:pPr>
                          <w:pStyle w:val="TableParagraph"/>
                          <w:rPr>
                            <w:rFonts w:ascii="Times New Roman"/>
                            <w:sz w:val="14"/>
                          </w:rPr>
                        </w:pPr>
                      </w:p>
                      <w:p>
                        <w:pPr>
                          <w:pStyle w:val="TableParagraph"/>
                          <w:spacing w:before="8"/>
                          <w:rPr>
                            <w:rFonts w:ascii="Times New Roman"/>
                            <w:sz w:val="14"/>
                          </w:rPr>
                        </w:pPr>
                      </w:p>
                      <w:p>
                        <w:pPr>
                          <w:pStyle w:val="TableParagraph"/>
                          <w:ind w:left="97"/>
                          <w:rPr>
                            <w:rFonts w:ascii="Arial"/>
                            <w:sz w:val="12"/>
                          </w:rPr>
                        </w:pPr>
                        <w:r>
                          <w:rPr>
                            <w:rFonts w:ascii="Arial"/>
                            <w:color w:val="292425"/>
                            <w:sz w:val="12"/>
                          </w:rPr>
                          <w:t>9.2%</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0"/>
                          <w:ind w:left="147"/>
                          <w:rPr>
                            <w:rFonts w:ascii="Arial"/>
                            <w:sz w:val="12"/>
                          </w:rPr>
                        </w:pPr>
                        <w:r>
                          <w:rPr>
                            <w:rFonts w:ascii="Arial"/>
                            <w:color w:val="292425"/>
                            <w:sz w:val="12"/>
                          </w:rPr>
                          <w:t>12%</w:t>
                        </w:r>
                      </w:p>
                      <w:p>
                        <w:pPr>
                          <w:pStyle w:val="TableParagraph"/>
                          <w:spacing w:before="111"/>
                          <w:ind w:left="147"/>
                          <w:rPr>
                            <w:rFonts w:ascii="Arial"/>
                            <w:sz w:val="12"/>
                          </w:rPr>
                        </w:pPr>
                        <w:r>
                          <w:rPr>
                            <w:rFonts w:ascii="Arial"/>
                            <w:color w:val="292425"/>
                            <w:sz w:val="12"/>
                          </w:rPr>
                          <w:t>10%</w:t>
                        </w:r>
                      </w:p>
                    </w:tc>
                  </w:tr>
                  <w:tr>
                    <w:trPr>
                      <w:trHeight w:val="23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31"/>
                          <w:ind w:left="147"/>
                          <w:rPr>
                            <w:rFonts w:ascii="Arial"/>
                            <w:sz w:val="12"/>
                          </w:rPr>
                        </w:pPr>
                        <w:r>
                          <w:rPr>
                            <w:rFonts w:ascii="Arial"/>
                            <w:color w:val="292425"/>
                            <w:sz w:val="12"/>
                          </w:rPr>
                          <w:t>8%</w:t>
                        </w:r>
                      </w:p>
                    </w:tc>
                  </w:tr>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8"/>
                          <w:rPr>
                            <w:rFonts w:ascii="Times New Roman"/>
                            <w:sz w:val="13"/>
                          </w:rPr>
                        </w:pPr>
                      </w:p>
                      <w:p>
                        <w:pPr>
                          <w:pStyle w:val="TableParagraph"/>
                          <w:ind w:left="83"/>
                          <w:rPr>
                            <w:rFonts w:ascii="Arial"/>
                            <w:sz w:val="12"/>
                          </w:rPr>
                        </w:pPr>
                        <w:r>
                          <w:rPr>
                            <w:rFonts w:ascii="Arial"/>
                            <w:color w:val="292425"/>
                            <w:sz w:val="12"/>
                          </w:rPr>
                          <w:t>4.4%</w:t>
                        </w:r>
                      </w:p>
                    </w:tc>
                    <w:tc>
                      <w:tcPr>
                        <w:tcW w:w="469" w:type="dxa"/>
                        <w:tcBorders>
                          <w:left w:val="single" w:sz="4" w:space="0" w:color="292425"/>
                        </w:tcBorders>
                      </w:tcPr>
                      <w:p>
                        <w:pPr>
                          <w:pStyle w:val="TableParagraph"/>
                          <w:spacing w:before="51"/>
                          <w:ind w:left="147"/>
                          <w:rPr>
                            <w:rFonts w:ascii="Arial"/>
                            <w:sz w:val="12"/>
                          </w:rPr>
                        </w:pPr>
                        <w:r>
                          <w:rPr>
                            <w:rFonts w:ascii="Arial"/>
                            <w:color w:val="292425"/>
                            <w:sz w:val="12"/>
                          </w:rPr>
                          <w:t>6%</w:t>
                        </w:r>
                      </w:p>
                    </w:tc>
                  </w:tr>
                  <w:tr>
                    <w:trPr>
                      <w:trHeight w:val="19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line="136" w:lineRule="exact"/>
                          <w:ind w:left="147"/>
                          <w:rPr>
                            <w:rFonts w:ascii="Arial"/>
                            <w:sz w:val="12"/>
                          </w:rPr>
                        </w:pPr>
                        <w:r>
                          <w:rPr>
                            <w:rFonts w:ascii="Arial"/>
                            <w:color w:val="292425"/>
                            <w:sz w:val="12"/>
                          </w:rPr>
                          <w:t>4%</w:t>
                        </w:r>
                      </w:p>
                    </w:tc>
                  </w:tr>
                  <w:tr>
                    <w:trPr>
                      <w:trHeight w:val="31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51"/>
                          <w:ind w:left="147"/>
                          <w:rPr>
                            <w:rFonts w:ascii="Arial"/>
                            <w:sz w:val="12"/>
                          </w:rPr>
                        </w:pPr>
                        <w:r>
                          <w:rPr>
                            <w:rFonts w:ascii="Arial"/>
                            <w:color w:val="292425"/>
                            <w:sz w:val="12"/>
                          </w:rPr>
                          <w:t>2%</w:t>
                        </w:r>
                      </w:p>
                    </w:tc>
                  </w:tr>
                </w:tbl>
                <w:p>
                  <w:pPr>
                    <w:pStyle w:val="BodyText"/>
                  </w:pPr>
                </w:p>
              </w:txbxContent>
            </v:textbox>
          </v:shape>
        </w:pict>
      </w:r>
      <w:r>
        <w:rPr>
          <w:rFonts w:ascii="Times New Roman"/>
        </w:rPr>
      </w:r>
      <w:r>
        <w:rPr>
          <w:rFonts w:ascii="Times New Roman"/>
        </w:rPr>
        <w:tab/>
      </w:r>
      <w:r>
        <w:rPr>
          <w:rFonts w:ascii="Times New Roman"/>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22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32"/>
                          <w:ind w:left="41"/>
                          <w:rPr>
                            <w:rFonts w:ascii="Arial"/>
                            <w:sz w:val="12"/>
                          </w:rPr>
                        </w:pPr>
                        <w:r>
                          <w:rPr>
                            <w:rFonts w:ascii="Arial"/>
                            <w:color w:val="292425"/>
                            <w:sz w:val="12"/>
                          </w:rPr>
                          <w:t>$0.79*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9"/>
                          <w:ind w:right="85"/>
                          <w:jc w:val="right"/>
                          <w:rPr>
                            <w:rFonts w:ascii="Arial"/>
                            <w:sz w:val="12"/>
                          </w:rPr>
                        </w:pPr>
                        <w:r>
                          <w:rPr>
                            <w:rFonts w:ascii="Arial"/>
                            <w:color w:val="292425"/>
                            <w:w w:val="90"/>
                            <w:sz w:val="12"/>
                          </w:rPr>
                          <w:t>$0.80</w:t>
                        </w:r>
                      </w:p>
                    </w:tc>
                  </w:tr>
                  <w:tr>
                    <w:trPr>
                      <w:trHeight w:val="19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9"/>
                          <w:ind w:right="85"/>
                          <w:jc w:val="right"/>
                          <w:rPr>
                            <w:rFonts w:ascii="Arial"/>
                            <w:sz w:val="12"/>
                          </w:rPr>
                        </w:pPr>
                        <w:r>
                          <w:rPr>
                            <w:rFonts w:ascii="Arial"/>
                            <w:color w:val="292425"/>
                            <w:w w:val="90"/>
                            <w:sz w:val="12"/>
                          </w:rPr>
                          <w:t>$0.70</w:t>
                        </w:r>
                      </w:p>
                    </w:tc>
                  </w:tr>
                  <w:tr>
                    <w:trPr>
                      <w:trHeight w:val="333" w:hRule="exact"/>
                    </w:trPr>
                    <w:tc>
                      <w:tcPr>
                        <w:tcW w:w="461" w:type="dxa"/>
                        <w:tcBorders>
                          <w:right w:val="single" w:sz="4" w:space="0" w:color="C9CBCC"/>
                        </w:tcBorders>
                      </w:tcPr>
                      <w:p>
                        <w:pPr>
                          <w:pStyle w:val="TableParagraph"/>
                          <w:spacing w:before="6"/>
                          <w:rPr>
                            <w:rFonts w:ascii="Times New Roman"/>
                            <w:sz w:val="14"/>
                          </w:rPr>
                        </w:pPr>
                      </w:p>
                      <w:p>
                        <w:pPr>
                          <w:pStyle w:val="TableParagraph"/>
                          <w:ind w:left="94"/>
                          <w:rPr>
                            <w:rFonts w:ascii="Arial"/>
                            <w:sz w:val="12"/>
                          </w:rPr>
                        </w:pPr>
                        <w:r>
                          <w:rPr>
                            <w:rFonts w:ascii="Arial"/>
                            <w:color w:val="292425"/>
                            <w:sz w:val="12"/>
                          </w:rPr>
                          <w:t>$0.55</w:t>
                        </w:r>
                      </w:p>
                    </w:tc>
                    <w:tc>
                      <w:tcPr>
                        <w:tcW w:w="420" w:type="dxa"/>
                        <w:tcBorders>
                          <w:left w:val="single" w:sz="4" w:space="0" w:color="C9CBCC"/>
                          <w:right w:val="single" w:sz="4" w:space="0" w:color="C9CBCC"/>
                        </w:tcBorders>
                      </w:tcPr>
                      <w:p>
                        <w:pPr>
                          <w:pStyle w:val="TableParagraph"/>
                          <w:spacing w:before="83"/>
                          <w:ind w:left="66"/>
                          <w:rPr>
                            <w:rFonts w:ascii="Arial"/>
                            <w:sz w:val="12"/>
                          </w:rPr>
                        </w:pPr>
                        <w:r>
                          <w:rPr>
                            <w:rFonts w:ascii="Arial"/>
                            <w:color w:val="292425"/>
                            <w:sz w:val="12"/>
                          </w:rPr>
                          <w:t>$0.59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
                          <w:ind w:left="69"/>
                          <w:rPr>
                            <w:rFonts w:ascii="Arial"/>
                            <w:sz w:val="12"/>
                          </w:rPr>
                        </w:pPr>
                        <w:r>
                          <w:rPr>
                            <w:rFonts w:ascii="Arial"/>
                            <w:color w:val="292425"/>
                            <w:sz w:val="12"/>
                          </w:rPr>
                          <w:t>$0.63</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01"/>
                          <w:ind w:right="85"/>
                          <w:jc w:val="right"/>
                          <w:rPr>
                            <w:rFonts w:ascii="Arial"/>
                            <w:sz w:val="12"/>
                          </w:rPr>
                        </w:pPr>
                        <w:r>
                          <w:rPr>
                            <w:rFonts w:ascii="Arial"/>
                            <w:color w:val="292425"/>
                            <w:w w:val="90"/>
                            <w:sz w:val="12"/>
                          </w:rPr>
                          <w:t>$0.60</w:t>
                        </w:r>
                      </w:p>
                    </w:tc>
                  </w:tr>
                  <w:tr>
                    <w:trPr>
                      <w:trHeight w:val="21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8"/>
                          <w:ind w:right="85"/>
                          <w:jc w:val="right"/>
                          <w:rPr>
                            <w:rFonts w:ascii="Arial"/>
                            <w:sz w:val="12"/>
                          </w:rPr>
                        </w:pPr>
                        <w:r>
                          <w:rPr>
                            <w:rFonts w:ascii="Arial"/>
                            <w:color w:val="292425"/>
                            <w:w w:val="90"/>
                            <w:sz w:val="12"/>
                          </w:rPr>
                          <w:t>$0.50</w:t>
                        </w:r>
                      </w:p>
                    </w:tc>
                  </w:tr>
                  <w:tr>
                    <w:trPr>
                      <w:trHeight w:val="23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1"/>
                          <w:ind w:right="85"/>
                          <w:jc w:val="right"/>
                          <w:rPr>
                            <w:rFonts w:ascii="Arial"/>
                            <w:sz w:val="12"/>
                          </w:rPr>
                        </w:pPr>
                        <w:r>
                          <w:rPr>
                            <w:rFonts w:ascii="Arial"/>
                            <w:color w:val="292425"/>
                            <w:w w:val="90"/>
                            <w:sz w:val="12"/>
                          </w:rPr>
                          <w:t>$0.40</w:t>
                        </w:r>
                      </w:p>
                    </w:tc>
                  </w:tr>
                  <w:tr>
                    <w:trPr>
                      <w:trHeight w:val="34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32"/>
                          <w:ind w:left="50"/>
                          <w:rPr>
                            <w:rFonts w:ascii="Arial"/>
                            <w:sz w:val="12"/>
                          </w:rPr>
                        </w:pPr>
                        <w:r>
                          <w:rPr>
                            <w:rFonts w:ascii="Arial"/>
                            <w:color w:val="292425"/>
                            <w:sz w:val="12"/>
                          </w:rPr>
                          <w:t>$0.30</w:t>
                        </w:r>
                      </w:p>
                    </w:tc>
                    <w:tc>
                      <w:tcPr>
                        <w:tcW w:w="469" w:type="dxa"/>
                        <w:tcBorders>
                          <w:left w:val="single" w:sz="4" w:space="0" w:color="292425"/>
                          <w:bottom w:val="single" w:sz="4" w:space="0" w:color="292425"/>
                        </w:tcBorders>
                      </w:tcPr>
                      <w:p>
                        <w:pPr>
                          <w:pStyle w:val="TableParagraph"/>
                          <w:spacing w:before="70"/>
                          <w:ind w:right="85"/>
                          <w:jc w:val="right"/>
                          <w:rPr>
                            <w:rFonts w:ascii="Arial"/>
                            <w:sz w:val="12"/>
                          </w:rPr>
                        </w:pPr>
                        <w:r>
                          <w:rPr>
                            <w:rFonts w:ascii="Arial"/>
                            <w:color w:val="292425"/>
                            <w:w w:val="90"/>
                            <w:sz w:val="12"/>
                          </w:rPr>
                          <w:t>$0.30</w:t>
                        </w:r>
                      </w:p>
                    </w:tc>
                  </w:tr>
                </w:tbl>
                <w:p>
                  <w:pPr>
                    <w:pStyle w:val="BodyText"/>
                  </w:pPr>
                </w:p>
              </w:txbxContent>
            </v:textbox>
          </v:shape>
        </w:pict>
      </w:r>
      <w:r>
        <w:rPr>
          <w:rFonts w:ascii="Times New Roman"/>
        </w:rPr>
      </w:r>
      <w:r>
        <w:rPr>
          <w:rFonts w:ascii="Times New Roman"/>
        </w:rPr>
        <w:tab/>
      </w:r>
      <w:r>
        <w:rPr>
          <w:rFonts w:ascii="Times New Roman"/>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3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1"/>
                          <w:rPr>
                            <w:rFonts w:ascii="Times New Roman"/>
                            <w:sz w:val="12"/>
                          </w:rPr>
                        </w:pPr>
                      </w:p>
                      <w:p>
                        <w:pPr>
                          <w:pStyle w:val="TableParagraph"/>
                          <w:ind w:left="104"/>
                          <w:rPr>
                            <w:rFonts w:ascii="Arial"/>
                            <w:sz w:val="12"/>
                          </w:rPr>
                        </w:pPr>
                        <w:r>
                          <w:rPr>
                            <w:rFonts w:ascii="Arial"/>
                            <w:color w:val="292425"/>
                            <w:w w:val="95"/>
                            <w:sz w:val="12"/>
                          </w:rPr>
                          <w:t>25%</w:t>
                        </w:r>
                      </w:p>
                    </w:tc>
                  </w:tr>
                  <w:tr>
                    <w:trPr>
                      <w:trHeight w:val="309" w:hRule="exact"/>
                    </w:trPr>
                    <w:tc>
                      <w:tcPr>
                        <w:tcW w:w="461" w:type="dxa"/>
                        <w:tcBorders>
                          <w:right w:val="single" w:sz="4" w:space="0" w:color="C9CBCC"/>
                        </w:tcBorders>
                      </w:tcPr>
                      <w:p>
                        <w:pPr>
                          <w:pStyle w:val="TableParagraph"/>
                          <w:spacing w:before="103"/>
                          <w:ind w:left="94"/>
                          <w:rPr>
                            <w:rFonts w:ascii="Arial"/>
                            <w:sz w:val="12"/>
                          </w:rPr>
                        </w:pPr>
                        <w:r>
                          <w:rPr>
                            <w:rFonts w:ascii="Arial"/>
                            <w:color w:val="292425"/>
                            <w:sz w:val="12"/>
                          </w:rPr>
                          <w:t>19.7%</w:t>
                        </w:r>
                      </w:p>
                    </w:tc>
                    <w:tc>
                      <w:tcPr>
                        <w:tcW w:w="420" w:type="dxa"/>
                        <w:tcBorders>
                          <w:left w:val="single" w:sz="4" w:space="0" w:color="C9CBCC"/>
                          <w:right w:val="single" w:sz="4" w:space="0" w:color="C9CBCC"/>
                        </w:tcBorders>
                      </w:tcPr>
                      <w:p>
                        <w:pPr>
                          <w:pStyle w:val="TableParagraph"/>
                          <w:spacing w:before="4"/>
                          <w:rPr>
                            <w:rFonts w:ascii="Times New Roman"/>
                            <w:sz w:val="12"/>
                          </w:rPr>
                        </w:pPr>
                      </w:p>
                      <w:p>
                        <w:pPr>
                          <w:pStyle w:val="TableParagraph"/>
                          <w:ind w:left="70"/>
                          <w:rPr>
                            <w:rFonts w:ascii="Arial"/>
                            <w:sz w:val="12"/>
                          </w:rPr>
                        </w:pPr>
                        <w:r>
                          <w:rPr>
                            <w:rFonts w:ascii="Arial"/>
                            <w:color w:val="292425"/>
                            <w:w w:val="95"/>
                            <w:sz w:val="12"/>
                          </w:rPr>
                          <w:t>18.1%</w:t>
                        </w:r>
                      </w:p>
                    </w:tc>
                    <w:tc>
                      <w:tcPr>
                        <w:tcW w:w="420" w:type="dxa"/>
                        <w:tcBorders>
                          <w:left w:val="single" w:sz="4" w:space="0" w:color="C9CBCC"/>
                          <w:right w:val="single" w:sz="4" w:space="0" w:color="C9CBCC"/>
                        </w:tcBorders>
                      </w:tcPr>
                      <w:p>
                        <w:pPr>
                          <w:pStyle w:val="TableParagraph"/>
                          <w:spacing w:before="37"/>
                          <w:ind w:left="61"/>
                          <w:rPr>
                            <w:rFonts w:ascii="Arial"/>
                            <w:sz w:val="12"/>
                          </w:rPr>
                        </w:pPr>
                        <w:r>
                          <w:rPr>
                            <w:rFonts w:ascii="Arial"/>
                            <w:color w:val="292425"/>
                            <w:w w:val="95"/>
                            <w:sz w:val="12"/>
                          </w:rPr>
                          <w:t>19.9%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4"/>
                          <w:ind w:left="104"/>
                          <w:rPr>
                            <w:rFonts w:ascii="Arial"/>
                            <w:sz w:val="12"/>
                          </w:rPr>
                        </w:pPr>
                        <w:r>
                          <w:rPr>
                            <w:rFonts w:ascii="Arial"/>
                            <w:color w:val="292425"/>
                            <w:w w:val="95"/>
                            <w:sz w:val="12"/>
                          </w:rPr>
                          <w:t>20%</w:t>
                        </w:r>
                      </w:p>
                    </w:tc>
                  </w:tr>
                  <w:tr>
                    <w:trPr>
                      <w:trHeight w:val="26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01"/>
                          <w:ind w:left="71"/>
                          <w:rPr>
                            <w:rFonts w:ascii="Arial"/>
                            <w:sz w:val="12"/>
                          </w:rPr>
                        </w:pPr>
                        <w:r>
                          <w:rPr>
                            <w:rFonts w:ascii="Arial"/>
                            <w:color w:val="292425"/>
                            <w:w w:val="95"/>
                            <w:sz w:val="12"/>
                          </w:rPr>
                          <w:t>13.7%</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5"/>
                          <w:ind w:left="104"/>
                          <w:rPr>
                            <w:rFonts w:ascii="Arial"/>
                            <w:sz w:val="12"/>
                          </w:rPr>
                        </w:pPr>
                        <w:r>
                          <w:rPr>
                            <w:rFonts w:ascii="Arial"/>
                            <w:color w:val="292425"/>
                            <w:w w:val="95"/>
                            <w:sz w:val="12"/>
                          </w:rPr>
                          <w:t>15%</w:t>
                        </w:r>
                      </w:p>
                    </w:tc>
                  </w:tr>
                  <w:tr>
                    <w:trPr>
                      <w:trHeight w:val="18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1"/>
                          <w:ind w:left="104"/>
                          <w:rPr>
                            <w:rFonts w:ascii="Arial"/>
                            <w:sz w:val="12"/>
                          </w:rPr>
                        </w:pPr>
                        <w:r>
                          <w:rPr>
                            <w:rFonts w:ascii="Arial"/>
                            <w:color w:val="292425"/>
                            <w:w w:val="95"/>
                            <w:sz w:val="12"/>
                          </w:rPr>
                          <w:t>10%</w:t>
                        </w:r>
                      </w:p>
                    </w:tc>
                  </w:tr>
                  <w:tr>
                    <w:trPr>
                      <w:trHeight w:val="458"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14"/>
                          <w:ind w:left="85"/>
                          <w:rPr>
                            <w:rFonts w:ascii="Arial"/>
                            <w:sz w:val="12"/>
                          </w:rPr>
                        </w:pPr>
                        <w:r>
                          <w:rPr>
                            <w:rFonts w:ascii="Arial"/>
                            <w:color w:val="292425"/>
                            <w:sz w:val="12"/>
                          </w:rPr>
                          <w:t>5.7%</w:t>
                        </w:r>
                      </w:p>
                    </w:tc>
                    <w:tc>
                      <w:tcPr>
                        <w:tcW w:w="349" w:type="dxa"/>
                        <w:tcBorders>
                          <w:left w:val="single" w:sz="4" w:space="0" w:color="292425"/>
                          <w:bottom w:val="single" w:sz="4" w:space="0" w:color="292425"/>
                        </w:tcBorders>
                      </w:tcPr>
                      <w:p>
                        <w:pPr>
                          <w:pStyle w:val="TableParagraph"/>
                          <w:spacing w:before="97"/>
                          <w:ind w:left="104"/>
                          <w:rPr>
                            <w:rFonts w:ascii="Arial"/>
                            <w:sz w:val="12"/>
                          </w:rPr>
                        </w:pPr>
                        <w:r>
                          <w:rPr>
                            <w:rFonts w:ascii="Arial"/>
                            <w:color w:val="292425"/>
                            <w:sz w:val="12"/>
                          </w:rPr>
                          <w:t>5%</w:t>
                        </w:r>
                      </w:p>
                    </w:tc>
                  </w:tr>
                </w:tbl>
                <w:p>
                  <w:pPr>
                    <w:pStyle w:val="BodyText"/>
                  </w:pPr>
                </w:p>
              </w:txbxContent>
            </v:textbox>
          </v:shape>
        </w:pict>
      </w:r>
      <w:r>
        <w:rPr>
          <w:rFonts w:ascii="Times New Roman"/>
        </w:rPr>
      </w:r>
    </w:p>
    <w:p>
      <w:pPr>
        <w:spacing w:after="0"/>
        <w:rPr>
          <w:rFonts w:ascii="Times New Roman"/>
        </w:rPr>
        <w:sectPr>
          <w:headerReference w:type="default" r:id="rId5"/>
          <w:headerReference w:type="even" r:id="rId6"/>
          <w:type w:val="continuous"/>
          <w:pgSz w:w="12240" w:h="15840"/>
          <w:pgMar w:header="0" w:top="0" w:bottom="280" w:left="0" w:right="0"/>
        </w:sectPr>
      </w:pPr>
    </w:p>
    <w:p>
      <w:pPr>
        <w:spacing w:before="26"/>
        <w:ind w:left="1368" w:right="0" w:firstLine="0"/>
        <w:jc w:val="left"/>
        <w:rPr>
          <w:rFonts w:ascii="Arial"/>
          <w:sz w:val="12"/>
        </w:rPr>
      </w:pPr>
      <w:r>
        <w:rPr/>
        <w:pict>
          <v:rect style="position:absolute;margin-left:71.692001pt;margin-top:-58.485687pt;width:7.281pt;height:58.152pt;mso-position-horizontal-relative:page;mso-position-vertical-relative:paragraph;z-index:-282376" filled="true" fillcolor="#4d82c2" stroked="false">
            <v:fill type="solid"/>
            <w10:wrap type="none"/>
          </v:rect>
        </w:pict>
      </w:r>
      <w:r>
        <w:rPr/>
        <w:pict>
          <v:rect style="position:absolute;margin-left:93.755997pt;margin-top:-57.437687pt;width:7.279pt;height:57.108pt;mso-position-horizontal-relative:page;mso-position-vertical-relative:paragraph;z-index:-282352" filled="true" fillcolor="#4d82c2" stroked="false">
            <v:fill type="solid"/>
            <w10:wrap type="none"/>
          </v:rect>
        </w:pict>
      </w:r>
      <w:r>
        <w:rPr/>
        <w:pict>
          <v:rect style="position:absolute;margin-left:114.414001pt;margin-top:-64.365685pt;width:7.277pt;height:64.0110pt;mso-position-horizontal-relative:page;mso-position-vertical-relative:paragraph;z-index:-282328" filled="true" fillcolor="#4d82c2" stroked="false">
            <v:fill type="solid"/>
            <w10:wrap type="none"/>
          </v:rect>
        </w:pict>
      </w:r>
      <w:r>
        <w:rPr/>
        <w:pict>
          <v:rect style="position:absolute;margin-left:136.052994pt;margin-top:-52.695686pt;width:7.279pt;height:52.362pt;mso-position-horizontal-relative:page;mso-position-vertical-relative:paragraph;z-index:-282304" filled="true" fillcolor="#4d82c2" stroked="false">
            <v:fill type="solid"/>
            <w10:wrap type="none"/>
          </v:rect>
        </w:pict>
      </w:r>
      <w:r>
        <w:rPr/>
        <w:pict>
          <v:rect style="position:absolute;margin-left:156.145996pt;margin-top:-25.159687pt;width:7.28pt;height:24.826pt;mso-position-horizontal-relative:page;mso-position-vertical-relative:paragraph;z-index:-282280" filled="true" fillcolor="#4d82c2" stroked="false">
            <v:fill type="solid"/>
            <w10:wrap type="none"/>
          </v:rect>
        </w:pict>
      </w:r>
      <w:r>
        <w:rPr/>
        <w:pict>
          <v:line style="position:absolute;mso-position-horizontal-relative:page;mso-position-vertical-relative:paragraph;z-index:-282256" from="149.666pt,7.650312pt" to="149.666pt,-77.844688pt" stroked="true" strokeweight=".552pt" strokecolor="#c9cbcc">
            <v:stroke dashstyle="solid"/>
            <w10:wrap type="none"/>
          </v:line>
        </w:pict>
      </w:r>
      <w:r>
        <w:rPr/>
        <w:pict>
          <v:line style="position:absolute;mso-position-horizontal-relative:page;mso-position-vertical-relative:paragraph;z-index:-282232" from="128.675995pt,7.650312pt" to="128.675995pt,-77.844688pt" stroked="true" strokeweight=".552pt" strokecolor="#c9cbcc">
            <v:stroke dashstyle="solid"/>
            <w10:wrap type="none"/>
          </v:line>
        </w:pict>
      </w:r>
      <w:r>
        <w:rPr/>
        <w:pict>
          <v:line style="position:absolute;mso-position-horizontal-relative:page;mso-position-vertical-relative:paragraph;z-index:-282208" from="107.685997pt,7.650312pt" to="107.685997pt,-77.844688pt" stroked="true" strokeweight=".552pt" strokecolor="#c9cbcc">
            <v:stroke dashstyle="solid"/>
            <w10:wrap type="none"/>
          </v:line>
        </w:pict>
      </w:r>
      <w:r>
        <w:rPr/>
        <w:pict>
          <v:line style="position:absolute;mso-position-horizontal-relative:page;mso-position-vertical-relative:paragraph;z-index:-282184" from="86.695999pt,7.650312pt" to="86.695999pt,-77.844688pt" stroked="true" strokeweight=".552pt" strokecolor="#c9cbcc">
            <v:stroke dashstyle="solid"/>
            <w10:wrap type="none"/>
          </v:line>
        </w:pict>
      </w:r>
      <w:r>
        <w:rPr/>
        <w:pict>
          <v:group style="position:absolute;margin-left:170.356003pt;margin-top:-78.144684pt;width:.6pt;height:86.1pt;mso-position-horizontal-relative:page;mso-position-vertical-relative:paragraph;z-index:-282160" coordorigin="3407,-1563" coordsize="12,1722">
            <v:line style="position:absolute" from="3413,-1557" to="3413,153" stroked="true" strokeweight="0pt" strokecolor="#ffffff">
              <v:stroke dashstyle="solid"/>
            </v:line>
            <v:line style="position:absolute" from="3413,153" to="3413,-1557" stroked="true" strokeweight=".552pt" strokecolor="#292425">
              <v:stroke dashstyle="solid"/>
            </v:line>
            <w10:wrap type="none"/>
          </v:group>
        </w:pict>
      </w:r>
      <w:r>
        <w:rPr/>
        <w:pict>
          <v:rect style="position:absolute;margin-left:250.649002pt;margin-top:-39.461685pt;width:7.281pt;height:38.844pt;mso-position-horizontal-relative:page;mso-position-vertical-relative:paragraph;z-index:-281896" filled="true" fillcolor="#4d82c2" stroked="false">
            <v:fill type="solid"/>
            <w10:wrap type="none"/>
          </v:rect>
        </w:pict>
      </w:r>
      <w:r>
        <w:rPr/>
        <w:pict>
          <v:rect style="position:absolute;margin-left:272.713013pt;margin-top:-43.750687pt;width:7.28pt;height:43.279pt;mso-position-horizontal-relative:page;mso-position-vertical-relative:paragraph;z-index:-281872" filled="true" fillcolor="#4d82c2" stroked="false">
            <v:fill type="solid"/>
            <w10:wrap type="none"/>
          </v:rect>
        </w:pict>
      </w:r>
      <w:r>
        <w:rPr/>
        <w:pict>
          <v:rect style="position:absolute;margin-left:293.371002pt;margin-top:-68.083687pt;width:7.278pt;height:67.539pt;mso-position-horizontal-relative:page;mso-position-vertical-relative:paragraph;z-index:-281848" filled="true" fillcolor="#4d82c2" stroked="false">
            <v:fill type="solid"/>
            <w10:wrap type="none"/>
          </v:rect>
        </w:pict>
      </w:r>
      <w:r>
        <w:rPr/>
        <w:pict>
          <v:rect style="position:absolute;margin-left:315.010010pt;margin-top:-48.081688pt;width:7.279pt;height:47.464pt;mso-position-horizontal-relative:page;mso-position-vertical-relative:paragraph;z-index:-281824" filled="true" fillcolor="#4d82c2" stroked="false">
            <v:fill type="solid"/>
            <w10:wrap type="none"/>
          </v:rect>
        </w:pict>
      </w:r>
      <w:r>
        <w:rPr/>
        <w:pict>
          <v:rect style="position:absolute;margin-left:335.104004pt;margin-top:-7.736687pt;width:7.279pt;height:7.119pt;mso-position-horizontal-relative:page;mso-position-vertical-relative:paragraph;z-index:-281800" filled="true" fillcolor="#4d82c2" stroked="false">
            <v:fill type="solid"/>
            <w10:wrap type="none"/>
          </v:rect>
        </w:pict>
      </w:r>
      <w:r>
        <w:rPr/>
        <w:pict>
          <v:rect style="position:absolute;margin-left:430.890991pt;margin-top:-47.116688pt;width:7.281pt;height:46.689pt;mso-position-horizontal-relative:page;mso-position-vertical-relative:paragraph;z-index:-281656" filled="true" fillcolor="#4d82c2" stroked="false">
            <v:fill type="solid"/>
            <w10:wrap type="none"/>
          </v:rect>
        </w:pict>
      </w:r>
      <w:r>
        <w:rPr/>
        <w:pict>
          <v:rect style="position:absolute;margin-left:452.954987pt;margin-top:-44.812687pt;width:7.28pt;height:44.507pt;mso-position-horizontal-relative:page;mso-position-vertical-relative:paragraph;z-index:-281632" filled="true" fillcolor="#4d82c2" stroked="false">
            <v:fill type="solid"/>
            <w10:wrap type="none"/>
          </v:rect>
        </w:pict>
      </w:r>
      <w:r>
        <w:rPr/>
        <w:pict>
          <v:rect style="position:absolute;margin-left:473.614014pt;margin-top:-50.703686pt;width:7.277pt;height:50.35pt;mso-position-horizontal-relative:page;mso-position-vertical-relative:paragraph;z-index:-281608" filled="true" fillcolor="#4d82c2" stroked="false">
            <v:fill type="solid"/>
            <w10:wrap type="none"/>
          </v:rect>
        </w:pict>
      </w:r>
      <w:r>
        <w:rPr/>
        <w:pict>
          <v:rect style="position:absolute;margin-left:495.252014pt;margin-top:-32.111687pt;width:7.28pt;height:31.684pt;mso-position-horizontal-relative:page;mso-position-vertical-relative:paragraph;z-index:-281584" filled="true" fillcolor="#4d82c2" stroked="false">
            <v:fill type="solid"/>
            <w10:wrap type="none"/>
          </v:rect>
        </w:pict>
      </w:r>
      <w:r>
        <w:rPr/>
        <w:pict>
          <v:rect style="position:absolute;margin-left:515.344971pt;margin-top:-13.951687pt;width:7.279pt;height:13.524pt;mso-position-horizontal-relative:page;mso-position-vertical-relative:paragraph;z-index:-281560" filled="true" fillcolor="#4d82c2" stroked="false">
            <v:fill type="solid"/>
            <w10:wrap type="none"/>
          </v:rect>
        </w:pict>
      </w:r>
      <w:r>
        <w:rPr>
          <w:rFonts w:ascii="Arial"/>
          <w:color w:val="292425"/>
          <w:sz w:val="12"/>
        </w:rPr>
        <w:t>1998     1999    2000     2001    2002</w:t>
      </w:r>
    </w:p>
    <w:p>
      <w:pPr>
        <w:spacing w:before="117"/>
        <w:ind w:left="1291" w:right="1335" w:firstLine="0"/>
        <w:jc w:val="center"/>
        <w:rPr>
          <w:rFonts w:ascii="Franklin Gothic Medium"/>
          <w:sz w:val="14"/>
        </w:rPr>
      </w:pPr>
      <w:r>
        <w:rPr>
          <w:rFonts w:ascii="Franklin Gothic Medium"/>
          <w:color w:val="292425"/>
          <w:sz w:val="14"/>
        </w:rPr>
        <w:t>Net Margin</w:t>
      </w:r>
    </w:p>
    <w:p>
      <w:pPr>
        <w:spacing w:before="23"/>
        <w:ind w:left="1424" w:right="0" w:firstLine="0"/>
        <w:jc w:val="left"/>
        <w:rPr>
          <w:rFonts w:ascii="Arial"/>
          <w:sz w:val="12"/>
        </w:rPr>
      </w:pPr>
      <w:r>
        <w:rPr/>
        <w:br w:type="column"/>
      </w:r>
      <w:r>
        <w:rPr>
          <w:rFonts w:ascii="Arial"/>
          <w:color w:val="292425"/>
          <w:sz w:val="12"/>
        </w:rPr>
        <w:t>1998     1999    2000     2001    2002</w:t>
      </w:r>
    </w:p>
    <w:p>
      <w:pPr>
        <w:spacing w:before="117"/>
        <w:ind w:left="1335" w:right="0" w:firstLine="0"/>
        <w:jc w:val="left"/>
        <w:rPr>
          <w:rFonts w:ascii="Franklin Gothic Medium"/>
          <w:sz w:val="14"/>
        </w:rPr>
      </w:pPr>
      <w:r>
        <w:rPr/>
        <w:pict>
          <v:line style="position:absolute;mso-position-horizontal-relative:page;mso-position-vertical-relative:paragraph;z-index:-281776" from="328.622986pt,-.580264pt" to="328.622986pt,-86.075264pt" stroked="true" strokeweight=".552pt" strokecolor="#c9cbcc">
            <v:stroke dashstyle="solid"/>
            <w10:wrap type="none"/>
          </v:line>
        </w:pict>
      </w:r>
      <w:r>
        <w:rPr/>
        <w:pict>
          <v:line style="position:absolute;mso-position-horizontal-relative:page;mso-position-vertical-relative:paragraph;z-index:-281752" from="307.632996pt,-.580264pt" to="307.632996pt,-86.075264pt" stroked="true" strokeweight=".552pt" strokecolor="#c9cbcc">
            <v:stroke dashstyle="solid"/>
            <w10:wrap type="none"/>
          </v:line>
        </w:pict>
      </w:r>
      <w:r>
        <w:rPr/>
        <w:pict>
          <v:line style="position:absolute;mso-position-horizontal-relative:page;mso-position-vertical-relative:paragraph;z-index:-281728" from="286.643005pt,-.580264pt" to="286.643005pt,-86.075264pt" stroked="true" strokeweight=".552pt" strokecolor="#c9cbcc">
            <v:stroke dashstyle="solid"/>
            <w10:wrap type="none"/>
          </v:line>
        </w:pict>
      </w:r>
      <w:r>
        <w:rPr/>
        <w:pict>
          <v:line style="position:absolute;mso-position-horizontal-relative:page;mso-position-vertical-relative:paragraph;z-index:-281704" from="265.653015pt,-.580264pt" to="265.653015pt,-86.075264pt" stroked="true" strokeweight=".552pt" strokecolor="#c9cbcc">
            <v:stroke dashstyle="solid"/>
            <w10:wrap type="none"/>
          </v:line>
        </w:pict>
      </w:r>
      <w:r>
        <w:rPr>
          <w:rFonts w:ascii="Franklin Gothic Medium"/>
          <w:color w:val="292425"/>
          <w:sz w:val="14"/>
        </w:rPr>
        <w:t>Net Income Per Share,  Diluted</w:t>
      </w:r>
    </w:p>
    <w:p>
      <w:pPr>
        <w:spacing w:line="120" w:lineRule="exact" w:before="23"/>
        <w:ind w:left="1339" w:right="0" w:hanging="61"/>
        <w:jc w:val="left"/>
        <w:rPr>
          <w:sz w:val="11"/>
        </w:rPr>
      </w:pPr>
      <w:r>
        <w:rPr/>
        <w:pict>
          <v:rect style="position:absolute;margin-left:65pt;margin-top:86.109985pt;width:225.937pt;height:17.005pt;mso-position-horizontal-relative:page;mso-position-vertical-relative:paragraph;z-index:-282136" filled="true" fillcolor="#cecfd1" stroked="false">
            <v:fill type="solid"/>
            <w10:wrap type="none"/>
          </v:rect>
        </w:pict>
      </w:r>
      <w:r>
        <w:rPr/>
        <w:pict>
          <v:line style="position:absolute;mso-position-horizontal-relative:page;mso-position-vertical-relative:paragraph;z-index:-281416" from="0pt,36.874989pt" to="612pt,36.874989pt" stroked="true" strokeweight=".5pt" strokecolor="#292425">
            <v:stroke dashstyle="solid"/>
            <w10:wrap type="none"/>
          </v:line>
        </w:pict>
      </w:r>
      <w:r>
        <w:rPr>
          <w:rFonts w:ascii="Arial"/>
          <w:color w:val="292425"/>
          <w:w w:val="105"/>
          <w:position w:val="1"/>
          <w:sz w:val="10"/>
        </w:rPr>
        <w:t>*</w:t>
      </w:r>
      <w:r>
        <w:rPr>
          <w:color w:val="292425"/>
          <w:w w:val="105"/>
          <w:sz w:val="11"/>
        </w:rPr>
        <w:t>Excludes cumulative  effect  of  change in  accounting  principle  of $0.03.</w:t>
      </w:r>
    </w:p>
    <w:p>
      <w:pPr>
        <w:spacing w:before="26"/>
        <w:ind w:left="1363" w:right="0" w:firstLine="0"/>
        <w:jc w:val="left"/>
        <w:rPr>
          <w:rFonts w:ascii="Arial"/>
          <w:sz w:val="12"/>
        </w:rPr>
      </w:pPr>
      <w:r>
        <w:rPr/>
        <w:br w:type="column"/>
      </w:r>
      <w:r>
        <w:rPr>
          <w:rFonts w:ascii="Arial"/>
          <w:color w:val="292425"/>
          <w:sz w:val="12"/>
        </w:rPr>
        <w:t>1998     1999    2000     2001    2002</w:t>
      </w:r>
    </w:p>
    <w:p>
      <w:pPr>
        <w:spacing w:before="117"/>
        <w:ind w:left="1279" w:right="0" w:firstLine="0"/>
        <w:jc w:val="left"/>
        <w:rPr>
          <w:rFonts w:ascii="Franklin Gothic Medium" w:hAnsi="Franklin Gothic Medium"/>
          <w:sz w:val="14"/>
        </w:rPr>
      </w:pPr>
      <w:r>
        <w:rPr/>
        <w:pict>
          <v:group style="position:absolute;margin-left:349.313995pt;margin-top:-86.570145pt;width:.6pt;height:86.1pt;mso-position-horizontal-relative:page;mso-position-vertical-relative:paragraph;z-index:-281680" coordorigin="6986,-1731" coordsize="12,1722">
            <v:line style="position:absolute" from="6992,-1725" to="6992,-16" stroked="true" strokeweight="0pt" strokecolor="#ffffff">
              <v:stroke dashstyle="solid"/>
            </v:line>
            <v:line style="position:absolute" from="6992,-16" to="6992,-1725" stroked="true" strokeweight=".552pt" strokecolor="#292425">
              <v:stroke dashstyle="solid"/>
            </v:line>
            <w10:wrap type="none"/>
          </v:group>
        </w:pict>
      </w:r>
      <w:r>
        <w:rPr/>
        <w:pict>
          <v:line style="position:absolute;mso-position-horizontal-relative:page;mso-position-vertical-relative:paragraph;z-index:-281536" from="508.865997pt,-.585147pt" to="508.865997pt,-86.080147pt" stroked="true" strokeweight=".552pt" strokecolor="#c9cbcc">
            <v:stroke dashstyle="solid"/>
            <w10:wrap type="none"/>
          </v:line>
        </w:pict>
      </w:r>
      <w:r>
        <w:rPr/>
        <w:pict>
          <v:line style="position:absolute;mso-position-horizontal-relative:page;mso-position-vertical-relative:paragraph;z-index:-281512" from="487.875pt,-.585147pt" to="487.875pt,-86.080147pt" stroked="true" strokeweight=".552pt" strokecolor="#c9cbcc">
            <v:stroke dashstyle="solid"/>
            <w10:wrap type="none"/>
          </v:line>
        </w:pict>
      </w:r>
      <w:r>
        <w:rPr/>
        <w:pict>
          <v:line style="position:absolute;mso-position-horizontal-relative:page;mso-position-vertical-relative:paragraph;z-index:-281488" from="466.88501pt,-.585147pt" to="466.88501pt,-86.080147pt" stroked="true" strokeweight=".552pt" strokecolor="#c9cbcc">
            <v:stroke dashstyle="solid"/>
            <w10:wrap type="none"/>
          </v:line>
        </w:pict>
      </w:r>
      <w:r>
        <w:rPr/>
        <w:pict>
          <v:line style="position:absolute;mso-position-horizontal-relative:page;mso-position-vertical-relative:paragraph;z-index:-281464" from="445.894989pt,-.585147pt" to="445.894989pt,-86.080147pt" stroked="true" strokeweight=".552pt" strokecolor="#c9cbcc">
            <v:stroke dashstyle="solid"/>
            <w10:wrap type="none"/>
          </v:line>
        </w:pict>
      </w:r>
      <w:r>
        <w:rPr/>
        <w:pict>
          <v:group style="position:absolute;margin-left:529.55603pt;margin-top:-86.38015pt;width:.6pt;height:86.1pt;mso-position-horizontal-relative:page;mso-position-vertical-relative:paragraph;z-index:-281440" coordorigin="10591,-1728" coordsize="12,1722">
            <v:line style="position:absolute" from="10597,-1722" to="10597,-12" stroked="true" strokeweight="0pt" strokecolor="#ffffff">
              <v:stroke dashstyle="solid"/>
            </v:line>
            <v:line style="position:absolute" from="10597,-12" to="10597,-1722" stroked="true" strokeweight=".552pt" strokecolor="#292425">
              <v:stroke dashstyle="solid"/>
            </v:line>
            <w10:wrap type="none"/>
          </v:group>
        </w:pict>
      </w:r>
      <w:r>
        <w:rPr>
          <w:rFonts w:ascii="Franklin Gothic Medium" w:hAnsi="Franklin Gothic Medium"/>
          <w:color w:val="292425"/>
          <w:sz w:val="14"/>
        </w:rPr>
        <w:t>Return On Stockholders’  Equity</w:t>
      </w:r>
    </w:p>
    <w:p>
      <w:pPr>
        <w:spacing w:after="0"/>
        <w:jc w:val="left"/>
        <w:rPr>
          <w:rFonts w:ascii="Franklin Gothic Medium" w:hAnsi="Franklin Gothic Medium"/>
          <w:sz w:val="14"/>
        </w:rPr>
        <w:sectPr>
          <w:type w:val="continuous"/>
          <w:pgSz w:w="12240" w:h="15840"/>
          <w:pgMar w:top="0" w:bottom="280" w:left="0" w:right="0"/>
          <w:cols w:num="3" w:equalWidth="0">
            <w:col w:w="3329" w:space="194"/>
            <w:col w:w="3385" w:space="279"/>
            <w:col w:w="5053"/>
          </w:cols>
        </w:sectPr>
      </w:pPr>
    </w:p>
    <w:p>
      <w:pPr>
        <w:pStyle w:val="BodyText"/>
        <w:rPr>
          <w:rFonts w:ascii="Franklin Gothic Medium"/>
        </w:rPr>
      </w:pPr>
      <w:r>
        <w:rPr/>
        <w:pict>
          <v:rect style="position:absolute;margin-left:65pt;margin-top:264.55899pt;width:225.937pt;height:17.004pt;mso-position-horizontal-relative:page;mso-position-vertical-relative:page;z-index:-282112" filled="true" fillcolor="#cecfd1" stroked="false">
            <v:fill type="solid"/>
            <w10:wrap type="none"/>
          </v:rect>
        </w:pict>
      </w:r>
      <w:r>
        <w:rPr/>
        <w:pict>
          <v:rect style="position:absolute;margin-left:65pt;margin-top:299.884003pt;width:225.937pt;height:17.003pt;mso-position-horizontal-relative:page;mso-position-vertical-relative:page;z-index:-282088" filled="true" fillcolor="#cecfd1" stroked="false">
            <v:fill type="solid"/>
            <w10:wrap type="none"/>
          </v:rect>
        </w:pict>
      </w:r>
      <w:r>
        <w:rPr/>
        <w:pict>
          <v:rect style="position:absolute;margin-left:65pt;margin-top:335.209991pt;width:225.937pt;height:16.997pt;mso-position-horizontal-relative:page;mso-position-vertical-relative:page;z-index:-282064" filled="true" fillcolor="#cecfd1" stroked="false">
            <v:fill type="solid"/>
            <w10:wrap type="none"/>
          </v:rect>
        </w:pict>
      </w:r>
      <w:r>
        <w:rPr/>
        <w:pict>
          <v:rect style="position:absolute;margin-left:65pt;margin-top:370.524994pt;width:225.937pt;height:17.006pt;mso-position-horizontal-relative:page;mso-position-vertical-relative:page;z-index:-282040" filled="true" fillcolor="#cecfd1" stroked="false">
            <v:fill type="solid"/>
            <w10:wrap type="none"/>
          </v:rect>
        </w:pict>
      </w:r>
      <w:r>
        <w:rPr/>
        <w:pict>
          <v:rect style="position:absolute;margin-left:65pt;margin-top:405.848999pt;width:225.937pt;height:17.004pt;mso-position-horizontal-relative:page;mso-position-vertical-relative:page;z-index:-282016" filled="true" fillcolor="#cecfd1" stroked="false">
            <v:fill type="solid"/>
            <w10:wrap type="none"/>
          </v:rect>
        </w:pict>
      </w:r>
      <w:r>
        <w:rPr/>
        <w:pict>
          <v:rect style="position:absolute;margin-left:65pt;margin-top:441.175995pt;width:225.937pt;height:17.002pt;mso-position-horizontal-relative:page;mso-position-vertical-relative:page;z-index:-281992" filled="true" fillcolor="#cecfd1" stroked="false">
            <v:fill type="solid"/>
            <w10:wrap type="none"/>
          </v:rect>
        </w:pict>
      </w:r>
      <w:r>
        <w:rPr/>
        <w:pict>
          <v:rect style="position:absolute;margin-left:65pt;margin-top:476.498993pt;width:225.937pt;height:17.004pt;mso-position-horizontal-relative:page;mso-position-vertical-relative:page;z-index:-281968" filled="true" fillcolor="#cecfd1" stroked="false">
            <v:fill type="solid"/>
            <w10:wrap type="none"/>
          </v:rect>
        </w:pict>
      </w:r>
    </w:p>
    <w:p>
      <w:pPr>
        <w:pStyle w:val="BodyText"/>
        <w:rPr>
          <w:rFonts w:ascii="Franklin Gothic Medium"/>
        </w:rPr>
      </w:pPr>
    </w:p>
    <w:p>
      <w:pPr>
        <w:pStyle w:val="BodyText"/>
        <w:rPr>
          <w:rFonts w:ascii="Franklin Gothic Medium"/>
        </w:rPr>
      </w:pPr>
    </w:p>
    <w:p>
      <w:pPr>
        <w:pStyle w:val="BodyText"/>
        <w:spacing w:before="9"/>
        <w:rPr>
          <w:rFonts w:ascii="Franklin Gothic Medium"/>
          <w:sz w:val="25"/>
        </w:rPr>
      </w:pPr>
    </w:p>
    <w:tbl>
      <w:tblPr>
        <w:tblW w:w="0" w:type="auto"/>
        <w:jc w:val="left"/>
        <w:tblInd w:w="1509"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10"/>
        <w:gridCol w:w="1738"/>
        <w:gridCol w:w="1836"/>
        <w:gridCol w:w="1561"/>
      </w:tblGrid>
      <w:tr>
        <w:trPr>
          <w:trHeight w:val="486" w:hRule="exact"/>
        </w:trPr>
        <w:tc>
          <w:tcPr>
            <w:tcW w:w="4310" w:type="dxa"/>
          </w:tcPr>
          <w:p>
            <w:pPr>
              <w:pStyle w:val="TableParagraph"/>
              <w:spacing w:line="186" w:lineRule="exact"/>
              <w:ind w:left="72"/>
              <w:rPr>
                <w:i/>
                <w:sz w:val="16"/>
              </w:rPr>
            </w:pPr>
            <w:r>
              <w:rPr>
                <w:i/>
                <w:color w:val="292425"/>
                <w:w w:val="105"/>
                <w:sz w:val="16"/>
              </w:rPr>
              <w:t>CONSOLIDATED HIGHLIGHTS</w:t>
            </w:r>
          </w:p>
          <w:p>
            <w:pPr>
              <w:pStyle w:val="TableParagraph"/>
              <w:spacing w:before="38"/>
              <w:ind w:left="50"/>
              <w:rPr>
                <w:i/>
                <w:sz w:val="14"/>
              </w:rPr>
            </w:pPr>
            <w:r>
              <w:rPr>
                <w:i/>
                <w:color w:val="292425"/>
                <w:w w:val="105"/>
                <w:sz w:val="14"/>
              </w:rPr>
              <w:t>(DOLLARS  IN  THOUSANDS, EXCEPT  PER  SHARE AMOUNTS)</w:t>
            </w:r>
          </w:p>
        </w:tc>
        <w:tc>
          <w:tcPr>
            <w:tcW w:w="1738" w:type="dxa"/>
            <w:shd w:val="clear" w:color="auto" w:fill="CECFD1"/>
          </w:tcPr>
          <w:p>
            <w:pPr>
              <w:pStyle w:val="TableParagraph"/>
              <w:spacing w:before="4"/>
              <w:rPr>
                <w:rFonts w:ascii="Franklin Gothic Medium"/>
                <w:sz w:val="17"/>
              </w:rPr>
            </w:pPr>
          </w:p>
          <w:p>
            <w:pPr>
              <w:pStyle w:val="TableParagraph"/>
              <w:ind w:left="671" w:right="652"/>
              <w:jc w:val="center"/>
              <w:rPr>
                <w:i/>
                <w:sz w:val="16"/>
              </w:rPr>
            </w:pPr>
            <w:r>
              <w:rPr>
                <w:i/>
                <w:color w:val="292425"/>
                <w:w w:val="115"/>
                <w:sz w:val="16"/>
              </w:rPr>
              <w:t>2002</w:t>
            </w:r>
          </w:p>
        </w:tc>
        <w:tc>
          <w:tcPr>
            <w:tcW w:w="1836" w:type="dxa"/>
          </w:tcPr>
          <w:p>
            <w:pPr>
              <w:pStyle w:val="TableParagraph"/>
              <w:spacing w:before="4"/>
              <w:rPr>
                <w:rFonts w:ascii="Franklin Gothic Medium"/>
                <w:sz w:val="17"/>
              </w:rPr>
            </w:pPr>
          </w:p>
          <w:p>
            <w:pPr>
              <w:pStyle w:val="TableParagraph"/>
              <w:ind w:left="713" w:right="710"/>
              <w:jc w:val="center"/>
              <w:rPr>
                <w:i/>
                <w:sz w:val="16"/>
              </w:rPr>
            </w:pPr>
            <w:r>
              <w:rPr>
                <w:i/>
                <w:color w:val="292425"/>
                <w:w w:val="115"/>
                <w:sz w:val="16"/>
              </w:rPr>
              <w:t>2001</w:t>
            </w:r>
          </w:p>
        </w:tc>
        <w:tc>
          <w:tcPr>
            <w:tcW w:w="1561" w:type="dxa"/>
            <w:shd w:val="clear" w:color="auto" w:fill="CECFD1"/>
          </w:tcPr>
          <w:p>
            <w:pPr>
              <w:pStyle w:val="TableParagraph"/>
              <w:spacing w:before="4"/>
              <w:rPr>
                <w:rFonts w:ascii="Franklin Gothic Medium"/>
                <w:sz w:val="17"/>
              </w:rPr>
            </w:pPr>
          </w:p>
          <w:p>
            <w:pPr>
              <w:pStyle w:val="TableParagraph"/>
              <w:ind w:left="480"/>
              <w:rPr>
                <w:i/>
                <w:sz w:val="16"/>
              </w:rPr>
            </w:pPr>
            <w:r>
              <w:rPr>
                <w:i/>
                <w:color w:val="292425"/>
                <w:w w:val="105"/>
                <w:sz w:val="16"/>
              </w:rPr>
              <w:t>CHANGE</w:t>
            </w:r>
          </w:p>
        </w:tc>
      </w:tr>
      <w:tr>
        <w:trPr>
          <w:trHeight w:val="340" w:hRule="exact"/>
        </w:trPr>
        <w:tc>
          <w:tcPr>
            <w:tcW w:w="4310" w:type="dxa"/>
            <w:shd w:val="clear" w:color="auto" w:fill="CECFD1"/>
          </w:tcPr>
          <w:p>
            <w:pPr>
              <w:pStyle w:val="TableParagraph"/>
              <w:spacing w:before="78"/>
              <w:ind w:left="52"/>
              <w:rPr>
                <w:i/>
                <w:sz w:val="16"/>
              </w:rPr>
            </w:pPr>
            <w:r>
              <w:rPr>
                <w:i/>
                <w:color w:val="292425"/>
                <w:w w:val="105"/>
                <w:sz w:val="16"/>
              </w:rPr>
              <w:t>Operating revenues</w:t>
            </w:r>
          </w:p>
        </w:tc>
        <w:tc>
          <w:tcPr>
            <w:tcW w:w="1738" w:type="dxa"/>
            <w:shd w:val="clear" w:color="auto" w:fill="AAADB0"/>
          </w:tcPr>
          <w:p>
            <w:pPr>
              <w:pStyle w:val="TableParagraph"/>
              <w:spacing w:before="93"/>
              <w:ind w:left="395"/>
              <w:rPr>
                <w:rFonts w:ascii="Franklin Gothic Medium"/>
                <w:sz w:val="16"/>
              </w:rPr>
            </w:pPr>
            <w:r>
              <w:rPr>
                <w:rFonts w:ascii="Franklin Gothic Medium"/>
                <w:color w:val="FFFFFF"/>
                <w:sz w:val="16"/>
              </w:rPr>
              <w:t>$5,521, 771 </w:t>
            </w:r>
          </w:p>
        </w:tc>
        <w:tc>
          <w:tcPr>
            <w:tcW w:w="1836" w:type="dxa"/>
            <w:shd w:val="clear" w:color="auto" w:fill="CECFD1"/>
          </w:tcPr>
          <w:p>
            <w:pPr>
              <w:pStyle w:val="TableParagraph"/>
              <w:spacing w:before="96"/>
              <w:ind w:left="464"/>
              <w:rPr>
                <w:rFonts w:ascii="Franklin Gothic Medium"/>
                <w:sz w:val="16"/>
              </w:rPr>
            </w:pPr>
            <w:r>
              <w:rPr>
                <w:rFonts w:ascii="Franklin Gothic Medium"/>
                <w:color w:val="292425"/>
                <w:sz w:val="16"/>
              </w:rPr>
              <w:t>$5,555,174 </w:t>
            </w:r>
          </w:p>
        </w:tc>
        <w:tc>
          <w:tcPr>
            <w:tcW w:w="1561" w:type="dxa"/>
            <w:shd w:val="clear" w:color="auto" w:fill="AAADB0"/>
          </w:tcPr>
          <w:p>
            <w:pPr>
              <w:pStyle w:val="TableParagraph"/>
              <w:spacing w:before="96"/>
              <w:ind w:left="633"/>
              <w:rPr>
                <w:rFonts w:ascii="Franklin Gothic Medium"/>
                <w:sz w:val="16"/>
              </w:rPr>
            </w:pPr>
            <w:r>
              <w:rPr>
                <w:rFonts w:ascii="Franklin Gothic Medium"/>
                <w:color w:val="FFFFFF"/>
                <w:sz w:val="16"/>
              </w:rPr>
              <w:t>(0.6)%</w:t>
            </w:r>
          </w:p>
        </w:tc>
      </w:tr>
      <w:tr>
        <w:trPr>
          <w:trHeight w:val="366" w:hRule="exact"/>
        </w:trPr>
        <w:tc>
          <w:tcPr>
            <w:tcW w:w="4310" w:type="dxa"/>
          </w:tcPr>
          <w:p>
            <w:pPr>
              <w:pStyle w:val="TableParagraph"/>
              <w:spacing w:before="80"/>
              <w:ind w:left="52"/>
              <w:rPr>
                <w:i/>
                <w:sz w:val="16"/>
              </w:rPr>
            </w:pPr>
            <w:r>
              <w:rPr>
                <w:i/>
                <w:color w:val="292425"/>
                <w:w w:val="105"/>
                <w:sz w:val="16"/>
              </w:rPr>
              <w:t>Operating expenses</w:t>
            </w:r>
          </w:p>
        </w:tc>
        <w:tc>
          <w:tcPr>
            <w:tcW w:w="1738" w:type="dxa"/>
            <w:shd w:val="clear" w:color="auto" w:fill="CECFD1"/>
          </w:tcPr>
          <w:p>
            <w:pPr>
              <w:pStyle w:val="TableParagraph"/>
              <w:spacing w:before="113"/>
              <w:ind w:left="382"/>
              <w:rPr>
                <w:rFonts w:ascii="Franklin Gothic Medium"/>
                <w:sz w:val="16"/>
              </w:rPr>
            </w:pPr>
            <w:r>
              <w:rPr>
                <w:rFonts w:ascii="Franklin Gothic Medium"/>
                <w:color w:val="292425"/>
                <w:sz w:val="16"/>
              </w:rPr>
              <w:t>$5,104, 433 </w:t>
            </w:r>
          </w:p>
        </w:tc>
        <w:tc>
          <w:tcPr>
            <w:tcW w:w="1836" w:type="dxa"/>
          </w:tcPr>
          <w:p>
            <w:pPr>
              <w:pStyle w:val="TableParagraph"/>
              <w:spacing w:before="118"/>
              <w:ind w:left="462"/>
              <w:rPr>
                <w:rFonts w:ascii="Franklin Gothic Medium"/>
                <w:sz w:val="16"/>
              </w:rPr>
            </w:pPr>
            <w:r>
              <w:rPr>
                <w:rFonts w:ascii="Franklin Gothic Medium"/>
                <w:color w:val="292425"/>
                <w:sz w:val="16"/>
              </w:rPr>
              <w:t>$4,924,052 </w:t>
            </w:r>
          </w:p>
        </w:tc>
        <w:tc>
          <w:tcPr>
            <w:tcW w:w="1561" w:type="dxa"/>
            <w:shd w:val="clear" w:color="auto" w:fill="CECFD1"/>
          </w:tcPr>
          <w:p>
            <w:pPr>
              <w:pStyle w:val="TableParagraph"/>
              <w:spacing w:before="117"/>
              <w:ind w:left="694"/>
              <w:rPr>
                <w:rFonts w:ascii="Franklin Gothic Medium"/>
                <w:sz w:val="16"/>
              </w:rPr>
            </w:pPr>
            <w:r>
              <w:rPr>
                <w:rFonts w:ascii="Franklin Gothic Medium"/>
                <w:color w:val="292425"/>
                <w:sz w:val="16"/>
              </w:rPr>
              <w:t>3.7%</w:t>
            </w:r>
          </w:p>
        </w:tc>
      </w:tr>
      <w:tr>
        <w:trPr>
          <w:trHeight w:val="340" w:hRule="exact"/>
        </w:trPr>
        <w:tc>
          <w:tcPr>
            <w:tcW w:w="4310" w:type="dxa"/>
            <w:shd w:val="clear" w:color="auto" w:fill="CECFD1"/>
          </w:tcPr>
          <w:p>
            <w:pPr>
              <w:pStyle w:val="TableParagraph"/>
              <w:spacing w:before="69"/>
              <w:ind w:left="52"/>
              <w:rPr>
                <w:i/>
                <w:sz w:val="16"/>
              </w:rPr>
            </w:pPr>
            <w:r>
              <w:rPr>
                <w:i/>
                <w:color w:val="292425"/>
                <w:w w:val="105"/>
                <w:sz w:val="16"/>
              </w:rPr>
              <w:t>Operating income</w:t>
            </w:r>
          </w:p>
        </w:tc>
        <w:tc>
          <w:tcPr>
            <w:tcW w:w="1738" w:type="dxa"/>
            <w:shd w:val="clear" w:color="auto" w:fill="AAADB0"/>
          </w:tcPr>
          <w:p>
            <w:pPr>
              <w:pStyle w:val="TableParagraph"/>
              <w:spacing w:before="95"/>
              <w:ind w:left="530"/>
              <w:rPr>
                <w:rFonts w:ascii="Franklin Gothic Medium"/>
                <w:sz w:val="16"/>
              </w:rPr>
            </w:pPr>
            <w:r>
              <w:rPr>
                <w:rFonts w:ascii="Franklin Gothic Medium"/>
                <w:color w:val="FFFFFF"/>
                <w:sz w:val="16"/>
              </w:rPr>
              <w:t>$417,338 </w:t>
            </w:r>
          </w:p>
        </w:tc>
        <w:tc>
          <w:tcPr>
            <w:tcW w:w="1836" w:type="dxa"/>
            <w:shd w:val="clear" w:color="auto" w:fill="CECFD1"/>
          </w:tcPr>
          <w:p>
            <w:pPr>
              <w:pStyle w:val="TableParagraph"/>
              <w:spacing w:before="90"/>
              <w:ind w:left="600"/>
              <w:rPr>
                <w:rFonts w:ascii="Franklin Gothic Medium"/>
                <w:sz w:val="16"/>
              </w:rPr>
            </w:pPr>
            <w:r>
              <w:rPr>
                <w:rFonts w:ascii="Franklin Gothic Medium"/>
                <w:color w:val="292425"/>
                <w:sz w:val="16"/>
              </w:rPr>
              <w:t>$ 631,122 </w:t>
            </w:r>
          </w:p>
        </w:tc>
        <w:tc>
          <w:tcPr>
            <w:tcW w:w="1561" w:type="dxa"/>
            <w:shd w:val="clear" w:color="auto" w:fill="AAADB0"/>
          </w:tcPr>
          <w:p>
            <w:pPr>
              <w:pStyle w:val="TableParagraph"/>
              <w:spacing w:before="86"/>
              <w:ind w:left="536"/>
              <w:rPr>
                <w:rFonts w:ascii="Franklin Gothic Medium"/>
                <w:sz w:val="16"/>
              </w:rPr>
            </w:pPr>
            <w:r>
              <w:rPr>
                <w:rFonts w:ascii="Franklin Gothic Medium"/>
                <w:color w:val="FFFFFF"/>
                <w:sz w:val="16"/>
              </w:rPr>
              <w:t>(33.9)%</w:t>
            </w:r>
          </w:p>
        </w:tc>
      </w:tr>
      <w:tr>
        <w:trPr>
          <w:trHeight w:val="366" w:hRule="exact"/>
        </w:trPr>
        <w:tc>
          <w:tcPr>
            <w:tcW w:w="4310" w:type="dxa"/>
          </w:tcPr>
          <w:p>
            <w:pPr>
              <w:pStyle w:val="TableParagraph"/>
              <w:spacing w:before="76"/>
              <w:ind w:left="52"/>
              <w:rPr>
                <w:i/>
                <w:sz w:val="16"/>
              </w:rPr>
            </w:pPr>
            <w:r>
              <w:rPr>
                <w:i/>
                <w:color w:val="292425"/>
                <w:sz w:val="16"/>
              </w:rPr>
              <w:t>Operating margin</w:t>
            </w:r>
          </w:p>
        </w:tc>
        <w:tc>
          <w:tcPr>
            <w:tcW w:w="1738" w:type="dxa"/>
            <w:shd w:val="clear" w:color="auto" w:fill="CECFD1"/>
          </w:tcPr>
          <w:p>
            <w:pPr>
              <w:pStyle w:val="TableParagraph"/>
              <w:spacing w:before="112"/>
              <w:ind w:right="216"/>
              <w:jc w:val="right"/>
              <w:rPr>
                <w:rFonts w:ascii="Franklin Gothic Medium"/>
                <w:sz w:val="16"/>
              </w:rPr>
            </w:pPr>
            <w:r>
              <w:rPr>
                <w:rFonts w:ascii="Franklin Gothic Medium"/>
                <w:color w:val="292425"/>
                <w:sz w:val="16"/>
              </w:rPr>
              <w:t>7. 6%</w:t>
            </w:r>
          </w:p>
        </w:tc>
        <w:tc>
          <w:tcPr>
            <w:tcW w:w="1836" w:type="dxa"/>
          </w:tcPr>
          <w:p>
            <w:pPr>
              <w:pStyle w:val="TableParagraph"/>
              <w:spacing w:before="111"/>
              <w:ind w:right="207"/>
              <w:jc w:val="right"/>
              <w:rPr>
                <w:rFonts w:ascii="Franklin Gothic Medium"/>
                <w:sz w:val="16"/>
              </w:rPr>
            </w:pPr>
            <w:r>
              <w:rPr>
                <w:rFonts w:ascii="Franklin Gothic Medium"/>
                <w:color w:val="292425"/>
                <w:sz w:val="16"/>
              </w:rPr>
              <w:t>11.4% </w:t>
            </w:r>
          </w:p>
        </w:tc>
        <w:tc>
          <w:tcPr>
            <w:tcW w:w="1561" w:type="dxa"/>
            <w:shd w:val="clear" w:color="auto" w:fill="CECFD1"/>
          </w:tcPr>
          <w:p>
            <w:pPr>
              <w:pStyle w:val="TableParagraph"/>
              <w:spacing w:before="113"/>
              <w:ind w:right="312"/>
              <w:jc w:val="right"/>
              <w:rPr>
                <w:rFonts w:ascii="Franklin Gothic Medium"/>
                <w:sz w:val="12"/>
              </w:rPr>
            </w:pPr>
            <w:r>
              <w:rPr>
                <w:rFonts w:ascii="Franklin Gothic Medium"/>
                <w:color w:val="292425"/>
                <w:sz w:val="16"/>
              </w:rPr>
              <w:t>(3.8) </w:t>
            </w:r>
            <w:r>
              <w:rPr>
                <w:rFonts w:ascii="Franklin Gothic Medium"/>
                <w:color w:val="292425"/>
                <w:sz w:val="12"/>
              </w:rPr>
              <w:t>pts.</w:t>
            </w:r>
          </w:p>
        </w:tc>
      </w:tr>
      <w:tr>
        <w:trPr>
          <w:trHeight w:val="340" w:hRule="exact"/>
        </w:trPr>
        <w:tc>
          <w:tcPr>
            <w:tcW w:w="4310" w:type="dxa"/>
            <w:shd w:val="clear" w:color="auto" w:fill="CECFD1"/>
          </w:tcPr>
          <w:p>
            <w:pPr>
              <w:pStyle w:val="TableParagraph"/>
              <w:spacing w:before="66"/>
              <w:ind w:left="52"/>
              <w:rPr>
                <w:i/>
                <w:sz w:val="16"/>
              </w:rPr>
            </w:pPr>
            <w:r>
              <w:rPr>
                <w:i/>
                <w:color w:val="292425"/>
                <w:w w:val="105"/>
                <w:sz w:val="16"/>
              </w:rPr>
              <w:t>Net income</w:t>
            </w:r>
          </w:p>
        </w:tc>
        <w:tc>
          <w:tcPr>
            <w:tcW w:w="1738" w:type="dxa"/>
            <w:shd w:val="clear" w:color="auto" w:fill="AAADB0"/>
          </w:tcPr>
          <w:p>
            <w:pPr>
              <w:pStyle w:val="TableParagraph"/>
              <w:spacing w:before="101"/>
              <w:ind w:left="527"/>
              <w:rPr>
                <w:rFonts w:ascii="Franklin Gothic Medium"/>
                <w:sz w:val="16"/>
              </w:rPr>
            </w:pPr>
            <w:r>
              <w:rPr>
                <w:rFonts w:ascii="Franklin Gothic Medium"/>
                <w:color w:val="FFFFFF"/>
                <w:sz w:val="16"/>
              </w:rPr>
              <w:t>$240,969 </w:t>
            </w:r>
          </w:p>
        </w:tc>
        <w:tc>
          <w:tcPr>
            <w:tcW w:w="1836" w:type="dxa"/>
            <w:shd w:val="clear" w:color="auto" w:fill="CECFD1"/>
          </w:tcPr>
          <w:p>
            <w:pPr>
              <w:pStyle w:val="TableParagraph"/>
              <w:spacing w:before="102"/>
              <w:ind w:left="633"/>
              <w:rPr>
                <w:rFonts w:ascii="Franklin Gothic Medium"/>
                <w:sz w:val="16"/>
              </w:rPr>
            </w:pPr>
            <w:r>
              <w:rPr>
                <w:rFonts w:ascii="Franklin Gothic Medium"/>
                <w:color w:val="292425"/>
                <w:sz w:val="16"/>
              </w:rPr>
              <w:t>$511,147 </w:t>
            </w:r>
          </w:p>
        </w:tc>
        <w:tc>
          <w:tcPr>
            <w:tcW w:w="1561" w:type="dxa"/>
            <w:shd w:val="clear" w:color="auto" w:fill="AAADB0"/>
          </w:tcPr>
          <w:p>
            <w:pPr>
              <w:pStyle w:val="TableParagraph"/>
              <w:spacing w:before="99"/>
              <w:ind w:left="528"/>
              <w:rPr>
                <w:rFonts w:ascii="Franklin Gothic Medium"/>
                <w:sz w:val="16"/>
              </w:rPr>
            </w:pPr>
            <w:r>
              <w:rPr>
                <w:rFonts w:ascii="Franklin Gothic Medium"/>
                <w:color w:val="FFFFFF"/>
                <w:sz w:val="16"/>
              </w:rPr>
              <w:t>(52. 9)%</w:t>
            </w:r>
          </w:p>
        </w:tc>
      </w:tr>
      <w:tr>
        <w:trPr>
          <w:trHeight w:val="366" w:hRule="exact"/>
        </w:trPr>
        <w:tc>
          <w:tcPr>
            <w:tcW w:w="4310" w:type="dxa"/>
          </w:tcPr>
          <w:p>
            <w:pPr>
              <w:pStyle w:val="TableParagraph"/>
              <w:spacing w:before="86"/>
              <w:ind w:left="52"/>
              <w:rPr>
                <w:i/>
                <w:sz w:val="16"/>
              </w:rPr>
            </w:pPr>
            <w:r>
              <w:rPr>
                <w:i/>
                <w:color w:val="292425"/>
                <w:sz w:val="16"/>
              </w:rPr>
              <w:t>Net margin</w:t>
            </w:r>
          </w:p>
        </w:tc>
        <w:tc>
          <w:tcPr>
            <w:tcW w:w="1738" w:type="dxa"/>
            <w:shd w:val="clear" w:color="auto" w:fill="CECFD1"/>
          </w:tcPr>
          <w:p>
            <w:pPr>
              <w:pStyle w:val="TableParagraph"/>
              <w:spacing w:before="116"/>
              <w:ind w:right="196"/>
              <w:jc w:val="right"/>
              <w:rPr>
                <w:rFonts w:ascii="Franklin Gothic Medium"/>
                <w:sz w:val="16"/>
              </w:rPr>
            </w:pPr>
            <w:r>
              <w:rPr>
                <w:rFonts w:ascii="Franklin Gothic Medium"/>
                <w:color w:val="292425"/>
                <w:sz w:val="16"/>
              </w:rPr>
              <w:t>4.4% </w:t>
            </w:r>
          </w:p>
        </w:tc>
        <w:tc>
          <w:tcPr>
            <w:tcW w:w="1836" w:type="dxa"/>
          </w:tcPr>
          <w:p>
            <w:pPr>
              <w:pStyle w:val="TableParagraph"/>
              <w:spacing w:before="113"/>
              <w:ind w:right="186"/>
              <w:jc w:val="right"/>
              <w:rPr>
                <w:rFonts w:ascii="Franklin Gothic Medium"/>
                <w:sz w:val="16"/>
              </w:rPr>
            </w:pPr>
            <w:r>
              <w:rPr>
                <w:rFonts w:ascii="Franklin Gothic Medium"/>
                <w:color w:val="292425"/>
                <w:sz w:val="16"/>
              </w:rPr>
              <w:t>9.2% </w:t>
            </w:r>
          </w:p>
        </w:tc>
        <w:tc>
          <w:tcPr>
            <w:tcW w:w="1561" w:type="dxa"/>
            <w:shd w:val="clear" w:color="auto" w:fill="CECFD1"/>
          </w:tcPr>
          <w:p>
            <w:pPr>
              <w:pStyle w:val="TableParagraph"/>
              <w:spacing w:before="116"/>
              <w:ind w:right="330"/>
              <w:jc w:val="right"/>
              <w:rPr>
                <w:rFonts w:ascii="Franklin Gothic Medium"/>
                <w:sz w:val="12"/>
              </w:rPr>
            </w:pPr>
            <w:r>
              <w:rPr>
                <w:rFonts w:ascii="Franklin Gothic Medium"/>
                <w:color w:val="292425"/>
                <w:sz w:val="16"/>
              </w:rPr>
              <w:t>(4.8)</w:t>
            </w:r>
            <w:r>
              <w:rPr>
                <w:rFonts w:ascii="Franklin Gothic Medium"/>
                <w:color w:val="292425"/>
                <w:sz w:val="12"/>
              </w:rPr>
              <w:t>pts.</w:t>
            </w:r>
          </w:p>
        </w:tc>
      </w:tr>
      <w:tr>
        <w:trPr>
          <w:trHeight w:val="340" w:hRule="exact"/>
        </w:trPr>
        <w:tc>
          <w:tcPr>
            <w:tcW w:w="4310" w:type="dxa"/>
            <w:shd w:val="clear" w:color="auto" w:fill="CECFD1"/>
          </w:tcPr>
          <w:p>
            <w:pPr>
              <w:pStyle w:val="TableParagraph"/>
              <w:spacing w:before="79"/>
              <w:ind w:left="52"/>
              <w:rPr>
                <w:i/>
                <w:sz w:val="16"/>
              </w:rPr>
            </w:pPr>
            <w:r>
              <w:rPr>
                <w:i/>
                <w:color w:val="292425"/>
                <w:w w:val="105"/>
                <w:sz w:val="16"/>
              </w:rPr>
              <w:t>Net income per share –    basic</w:t>
            </w:r>
          </w:p>
        </w:tc>
        <w:tc>
          <w:tcPr>
            <w:tcW w:w="1738" w:type="dxa"/>
            <w:shd w:val="clear" w:color="auto" w:fill="AAADB0"/>
          </w:tcPr>
          <w:p>
            <w:pPr>
              <w:pStyle w:val="TableParagraph"/>
              <w:spacing w:before="91"/>
              <w:ind w:left="899"/>
              <w:rPr>
                <w:rFonts w:ascii="Franklin Gothic Medium"/>
                <w:sz w:val="16"/>
              </w:rPr>
            </w:pPr>
            <w:r>
              <w:rPr>
                <w:rFonts w:ascii="Franklin Gothic Medium"/>
                <w:color w:val="FFFFFF"/>
                <w:sz w:val="16"/>
              </w:rPr>
              <w:t>$0.31 </w:t>
            </w:r>
          </w:p>
        </w:tc>
        <w:tc>
          <w:tcPr>
            <w:tcW w:w="1836" w:type="dxa"/>
            <w:shd w:val="clear" w:color="auto" w:fill="CECFD1"/>
          </w:tcPr>
          <w:p>
            <w:pPr>
              <w:pStyle w:val="TableParagraph"/>
              <w:spacing w:before="96"/>
              <w:ind w:left="965"/>
              <w:rPr>
                <w:rFonts w:ascii="Franklin Gothic Medium"/>
                <w:sz w:val="16"/>
              </w:rPr>
            </w:pPr>
            <w:r>
              <w:rPr>
                <w:rFonts w:ascii="Franklin Gothic Medium"/>
                <w:color w:val="292425"/>
                <w:sz w:val="16"/>
              </w:rPr>
              <w:t>$0.67 </w:t>
            </w:r>
          </w:p>
        </w:tc>
        <w:tc>
          <w:tcPr>
            <w:tcW w:w="1561" w:type="dxa"/>
            <w:shd w:val="clear" w:color="auto" w:fill="AAADB0"/>
          </w:tcPr>
          <w:p>
            <w:pPr>
              <w:pStyle w:val="TableParagraph"/>
              <w:spacing w:before="98"/>
              <w:ind w:left="535"/>
              <w:rPr>
                <w:rFonts w:ascii="Franklin Gothic Medium"/>
                <w:sz w:val="16"/>
              </w:rPr>
            </w:pPr>
            <w:r>
              <w:rPr>
                <w:rFonts w:ascii="Franklin Gothic Medium"/>
                <w:color w:val="FFFFFF"/>
                <w:sz w:val="16"/>
              </w:rPr>
              <w:t>(53. 7)%</w:t>
            </w:r>
          </w:p>
        </w:tc>
      </w:tr>
      <w:tr>
        <w:trPr>
          <w:trHeight w:val="366" w:hRule="exact"/>
        </w:trPr>
        <w:tc>
          <w:tcPr>
            <w:tcW w:w="4310" w:type="dxa"/>
          </w:tcPr>
          <w:p>
            <w:pPr>
              <w:pStyle w:val="TableParagraph"/>
              <w:spacing w:before="86"/>
              <w:ind w:left="52"/>
              <w:rPr>
                <w:i/>
                <w:sz w:val="16"/>
              </w:rPr>
            </w:pPr>
            <w:r>
              <w:rPr>
                <w:i/>
                <w:color w:val="292425"/>
                <w:w w:val="105"/>
                <w:sz w:val="16"/>
              </w:rPr>
              <w:t>Net income per share –   diluted</w:t>
            </w:r>
          </w:p>
        </w:tc>
        <w:tc>
          <w:tcPr>
            <w:tcW w:w="1738" w:type="dxa"/>
            <w:shd w:val="clear" w:color="auto" w:fill="CECFD1"/>
          </w:tcPr>
          <w:p>
            <w:pPr>
              <w:pStyle w:val="TableParagraph"/>
              <w:spacing w:before="127"/>
              <w:ind w:left="894"/>
              <w:rPr>
                <w:rFonts w:ascii="Franklin Gothic Medium"/>
                <w:sz w:val="16"/>
              </w:rPr>
            </w:pPr>
            <w:r>
              <w:rPr>
                <w:rFonts w:ascii="Franklin Gothic Medium"/>
                <w:color w:val="292425"/>
                <w:sz w:val="16"/>
              </w:rPr>
              <w:t>$0.30 </w:t>
            </w:r>
          </w:p>
        </w:tc>
        <w:tc>
          <w:tcPr>
            <w:tcW w:w="1836" w:type="dxa"/>
          </w:tcPr>
          <w:p>
            <w:pPr>
              <w:pStyle w:val="TableParagraph"/>
              <w:spacing w:before="127"/>
              <w:ind w:left="963"/>
              <w:rPr>
                <w:rFonts w:ascii="Franklin Gothic Medium"/>
                <w:sz w:val="16"/>
              </w:rPr>
            </w:pPr>
            <w:r>
              <w:rPr>
                <w:rFonts w:ascii="Franklin Gothic Medium"/>
                <w:color w:val="292425"/>
                <w:sz w:val="16"/>
              </w:rPr>
              <w:t>$0.63 </w:t>
            </w:r>
          </w:p>
        </w:tc>
        <w:tc>
          <w:tcPr>
            <w:tcW w:w="1561" w:type="dxa"/>
            <w:shd w:val="clear" w:color="auto" w:fill="CECFD1"/>
          </w:tcPr>
          <w:p>
            <w:pPr>
              <w:pStyle w:val="TableParagraph"/>
              <w:spacing w:before="126"/>
              <w:ind w:left="535"/>
              <w:rPr>
                <w:rFonts w:ascii="Franklin Gothic Medium"/>
                <w:sz w:val="16"/>
              </w:rPr>
            </w:pPr>
            <w:r>
              <w:rPr>
                <w:rFonts w:ascii="Franklin Gothic Medium"/>
                <w:color w:val="292425"/>
                <w:sz w:val="16"/>
              </w:rPr>
              <w:t>(52.4)%</w:t>
            </w:r>
          </w:p>
        </w:tc>
      </w:tr>
      <w:tr>
        <w:trPr>
          <w:trHeight w:val="340" w:hRule="exact"/>
        </w:trPr>
        <w:tc>
          <w:tcPr>
            <w:tcW w:w="4310" w:type="dxa"/>
            <w:shd w:val="clear" w:color="auto" w:fill="CECFD1"/>
          </w:tcPr>
          <w:p>
            <w:pPr>
              <w:pStyle w:val="TableParagraph"/>
              <w:spacing w:before="67"/>
              <w:ind w:left="52"/>
              <w:rPr>
                <w:i/>
                <w:sz w:val="16"/>
              </w:rPr>
            </w:pPr>
            <w:r>
              <w:rPr>
                <w:i/>
                <w:color w:val="292425"/>
                <w:w w:val="105"/>
                <w:sz w:val="16"/>
              </w:rPr>
              <w:t>Stockholders’ equity</w:t>
            </w:r>
          </w:p>
        </w:tc>
        <w:tc>
          <w:tcPr>
            <w:tcW w:w="1738" w:type="dxa"/>
            <w:shd w:val="clear" w:color="auto" w:fill="AAADB0"/>
          </w:tcPr>
          <w:p>
            <w:pPr>
              <w:pStyle w:val="TableParagraph"/>
              <w:spacing w:before="87"/>
              <w:ind w:left="376"/>
              <w:rPr>
                <w:rFonts w:ascii="Franklin Gothic Medium"/>
                <w:sz w:val="16"/>
              </w:rPr>
            </w:pPr>
            <w:r>
              <w:rPr>
                <w:rFonts w:ascii="Franklin Gothic Medium"/>
                <w:color w:val="FFFFFF"/>
                <w:sz w:val="16"/>
              </w:rPr>
              <w:t>$4 ,421,617 </w:t>
            </w:r>
          </w:p>
        </w:tc>
        <w:tc>
          <w:tcPr>
            <w:tcW w:w="1836" w:type="dxa"/>
            <w:shd w:val="clear" w:color="auto" w:fill="CECFD1"/>
          </w:tcPr>
          <w:p>
            <w:pPr>
              <w:pStyle w:val="TableParagraph"/>
              <w:spacing w:before="86"/>
              <w:ind w:left="467"/>
              <w:rPr>
                <w:rFonts w:ascii="Franklin Gothic Medium"/>
                <w:sz w:val="16"/>
              </w:rPr>
            </w:pPr>
            <w:r>
              <w:rPr>
                <w:rFonts w:ascii="Franklin Gothic Medium"/>
                <w:color w:val="292425"/>
                <w:sz w:val="16"/>
              </w:rPr>
              <w:t>$4, 014,053 </w:t>
            </w:r>
          </w:p>
        </w:tc>
        <w:tc>
          <w:tcPr>
            <w:tcW w:w="1561" w:type="dxa"/>
            <w:shd w:val="clear" w:color="auto" w:fill="AAADB0"/>
          </w:tcPr>
          <w:p>
            <w:pPr>
              <w:pStyle w:val="TableParagraph"/>
              <w:spacing w:before="87"/>
              <w:ind w:left="583"/>
              <w:rPr>
                <w:rFonts w:ascii="Franklin Gothic Medium"/>
                <w:sz w:val="16"/>
              </w:rPr>
            </w:pPr>
            <w:r>
              <w:rPr>
                <w:rFonts w:ascii="Franklin Gothic Medium"/>
                <w:color w:val="FFFFFF"/>
                <w:sz w:val="16"/>
              </w:rPr>
              <w:t>10.2%</w:t>
            </w:r>
          </w:p>
        </w:tc>
      </w:tr>
      <w:tr>
        <w:trPr>
          <w:trHeight w:val="366" w:hRule="exact"/>
        </w:trPr>
        <w:tc>
          <w:tcPr>
            <w:tcW w:w="4310" w:type="dxa"/>
          </w:tcPr>
          <w:p>
            <w:pPr>
              <w:pStyle w:val="TableParagraph"/>
              <w:spacing w:before="81"/>
              <w:ind w:left="52"/>
              <w:rPr>
                <w:i/>
                <w:sz w:val="16"/>
              </w:rPr>
            </w:pPr>
            <w:r>
              <w:rPr>
                <w:i/>
                <w:color w:val="292425"/>
                <w:w w:val="105"/>
                <w:sz w:val="16"/>
              </w:rPr>
              <w:t>Return on  average stockholders’ equity</w:t>
            </w:r>
          </w:p>
        </w:tc>
        <w:tc>
          <w:tcPr>
            <w:tcW w:w="1738" w:type="dxa"/>
            <w:shd w:val="clear" w:color="auto" w:fill="CECFD1"/>
          </w:tcPr>
          <w:p>
            <w:pPr>
              <w:pStyle w:val="TableParagraph"/>
              <w:spacing w:before="104"/>
              <w:ind w:right="187"/>
              <w:jc w:val="right"/>
              <w:rPr>
                <w:rFonts w:ascii="Franklin Gothic Medium"/>
                <w:sz w:val="16"/>
              </w:rPr>
            </w:pPr>
            <w:r>
              <w:rPr>
                <w:rFonts w:ascii="Franklin Gothic Medium"/>
                <w:color w:val="292425"/>
                <w:sz w:val="16"/>
              </w:rPr>
              <w:t>5.7% </w:t>
            </w:r>
          </w:p>
        </w:tc>
        <w:tc>
          <w:tcPr>
            <w:tcW w:w="1836" w:type="dxa"/>
          </w:tcPr>
          <w:p>
            <w:pPr>
              <w:pStyle w:val="TableParagraph"/>
              <w:spacing w:before="106"/>
              <w:ind w:right="206"/>
              <w:jc w:val="right"/>
              <w:rPr>
                <w:rFonts w:ascii="Franklin Gothic Medium"/>
                <w:sz w:val="16"/>
              </w:rPr>
            </w:pPr>
            <w:r>
              <w:rPr>
                <w:rFonts w:ascii="Franklin Gothic Medium"/>
                <w:color w:val="292425"/>
                <w:sz w:val="16"/>
              </w:rPr>
              <w:t>13.7% </w:t>
            </w:r>
          </w:p>
        </w:tc>
        <w:tc>
          <w:tcPr>
            <w:tcW w:w="1561" w:type="dxa"/>
            <w:shd w:val="clear" w:color="auto" w:fill="CECFD1"/>
          </w:tcPr>
          <w:p>
            <w:pPr>
              <w:pStyle w:val="TableParagraph"/>
              <w:spacing w:before="106"/>
              <w:ind w:right="321"/>
              <w:jc w:val="right"/>
              <w:rPr>
                <w:rFonts w:ascii="Franklin Gothic Medium"/>
                <w:sz w:val="12"/>
              </w:rPr>
            </w:pPr>
            <w:r>
              <w:rPr>
                <w:rFonts w:ascii="Franklin Gothic Medium"/>
                <w:color w:val="292425"/>
                <w:sz w:val="16"/>
              </w:rPr>
              <w:t>(8.0)</w:t>
            </w:r>
            <w:r>
              <w:rPr>
                <w:rFonts w:ascii="Franklin Gothic Medium"/>
                <w:color w:val="292425"/>
                <w:sz w:val="12"/>
              </w:rPr>
              <w:t>pts.</w:t>
            </w:r>
          </w:p>
        </w:tc>
      </w:tr>
      <w:tr>
        <w:trPr>
          <w:trHeight w:val="340" w:hRule="exact"/>
        </w:trPr>
        <w:tc>
          <w:tcPr>
            <w:tcW w:w="4310" w:type="dxa"/>
            <w:shd w:val="clear" w:color="auto" w:fill="CECFD1"/>
          </w:tcPr>
          <w:p>
            <w:pPr>
              <w:pStyle w:val="TableParagraph"/>
              <w:spacing w:before="63"/>
              <w:ind w:left="52"/>
              <w:rPr>
                <w:i/>
                <w:sz w:val="16"/>
              </w:rPr>
            </w:pPr>
            <w:r>
              <w:rPr>
                <w:i/>
                <w:color w:val="292425"/>
                <w:w w:val="105"/>
                <w:sz w:val="16"/>
              </w:rPr>
              <w:t>Stockholders’ equity per common share   outstanding</w:t>
            </w:r>
          </w:p>
        </w:tc>
        <w:tc>
          <w:tcPr>
            <w:tcW w:w="1738" w:type="dxa"/>
            <w:shd w:val="clear" w:color="auto" w:fill="AAADB0"/>
          </w:tcPr>
          <w:p>
            <w:pPr>
              <w:pStyle w:val="TableParagraph"/>
              <w:spacing w:before="91"/>
              <w:ind w:left="905"/>
              <w:rPr>
                <w:rFonts w:ascii="Franklin Gothic Medium"/>
                <w:sz w:val="16"/>
              </w:rPr>
            </w:pPr>
            <w:r>
              <w:rPr>
                <w:rFonts w:ascii="Franklin Gothic Medium"/>
                <w:color w:val="FFFFFF"/>
                <w:sz w:val="16"/>
              </w:rPr>
              <w:t>$5. 69</w:t>
            </w:r>
          </w:p>
        </w:tc>
        <w:tc>
          <w:tcPr>
            <w:tcW w:w="1836" w:type="dxa"/>
            <w:shd w:val="clear" w:color="auto" w:fill="CECFD1"/>
          </w:tcPr>
          <w:p>
            <w:pPr>
              <w:pStyle w:val="TableParagraph"/>
              <w:spacing w:before="93"/>
              <w:ind w:left="968"/>
              <w:rPr>
                <w:rFonts w:ascii="Franklin Gothic Medium"/>
                <w:sz w:val="16"/>
              </w:rPr>
            </w:pPr>
            <w:r>
              <w:rPr>
                <w:rFonts w:ascii="Franklin Gothic Medium"/>
                <w:color w:val="292425"/>
                <w:sz w:val="16"/>
              </w:rPr>
              <w:t>$5.24 </w:t>
            </w:r>
          </w:p>
        </w:tc>
        <w:tc>
          <w:tcPr>
            <w:tcW w:w="1561" w:type="dxa"/>
            <w:shd w:val="clear" w:color="auto" w:fill="AAADB0"/>
          </w:tcPr>
          <w:p>
            <w:pPr>
              <w:pStyle w:val="TableParagraph"/>
              <w:spacing w:before="91"/>
              <w:ind w:left="693"/>
              <w:rPr>
                <w:rFonts w:ascii="Franklin Gothic Medium"/>
                <w:sz w:val="16"/>
              </w:rPr>
            </w:pPr>
            <w:r>
              <w:rPr>
                <w:rFonts w:ascii="Franklin Gothic Medium"/>
                <w:color w:val="FFFFFF"/>
                <w:sz w:val="16"/>
              </w:rPr>
              <w:t>8.6%</w:t>
            </w:r>
          </w:p>
        </w:tc>
      </w:tr>
      <w:tr>
        <w:trPr>
          <w:trHeight w:val="366" w:hRule="exact"/>
        </w:trPr>
        <w:tc>
          <w:tcPr>
            <w:tcW w:w="4310" w:type="dxa"/>
          </w:tcPr>
          <w:p>
            <w:pPr>
              <w:pStyle w:val="TableParagraph"/>
              <w:spacing w:before="87"/>
              <w:ind w:left="52"/>
              <w:rPr>
                <w:i/>
                <w:sz w:val="16"/>
              </w:rPr>
            </w:pPr>
            <w:r>
              <w:rPr>
                <w:i/>
                <w:color w:val="292425"/>
                <w:w w:val="105"/>
                <w:sz w:val="16"/>
              </w:rPr>
              <w:t>Revenue  passengers  carried</w:t>
            </w:r>
          </w:p>
        </w:tc>
        <w:tc>
          <w:tcPr>
            <w:tcW w:w="1738" w:type="dxa"/>
            <w:shd w:val="clear" w:color="auto" w:fill="CECFD1"/>
          </w:tcPr>
          <w:p>
            <w:pPr>
              <w:pStyle w:val="TableParagraph"/>
              <w:spacing w:before="116"/>
              <w:ind w:left="372"/>
              <w:rPr>
                <w:rFonts w:ascii="Franklin Gothic Medium"/>
                <w:sz w:val="16"/>
              </w:rPr>
            </w:pPr>
            <w:r>
              <w:rPr>
                <w:rFonts w:ascii="Franklin Gothic Medium"/>
                <w:color w:val="292425"/>
                <w:sz w:val="16"/>
              </w:rPr>
              <w:t>63,045,988 </w:t>
            </w:r>
          </w:p>
        </w:tc>
        <w:tc>
          <w:tcPr>
            <w:tcW w:w="1836" w:type="dxa"/>
          </w:tcPr>
          <w:p>
            <w:pPr>
              <w:pStyle w:val="TableParagraph"/>
              <w:spacing w:before="111"/>
              <w:ind w:left="460"/>
              <w:rPr>
                <w:rFonts w:ascii="Franklin Gothic Medium"/>
                <w:sz w:val="16"/>
              </w:rPr>
            </w:pPr>
            <w:r>
              <w:rPr>
                <w:rFonts w:ascii="Franklin Gothic Medium"/>
                <w:color w:val="292425"/>
                <w:sz w:val="16"/>
              </w:rPr>
              <w:t>64, 446,773 </w:t>
            </w:r>
          </w:p>
        </w:tc>
        <w:tc>
          <w:tcPr>
            <w:tcW w:w="1561" w:type="dxa"/>
            <w:shd w:val="clear" w:color="auto" w:fill="CECFD1"/>
          </w:tcPr>
          <w:p>
            <w:pPr>
              <w:pStyle w:val="TableParagraph"/>
              <w:spacing w:before="110"/>
              <w:ind w:left="639"/>
              <w:rPr>
                <w:rFonts w:ascii="Franklin Gothic Medium"/>
                <w:sz w:val="16"/>
              </w:rPr>
            </w:pPr>
            <w:r>
              <w:rPr>
                <w:rFonts w:ascii="Franklin Gothic Medium"/>
                <w:color w:val="292425"/>
                <w:sz w:val="16"/>
              </w:rPr>
              <w:t>(2.2)%</w:t>
            </w:r>
          </w:p>
        </w:tc>
      </w:tr>
      <w:tr>
        <w:trPr>
          <w:trHeight w:val="340" w:hRule="exact"/>
        </w:trPr>
        <w:tc>
          <w:tcPr>
            <w:tcW w:w="4310" w:type="dxa"/>
            <w:shd w:val="clear" w:color="auto" w:fill="CECFD1"/>
          </w:tcPr>
          <w:p>
            <w:pPr>
              <w:pStyle w:val="TableParagraph"/>
              <w:spacing w:before="68"/>
              <w:ind w:left="52"/>
              <w:rPr>
                <w:i/>
                <w:sz w:val="16"/>
              </w:rPr>
            </w:pPr>
            <w:r>
              <w:rPr>
                <w:i/>
                <w:color w:val="292425"/>
                <w:w w:val="105"/>
                <w:sz w:val="16"/>
              </w:rPr>
              <w:t>Revenue  passenger  miles  {RPMs} (000s)</w:t>
            </w:r>
          </w:p>
        </w:tc>
        <w:tc>
          <w:tcPr>
            <w:tcW w:w="1738" w:type="dxa"/>
            <w:shd w:val="clear" w:color="auto" w:fill="AAADB0"/>
          </w:tcPr>
          <w:p>
            <w:pPr>
              <w:pStyle w:val="TableParagraph"/>
              <w:spacing w:before="82"/>
              <w:ind w:left="382"/>
              <w:rPr>
                <w:rFonts w:ascii="Franklin Gothic Medium"/>
                <w:sz w:val="16"/>
              </w:rPr>
            </w:pPr>
            <w:r>
              <w:rPr>
                <w:rFonts w:ascii="Franklin Gothic Medium"/>
                <w:color w:val="FFFFFF"/>
                <w:sz w:val="16"/>
              </w:rPr>
              <w:t>45,391, 903 </w:t>
            </w:r>
          </w:p>
        </w:tc>
        <w:tc>
          <w:tcPr>
            <w:tcW w:w="1836" w:type="dxa"/>
            <w:shd w:val="clear" w:color="auto" w:fill="CECFD1"/>
          </w:tcPr>
          <w:p>
            <w:pPr>
              <w:pStyle w:val="TableParagraph"/>
              <w:spacing w:before="87"/>
              <w:ind w:left="465"/>
              <w:rPr>
                <w:rFonts w:ascii="Franklin Gothic Medium"/>
                <w:sz w:val="16"/>
              </w:rPr>
            </w:pPr>
            <w:r>
              <w:rPr>
                <w:rFonts w:ascii="Franklin Gothic Medium"/>
                <w:color w:val="292425"/>
                <w:sz w:val="16"/>
              </w:rPr>
              <w:t>44,493, 916 </w:t>
            </w:r>
          </w:p>
        </w:tc>
        <w:tc>
          <w:tcPr>
            <w:tcW w:w="1561" w:type="dxa"/>
            <w:shd w:val="clear" w:color="auto" w:fill="AAADB0"/>
          </w:tcPr>
          <w:p>
            <w:pPr>
              <w:pStyle w:val="TableParagraph"/>
              <w:spacing w:before="83"/>
              <w:ind w:left="706"/>
              <w:rPr>
                <w:rFonts w:ascii="Franklin Gothic Medium"/>
                <w:sz w:val="16"/>
              </w:rPr>
            </w:pPr>
            <w:r>
              <w:rPr>
                <w:rFonts w:ascii="Franklin Gothic Medium"/>
                <w:color w:val="FFFFFF"/>
                <w:sz w:val="16"/>
              </w:rPr>
              <w:t>2.0%</w:t>
            </w:r>
          </w:p>
        </w:tc>
      </w:tr>
      <w:tr>
        <w:trPr>
          <w:trHeight w:val="366" w:hRule="exact"/>
        </w:trPr>
        <w:tc>
          <w:tcPr>
            <w:tcW w:w="4310" w:type="dxa"/>
          </w:tcPr>
          <w:p>
            <w:pPr>
              <w:pStyle w:val="TableParagraph"/>
              <w:spacing w:before="75"/>
              <w:ind w:left="52"/>
              <w:rPr>
                <w:i/>
                <w:sz w:val="16"/>
              </w:rPr>
            </w:pPr>
            <w:r>
              <w:rPr>
                <w:i/>
                <w:color w:val="292425"/>
                <w:w w:val="105"/>
                <w:sz w:val="16"/>
              </w:rPr>
              <w:t>Available seat miles {ASMs}   (000s)</w:t>
            </w:r>
          </w:p>
        </w:tc>
        <w:tc>
          <w:tcPr>
            <w:tcW w:w="1738" w:type="dxa"/>
            <w:shd w:val="clear" w:color="auto" w:fill="CECFD1"/>
          </w:tcPr>
          <w:p>
            <w:pPr>
              <w:pStyle w:val="TableParagraph"/>
              <w:spacing w:before="110"/>
              <w:ind w:left="372"/>
              <w:rPr>
                <w:rFonts w:ascii="Franklin Gothic Medium"/>
                <w:sz w:val="16"/>
              </w:rPr>
            </w:pPr>
            <w:r>
              <w:rPr>
                <w:rFonts w:ascii="Franklin Gothic Medium"/>
                <w:color w:val="292425"/>
                <w:sz w:val="16"/>
              </w:rPr>
              <w:t>68,886,546 </w:t>
            </w:r>
          </w:p>
        </w:tc>
        <w:tc>
          <w:tcPr>
            <w:tcW w:w="1836" w:type="dxa"/>
          </w:tcPr>
          <w:p>
            <w:pPr>
              <w:pStyle w:val="TableParagraph"/>
              <w:spacing w:before="113"/>
              <w:ind w:left="463"/>
              <w:rPr>
                <w:rFonts w:ascii="Franklin Gothic Medium"/>
                <w:sz w:val="16"/>
              </w:rPr>
            </w:pPr>
            <w:r>
              <w:rPr>
                <w:rFonts w:ascii="Franklin Gothic Medium"/>
                <w:color w:val="292425"/>
                <w:sz w:val="16"/>
              </w:rPr>
              <w:t>65,295,290 </w:t>
            </w:r>
          </w:p>
        </w:tc>
        <w:tc>
          <w:tcPr>
            <w:tcW w:w="1561" w:type="dxa"/>
            <w:shd w:val="clear" w:color="auto" w:fill="CECFD1"/>
          </w:tcPr>
          <w:p>
            <w:pPr>
              <w:pStyle w:val="TableParagraph"/>
              <w:spacing w:before="111"/>
              <w:ind w:left="702"/>
              <w:rPr>
                <w:rFonts w:ascii="Franklin Gothic Medium"/>
                <w:sz w:val="16"/>
              </w:rPr>
            </w:pPr>
            <w:r>
              <w:rPr>
                <w:rFonts w:ascii="Franklin Gothic Medium"/>
                <w:color w:val="292425"/>
                <w:sz w:val="16"/>
              </w:rPr>
              <w:t>5.5%</w:t>
            </w:r>
          </w:p>
        </w:tc>
      </w:tr>
      <w:tr>
        <w:trPr>
          <w:trHeight w:val="340" w:hRule="exact"/>
        </w:trPr>
        <w:tc>
          <w:tcPr>
            <w:tcW w:w="4310" w:type="dxa"/>
            <w:shd w:val="clear" w:color="auto" w:fill="CECFD1"/>
          </w:tcPr>
          <w:p>
            <w:pPr>
              <w:pStyle w:val="TableParagraph"/>
              <w:spacing w:before="56"/>
              <w:ind w:left="52"/>
              <w:rPr>
                <w:i/>
                <w:sz w:val="16"/>
              </w:rPr>
            </w:pPr>
            <w:r>
              <w:rPr>
                <w:i/>
                <w:color w:val="292425"/>
                <w:w w:val="105"/>
                <w:sz w:val="16"/>
              </w:rPr>
              <w:t>Passenger  load factor</w:t>
            </w:r>
          </w:p>
        </w:tc>
        <w:tc>
          <w:tcPr>
            <w:tcW w:w="1738" w:type="dxa"/>
            <w:shd w:val="clear" w:color="auto" w:fill="AAADB0"/>
          </w:tcPr>
          <w:p>
            <w:pPr>
              <w:pStyle w:val="TableParagraph"/>
              <w:spacing w:before="98"/>
              <w:ind w:right="199"/>
              <w:jc w:val="right"/>
              <w:rPr>
                <w:rFonts w:ascii="Franklin Gothic Medium"/>
                <w:sz w:val="16"/>
              </w:rPr>
            </w:pPr>
            <w:r>
              <w:rPr>
                <w:rFonts w:ascii="Franklin Gothic Medium"/>
                <w:color w:val="FFFFFF"/>
                <w:sz w:val="16"/>
              </w:rPr>
              <w:t>65.9% </w:t>
            </w:r>
          </w:p>
        </w:tc>
        <w:tc>
          <w:tcPr>
            <w:tcW w:w="1836" w:type="dxa"/>
            <w:shd w:val="clear" w:color="auto" w:fill="CECFD1"/>
          </w:tcPr>
          <w:p>
            <w:pPr>
              <w:pStyle w:val="TableParagraph"/>
              <w:spacing w:before="94"/>
              <w:ind w:right="215"/>
              <w:jc w:val="right"/>
              <w:rPr>
                <w:rFonts w:ascii="Franklin Gothic Medium"/>
                <w:sz w:val="16"/>
              </w:rPr>
            </w:pPr>
            <w:r>
              <w:rPr>
                <w:rFonts w:ascii="Franklin Gothic Medium"/>
                <w:color w:val="292425"/>
                <w:sz w:val="16"/>
              </w:rPr>
              <w:t>68.1% </w:t>
            </w:r>
          </w:p>
        </w:tc>
        <w:tc>
          <w:tcPr>
            <w:tcW w:w="1561" w:type="dxa"/>
            <w:shd w:val="clear" w:color="auto" w:fill="AAADB0"/>
          </w:tcPr>
          <w:p>
            <w:pPr>
              <w:pStyle w:val="TableParagraph"/>
              <w:spacing w:before="93"/>
              <w:ind w:right="317"/>
              <w:jc w:val="right"/>
              <w:rPr>
                <w:rFonts w:ascii="Franklin Gothic Medium"/>
                <w:sz w:val="12"/>
              </w:rPr>
            </w:pPr>
            <w:r>
              <w:rPr>
                <w:rFonts w:ascii="Franklin Gothic Medium"/>
                <w:color w:val="FFFFFF"/>
                <w:sz w:val="16"/>
              </w:rPr>
              <w:t>(2.2)</w:t>
            </w:r>
            <w:r>
              <w:rPr>
                <w:rFonts w:ascii="Franklin Gothic Medium"/>
                <w:color w:val="FFFFFF"/>
                <w:sz w:val="12"/>
              </w:rPr>
              <w:t>pts.</w:t>
            </w:r>
          </w:p>
        </w:tc>
      </w:tr>
      <w:tr>
        <w:trPr>
          <w:trHeight w:val="366" w:hRule="exact"/>
        </w:trPr>
        <w:tc>
          <w:tcPr>
            <w:tcW w:w="4310" w:type="dxa"/>
          </w:tcPr>
          <w:p>
            <w:pPr>
              <w:pStyle w:val="TableParagraph"/>
              <w:spacing w:before="63"/>
              <w:ind w:left="52"/>
              <w:rPr>
                <w:i/>
                <w:sz w:val="16"/>
              </w:rPr>
            </w:pPr>
            <w:r>
              <w:rPr>
                <w:i/>
                <w:color w:val="292425"/>
                <w:w w:val="105"/>
                <w:sz w:val="16"/>
              </w:rPr>
              <w:t>Passenger  revenue  yield per RPM</w:t>
            </w:r>
          </w:p>
        </w:tc>
        <w:tc>
          <w:tcPr>
            <w:tcW w:w="1738" w:type="dxa"/>
            <w:shd w:val="clear" w:color="auto" w:fill="CECFD1"/>
          </w:tcPr>
          <w:p>
            <w:pPr>
              <w:pStyle w:val="TableParagraph"/>
              <w:spacing w:before="121"/>
              <w:ind w:right="227"/>
              <w:jc w:val="right"/>
              <w:rPr>
                <w:rFonts w:ascii="Franklin Gothic Medium" w:hAnsi="Franklin Gothic Medium"/>
                <w:sz w:val="16"/>
              </w:rPr>
            </w:pPr>
            <w:r>
              <w:rPr>
                <w:rFonts w:ascii="Franklin Gothic Medium" w:hAnsi="Franklin Gothic Medium"/>
                <w:color w:val="292425"/>
                <w:sz w:val="16"/>
              </w:rPr>
              <w:t>11.77¢ </w:t>
            </w:r>
          </w:p>
        </w:tc>
        <w:tc>
          <w:tcPr>
            <w:tcW w:w="1836" w:type="dxa"/>
          </w:tcPr>
          <w:p>
            <w:pPr>
              <w:pStyle w:val="TableParagraph"/>
              <w:spacing w:before="121"/>
              <w:ind w:right="237"/>
              <w:jc w:val="right"/>
              <w:rPr>
                <w:rFonts w:ascii="Franklin Gothic Medium" w:hAnsi="Franklin Gothic Medium"/>
                <w:sz w:val="16"/>
              </w:rPr>
            </w:pPr>
            <w:r>
              <w:rPr>
                <w:rFonts w:ascii="Franklin Gothic Medium" w:hAnsi="Franklin Gothic Medium"/>
                <w:color w:val="292425"/>
                <w:sz w:val="16"/>
              </w:rPr>
              <w:t>12. 0 9¢ </w:t>
            </w:r>
          </w:p>
        </w:tc>
        <w:tc>
          <w:tcPr>
            <w:tcW w:w="1561" w:type="dxa"/>
            <w:shd w:val="clear" w:color="auto" w:fill="CECFD1"/>
          </w:tcPr>
          <w:p>
            <w:pPr>
              <w:pStyle w:val="TableParagraph"/>
              <w:spacing w:before="122"/>
              <w:ind w:left="633"/>
              <w:rPr>
                <w:rFonts w:ascii="Franklin Gothic Medium"/>
                <w:sz w:val="16"/>
              </w:rPr>
            </w:pPr>
            <w:r>
              <w:rPr>
                <w:rFonts w:ascii="Franklin Gothic Medium"/>
                <w:color w:val="292425"/>
                <w:sz w:val="16"/>
              </w:rPr>
              <w:t>(2.6)%</w:t>
            </w:r>
          </w:p>
        </w:tc>
      </w:tr>
      <w:tr>
        <w:trPr>
          <w:trHeight w:val="340" w:hRule="exact"/>
        </w:trPr>
        <w:tc>
          <w:tcPr>
            <w:tcW w:w="4310" w:type="dxa"/>
            <w:shd w:val="clear" w:color="auto" w:fill="CECFD1"/>
          </w:tcPr>
          <w:p>
            <w:pPr>
              <w:pStyle w:val="TableParagraph"/>
              <w:spacing w:before="57"/>
              <w:ind w:left="52"/>
              <w:rPr>
                <w:i/>
                <w:sz w:val="16"/>
              </w:rPr>
            </w:pPr>
            <w:r>
              <w:rPr>
                <w:i/>
                <w:color w:val="292425"/>
                <w:w w:val="105"/>
                <w:sz w:val="16"/>
              </w:rPr>
              <w:t>Operating revenue yield per  ASM</w:t>
            </w:r>
          </w:p>
        </w:tc>
        <w:tc>
          <w:tcPr>
            <w:tcW w:w="1738" w:type="dxa"/>
            <w:shd w:val="clear" w:color="auto" w:fill="AAADB0"/>
          </w:tcPr>
          <w:p>
            <w:pPr>
              <w:pStyle w:val="TableParagraph"/>
              <w:spacing w:before="95"/>
              <w:ind w:right="224"/>
              <w:jc w:val="right"/>
              <w:rPr>
                <w:rFonts w:ascii="Franklin Gothic Medium" w:hAnsi="Franklin Gothic Medium"/>
                <w:sz w:val="16"/>
              </w:rPr>
            </w:pPr>
            <w:r>
              <w:rPr>
                <w:rFonts w:ascii="Franklin Gothic Medium" w:hAnsi="Franklin Gothic Medium"/>
                <w:color w:val="FFFFFF"/>
                <w:sz w:val="16"/>
              </w:rPr>
              <w:t>8.0 2 ¢</w:t>
            </w:r>
          </w:p>
        </w:tc>
        <w:tc>
          <w:tcPr>
            <w:tcW w:w="1836" w:type="dxa"/>
            <w:shd w:val="clear" w:color="auto" w:fill="CECFD1"/>
          </w:tcPr>
          <w:p>
            <w:pPr>
              <w:pStyle w:val="TableParagraph"/>
              <w:spacing w:before="93"/>
              <w:ind w:right="240"/>
              <w:jc w:val="right"/>
              <w:rPr>
                <w:rFonts w:ascii="Franklin Gothic Medium" w:hAnsi="Franklin Gothic Medium"/>
                <w:sz w:val="16"/>
              </w:rPr>
            </w:pPr>
            <w:r>
              <w:rPr>
                <w:rFonts w:ascii="Franklin Gothic Medium" w:hAnsi="Franklin Gothic Medium"/>
                <w:color w:val="292425"/>
                <w:sz w:val="16"/>
              </w:rPr>
              <w:t>8. 51¢ </w:t>
            </w:r>
          </w:p>
        </w:tc>
        <w:tc>
          <w:tcPr>
            <w:tcW w:w="1561" w:type="dxa"/>
            <w:shd w:val="clear" w:color="auto" w:fill="AAADB0"/>
          </w:tcPr>
          <w:p>
            <w:pPr>
              <w:pStyle w:val="TableParagraph"/>
              <w:spacing w:before="94"/>
              <w:ind w:left="636"/>
              <w:rPr>
                <w:rFonts w:ascii="Franklin Gothic Medium"/>
                <w:sz w:val="16"/>
              </w:rPr>
            </w:pPr>
            <w:r>
              <w:rPr>
                <w:rFonts w:ascii="Franklin Gothic Medium"/>
                <w:color w:val="FFFFFF"/>
                <w:sz w:val="16"/>
              </w:rPr>
              <w:t>(5. 8)%</w:t>
            </w:r>
          </w:p>
        </w:tc>
      </w:tr>
      <w:tr>
        <w:trPr>
          <w:trHeight w:val="366" w:hRule="exact"/>
        </w:trPr>
        <w:tc>
          <w:tcPr>
            <w:tcW w:w="4310" w:type="dxa"/>
          </w:tcPr>
          <w:p>
            <w:pPr>
              <w:pStyle w:val="TableParagraph"/>
              <w:spacing w:before="76"/>
              <w:ind w:left="52"/>
              <w:rPr>
                <w:i/>
                <w:sz w:val="16"/>
              </w:rPr>
            </w:pPr>
            <w:r>
              <w:rPr>
                <w:i/>
                <w:color w:val="292425"/>
                <w:w w:val="105"/>
                <w:sz w:val="16"/>
              </w:rPr>
              <w:t>Operating expenses per  ASM</w:t>
            </w:r>
          </w:p>
        </w:tc>
        <w:tc>
          <w:tcPr>
            <w:tcW w:w="1738" w:type="dxa"/>
            <w:shd w:val="clear" w:color="auto" w:fill="CECFD1"/>
          </w:tcPr>
          <w:p>
            <w:pPr>
              <w:pStyle w:val="TableParagraph"/>
              <w:spacing w:before="115"/>
              <w:ind w:right="227"/>
              <w:jc w:val="right"/>
              <w:rPr>
                <w:rFonts w:ascii="Franklin Gothic Medium" w:hAnsi="Franklin Gothic Medium"/>
                <w:sz w:val="16"/>
              </w:rPr>
            </w:pPr>
            <w:r>
              <w:rPr>
                <w:rFonts w:ascii="Franklin Gothic Medium" w:hAnsi="Franklin Gothic Medium"/>
                <w:color w:val="292425"/>
                <w:sz w:val="16"/>
              </w:rPr>
              <w:t>7.41¢ </w:t>
            </w:r>
          </w:p>
        </w:tc>
        <w:tc>
          <w:tcPr>
            <w:tcW w:w="1836" w:type="dxa"/>
          </w:tcPr>
          <w:p>
            <w:pPr>
              <w:pStyle w:val="TableParagraph"/>
              <w:spacing w:before="116"/>
              <w:ind w:right="241"/>
              <w:jc w:val="right"/>
              <w:rPr>
                <w:rFonts w:ascii="Franklin Gothic Medium" w:hAnsi="Franklin Gothic Medium"/>
                <w:sz w:val="16"/>
              </w:rPr>
            </w:pPr>
            <w:r>
              <w:rPr>
                <w:rFonts w:ascii="Franklin Gothic Medium" w:hAnsi="Franklin Gothic Medium"/>
                <w:color w:val="292425"/>
                <w:sz w:val="16"/>
              </w:rPr>
              <w:t>7.54¢ </w:t>
            </w:r>
          </w:p>
        </w:tc>
        <w:tc>
          <w:tcPr>
            <w:tcW w:w="1561" w:type="dxa"/>
            <w:shd w:val="clear" w:color="auto" w:fill="CECFD1"/>
          </w:tcPr>
          <w:p>
            <w:pPr>
              <w:pStyle w:val="TableParagraph"/>
              <w:spacing w:before="115"/>
              <w:ind w:left="638"/>
              <w:rPr>
                <w:rFonts w:ascii="Franklin Gothic Medium"/>
                <w:sz w:val="16"/>
              </w:rPr>
            </w:pPr>
            <w:r>
              <w:rPr>
                <w:rFonts w:ascii="Franklin Gothic Medium"/>
                <w:color w:val="292425"/>
                <w:sz w:val="16"/>
              </w:rPr>
              <w:t>(1.7)%</w:t>
            </w:r>
          </w:p>
        </w:tc>
      </w:tr>
      <w:tr>
        <w:trPr>
          <w:trHeight w:val="340" w:hRule="exact"/>
        </w:trPr>
        <w:tc>
          <w:tcPr>
            <w:tcW w:w="4310" w:type="dxa"/>
            <w:shd w:val="clear" w:color="auto" w:fill="CECFD1"/>
          </w:tcPr>
          <w:p>
            <w:pPr>
              <w:pStyle w:val="TableParagraph"/>
              <w:spacing w:before="70"/>
              <w:ind w:left="52"/>
              <w:rPr>
                <w:i/>
                <w:sz w:val="16"/>
              </w:rPr>
            </w:pPr>
            <w:r>
              <w:rPr>
                <w:i/>
                <w:color w:val="292425"/>
                <w:w w:val="105"/>
                <w:sz w:val="16"/>
              </w:rPr>
              <w:t>Size  of  fleet at yearend</w:t>
            </w:r>
          </w:p>
        </w:tc>
        <w:tc>
          <w:tcPr>
            <w:tcW w:w="1738" w:type="dxa"/>
            <w:shd w:val="clear" w:color="auto" w:fill="AAADB0"/>
          </w:tcPr>
          <w:p>
            <w:pPr>
              <w:pStyle w:val="TableParagraph"/>
              <w:spacing w:before="98"/>
              <w:ind w:left="1077"/>
              <w:rPr>
                <w:rFonts w:ascii="Franklin Gothic Medium"/>
                <w:sz w:val="16"/>
              </w:rPr>
            </w:pPr>
            <w:r>
              <w:rPr>
                <w:rFonts w:ascii="Franklin Gothic Medium"/>
                <w:color w:val="FFFFFF"/>
                <w:sz w:val="16"/>
              </w:rPr>
              <w:t>375</w:t>
            </w:r>
          </w:p>
        </w:tc>
        <w:tc>
          <w:tcPr>
            <w:tcW w:w="1836" w:type="dxa"/>
            <w:shd w:val="clear" w:color="auto" w:fill="CECFD1"/>
          </w:tcPr>
          <w:p>
            <w:pPr>
              <w:pStyle w:val="TableParagraph"/>
              <w:spacing w:before="97"/>
              <w:ind w:left="1147"/>
              <w:rPr>
                <w:rFonts w:ascii="Franklin Gothic Medium"/>
                <w:sz w:val="16"/>
              </w:rPr>
            </w:pPr>
            <w:r>
              <w:rPr>
                <w:rFonts w:ascii="Franklin Gothic Medium"/>
                <w:color w:val="292425"/>
                <w:sz w:val="16"/>
              </w:rPr>
              <w:t>355 </w:t>
            </w:r>
          </w:p>
        </w:tc>
        <w:tc>
          <w:tcPr>
            <w:tcW w:w="1561" w:type="dxa"/>
            <w:shd w:val="clear" w:color="auto" w:fill="AAADB0"/>
          </w:tcPr>
          <w:p>
            <w:pPr>
              <w:pStyle w:val="TableParagraph"/>
              <w:spacing w:before="97"/>
              <w:ind w:left="706"/>
              <w:rPr>
                <w:rFonts w:ascii="Franklin Gothic Medium"/>
                <w:sz w:val="16"/>
              </w:rPr>
            </w:pPr>
            <w:r>
              <w:rPr>
                <w:rFonts w:ascii="Franklin Gothic Medium"/>
                <w:color w:val="FFFFFF"/>
                <w:sz w:val="16"/>
              </w:rPr>
              <w:t>5.6%</w:t>
            </w:r>
          </w:p>
        </w:tc>
      </w:tr>
      <w:tr>
        <w:trPr>
          <w:trHeight w:val="413" w:hRule="exact"/>
        </w:trPr>
        <w:tc>
          <w:tcPr>
            <w:tcW w:w="4310" w:type="dxa"/>
          </w:tcPr>
          <w:p>
            <w:pPr>
              <w:pStyle w:val="TableParagraph"/>
              <w:spacing w:before="82"/>
              <w:ind w:left="52"/>
              <w:rPr>
                <w:i/>
                <w:sz w:val="16"/>
              </w:rPr>
            </w:pPr>
            <w:r>
              <w:rPr>
                <w:i/>
                <w:color w:val="292425"/>
                <w:w w:val="105"/>
                <w:sz w:val="16"/>
              </w:rPr>
              <w:t>Number of  Employees at  yearend</w:t>
            </w:r>
          </w:p>
        </w:tc>
        <w:tc>
          <w:tcPr>
            <w:tcW w:w="1738" w:type="dxa"/>
            <w:shd w:val="clear" w:color="auto" w:fill="CECFD1"/>
          </w:tcPr>
          <w:p>
            <w:pPr>
              <w:pStyle w:val="TableParagraph"/>
              <w:spacing w:before="112"/>
              <w:ind w:left="763"/>
              <w:rPr>
                <w:rFonts w:ascii="Franklin Gothic Medium"/>
                <w:sz w:val="16"/>
              </w:rPr>
            </w:pPr>
            <w:r>
              <w:rPr>
                <w:rFonts w:ascii="Franklin Gothic Medium"/>
                <w:color w:val="292425"/>
                <w:sz w:val="16"/>
              </w:rPr>
              <w:t>33,705 </w:t>
            </w:r>
          </w:p>
        </w:tc>
        <w:tc>
          <w:tcPr>
            <w:tcW w:w="1836" w:type="dxa"/>
          </w:tcPr>
          <w:p>
            <w:pPr>
              <w:pStyle w:val="TableParagraph"/>
              <w:spacing w:before="114"/>
              <w:ind w:left="869"/>
              <w:rPr>
                <w:rFonts w:ascii="Franklin Gothic Medium"/>
                <w:sz w:val="16"/>
              </w:rPr>
            </w:pPr>
            <w:r>
              <w:rPr>
                <w:rFonts w:ascii="Franklin Gothic Medium"/>
                <w:color w:val="292425"/>
                <w:sz w:val="16"/>
              </w:rPr>
              <w:t>31, 580 </w:t>
            </w:r>
          </w:p>
        </w:tc>
        <w:tc>
          <w:tcPr>
            <w:tcW w:w="1561" w:type="dxa"/>
            <w:shd w:val="clear" w:color="auto" w:fill="CECFD1"/>
          </w:tcPr>
          <w:p>
            <w:pPr>
              <w:pStyle w:val="TableParagraph"/>
              <w:spacing w:before="112"/>
              <w:ind w:left="698"/>
              <w:rPr>
                <w:rFonts w:ascii="Franklin Gothic Medium"/>
                <w:sz w:val="16"/>
              </w:rPr>
            </w:pPr>
            <w:r>
              <w:rPr>
                <w:rFonts w:ascii="Franklin Gothic Medium"/>
                <w:color w:val="292425"/>
                <w:sz w:val="16"/>
              </w:rPr>
              <w:t>6.7%</w:t>
            </w:r>
          </w:p>
        </w:tc>
      </w:tr>
    </w:tbl>
    <w:p>
      <w:pPr>
        <w:pStyle w:val="BodyText"/>
        <w:rPr>
          <w:rFonts w:ascii="Franklin Gothic Medium"/>
        </w:rPr>
      </w:pPr>
    </w:p>
    <w:p>
      <w:pPr>
        <w:pStyle w:val="BodyText"/>
        <w:spacing w:before="4"/>
        <w:rPr>
          <w:rFonts w:ascii="Franklin Gothic Medium"/>
          <w:sz w:val="28"/>
        </w:rPr>
      </w:pPr>
    </w:p>
    <w:p>
      <w:pPr>
        <w:spacing w:line="441" w:lineRule="auto" w:before="94"/>
        <w:ind w:left="1281" w:right="1272" w:firstLine="0"/>
        <w:jc w:val="both"/>
        <w:rPr>
          <w:sz w:val="16"/>
        </w:rPr>
      </w:pPr>
      <w:r>
        <w:rPr/>
        <w:pict>
          <v:rect style="position:absolute;margin-left:65pt;margin-top:-100.427208pt;width:225.937pt;height:17.002pt;mso-position-horizontal-relative:page;mso-position-vertical-relative:paragraph;z-index:-281944" filled="true" fillcolor="#cecfd1" stroked="false">
            <v:fill type="solid"/>
            <w10:wrap type="none"/>
          </v:rect>
        </w:pict>
      </w:r>
      <w:r>
        <w:rPr/>
        <w:pict>
          <v:rect style="position:absolute;margin-left:65pt;margin-top:-65.105209pt;width:225.937pt;height:17.006pt;mso-position-horizontal-relative:page;mso-position-vertical-relative:paragraph;z-index:-281920" filled="true" fillcolor="#cecfd1" stroked="false">
            <v:fill type="solid"/>
            <w10:wrap type="none"/>
          </v:rect>
        </w:pict>
      </w:r>
      <w:r>
        <w:rPr>
          <w:color w:val="292425"/>
          <w:w w:val="110"/>
          <w:sz w:val="16"/>
        </w:rPr>
        <w:t>Southwest Airlines Co. is the nation’s low-fare, high Customer Satisfaction airline. We primarily serve shorthaul city pairs, providing single-class air transportation which targets the business commuter as well as leisure travelers. The Company, incorporated in Texas, commenced Customer Service on June 18, 1971, with three Boeing 737 aircraft serving three Texas cities – Dallas, Houston, and San Antonio. At yearend 2002, Southwest operated 375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Employee and Customer relationships.</w:t>
      </w:r>
    </w:p>
    <w:p>
      <w:pPr>
        <w:spacing w:after="0" w:line="441" w:lineRule="auto"/>
        <w:jc w:val="both"/>
        <w:rPr>
          <w:sz w:val="16"/>
        </w:rPr>
        <w:sectPr>
          <w:type w:val="continuous"/>
          <w:pgSz w:w="12240" w:h="15840"/>
          <w:pgMar w:top="0" w:bottom="280" w:left="0" w:right="0"/>
        </w:sectPr>
      </w:pPr>
    </w:p>
    <w:p>
      <w:pPr>
        <w:pStyle w:val="BodyText"/>
      </w:pPr>
      <w:r>
        <w:rPr/>
        <w:pict>
          <v:line style="position:absolute;mso-position-horizontal-relative:page;mso-position-vertical-relative:page;z-index:2032" from="0pt,180pt" to="612pt,180pt" stroked="true" strokeweight=".5pt" strokecolor="#292425">
            <v:stroke dashstyle="solid"/>
            <w10:wrap type="none"/>
          </v:lin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
        <w:rPr>
          <w:sz w:val="11"/>
        </w:rPr>
      </w:pPr>
    </w:p>
    <w:p>
      <w:pPr>
        <w:pStyle w:val="BodyText"/>
        <w:ind w:left="4529"/>
      </w:pPr>
      <w:r>
        <w:rPr/>
        <w:pict>
          <v:shape style="width:162pt;height:36pt;mso-position-horizontal-relative:char;mso-position-vertical-relative:line" type="#_x0000_t202" filled="true" fillcolor="#ed2232" stroked="false">
            <w10:anchorlock/>
            <v:textbox inset="0,0,0,0">
              <w:txbxContent>
                <w:p>
                  <w:pPr>
                    <w:pStyle w:val="BodyText"/>
                    <w:spacing w:before="9"/>
                    <w:rPr>
                      <w:sz w:val="19"/>
                    </w:rPr>
                  </w:pPr>
                </w:p>
                <w:p>
                  <w:pPr>
                    <w:spacing w:before="1"/>
                    <w:ind w:left="380" w:right="0" w:firstLine="0"/>
                    <w:jc w:val="left"/>
                    <w:rPr>
                      <w:sz w:val="22"/>
                    </w:rPr>
                  </w:pPr>
                  <w:r>
                    <w:rPr>
                      <w:color w:val="FFFFFF"/>
                      <w:w w:val="135"/>
                      <w:sz w:val="22"/>
                    </w:rPr>
                    <w:t>MO VING AHEAD</w:t>
                  </w:r>
                  <w:r>
                    <w:rPr>
                      <w:color w:val="FFFFFF"/>
                      <w:sz w:val="22"/>
                    </w:rPr>
                    <w:t> </w:t>
                  </w:r>
                </w:p>
              </w:txbxContent>
            </v:textbox>
            <v:fill type="solid"/>
          </v:shape>
        </w:pict>
      </w:r>
      <w:r>
        <w:rPr/>
      </w:r>
    </w:p>
    <w:p>
      <w:pPr>
        <w:pStyle w:val="BodyText"/>
      </w:pPr>
    </w:p>
    <w:p>
      <w:pPr>
        <w:pStyle w:val="BodyText"/>
      </w:pPr>
    </w:p>
    <w:p>
      <w:pPr>
        <w:pStyle w:val="BodyText"/>
        <w:spacing w:before="4"/>
        <w:rPr>
          <w:sz w:val="15"/>
        </w:rPr>
      </w:pPr>
    </w:p>
    <w:p>
      <w:pPr>
        <w:spacing w:line="571" w:lineRule="auto" w:before="92"/>
        <w:ind w:left="1099" w:right="1025" w:firstLine="0"/>
        <w:jc w:val="both"/>
        <w:rPr>
          <w:i/>
          <w:sz w:val="22"/>
        </w:rPr>
      </w:pPr>
      <w:r>
        <w:rPr/>
        <w:pict>
          <v:line style="position:absolute;mso-position-horizontal-relative:page;mso-position-vertical-relative:paragraph;z-index:-281344" from="0pt,296.529938pt" to="612pt,296.529938pt" stroked="true" strokeweight=".5pt" strokecolor="#292425">
            <v:stroke dashstyle="solid"/>
            <w10:wrap type="none"/>
          </v:line>
        </w:pict>
      </w:r>
      <w:r>
        <w:rPr>
          <w:color w:val="989A9D"/>
          <w:spacing w:val="6"/>
          <w:w w:val="105"/>
          <w:sz w:val="22"/>
        </w:rPr>
        <w:t>LAST </w:t>
      </w:r>
      <w:r>
        <w:rPr>
          <w:color w:val="989A9D"/>
          <w:spacing w:val="7"/>
          <w:w w:val="105"/>
          <w:sz w:val="22"/>
        </w:rPr>
        <w:t>YEAR, </w:t>
      </w:r>
      <w:r>
        <w:rPr>
          <w:color w:val="989A9D"/>
          <w:spacing w:val="4"/>
          <w:w w:val="105"/>
          <w:sz w:val="22"/>
        </w:rPr>
        <w:t>IN </w:t>
      </w:r>
      <w:r>
        <w:rPr>
          <w:color w:val="989A9D"/>
          <w:spacing w:val="6"/>
          <w:w w:val="105"/>
          <w:sz w:val="22"/>
        </w:rPr>
        <w:t>THE </w:t>
      </w:r>
      <w:r>
        <w:rPr>
          <w:color w:val="989A9D"/>
          <w:spacing w:val="4"/>
          <w:w w:val="105"/>
          <w:sz w:val="22"/>
        </w:rPr>
        <w:t>WAKE OF </w:t>
      </w:r>
      <w:r>
        <w:rPr>
          <w:color w:val="989A9D"/>
          <w:spacing w:val="6"/>
          <w:w w:val="105"/>
          <w:sz w:val="22"/>
        </w:rPr>
        <w:t>THE NATIONAL TRAGEDY </w:t>
      </w:r>
      <w:r>
        <w:rPr>
          <w:color w:val="989A9D"/>
          <w:spacing w:val="4"/>
          <w:w w:val="105"/>
          <w:sz w:val="22"/>
        </w:rPr>
        <w:t>ON </w:t>
      </w:r>
      <w:r>
        <w:rPr>
          <w:color w:val="989A9D"/>
          <w:spacing w:val="8"/>
          <w:w w:val="105"/>
          <w:sz w:val="22"/>
        </w:rPr>
        <w:t>SEPTEMBER </w:t>
      </w:r>
      <w:r>
        <w:rPr>
          <w:color w:val="989A9D"/>
          <w:spacing w:val="6"/>
          <w:w w:val="105"/>
          <w:sz w:val="22"/>
        </w:rPr>
        <w:t>11, </w:t>
      </w:r>
      <w:r>
        <w:rPr>
          <w:color w:val="989A9D"/>
          <w:spacing w:val="7"/>
          <w:w w:val="105"/>
          <w:sz w:val="22"/>
        </w:rPr>
        <w:t>2001, </w:t>
      </w:r>
      <w:r>
        <w:rPr>
          <w:color w:val="989A9D"/>
          <w:spacing w:val="9"/>
          <w:w w:val="105"/>
          <w:sz w:val="22"/>
        </w:rPr>
        <w:t>SOUTHWEST </w:t>
      </w:r>
      <w:r>
        <w:rPr>
          <w:color w:val="989A9D"/>
          <w:spacing w:val="22"/>
          <w:w w:val="105"/>
          <w:sz w:val="22"/>
        </w:rPr>
        <w:t>AIRLINES </w:t>
      </w:r>
      <w:r>
        <w:rPr>
          <w:color w:val="989A9D"/>
          <w:spacing w:val="19"/>
          <w:w w:val="105"/>
          <w:sz w:val="22"/>
        </w:rPr>
        <w:t>MADE </w:t>
      </w:r>
      <w:r>
        <w:rPr>
          <w:color w:val="989A9D"/>
          <w:w w:val="105"/>
          <w:sz w:val="22"/>
        </w:rPr>
        <w:t>A </w:t>
      </w:r>
      <w:r>
        <w:rPr>
          <w:color w:val="989A9D"/>
          <w:spacing w:val="19"/>
          <w:w w:val="105"/>
          <w:sz w:val="22"/>
        </w:rPr>
        <w:t>BOLD </w:t>
      </w:r>
      <w:r>
        <w:rPr>
          <w:color w:val="989A9D"/>
          <w:spacing w:val="22"/>
          <w:w w:val="105"/>
          <w:sz w:val="22"/>
        </w:rPr>
        <w:t>PROMISE </w:t>
      </w:r>
      <w:r>
        <w:rPr>
          <w:color w:val="989A9D"/>
          <w:spacing w:val="13"/>
          <w:w w:val="105"/>
          <w:sz w:val="22"/>
        </w:rPr>
        <w:t>TO </w:t>
      </w:r>
      <w:r>
        <w:rPr>
          <w:color w:val="989A9D"/>
          <w:spacing w:val="17"/>
          <w:w w:val="105"/>
          <w:sz w:val="22"/>
        </w:rPr>
        <w:t>OUR </w:t>
      </w:r>
      <w:r>
        <w:rPr>
          <w:color w:val="989A9D"/>
          <w:spacing w:val="22"/>
          <w:w w:val="105"/>
          <w:sz w:val="22"/>
        </w:rPr>
        <w:t>PEOPLE, </w:t>
      </w:r>
      <w:r>
        <w:rPr>
          <w:color w:val="989A9D"/>
          <w:spacing w:val="17"/>
          <w:w w:val="105"/>
          <w:sz w:val="22"/>
        </w:rPr>
        <w:t>OUR </w:t>
      </w:r>
      <w:r>
        <w:rPr>
          <w:color w:val="989A9D"/>
          <w:spacing w:val="24"/>
          <w:w w:val="105"/>
          <w:sz w:val="22"/>
        </w:rPr>
        <w:t>SHAREHOLDERS, </w:t>
      </w:r>
      <w:r>
        <w:rPr>
          <w:color w:val="989A9D"/>
          <w:spacing w:val="17"/>
          <w:w w:val="105"/>
          <w:sz w:val="22"/>
        </w:rPr>
        <w:t>AND OUR </w:t>
      </w:r>
      <w:r>
        <w:rPr>
          <w:color w:val="989A9D"/>
          <w:spacing w:val="8"/>
          <w:w w:val="105"/>
          <w:sz w:val="22"/>
        </w:rPr>
        <w:t>CUSTOMERS: </w:t>
      </w:r>
      <w:r>
        <w:rPr>
          <w:i/>
          <w:color w:val="989A9D"/>
          <w:spacing w:val="5"/>
          <w:w w:val="105"/>
          <w:sz w:val="22"/>
        </w:rPr>
        <w:t>NOTHING </w:t>
      </w:r>
      <w:r>
        <w:rPr>
          <w:i/>
          <w:color w:val="989A9D"/>
          <w:spacing w:val="6"/>
          <w:w w:val="105"/>
          <w:sz w:val="22"/>
        </w:rPr>
        <w:t>WILL KEEP </w:t>
      </w:r>
      <w:r>
        <w:rPr>
          <w:i/>
          <w:color w:val="989A9D"/>
          <w:spacing w:val="4"/>
          <w:w w:val="105"/>
          <w:sz w:val="22"/>
        </w:rPr>
        <w:t>US </w:t>
      </w:r>
      <w:r>
        <w:rPr>
          <w:i/>
          <w:color w:val="989A9D"/>
          <w:spacing w:val="5"/>
          <w:w w:val="105"/>
          <w:sz w:val="22"/>
        </w:rPr>
        <w:t>FROM MOVING </w:t>
      </w:r>
      <w:r>
        <w:rPr>
          <w:i/>
          <w:color w:val="989A9D"/>
          <w:spacing w:val="6"/>
          <w:w w:val="105"/>
          <w:sz w:val="22"/>
        </w:rPr>
        <w:t>AHEAD. </w:t>
      </w:r>
      <w:r>
        <w:rPr>
          <w:color w:val="989A9D"/>
          <w:spacing w:val="4"/>
          <w:w w:val="105"/>
          <w:sz w:val="22"/>
        </w:rPr>
        <w:t>IN  </w:t>
      </w:r>
      <w:r>
        <w:rPr>
          <w:color w:val="989A9D"/>
          <w:spacing w:val="3"/>
          <w:w w:val="105"/>
          <w:sz w:val="22"/>
        </w:rPr>
        <w:t>WHAT  WAS  </w:t>
      </w:r>
      <w:r>
        <w:rPr>
          <w:color w:val="989A9D"/>
          <w:spacing w:val="6"/>
          <w:w w:val="105"/>
          <w:sz w:val="22"/>
        </w:rPr>
        <w:t>THE  WORST  </w:t>
      </w:r>
      <w:r>
        <w:rPr>
          <w:color w:val="989A9D"/>
          <w:spacing w:val="9"/>
          <w:w w:val="105"/>
          <w:sz w:val="22"/>
        </w:rPr>
        <w:t>YEAR </w:t>
      </w:r>
      <w:r>
        <w:rPr>
          <w:color w:val="989A9D"/>
          <w:spacing w:val="6"/>
          <w:w w:val="105"/>
          <w:sz w:val="22"/>
        </w:rPr>
        <w:t>EVER FOR THE </w:t>
      </w:r>
      <w:r>
        <w:rPr>
          <w:color w:val="989A9D"/>
          <w:spacing w:val="7"/>
          <w:w w:val="105"/>
          <w:sz w:val="22"/>
        </w:rPr>
        <w:t>AIRLINE </w:t>
      </w:r>
      <w:r>
        <w:rPr>
          <w:color w:val="989A9D"/>
          <w:spacing w:val="3"/>
          <w:w w:val="105"/>
          <w:sz w:val="22"/>
        </w:rPr>
        <w:t>INDUSTRY, </w:t>
      </w:r>
      <w:r>
        <w:rPr>
          <w:color w:val="989A9D"/>
          <w:spacing w:val="8"/>
          <w:w w:val="105"/>
          <w:sz w:val="22"/>
        </w:rPr>
        <w:t>SOUTHWEST </w:t>
      </w:r>
      <w:r>
        <w:rPr>
          <w:color w:val="989A9D"/>
          <w:spacing w:val="6"/>
          <w:w w:val="105"/>
          <w:sz w:val="22"/>
        </w:rPr>
        <w:t>KEPT  ITS  </w:t>
      </w:r>
      <w:r>
        <w:rPr>
          <w:color w:val="989A9D"/>
          <w:spacing w:val="7"/>
          <w:w w:val="105"/>
          <w:sz w:val="22"/>
        </w:rPr>
        <w:t>PROMISE.  </w:t>
      </w:r>
      <w:r>
        <w:rPr>
          <w:color w:val="989A9D"/>
          <w:spacing w:val="4"/>
          <w:w w:val="105"/>
          <w:sz w:val="22"/>
        </w:rPr>
        <w:t>IN  </w:t>
      </w:r>
      <w:r>
        <w:rPr>
          <w:color w:val="989A9D"/>
          <w:spacing w:val="7"/>
          <w:w w:val="105"/>
          <w:sz w:val="22"/>
        </w:rPr>
        <w:t>2002,  </w:t>
      </w:r>
      <w:r>
        <w:rPr>
          <w:color w:val="989A9D"/>
          <w:spacing w:val="4"/>
          <w:w w:val="105"/>
          <w:sz w:val="22"/>
        </w:rPr>
        <w:t>WE  </w:t>
      </w:r>
      <w:r>
        <w:rPr>
          <w:color w:val="989A9D"/>
          <w:spacing w:val="7"/>
          <w:w w:val="105"/>
          <w:sz w:val="22"/>
        </w:rPr>
        <w:t>POSTED  </w:t>
      </w:r>
      <w:r>
        <w:rPr>
          <w:color w:val="989A9D"/>
          <w:spacing w:val="9"/>
          <w:w w:val="105"/>
          <w:sz w:val="22"/>
        </w:rPr>
        <w:t>OUR </w:t>
      </w:r>
      <w:r>
        <w:rPr>
          <w:color w:val="989A9D"/>
          <w:spacing w:val="6"/>
          <w:w w:val="105"/>
          <w:sz w:val="22"/>
        </w:rPr>
        <w:t>30TH </w:t>
      </w:r>
      <w:r>
        <w:rPr>
          <w:color w:val="989A9D"/>
          <w:spacing w:val="8"/>
          <w:w w:val="105"/>
          <w:sz w:val="22"/>
        </w:rPr>
        <w:t>CONSECUTIVE </w:t>
      </w:r>
      <w:r>
        <w:rPr>
          <w:color w:val="989A9D"/>
          <w:spacing w:val="7"/>
          <w:w w:val="105"/>
          <w:sz w:val="22"/>
        </w:rPr>
        <w:t>ANNUAL </w:t>
      </w:r>
      <w:r>
        <w:rPr>
          <w:color w:val="989A9D"/>
          <w:spacing w:val="2"/>
          <w:w w:val="105"/>
          <w:sz w:val="22"/>
        </w:rPr>
        <w:t>PROFIT. </w:t>
      </w:r>
      <w:r>
        <w:rPr>
          <w:color w:val="989A9D"/>
          <w:spacing w:val="4"/>
          <w:w w:val="105"/>
          <w:sz w:val="22"/>
        </w:rPr>
        <w:t>WE </w:t>
      </w:r>
      <w:r>
        <w:rPr>
          <w:color w:val="989A9D"/>
          <w:spacing w:val="6"/>
          <w:w w:val="105"/>
          <w:sz w:val="22"/>
        </w:rPr>
        <w:t>WERE PROFITABLE </w:t>
      </w:r>
      <w:r>
        <w:rPr>
          <w:color w:val="989A9D"/>
          <w:spacing w:val="4"/>
          <w:w w:val="105"/>
          <w:sz w:val="22"/>
        </w:rPr>
        <w:t>IN  </w:t>
      </w:r>
      <w:r>
        <w:rPr>
          <w:color w:val="989A9D"/>
          <w:spacing w:val="6"/>
          <w:w w:val="105"/>
          <w:sz w:val="22"/>
        </w:rPr>
        <w:t>EVERY  </w:t>
      </w:r>
      <w:r>
        <w:rPr>
          <w:color w:val="989A9D"/>
          <w:spacing w:val="7"/>
          <w:w w:val="105"/>
          <w:sz w:val="22"/>
        </w:rPr>
        <w:t>QUARTER,  </w:t>
      </w:r>
      <w:r>
        <w:rPr>
          <w:color w:val="989A9D"/>
          <w:spacing w:val="6"/>
          <w:w w:val="105"/>
          <w:sz w:val="22"/>
        </w:rPr>
        <w:t>AND  </w:t>
      </w:r>
      <w:r>
        <w:rPr>
          <w:color w:val="989A9D"/>
          <w:spacing w:val="9"/>
          <w:w w:val="105"/>
          <w:sz w:val="22"/>
        </w:rPr>
        <w:t>WE </w:t>
      </w:r>
      <w:r>
        <w:rPr>
          <w:color w:val="989A9D"/>
          <w:spacing w:val="6"/>
          <w:w w:val="105"/>
          <w:sz w:val="22"/>
        </w:rPr>
        <w:t>EXPANDED OUR </w:t>
      </w:r>
      <w:r>
        <w:rPr>
          <w:color w:val="989A9D"/>
          <w:spacing w:val="5"/>
          <w:w w:val="105"/>
          <w:sz w:val="22"/>
        </w:rPr>
        <w:t>AVAILABLE </w:t>
      </w:r>
      <w:r>
        <w:rPr>
          <w:color w:val="989A9D"/>
          <w:spacing w:val="3"/>
          <w:w w:val="105"/>
          <w:sz w:val="22"/>
        </w:rPr>
        <w:t>SEAT </w:t>
      </w:r>
      <w:r>
        <w:rPr>
          <w:color w:val="989A9D"/>
          <w:spacing w:val="6"/>
          <w:w w:val="105"/>
          <w:sz w:val="22"/>
        </w:rPr>
        <w:t>MILE CAPACITY  </w:t>
      </w:r>
      <w:r>
        <w:rPr>
          <w:color w:val="989A9D"/>
          <w:spacing w:val="4"/>
          <w:w w:val="105"/>
          <w:sz w:val="22"/>
        </w:rPr>
        <w:t>BY  </w:t>
      </w:r>
      <w:r>
        <w:rPr>
          <w:color w:val="989A9D"/>
          <w:spacing w:val="6"/>
          <w:w w:val="105"/>
          <w:sz w:val="22"/>
        </w:rPr>
        <w:t>5.5  </w:t>
      </w:r>
      <w:r>
        <w:rPr>
          <w:color w:val="989A9D"/>
          <w:spacing w:val="3"/>
          <w:w w:val="105"/>
          <w:sz w:val="22"/>
        </w:rPr>
        <w:t>PERCENT.  </w:t>
      </w:r>
      <w:r>
        <w:rPr>
          <w:color w:val="989A9D"/>
          <w:spacing w:val="4"/>
          <w:w w:val="105"/>
          <w:sz w:val="22"/>
        </w:rPr>
        <w:t>WE  DID,  IN  </w:t>
      </w:r>
      <w:r>
        <w:rPr>
          <w:color w:val="989A9D"/>
          <w:spacing w:val="-3"/>
          <w:w w:val="105"/>
          <w:sz w:val="22"/>
        </w:rPr>
        <w:t>FACT,  </w:t>
      </w:r>
      <w:r>
        <w:rPr>
          <w:color w:val="989A9D"/>
          <w:spacing w:val="4"/>
          <w:w w:val="105"/>
          <w:sz w:val="22"/>
        </w:rPr>
        <w:t>MOVE  </w:t>
      </w:r>
      <w:r>
        <w:rPr>
          <w:color w:val="989A9D"/>
          <w:spacing w:val="6"/>
          <w:w w:val="105"/>
          <w:sz w:val="22"/>
        </w:rPr>
        <w:t>AHEAD. AND </w:t>
      </w:r>
      <w:r>
        <w:rPr>
          <w:color w:val="989A9D"/>
          <w:spacing w:val="7"/>
          <w:w w:val="105"/>
          <w:sz w:val="22"/>
        </w:rPr>
        <w:t>WHILE </w:t>
      </w:r>
      <w:r>
        <w:rPr>
          <w:color w:val="989A9D"/>
          <w:spacing w:val="4"/>
          <w:w w:val="105"/>
          <w:sz w:val="22"/>
        </w:rPr>
        <w:t>NO </w:t>
      </w:r>
      <w:r>
        <w:rPr>
          <w:color w:val="989A9D"/>
          <w:spacing w:val="6"/>
          <w:w w:val="105"/>
          <w:sz w:val="22"/>
        </w:rPr>
        <w:t>ONE </w:t>
      </w:r>
      <w:r>
        <w:rPr>
          <w:color w:val="989A9D"/>
          <w:spacing w:val="5"/>
          <w:w w:val="105"/>
          <w:sz w:val="22"/>
        </w:rPr>
        <w:t>KNOWS </w:t>
      </w:r>
      <w:r>
        <w:rPr>
          <w:color w:val="989A9D"/>
          <w:spacing w:val="3"/>
          <w:w w:val="105"/>
          <w:sz w:val="22"/>
        </w:rPr>
        <w:t>WHAT </w:t>
      </w:r>
      <w:r>
        <w:rPr>
          <w:color w:val="989A9D"/>
          <w:spacing w:val="6"/>
          <w:w w:val="105"/>
          <w:sz w:val="22"/>
        </w:rPr>
        <w:t>THE </w:t>
      </w:r>
      <w:r>
        <w:rPr>
          <w:color w:val="989A9D"/>
          <w:spacing w:val="7"/>
          <w:w w:val="105"/>
          <w:sz w:val="22"/>
        </w:rPr>
        <w:t>FUTURE </w:t>
      </w:r>
      <w:r>
        <w:rPr>
          <w:color w:val="989A9D"/>
          <w:w w:val="105"/>
          <w:sz w:val="22"/>
        </w:rPr>
        <w:t>MAY </w:t>
      </w:r>
      <w:r>
        <w:rPr>
          <w:color w:val="989A9D"/>
          <w:spacing w:val="5"/>
          <w:w w:val="105"/>
          <w:sz w:val="22"/>
        </w:rPr>
        <w:t>HOLD, </w:t>
      </w:r>
      <w:r>
        <w:rPr>
          <w:color w:val="989A9D"/>
          <w:spacing w:val="4"/>
          <w:w w:val="105"/>
          <w:sz w:val="22"/>
        </w:rPr>
        <w:t>WE </w:t>
      </w:r>
      <w:r>
        <w:rPr>
          <w:color w:val="989A9D"/>
          <w:spacing w:val="6"/>
          <w:w w:val="105"/>
          <w:sz w:val="22"/>
        </w:rPr>
        <w:t>ARE </w:t>
      </w:r>
      <w:r>
        <w:rPr>
          <w:color w:val="989A9D"/>
          <w:spacing w:val="5"/>
          <w:w w:val="105"/>
          <w:sz w:val="22"/>
        </w:rPr>
        <w:t>RESOLUTELY</w:t>
      </w:r>
      <w:r>
        <w:rPr>
          <w:color w:val="989A9D"/>
          <w:spacing w:val="62"/>
          <w:w w:val="105"/>
          <w:sz w:val="22"/>
        </w:rPr>
        <w:t> </w:t>
      </w:r>
      <w:r>
        <w:rPr>
          <w:color w:val="989A9D"/>
          <w:spacing w:val="8"/>
          <w:w w:val="105"/>
          <w:sz w:val="22"/>
        </w:rPr>
        <w:t>CONFIDENT </w:t>
      </w:r>
      <w:r>
        <w:rPr>
          <w:color w:val="989A9D"/>
          <w:spacing w:val="6"/>
          <w:w w:val="105"/>
          <w:sz w:val="22"/>
        </w:rPr>
        <w:t>WHEN </w:t>
      </w:r>
      <w:r>
        <w:rPr>
          <w:color w:val="989A9D"/>
          <w:spacing w:val="4"/>
          <w:w w:val="105"/>
          <w:sz w:val="22"/>
        </w:rPr>
        <w:t>WE </w:t>
      </w:r>
      <w:r>
        <w:rPr>
          <w:color w:val="989A9D"/>
          <w:spacing w:val="2"/>
          <w:w w:val="105"/>
          <w:sz w:val="22"/>
        </w:rPr>
        <w:t>SAY:  </w:t>
      </w:r>
      <w:r>
        <w:rPr>
          <w:i/>
          <w:color w:val="989A9D"/>
          <w:spacing w:val="7"/>
          <w:w w:val="105"/>
          <w:sz w:val="22"/>
        </w:rPr>
        <w:t>FREEDOM, </w:t>
      </w:r>
      <w:r>
        <w:rPr>
          <w:i/>
          <w:color w:val="989A9D"/>
          <w:spacing w:val="6"/>
          <w:w w:val="105"/>
          <w:sz w:val="22"/>
        </w:rPr>
        <w:t>AND THE </w:t>
      </w:r>
      <w:r>
        <w:rPr>
          <w:i/>
          <w:color w:val="989A9D"/>
          <w:spacing w:val="7"/>
          <w:w w:val="105"/>
          <w:sz w:val="22"/>
        </w:rPr>
        <w:t>FREEDOM </w:t>
      </w:r>
      <w:r>
        <w:rPr>
          <w:i/>
          <w:color w:val="989A9D"/>
          <w:spacing w:val="2"/>
          <w:w w:val="105"/>
          <w:sz w:val="22"/>
        </w:rPr>
        <w:t>TO </w:t>
      </w:r>
      <w:r>
        <w:rPr>
          <w:i/>
          <w:color w:val="989A9D"/>
          <w:spacing w:val="-5"/>
          <w:w w:val="105"/>
          <w:sz w:val="22"/>
        </w:rPr>
        <w:t>FLY, </w:t>
      </w:r>
      <w:r>
        <w:rPr>
          <w:i/>
          <w:color w:val="989A9D"/>
          <w:spacing w:val="6"/>
          <w:w w:val="105"/>
          <w:sz w:val="22"/>
        </w:rPr>
        <w:t>WILL MOST </w:t>
      </w:r>
      <w:r>
        <w:rPr>
          <w:i/>
          <w:color w:val="989A9D"/>
          <w:spacing w:val="2"/>
          <w:w w:val="105"/>
          <w:sz w:val="22"/>
        </w:rPr>
        <w:t>CERTAINLY   </w:t>
      </w:r>
      <w:r>
        <w:rPr>
          <w:i/>
          <w:color w:val="989A9D"/>
          <w:spacing w:val="31"/>
          <w:w w:val="105"/>
          <w:sz w:val="22"/>
        </w:rPr>
        <w:t> </w:t>
      </w:r>
      <w:r>
        <w:rPr>
          <w:i/>
          <w:color w:val="989A9D"/>
          <w:spacing w:val="8"/>
          <w:w w:val="105"/>
          <w:sz w:val="22"/>
        </w:rPr>
        <w:t>ENDURE.</w:t>
      </w:r>
    </w:p>
    <w:p>
      <w:pPr>
        <w:spacing w:after="0" w:line="571" w:lineRule="auto"/>
        <w:jc w:val="both"/>
        <w:rPr>
          <w:sz w:val="22"/>
        </w:rPr>
        <w:sectPr>
          <w:pgSz w:w="12240" w:h="15840"/>
          <w:pgMar w:header="0" w:footer="0" w:top="0" w:bottom="280" w:left="0" w:right="0"/>
        </w:sectPr>
      </w:pPr>
    </w:p>
    <w:p>
      <w:pPr>
        <w:tabs>
          <w:tab w:pos="896" w:val="left" w:leader="none"/>
        </w:tabs>
        <w:spacing w:before="5"/>
        <w:ind w:left="496" w:right="0" w:firstLine="0"/>
        <w:jc w:val="left"/>
        <w:rPr>
          <w:sz w:val="12"/>
        </w:rPr>
      </w:pPr>
      <w:r>
        <w:rPr/>
        <w:pict>
          <v:group style="position:absolute;margin-left:-.25pt;margin-top:-.27pt;width:612.5pt;height:18.5pt;mso-position-horizontal-relative:page;mso-position-vertical-relative:paragraph;z-index:-281320"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bookmarkStart w:name="Letter to Shareholders" w:id="2"/>
      <w:bookmarkEnd w:id="2"/>
      <w:r>
        <w:rPr/>
      </w:r>
      <w:r>
        <w:rPr>
          <w:color w:val="292425"/>
          <w:w w:val="140"/>
          <w:sz w:val="14"/>
        </w:rPr>
        <w:t>2</w:t>
        <w:tab/>
      </w:r>
      <w:r>
        <w:rPr>
          <w:color w:val="292425"/>
          <w:spacing w:val="6"/>
          <w:w w:val="155"/>
          <w:sz w:val="12"/>
        </w:rPr>
        <w:t>Southwest airlines </w:t>
      </w:r>
      <w:r>
        <w:rPr>
          <w:color w:val="292425"/>
          <w:spacing w:val="4"/>
          <w:w w:val="155"/>
          <w:sz w:val="12"/>
        </w:rPr>
        <w:t>co. </w:t>
      </w:r>
      <w:r>
        <w:rPr>
          <w:color w:val="292425"/>
          <w:spacing w:val="5"/>
          <w:w w:val="140"/>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 name="image1.png" descr=""/>
            <wp:cNvGraphicFramePr>
              <a:graphicFrameLocks noChangeAspect="1"/>
            </wp:cNvGraphicFramePr>
            <a:graphic>
              <a:graphicData uri="http://schemas.openxmlformats.org/drawingml/2006/picture">
                <pic:pic>
                  <pic:nvPicPr>
                    <pic:cNvPr id="2"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spacing w:before="5"/>
        <w:rPr>
          <w:sz w:val="18"/>
        </w:rPr>
      </w:pPr>
    </w:p>
    <w:p>
      <w:pPr>
        <w:spacing w:before="90"/>
        <w:ind w:left="761" w:right="0" w:firstLine="0"/>
        <w:jc w:val="left"/>
        <w:rPr>
          <w:i/>
          <w:sz w:val="16"/>
        </w:rPr>
      </w:pPr>
      <w:r>
        <w:rPr>
          <w:i/>
          <w:color w:val="292425"/>
          <w:w w:val="105"/>
          <w:sz w:val="16"/>
        </w:rPr>
        <w:t>To  Our Shareholders:</w:t>
      </w:r>
    </w:p>
    <w:p>
      <w:pPr>
        <w:pStyle w:val="BodyText"/>
        <w:rPr>
          <w:i/>
          <w:sz w:val="18"/>
        </w:rPr>
      </w:pPr>
    </w:p>
    <w:p>
      <w:pPr>
        <w:pStyle w:val="BodyText"/>
        <w:spacing w:before="5"/>
        <w:rPr>
          <w:i/>
          <w:sz w:val="18"/>
        </w:rPr>
      </w:pPr>
    </w:p>
    <w:p>
      <w:pPr>
        <w:spacing w:line="441" w:lineRule="auto" w:before="0"/>
        <w:ind w:left="761" w:right="1096" w:firstLine="360"/>
        <w:jc w:val="both"/>
        <w:rPr>
          <w:sz w:val="16"/>
        </w:rPr>
      </w:pPr>
      <w:r>
        <w:rPr>
          <w:color w:val="292425"/>
          <w:w w:val="110"/>
          <w:sz w:val="16"/>
        </w:rPr>
        <w:t>The fall 2002 issue of </w:t>
      </w:r>
      <w:r>
        <w:rPr>
          <w:i/>
          <w:color w:val="292425"/>
          <w:w w:val="110"/>
          <w:sz w:val="16"/>
        </w:rPr>
        <w:t>Money </w:t>
      </w:r>
      <w:r>
        <w:rPr>
          <w:color w:val="292425"/>
          <w:w w:val="110"/>
          <w:sz w:val="16"/>
        </w:rPr>
        <w:t>magazine features an article entitled “THE 30 BEST STOCKS.” That article begins with the following statement of amaze and wonderment: “It was straight out of </w:t>
      </w:r>
      <w:r>
        <w:rPr>
          <w:i/>
          <w:color w:val="292425"/>
          <w:w w:val="110"/>
          <w:sz w:val="16"/>
        </w:rPr>
        <w:t>Ripley’s</w:t>
      </w:r>
      <w:r>
        <w:rPr>
          <w:color w:val="292425"/>
          <w:w w:val="110"/>
          <w:sz w:val="16"/>
        </w:rPr>
        <w:t>. When </w:t>
      </w:r>
      <w:r>
        <w:rPr>
          <w:i/>
          <w:color w:val="292425"/>
          <w:w w:val="110"/>
          <w:sz w:val="16"/>
        </w:rPr>
        <w:t>Money </w:t>
      </w:r>
      <w:r>
        <w:rPr>
          <w:color w:val="292425"/>
          <w:w w:val="110"/>
          <w:sz w:val="16"/>
        </w:rPr>
        <w:t>asked Ned David Research this summer to compile a list of the 30 best performing</w:t>
      </w:r>
      <w:r>
        <w:rPr>
          <w:color w:val="292425"/>
          <w:spacing w:val="-12"/>
          <w:w w:val="110"/>
          <w:sz w:val="16"/>
        </w:rPr>
        <w:t> </w:t>
      </w:r>
      <w:r>
        <w:rPr>
          <w:color w:val="292425"/>
          <w:w w:val="110"/>
          <w:sz w:val="16"/>
        </w:rPr>
        <w:t>stocks</w:t>
      </w:r>
      <w:r>
        <w:rPr>
          <w:color w:val="292425"/>
          <w:spacing w:val="-12"/>
          <w:w w:val="110"/>
          <w:sz w:val="16"/>
        </w:rPr>
        <w:t> </w:t>
      </w:r>
      <w:r>
        <w:rPr>
          <w:color w:val="292425"/>
          <w:w w:val="110"/>
          <w:sz w:val="16"/>
        </w:rPr>
        <w:t>since</w:t>
      </w:r>
      <w:r>
        <w:rPr>
          <w:color w:val="292425"/>
          <w:spacing w:val="-12"/>
          <w:w w:val="110"/>
          <w:sz w:val="16"/>
        </w:rPr>
        <w:t> </w:t>
      </w:r>
      <w:r>
        <w:rPr>
          <w:color w:val="292425"/>
          <w:w w:val="110"/>
          <w:sz w:val="16"/>
        </w:rPr>
        <w:t>our</w:t>
      </w:r>
      <w:r>
        <w:rPr>
          <w:color w:val="292425"/>
          <w:spacing w:val="-12"/>
          <w:w w:val="110"/>
          <w:sz w:val="16"/>
        </w:rPr>
        <w:t> </w:t>
      </w:r>
      <w:r>
        <w:rPr>
          <w:color w:val="292425"/>
          <w:w w:val="110"/>
          <w:sz w:val="16"/>
        </w:rPr>
        <w:t>debut</w:t>
      </w:r>
      <w:r>
        <w:rPr>
          <w:color w:val="292425"/>
          <w:spacing w:val="-12"/>
          <w:w w:val="110"/>
          <w:sz w:val="16"/>
        </w:rPr>
        <w:t> </w:t>
      </w:r>
      <w:r>
        <w:rPr>
          <w:color w:val="292425"/>
          <w:w w:val="110"/>
          <w:sz w:val="16"/>
        </w:rPr>
        <w:t>in</w:t>
      </w:r>
      <w:r>
        <w:rPr>
          <w:color w:val="292425"/>
          <w:spacing w:val="-12"/>
          <w:w w:val="110"/>
          <w:sz w:val="16"/>
        </w:rPr>
        <w:t> </w:t>
      </w:r>
      <w:r>
        <w:rPr>
          <w:color w:val="292425"/>
          <w:w w:val="110"/>
          <w:sz w:val="16"/>
        </w:rPr>
        <w:t>1972,</w:t>
      </w:r>
      <w:r>
        <w:rPr>
          <w:color w:val="292425"/>
          <w:spacing w:val="-17"/>
          <w:w w:val="110"/>
          <w:sz w:val="16"/>
        </w:rPr>
        <w:t> </w:t>
      </w:r>
      <w:r>
        <w:rPr>
          <w:color w:val="292425"/>
          <w:w w:val="110"/>
          <w:sz w:val="16"/>
        </w:rPr>
        <w:t>it</w:t>
      </w:r>
      <w:r>
        <w:rPr>
          <w:color w:val="292425"/>
          <w:spacing w:val="-12"/>
          <w:w w:val="110"/>
          <w:sz w:val="16"/>
        </w:rPr>
        <w:t> </w:t>
      </w:r>
      <w:r>
        <w:rPr>
          <w:color w:val="292425"/>
          <w:w w:val="110"/>
          <w:sz w:val="16"/>
        </w:rPr>
        <w:t>seemed</w:t>
      </w:r>
      <w:r>
        <w:rPr>
          <w:color w:val="292425"/>
          <w:spacing w:val="-12"/>
          <w:w w:val="110"/>
          <w:sz w:val="16"/>
        </w:rPr>
        <w:t> </w:t>
      </w:r>
      <w:r>
        <w:rPr>
          <w:color w:val="292425"/>
          <w:w w:val="110"/>
          <w:sz w:val="16"/>
        </w:rPr>
        <w:t>obvious</w:t>
      </w:r>
      <w:r>
        <w:rPr>
          <w:color w:val="292425"/>
          <w:spacing w:val="-12"/>
          <w:w w:val="110"/>
          <w:sz w:val="16"/>
        </w:rPr>
        <w:t> </w:t>
      </w:r>
      <w:r>
        <w:rPr>
          <w:color w:val="292425"/>
          <w:w w:val="110"/>
          <w:sz w:val="16"/>
        </w:rPr>
        <w:t>that</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No.</w:t>
      </w:r>
      <w:r>
        <w:rPr>
          <w:color w:val="292425"/>
          <w:spacing w:val="-12"/>
          <w:w w:val="110"/>
          <w:sz w:val="16"/>
        </w:rPr>
        <w:t> </w:t>
      </w:r>
      <w:r>
        <w:rPr>
          <w:color w:val="292425"/>
          <w:w w:val="110"/>
          <w:sz w:val="16"/>
        </w:rPr>
        <w:t>1</w:t>
      </w:r>
      <w:r>
        <w:rPr>
          <w:color w:val="292425"/>
          <w:spacing w:val="-12"/>
          <w:w w:val="110"/>
          <w:sz w:val="16"/>
        </w:rPr>
        <w:t> </w:t>
      </w:r>
      <w:r>
        <w:rPr>
          <w:color w:val="292425"/>
          <w:w w:val="110"/>
          <w:sz w:val="16"/>
        </w:rPr>
        <w:t>performer</w:t>
      </w:r>
      <w:r>
        <w:rPr>
          <w:color w:val="292425"/>
          <w:spacing w:val="-12"/>
          <w:w w:val="110"/>
          <w:sz w:val="16"/>
        </w:rPr>
        <w:t> </w:t>
      </w:r>
      <w:r>
        <w:rPr>
          <w:color w:val="292425"/>
          <w:w w:val="110"/>
          <w:sz w:val="16"/>
        </w:rPr>
        <w:t>would</w:t>
      </w:r>
      <w:r>
        <w:rPr>
          <w:color w:val="292425"/>
          <w:spacing w:val="-12"/>
          <w:w w:val="110"/>
          <w:sz w:val="16"/>
        </w:rPr>
        <w:t> </w:t>
      </w:r>
      <w:r>
        <w:rPr>
          <w:color w:val="292425"/>
          <w:w w:val="110"/>
          <w:sz w:val="16"/>
        </w:rPr>
        <w:t>reflect</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brawn-to-brains</w:t>
      </w:r>
      <w:r>
        <w:rPr>
          <w:color w:val="292425"/>
          <w:spacing w:val="-12"/>
          <w:w w:val="110"/>
          <w:sz w:val="16"/>
        </w:rPr>
        <w:t> </w:t>
      </w:r>
      <w:r>
        <w:rPr>
          <w:color w:val="292425"/>
          <w:w w:val="110"/>
          <w:sz w:val="16"/>
        </w:rPr>
        <w:t>transformation</w:t>
      </w:r>
      <w:r>
        <w:rPr>
          <w:color w:val="292425"/>
          <w:spacing w:val="-12"/>
          <w:w w:val="110"/>
          <w:sz w:val="16"/>
        </w:rPr>
        <w:t> </w:t>
      </w:r>
      <w:r>
        <w:rPr>
          <w:color w:val="292425"/>
          <w:w w:val="110"/>
          <w:sz w:val="16"/>
        </w:rPr>
        <w:t>of</w:t>
      </w:r>
      <w:r>
        <w:rPr>
          <w:color w:val="292425"/>
          <w:spacing w:val="-12"/>
          <w:w w:val="110"/>
          <w:sz w:val="16"/>
        </w:rPr>
        <w:t> </w:t>
      </w:r>
      <w:r>
        <w:rPr>
          <w:color w:val="292425"/>
          <w:w w:val="110"/>
          <w:sz w:val="16"/>
        </w:rPr>
        <w:t>the</w:t>
      </w:r>
      <w:r>
        <w:rPr>
          <w:color w:val="292425"/>
          <w:spacing w:val="-12"/>
          <w:w w:val="110"/>
          <w:sz w:val="16"/>
        </w:rPr>
        <w:t> </w:t>
      </w:r>
      <w:r>
        <w:rPr>
          <w:color w:val="292425"/>
          <w:w w:val="110"/>
          <w:sz w:val="16"/>
        </w:rPr>
        <w:t>U.S. </w:t>
      </w:r>
      <w:r>
        <w:rPr>
          <w:color w:val="292425"/>
          <w:spacing w:val="-3"/>
          <w:w w:val="110"/>
          <w:sz w:val="16"/>
        </w:rPr>
        <w:t>economy.</w:t>
      </w:r>
      <w:r>
        <w:rPr>
          <w:color w:val="292425"/>
          <w:spacing w:val="-5"/>
          <w:w w:val="110"/>
          <w:sz w:val="16"/>
        </w:rPr>
        <w:t> </w:t>
      </w:r>
      <w:r>
        <w:rPr>
          <w:color w:val="292425"/>
          <w:w w:val="110"/>
          <w:sz w:val="16"/>
        </w:rPr>
        <w:t>Probably</w:t>
      </w:r>
      <w:r>
        <w:rPr>
          <w:color w:val="292425"/>
          <w:spacing w:val="-5"/>
          <w:w w:val="110"/>
          <w:sz w:val="16"/>
        </w:rPr>
        <w:t> </w:t>
      </w:r>
      <w:r>
        <w:rPr>
          <w:color w:val="292425"/>
          <w:w w:val="110"/>
          <w:sz w:val="16"/>
        </w:rPr>
        <w:t>a</w:t>
      </w:r>
      <w:r>
        <w:rPr>
          <w:color w:val="292425"/>
          <w:spacing w:val="-5"/>
          <w:w w:val="110"/>
          <w:sz w:val="16"/>
        </w:rPr>
        <w:t> </w:t>
      </w:r>
      <w:r>
        <w:rPr>
          <w:color w:val="292425"/>
          <w:w w:val="110"/>
          <w:sz w:val="16"/>
        </w:rPr>
        <w:t>technology</w:t>
      </w:r>
      <w:r>
        <w:rPr>
          <w:color w:val="292425"/>
          <w:spacing w:val="-5"/>
          <w:w w:val="110"/>
          <w:sz w:val="16"/>
        </w:rPr>
        <w:t> </w:t>
      </w:r>
      <w:r>
        <w:rPr>
          <w:color w:val="292425"/>
          <w:w w:val="110"/>
          <w:sz w:val="16"/>
        </w:rPr>
        <w:t>stock.</w:t>
      </w:r>
      <w:r>
        <w:rPr>
          <w:color w:val="292425"/>
          <w:spacing w:val="-5"/>
          <w:w w:val="110"/>
          <w:sz w:val="16"/>
        </w:rPr>
        <w:t> </w:t>
      </w:r>
      <w:r>
        <w:rPr>
          <w:color w:val="292425"/>
          <w:w w:val="110"/>
          <w:sz w:val="16"/>
        </w:rPr>
        <w:t>Or</w:t>
      </w:r>
      <w:r>
        <w:rPr>
          <w:color w:val="292425"/>
          <w:spacing w:val="-5"/>
          <w:w w:val="110"/>
          <w:sz w:val="16"/>
        </w:rPr>
        <w:t> </w:t>
      </w:r>
      <w:r>
        <w:rPr>
          <w:color w:val="292425"/>
          <w:w w:val="110"/>
          <w:sz w:val="16"/>
        </w:rPr>
        <w:t>maybe</w:t>
      </w:r>
      <w:r>
        <w:rPr>
          <w:color w:val="292425"/>
          <w:spacing w:val="-5"/>
          <w:w w:val="110"/>
          <w:sz w:val="16"/>
        </w:rPr>
        <w:t> </w:t>
      </w:r>
      <w:r>
        <w:rPr>
          <w:color w:val="292425"/>
          <w:w w:val="110"/>
          <w:sz w:val="16"/>
        </w:rPr>
        <w:t>a</w:t>
      </w:r>
      <w:r>
        <w:rPr>
          <w:color w:val="292425"/>
          <w:spacing w:val="-5"/>
          <w:w w:val="110"/>
          <w:sz w:val="16"/>
        </w:rPr>
        <w:t> </w:t>
      </w:r>
      <w:r>
        <w:rPr>
          <w:color w:val="292425"/>
          <w:w w:val="110"/>
          <w:sz w:val="16"/>
        </w:rPr>
        <w:t>big</w:t>
      </w:r>
      <w:r>
        <w:rPr>
          <w:color w:val="292425"/>
          <w:spacing w:val="-5"/>
          <w:w w:val="110"/>
          <w:sz w:val="16"/>
        </w:rPr>
        <w:t> </w:t>
      </w:r>
      <w:r>
        <w:rPr>
          <w:color w:val="292425"/>
          <w:w w:val="110"/>
          <w:sz w:val="16"/>
        </w:rPr>
        <w:t>name</w:t>
      </w:r>
      <w:r>
        <w:rPr>
          <w:color w:val="292425"/>
          <w:spacing w:val="-5"/>
          <w:w w:val="110"/>
          <w:sz w:val="16"/>
        </w:rPr>
        <w:t> </w:t>
      </w:r>
      <w:r>
        <w:rPr>
          <w:color w:val="292425"/>
          <w:w w:val="110"/>
          <w:sz w:val="16"/>
        </w:rPr>
        <w:t>in</w:t>
      </w:r>
      <w:r>
        <w:rPr>
          <w:color w:val="292425"/>
          <w:spacing w:val="-5"/>
          <w:w w:val="110"/>
          <w:sz w:val="16"/>
        </w:rPr>
        <w:t> </w:t>
      </w:r>
      <w:r>
        <w:rPr>
          <w:color w:val="292425"/>
          <w:w w:val="110"/>
          <w:sz w:val="16"/>
        </w:rPr>
        <w:t>pharmaceuticals.</w:t>
      </w:r>
    </w:p>
    <w:p>
      <w:pPr>
        <w:spacing w:line="468" w:lineRule="auto" w:before="20"/>
        <w:ind w:left="761" w:right="1093" w:firstLine="360"/>
        <w:jc w:val="both"/>
        <w:rPr>
          <w:sz w:val="16"/>
        </w:rPr>
      </w:pPr>
      <w:r>
        <w:rPr>
          <w:color w:val="292425"/>
          <w:w w:val="105"/>
          <w:sz w:val="16"/>
        </w:rPr>
        <w:t>“WHAT WE WERE NOT EXPECTING WAS AN AIRLINE — SOUTHWEST AIRLINES, TO BE PRECISE. SINCE AUGUST 1972, SOUTHWEST  HAS PRODUCED ANNUALIZED RETURNS OF 25.99%, WHICH MEANS THAT HAD YOU INVESTED $10,000  IN  SOUTHWEST  30  YEARS  AGO,  YOUR  STAKE WOULD  BE  WORTH  A  LITTLE  OVER  $10.2  MILLION  TODAY.  SOUTHWEST, OF  COURSE, IS  NOT  YOUR  TYPICAL  AIRLINE….”  (capitalization added)</w:t>
      </w:r>
    </w:p>
    <w:p>
      <w:pPr>
        <w:spacing w:line="468" w:lineRule="auto" w:before="0"/>
        <w:ind w:left="761" w:right="1096" w:firstLine="360"/>
        <w:jc w:val="both"/>
        <w:rPr>
          <w:sz w:val="16"/>
        </w:rPr>
      </w:pPr>
      <w:r>
        <w:rPr>
          <w:color w:val="292425"/>
          <w:w w:val="105"/>
          <w:sz w:val="16"/>
        </w:rPr>
        <w:t>Southwest was “not your typical airline” in the year 2002, </w:t>
      </w:r>
      <w:r>
        <w:rPr>
          <w:color w:val="292425"/>
          <w:spacing w:val="-3"/>
          <w:w w:val="105"/>
          <w:sz w:val="16"/>
        </w:rPr>
        <w:t>either.  </w:t>
      </w:r>
      <w:r>
        <w:rPr>
          <w:color w:val="292425"/>
          <w:w w:val="105"/>
          <w:sz w:val="16"/>
        </w:rPr>
        <w:t>In 2002, Southwest was the </w:t>
      </w:r>
      <w:r>
        <w:rPr>
          <w:color w:val="292425"/>
          <w:w w:val="105"/>
          <w:sz w:val="16"/>
          <w:u w:val="single" w:color="292425"/>
        </w:rPr>
        <w:t>only </w:t>
      </w:r>
      <w:r>
        <w:rPr>
          <w:color w:val="292425"/>
          <w:w w:val="105"/>
          <w:sz w:val="16"/>
        </w:rPr>
        <w:t>major airline that made a profit; the other</w:t>
      </w:r>
      <w:r>
        <w:rPr>
          <w:color w:val="292425"/>
          <w:spacing w:val="38"/>
          <w:w w:val="105"/>
          <w:sz w:val="16"/>
        </w:rPr>
        <w:t> </w:t>
      </w:r>
      <w:r>
        <w:rPr>
          <w:color w:val="292425"/>
          <w:w w:val="105"/>
          <w:sz w:val="16"/>
        </w:rPr>
        <w:t>major airlines reported an aggregate net loss in excess of $10 billion, as two of them filed  petitions  in  bankruptcy.  And  at  the  end  of  2002, Southwest</w:t>
      </w:r>
      <w:r>
        <w:rPr>
          <w:color w:val="292425"/>
          <w:spacing w:val="25"/>
          <w:w w:val="105"/>
          <w:sz w:val="16"/>
        </w:rPr>
        <w:t> </w:t>
      </w:r>
      <w:r>
        <w:rPr>
          <w:color w:val="292425"/>
          <w:w w:val="105"/>
          <w:sz w:val="16"/>
        </w:rPr>
        <w:t>Airlines’</w:t>
      </w:r>
      <w:r>
        <w:rPr>
          <w:color w:val="292425"/>
          <w:spacing w:val="25"/>
          <w:w w:val="105"/>
          <w:sz w:val="16"/>
        </w:rPr>
        <w:t> </w:t>
      </w:r>
      <w:r>
        <w:rPr>
          <w:color w:val="292425"/>
          <w:w w:val="105"/>
          <w:sz w:val="16"/>
        </w:rPr>
        <w:t>market</w:t>
      </w:r>
      <w:r>
        <w:rPr>
          <w:color w:val="292425"/>
          <w:spacing w:val="25"/>
          <w:w w:val="105"/>
          <w:sz w:val="16"/>
        </w:rPr>
        <w:t> </w:t>
      </w:r>
      <w:r>
        <w:rPr>
          <w:color w:val="292425"/>
          <w:w w:val="105"/>
          <w:sz w:val="16"/>
        </w:rPr>
        <w:t>capitalization</w:t>
      </w:r>
      <w:r>
        <w:rPr>
          <w:color w:val="292425"/>
          <w:spacing w:val="25"/>
          <w:w w:val="105"/>
          <w:sz w:val="16"/>
        </w:rPr>
        <w:t> </w:t>
      </w:r>
      <w:r>
        <w:rPr>
          <w:color w:val="292425"/>
          <w:w w:val="105"/>
          <w:sz w:val="16"/>
        </w:rPr>
        <w:t>(or</w:t>
      </w:r>
      <w:r>
        <w:rPr>
          <w:color w:val="292425"/>
          <w:spacing w:val="25"/>
          <w:w w:val="105"/>
          <w:sz w:val="16"/>
        </w:rPr>
        <w:t> </w:t>
      </w:r>
      <w:r>
        <w:rPr>
          <w:color w:val="292425"/>
          <w:w w:val="105"/>
          <w:sz w:val="16"/>
        </w:rPr>
        <w:t>total</w:t>
      </w:r>
      <w:r>
        <w:rPr>
          <w:color w:val="292425"/>
          <w:spacing w:val="25"/>
          <w:w w:val="105"/>
          <w:sz w:val="16"/>
        </w:rPr>
        <w:t> </w:t>
      </w:r>
      <w:r>
        <w:rPr>
          <w:color w:val="292425"/>
          <w:w w:val="105"/>
          <w:sz w:val="16"/>
        </w:rPr>
        <w:t>stock</w:t>
      </w:r>
      <w:r>
        <w:rPr>
          <w:color w:val="292425"/>
          <w:spacing w:val="25"/>
          <w:w w:val="105"/>
          <w:sz w:val="16"/>
        </w:rPr>
        <w:t> </w:t>
      </w:r>
      <w:r>
        <w:rPr>
          <w:color w:val="292425"/>
          <w:w w:val="105"/>
          <w:sz w:val="16"/>
        </w:rPr>
        <w:t>market</w:t>
      </w:r>
      <w:r>
        <w:rPr>
          <w:color w:val="292425"/>
          <w:spacing w:val="25"/>
          <w:w w:val="105"/>
          <w:sz w:val="16"/>
        </w:rPr>
        <w:t> </w:t>
      </w:r>
      <w:r>
        <w:rPr>
          <w:color w:val="292425"/>
          <w:w w:val="105"/>
          <w:sz w:val="16"/>
        </w:rPr>
        <w:t>value)</w:t>
      </w:r>
      <w:r>
        <w:rPr>
          <w:color w:val="292425"/>
          <w:spacing w:val="25"/>
          <w:w w:val="105"/>
          <w:sz w:val="16"/>
        </w:rPr>
        <w:t> </w:t>
      </w:r>
      <w:r>
        <w:rPr>
          <w:color w:val="292425"/>
          <w:w w:val="105"/>
          <w:sz w:val="16"/>
        </w:rPr>
        <w:t>exceeded</w:t>
      </w:r>
      <w:r>
        <w:rPr>
          <w:color w:val="292425"/>
          <w:spacing w:val="25"/>
          <w:w w:val="105"/>
          <w:sz w:val="16"/>
        </w:rPr>
        <w:t> </w:t>
      </w:r>
      <w:r>
        <w:rPr>
          <w:color w:val="292425"/>
          <w:w w:val="105"/>
          <w:sz w:val="16"/>
        </w:rPr>
        <w:t>that</w:t>
      </w:r>
      <w:r>
        <w:rPr>
          <w:color w:val="292425"/>
          <w:spacing w:val="25"/>
          <w:w w:val="105"/>
          <w:sz w:val="16"/>
        </w:rPr>
        <w:t> </w:t>
      </w:r>
      <w:r>
        <w:rPr>
          <w:color w:val="292425"/>
          <w:w w:val="105"/>
          <w:sz w:val="16"/>
        </w:rPr>
        <w:t>of</w:t>
      </w:r>
      <w:r>
        <w:rPr>
          <w:color w:val="292425"/>
          <w:spacing w:val="25"/>
          <w:w w:val="105"/>
          <w:sz w:val="16"/>
        </w:rPr>
        <w:t> </w:t>
      </w:r>
      <w:r>
        <w:rPr>
          <w:color w:val="292425"/>
          <w:w w:val="105"/>
          <w:sz w:val="16"/>
          <w:u w:val="single" w:color="292425"/>
        </w:rPr>
        <w:t>all</w:t>
      </w:r>
      <w:r>
        <w:rPr>
          <w:color w:val="292425"/>
          <w:spacing w:val="23"/>
          <w:w w:val="105"/>
          <w:sz w:val="16"/>
          <w:u w:val="single" w:color="292425"/>
        </w:rPr>
        <w:t> </w:t>
      </w:r>
      <w:r>
        <w:rPr>
          <w:color w:val="292425"/>
          <w:w w:val="105"/>
          <w:sz w:val="16"/>
        </w:rPr>
        <w:t>other</w:t>
      </w:r>
      <w:r>
        <w:rPr>
          <w:color w:val="292425"/>
          <w:spacing w:val="25"/>
          <w:w w:val="105"/>
          <w:sz w:val="16"/>
        </w:rPr>
        <w:t> </w:t>
      </w:r>
      <w:r>
        <w:rPr>
          <w:color w:val="292425"/>
          <w:w w:val="105"/>
          <w:sz w:val="16"/>
        </w:rPr>
        <w:t>major</w:t>
      </w:r>
      <w:r>
        <w:rPr>
          <w:color w:val="292425"/>
          <w:spacing w:val="25"/>
          <w:w w:val="105"/>
          <w:sz w:val="16"/>
        </w:rPr>
        <w:t> </w:t>
      </w:r>
      <w:r>
        <w:rPr>
          <w:color w:val="292425"/>
          <w:w w:val="105"/>
          <w:sz w:val="16"/>
        </w:rPr>
        <w:t>airlines,</w:t>
      </w:r>
      <w:r>
        <w:rPr>
          <w:color w:val="292425"/>
          <w:spacing w:val="15"/>
          <w:w w:val="105"/>
          <w:sz w:val="16"/>
        </w:rPr>
        <w:t> </w:t>
      </w:r>
      <w:r>
        <w:rPr>
          <w:color w:val="292425"/>
          <w:w w:val="105"/>
          <w:sz w:val="16"/>
          <w:u w:val="single" w:color="292425"/>
        </w:rPr>
        <w:t>combined</w:t>
      </w:r>
      <w:r>
        <w:rPr>
          <w:color w:val="292425"/>
          <w:w w:val="105"/>
          <w:sz w:val="16"/>
        </w:rPr>
        <w:t>.</w:t>
      </w:r>
    </w:p>
    <w:p>
      <w:pPr>
        <w:spacing w:line="468" w:lineRule="auto" w:before="0"/>
        <w:ind w:left="761" w:right="1093" w:firstLine="360"/>
        <w:jc w:val="both"/>
        <w:rPr>
          <w:sz w:val="16"/>
        </w:rPr>
      </w:pPr>
      <w:r>
        <w:rPr>
          <w:color w:val="292425"/>
          <w:spacing w:val="3"/>
          <w:w w:val="105"/>
          <w:sz w:val="16"/>
        </w:rPr>
        <w:t>Viewed </w:t>
      </w:r>
      <w:r>
        <w:rPr>
          <w:color w:val="292425"/>
          <w:w w:val="105"/>
          <w:sz w:val="16"/>
        </w:rPr>
        <w:t>in </w:t>
      </w:r>
      <w:r>
        <w:rPr>
          <w:color w:val="292425"/>
          <w:spacing w:val="2"/>
          <w:w w:val="105"/>
          <w:sz w:val="16"/>
        </w:rPr>
        <w:t>the </w:t>
      </w:r>
      <w:r>
        <w:rPr>
          <w:color w:val="292425"/>
          <w:spacing w:val="3"/>
          <w:w w:val="105"/>
          <w:sz w:val="16"/>
        </w:rPr>
        <w:t>context </w:t>
      </w:r>
      <w:r>
        <w:rPr>
          <w:color w:val="292425"/>
          <w:w w:val="105"/>
          <w:sz w:val="16"/>
        </w:rPr>
        <w:t>of </w:t>
      </w:r>
      <w:r>
        <w:rPr>
          <w:color w:val="292425"/>
          <w:spacing w:val="2"/>
          <w:w w:val="105"/>
          <w:sz w:val="16"/>
        </w:rPr>
        <w:t>the </w:t>
      </w:r>
      <w:r>
        <w:rPr>
          <w:color w:val="292425"/>
          <w:spacing w:val="3"/>
          <w:w w:val="105"/>
          <w:sz w:val="16"/>
        </w:rPr>
        <w:t>economic holocaust that continued </w:t>
      </w:r>
      <w:r>
        <w:rPr>
          <w:color w:val="292425"/>
          <w:w w:val="105"/>
          <w:sz w:val="16"/>
        </w:rPr>
        <w:t>to </w:t>
      </w:r>
      <w:r>
        <w:rPr>
          <w:color w:val="292425"/>
          <w:spacing w:val="2"/>
          <w:w w:val="105"/>
          <w:sz w:val="16"/>
        </w:rPr>
        <w:t>ravage the </w:t>
      </w:r>
      <w:r>
        <w:rPr>
          <w:color w:val="292425"/>
          <w:spacing w:val="3"/>
          <w:w w:val="105"/>
          <w:sz w:val="16"/>
        </w:rPr>
        <w:t>U.S. airline  </w:t>
      </w:r>
      <w:r>
        <w:rPr>
          <w:color w:val="292425"/>
          <w:spacing w:val="4"/>
          <w:w w:val="105"/>
          <w:sz w:val="16"/>
        </w:rPr>
        <w:t>industry  </w:t>
      </w:r>
      <w:r>
        <w:rPr>
          <w:color w:val="292425"/>
          <w:w w:val="105"/>
          <w:sz w:val="16"/>
        </w:rPr>
        <w:t>in  </w:t>
      </w:r>
      <w:r>
        <w:rPr>
          <w:color w:val="292425"/>
          <w:spacing w:val="3"/>
          <w:w w:val="105"/>
          <w:sz w:val="16"/>
        </w:rPr>
        <w:t>2002,  Southwest  </w:t>
      </w:r>
      <w:r>
        <w:rPr>
          <w:color w:val="292425"/>
          <w:spacing w:val="4"/>
          <w:w w:val="105"/>
          <w:sz w:val="16"/>
        </w:rPr>
        <w:t>Airlines’  </w:t>
      </w:r>
      <w:r>
        <w:rPr>
          <w:color w:val="292425"/>
          <w:spacing w:val="3"/>
          <w:w w:val="105"/>
          <w:sz w:val="16"/>
        </w:rPr>
        <w:t>attainment </w:t>
      </w:r>
      <w:r>
        <w:rPr>
          <w:color w:val="292425"/>
          <w:w w:val="105"/>
          <w:sz w:val="16"/>
        </w:rPr>
        <w:t>of </w:t>
      </w:r>
      <w:r>
        <w:rPr>
          <w:color w:val="292425"/>
          <w:spacing w:val="2"/>
          <w:w w:val="105"/>
          <w:sz w:val="16"/>
        </w:rPr>
        <w:t>its </w:t>
      </w:r>
      <w:r>
        <w:rPr>
          <w:color w:val="292425"/>
          <w:spacing w:val="3"/>
          <w:w w:val="105"/>
          <w:sz w:val="16"/>
        </w:rPr>
        <w:t>30th consecutive annual profit </w:t>
      </w:r>
      <w:r>
        <w:rPr>
          <w:color w:val="292425"/>
          <w:w w:val="105"/>
          <w:sz w:val="16"/>
        </w:rPr>
        <w:t>in </w:t>
      </w:r>
      <w:r>
        <w:rPr>
          <w:color w:val="292425"/>
          <w:spacing w:val="2"/>
          <w:w w:val="105"/>
          <w:sz w:val="16"/>
        </w:rPr>
        <w:t>the  </w:t>
      </w:r>
      <w:r>
        <w:rPr>
          <w:color w:val="292425"/>
          <w:spacing w:val="3"/>
          <w:w w:val="105"/>
          <w:sz w:val="16"/>
        </w:rPr>
        <w:t>amount </w:t>
      </w:r>
      <w:r>
        <w:rPr>
          <w:color w:val="292425"/>
          <w:w w:val="105"/>
          <w:sz w:val="16"/>
        </w:rPr>
        <w:t>of  </w:t>
      </w:r>
      <w:r>
        <w:rPr>
          <w:color w:val="292425"/>
          <w:spacing w:val="3"/>
          <w:w w:val="105"/>
          <w:sz w:val="16"/>
        </w:rPr>
        <w:t>$198.1 million, excluding special items ($241.0 million, including </w:t>
      </w:r>
      <w:r>
        <w:rPr>
          <w:color w:val="292425"/>
          <w:spacing w:val="4"/>
          <w:w w:val="105"/>
          <w:sz w:val="16"/>
        </w:rPr>
        <w:t>special  </w:t>
      </w:r>
      <w:r>
        <w:rPr>
          <w:color w:val="292425"/>
          <w:spacing w:val="6"/>
          <w:w w:val="105"/>
          <w:sz w:val="16"/>
        </w:rPr>
        <w:t>items), </w:t>
      </w:r>
      <w:r>
        <w:rPr>
          <w:color w:val="292425"/>
          <w:spacing w:val="4"/>
          <w:w w:val="105"/>
          <w:sz w:val="16"/>
        </w:rPr>
        <w:t>was  </w:t>
      </w:r>
      <w:r>
        <w:rPr>
          <w:color w:val="292425"/>
          <w:w w:val="105"/>
          <w:sz w:val="16"/>
        </w:rPr>
        <w:t>a  </w:t>
      </w:r>
      <w:r>
        <w:rPr>
          <w:color w:val="292425"/>
          <w:spacing w:val="7"/>
          <w:w w:val="105"/>
          <w:sz w:val="16"/>
        </w:rPr>
        <w:t>triumphant accomplishment </w:t>
      </w:r>
      <w:r>
        <w:rPr>
          <w:color w:val="292425"/>
          <w:spacing w:val="5"/>
          <w:w w:val="105"/>
          <w:sz w:val="16"/>
        </w:rPr>
        <w:t>for  its  </w:t>
      </w:r>
      <w:r>
        <w:rPr>
          <w:color w:val="292425"/>
          <w:spacing w:val="7"/>
          <w:w w:val="105"/>
          <w:sz w:val="16"/>
        </w:rPr>
        <w:t>Shareholders </w:t>
      </w:r>
      <w:r>
        <w:rPr>
          <w:color w:val="292425"/>
          <w:spacing w:val="5"/>
          <w:w w:val="105"/>
          <w:sz w:val="16"/>
        </w:rPr>
        <w:t>and  </w:t>
      </w:r>
      <w:r>
        <w:rPr>
          <w:color w:val="292425"/>
          <w:spacing w:val="8"/>
          <w:w w:val="105"/>
          <w:sz w:val="16"/>
        </w:rPr>
        <w:t>Shareholder- </w:t>
      </w:r>
      <w:r>
        <w:rPr>
          <w:color w:val="292425"/>
          <w:spacing w:val="7"/>
          <w:w w:val="105"/>
          <w:sz w:val="16"/>
        </w:rPr>
        <w:t>Employees, </w:t>
      </w:r>
      <w:r>
        <w:rPr>
          <w:color w:val="292425"/>
          <w:spacing w:val="5"/>
          <w:w w:val="105"/>
          <w:sz w:val="16"/>
        </w:rPr>
        <w:t>even  </w:t>
      </w:r>
      <w:r>
        <w:rPr>
          <w:color w:val="292425"/>
          <w:spacing w:val="6"/>
          <w:w w:val="105"/>
          <w:sz w:val="16"/>
        </w:rPr>
        <w:t>though  </w:t>
      </w:r>
      <w:r>
        <w:rPr>
          <w:color w:val="292425"/>
          <w:spacing w:val="4"/>
          <w:w w:val="105"/>
          <w:sz w:val="16"/>
        </w:rPr>
        <w:t>it  </w:t>
      </w:r>
      <w:r>
        <w:rPr>
          <w:color w:val="292425"/>
          <w:spacing w:val="7"/>
          <w:w w:val="105"/>
          <w:sz w:val="16"/>
        </w:rPr>
        <w:t>represented </w:t>
      </w:r>
      <w:r>
        <w:rPr>
          <w:color w:val="292425"/>
          <w:w w:val="105"/>
          <w:sz w:val="16"/>
        </w:rPr>
        <w:t>a  </w:t>
      </w:r>
      <w:r>
        <w:rPr>
          <w:color w:val="292425"/>
          <w:spacing w:val="6"/>
          <w:w w:val="105"/>
          <w:sz w:val="16"/>
        </w:rPr>
        <w:t>decline  </w:t>
      </w:r>
      <w:r>
        <w:rPr>
          <w:color w:val="292425"/>
          <w:spacing w:val="25"/>
          <w:w w:val="105"/>
          <w:sz w:val="16"/>
        </w:rPr>
        <w:t> </w:t>
      </w:r>
      <w:r>
        <w:rPr>
          <w:color w:val="292425"/>
          <w:spacing w:val="8"/>
          <w:w w:val="105"/>
          <w:sz w:val="16"/>
        </w:rPr>
        <w:t>of</w:t>
      </w:r>
    </w:p>
    <w:p>
      <w:pPr>
        <w:spacing w:line="468" w:lineRule="auto" w:before="0"/>
        <w:ind w:left="761" w:right="1131" w:firstLine="0"/>
        <w:jc w:val="left"/>
        <w:rPr>
          <w:sz w:val="16"/>
        </w:rPr>
      </w:pPr>
      <w:r>
        <w:rPr>
          <w:color w:val="292425"/>
          <w:w w:val="105"/>
          <w:sz w:val="16"/>
        </w:rPr>
        <w:t>52 percent from 2001, excluding special items (52.9 percent, including special items from  both  years).  Moreover,  amidst  the  airline industry  devastation  of  2002, Southwest:</w:t>
      </w:r>
    </w:p>
    <w:p>
      <w:pPr>
        <w:pStyle w:val="BodyText"/>
        <w:rPr>
          <w:sz w:val="18"/>
        </w:rPr>
      </w:pPr>
    </w:p>
    <w:p>
      <w:pPr>
        <w:pStyle w:val="BodyText"/>
        <w:rPr>
          <w:sz w:val="18"/>
        </w:rPr>
      </w:pPr>
    </w:p>
    <w:p>
      <w:pPr>
        <w:pStyle w:val="ListParagraph"/>
        <w:numPr>
          <w:ilvl w:val="0"/>
          <w:numId w:val="1"/>
        </w:numPr>
        <w:tabs>
          <w:tab w:pos="1301" w:val="left" w:leader="none"/>
        </w:tabs>
        <w:spacing w:line="240" w:lineRule="auto" w:before="121" w:after="0"/>
        <w:ind w:left="1291" w:right="0" w:hanging="170"/>
        <w:jc w:val="left"/>
        <w:rPr>
          <w:i/>
          <w:color w:val="989A9D"/>
          <w:sz w:val="16"/>
        </w:rPr>
      </w:pPr>
      <w:r>
        <w:rPr>
          <w:i/>
          <w:color w:val="292425"/>
          <w:w w:val="105"/>
          <w:sz w:val="16"/>
        </w:rPr>
        <w:t>Expanded its fleet by a net 20  </w:t>
      </w:r>
      <w:r>
        <w:rPr>
          <w:i/>
          <w:color w:val="292425"/>
          <w:spacing w:val="9"/>
          <w:w w:val="105"/>
          <w:sz w:val="16"/>
        </w:rPr>
        <w:t> </w:t>
      </w:r>
      <w:r>
        <w:rPr>
          <w:i/>
          <w:color w:val="292425"/>
          <w:w w:val="105"/>
          <w:sz w:val="16"/>
        </w:rPr>
        <w:t>aircraft;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Expanded its available seat miles by 5.5  </w:t>
      </w:r>
      <w:r>
        <w:rPr>
          <w:i/>
          <w:color w:val="292425"/>
          <w:spacing w:val="27"/>
          <w:w w:val="105"/>
          <w:sz w:val="16"/>
        </w:rPr>
        <w:t> </w:t>
      </w:r>
      <w:r>
        <w:rPr>
          <w:i/>
          <w:color w:val="292425"/>
          <w:w w:val="105"/>
          <w:sz w:val="16"/>
        </w:rPr>
        <w:t>percent;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Expanded</w:t>
      </w:r>
      <w:r>
        <w:rPr>
          <w:i/>
          <w:color w:val="292425"/>
          <w:spacing w:val="14"/>
          <w:w w:val="105"/>
          <w:sz w:val="16"/>
        </w:rPr>
        <w:t> </w:t>
      </w:r>
      <w:r>
        <w:rPr>
          <w:i/>
          <w:color w:val="292425"/>
          <w:w w:val="105"/>
          <w:sz w:val="16"/>
        </w:rPr>
        <w:t>its</w:t>
      </w:r>
      <w:r>
        <w:rPr>
          <w:i/>
          <w:color w:val="292425"/>
          <w:spacing w:val="14"/>
          <w:w w:val="105"/>
          <w:sz w:val="16"/>
        </w:rPr>
        <w:t> </w:t>
      </w:r>
      <w:r>
        <w:rPr>
          <w:i/>
          <w:color w:val="292425"/>
          <w:w w:val="105"/>
          <w:sz w:val="16"/>
        </w:rPr>
        <w:t>share</w:t>
      </w:r>
      <w:r>
        <w:rPr>
          <w:i/>
          <w:color w:val="292425"/>
          <w:spacing w:val="14"/>
          <w:w w:val="105"/>
          <w:sz w:val="16"/>
        </w:rPr>
        <w:t> </w:t>
      </w:r>
      <w:r>
        <w:rPr>
          <w:i/>
          <w:color w:val="292425"/>
          <w:w w:val="105"/>
          <w:sz w:val="16"/>
        </w:rPr>
        <w:t>of</w:t>
      </w:r>
      <w:r>
        <w:rPr>
          <w:i/>
          <w:color w:val="292425"/>
          <w:spacing w:val="14"/>
          <w:w w:val="105"/>
          <w:sz w:val="16"/>
        </w:rPr>
        <w:t> </w:t>
      </w:r>
      <w:r>
        <w:rPr>
          <w:i/>
          <w:color w:val="292425"/>
          <w:w w:val="105"/>
          <w:sz w:val="16"/>
        </w:rPr>
        <w:t>the</w:t>
      </w:r>
      <w:r>
        <w:rPr>
          <w:i/>
          <w:color w:val="292425"/>
          <w:spacing w:val="14"/>
          <w:w w:val="105"/>
          <w:sz w:val="16"/>
        </w:rPr>
        <w:t> </w:t>
      </w:r>
      <w:r>
        <w:rPr>
          <w:i/>
          <w:color w:val="292425"/>
          <w:w w:val="105"/>
          <w:sz w:val="16"/>
        </w:rPr>
        <w:t>domestic</w:t>
      </w:r>
      <w:r>
        <w:rPr>
          <w:i/>
          <w:color w:val="292425"/>
          <w:spacing w:val="14"/>
          <w:w w:val="105"/>
          <w:sz w:val="16"/>
        </w:rPr>
        <w:t> </w:t>
      </w:r>
      <w:r>
        <w:rPr>
          <w:i/>
          <w:color w:val="292425"/>
          <w:w w:val="105"/>
          <w:sz w:val="16"/>
        </w:rPr>
        <w:t>airline</w:t>
      </w:r>
      <w:r>
        <w:rPr>
          <w:i/>
          <w:color w:val="292425"/>
          <w:spacing w:val="14"/>
          <w:w w:val="105"/>
          <w:sz w:val="16"/>
        </w:rPr>
        <w:t> </w:t>
      </w:r>
      <w:r>
        <w:rPr>
          <w:i/>
          <w:color w:val="292425"/>
          <w:w w:val="105"/>
          <w:sz w:val="16"/>
        </w:rPr>
        <w:t>market</w:t>
      </w:r>
      <w:r>
        <w:rPr>
          <w:i/>
          <w:color w:val="292425"/>
          <w:spacing w:val="14"/>
          <w:w w:val="105"/>
          <w:sz w:val="16"/>
        </w:rPr>
        <w:t> </w:t>
      </w:r>
      <w:r>
        <w:rPr>
          <w:i/>
          <w:color w:val="292425"/>
          <w:w w:val="105"/>
          <w:sz w:val="16"/>
        </w:rPr>
        <w:t>(based</w:t>
      </w:r>
      <w:r>
        <w:rPr>
          <w:i/>
          <w:color w:val="292425"/>
          <w:spacing w:val="14"/>
          <w:w w:val="105"/>
          <w:sz w:val="16"/>
        </w:rPr>
        <w:t> </w:t>
      </w:r>
      <w:r>
        <w:rPr>
          <w:i/>
          <w:color w:val="292425"/>
          <w:w w:val="105"/>
          <w:sz w:val="16"/>
        </w:rPr>
        <w:t>on</w:t>
      </w:r>
      <w:r>
        <w:rPr>
          <w:i/>
          <w:color w:val="292425"/>
          <w:spacing w:val="14"/>
          <w:w w:val="105"/>
          <w:sz w:val="16"/>
        </w:rPr>
        <w:t> </w:t>
      </w:r>
      <w:r>
        <w:rPr>
          <w:i/>
          <w:color w:val="292425"/>
          <w:w w:val="105"/>
          <w:sz w:val="16"/>
        </w:rPr>
        <w:t>revenue</w:t>
      </w:r>
      <w:r>
        <w:rPr>
          <w:i/>
          <w:color w:val="292425"/>
          <w:spacing w:val="14"/>
          <w:w w:val="105"/>
          <w:sz w:val="16"/>
        </w:rPr>
        <w:t> </w:t>
      </w:r>
      <w:r>
        <w:rPr>
          <w:i/>
          <w:color w:val="292425"/>
          <w:w w:val="105"/>
          <w:sz w:val="16"/>
        </w:rPr>
        <w:t>passenger</w:t>
      </w:r>
      <w:r>
        <w:rPr>
          <w:i/>
          <w:color w:val="292425"/>
          <w:spacing w:val="14"/>
          <w:w w:val="105"/>
          <w:sz w:val="16"/>
        </w:rPr>
        <w:t> </w:t>
      </w:r>
      <w:r>
        <w:rPr>
          <w:i/>
          <w:color w:val="292425"/>
          <w:w w:val="105"/>
          <w:sz w:val="16"/>
        </w:rPr>
        <w:t>seat</w:t>
      </w:r>
      <w:r>
        <w:rPr>
          <w:i/>
          <w:color w:val="292425"/>
          <w:spacing w:val="14"/>
          <w:w w:val="105"/>
          <w:sz w:val="16"/>
        </w:rPr>
        <w:t> </w:t>
      </w:r>
      <w:r>
        <w:rPr>
          <w:i/>
          <w:color w:val="292425"/>
          <w:w w:val="105"/>
          <w:sz w:val="16"/>
        </w:rPr>
        <w:t>miles</w:t>
      </w:r>
      <w:r>
        <w:rPr>
          <w:i/>
          <w:color w:val="292425"/>
          <w:spacing w:val="14"/>
          <w:w w:val="105"/>
          <w:sz w:val="16"/>
        </w:rPr>
        <w:t> </w:t>
      </w:r>
      <w:r>
        <w:rPr>
          <w:i/>
          <w:color w:val="292425"/>
          <w:w w:val="105"/>
          <w:sz w:val="16"/>
        </w:rPr>
        <w:t>produced)</w:t>
      </w:r>
      <w:r>
        <w:rPr>
          <w:i/>
          <w:color w:val="292425"/>
          <w:spacing w:val="14"/>
          <w:w w:val="105"/>
          <w:sz w:val="16"/>
        </w:rPr>
        <w:t> </w:t>
      </w:r>
      <w:r>
        <w:rPr>
          <w:i/>
          <w:color w:val="292425"/>
          <w:w w:val="105"/>
          <w:sz w:val="16"/>
        </w:rPr>
        <w:t>to</w:t>
      </w:r>
      <w:r>
        <w:rPr>
          <w:i/>
          <w:color w:val="292425"/>
          <w:spacing w:val="14"/>
          <w:w w:val="105"/>
          <w:sz w:val="16"/>
        </w:rPr>
        <w:t> </w:t>
      </w:r>
      <w:r>
        <w:rPr>
          <w:i/>
          <w:color w:val="292425"/>
          <w:w w:val="105"/>
          <w:sz w:val="16"/>
        </w:rPr>
        <w:t>10</w:t>
      </w:r>
      <w:r>
        <w:rPr>
          <w:i/>
          <w:color w:val="292425"/>
          <w:spacing w:val="14"/>
          <w:w w:val="105"/>
          <w:sz w:val="16"/>
        </w:rPr>
        <w:t> </w:t>
      </w:r>
      <w:r>
        <w:rPr>
          <w:i/>
          <w:color w:val="292425"/>
          <w:w w:val="105"/>
          <w:sz w:val="16"/>
        </w:rPr>
        <w:t>percent;</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Increased  Shareholders’ equity  by  $407.6</w:t>
      </w:r>
      <w:r>
        <w:rPr>
          <w:i/>
          <w:color w:val="292425"/>
          <w:spacing w:val="-19"/>
          <w:w w:val="105"/>
          <w:sz w:val="16"/>
        </w:rPr>
        <w:t> </w:t>
      </w:r>
      <w:r>
        <w:rPr>
          <w:i/>
          <w:color w:val="292425"/>
          <w:w w:val="105"/>
          <w:sz w:val="16"/>
        </w:rPr>
        <w:t>million;</w:t>
      </w:r>
    </w:p>
    <w:p>
      <w:pPr>
        <w:pStyle w:val="BodyText"/>
        <w:spacing w:before="7"/>
        <w:rPr>
          <w:i/>
          <w:sz w:val="26"/>
        </w:rPr>
      </w:pPr>
    </w:p>
    <w:p>
      <w:pPr>
        <w:pStyle w:val="ListParagraph"/>
        <w:numPr>
          <w:ilvl w:val="0"/>
          <w:numId w:val="1"/>
        </w:numPr>
        <w:tabs>
          <w:tab w:pos="1301" w:val="left" w:leader="none"/>
        </w:tabs>
        <w:spacing w:line="240" w:lineRule="auto" w:before="0" w:after="0"/>
        <w:ind w:left="1300" w:right="0" w:hanging="179"/>
        <w:jc w:val="left"/>
        <w:rPr>
          <w:i/>
          <w:color w:val="989A9D"/>
          <w:sz w:val="16"/>
        </w:rPr>
      </w:pPr>
      <w:r>
        <w:rPr>
          <w:i/>
          <w:color w:val="292425"/>
          <w:w w:val="105"/>
          <w:sz w:val="16"/>
        </w:rPr>
        <w:t>Renegotiated, and extended, five collective bargaining</w:t>
      </w:r>
      <w:r>
        <w:rPr>
          <w:i/>
          <w:color w:val="292425"/>
          <w:spacing w:val="17"/>
          <w:w w:val="105"/>
          <w:sz w:val="16"/>
        </w:rPr>
        <w:t> </w:t>
      </w:r>
      <w:r>
        <w:rPr>
          <w:i/>
          <w:color w:val="292425"/>
          <w:w w:val="105"/>
          <w:sz w:val="16"/>
        </w:rPr>
        <w:t>agreements;</w:t>
      </w:r>
    </w:p>
    <w:p>
      <w:pPr>
        <w:pStyle w:val="BodyText"/>
        <w:spacing w:before="7"/>
        <w:rPr>
          <w:i/>
          <w:sz w:val="26"/>
        </w:rPr>
      </w:pPr>
    </w:p>
    <w:p>
      <w:pPr>
        <w:pStyle w:val="ListParagraph"/>
        <w:numPr>
          <w:ilvl w:val="0"/>
          <w:numId w:val="1"/>
        </w:numPr>
        <w:tabs>
          <w:tab w:pos="1301" w:val="left" w:leader="none"/>
        </w:tabs>
        <w:spacing w:line="417" w:lineRule="auto" w:before="0" w:after="0"/>
        <w:ind w:left="1291" w:right="2876" w:hanging="170"/>
        <w:jc w:val="left"/>
        <w:rPr>
          <w:i/>
          <w:color w:val="989A9D"/>
          <w:sz w:val="16"/>
        </w:rPr>
      </w:pPr>
      <w:r>
        <w:rPr>
          <w:i/>
          <w:color w:val="292425"/>
          <w:w w:val="105"/>
          <w:sz w:val="16"/>
        </w:rPr>
        <w:t>Ended the year with excellent liquidity of $1.82 billion in unrestricted cash and a $575 million available, unsecured </w:t>
      </w:r>
      <w:r>
        <w:rPr>
          <w:i/>
          <w:color w:val="292425"/>
          <w:w w:val="105"/>
          <w:sz w:val="16"/>
        </w:rPr>
        <w:t>bank revolving credit line;</w:t>
      </w:r>
      <w:r>
        <w:rPr>
          <w:i/>
          <w:color w:val="292425"/>
          <w:spacing w:val="27"/>
          <w:w w:val="105"/>
          <w:sz w:val="16"/>
        </w:rPr>
        <w:t> </w:t>
      </w:r>
      <w:r>
        <w:rPr>
          <w:i/>
          <w:color w:val="292425"/>
          <w:w w:val="105"/>
          <w:sz w:val="16"/>
        </w:rPr>
        <w:t>and</w:t>
      </w:r>
    </w:p>
    <w:p>
      <w:pPr>
        <w:pStyle w:val="BodyText"/>
        <w:spacing w:before="9"/>
        <w:rPr>
          <w:i/>
          <w:sz w:val="14"/>
        </w:rPr>
      </w:pPr>
    </w:p>
    <w:p>
      <w:pPr>
        <w:pStyle w:val="ListParagraph"/>
        <w:numPr>
          <w:ilvl w:val="0"/>
          <w:numId w:val="1"/>
        </w:numPr>
        <w:tabs>
          <w:tab w:pos="1301" w:val="left" w:leader="none"/>
        </w:tabs>
        <w:spacing w:line="417" w:lineRule="auto" w:before="0" w:after="0"/>
        <w:ind w:left="1280" w:right="2889" w:hanging="159"/>
        <w:jc w:val="left"/>
        <w:rPr>
          <w:i/>
          <w:color w:val="989A9D"/>
          <w:sz w:val="16"/>
        </w:rPr>
      </w:pPr>
      <w:r>
        <w:rPr/>
        <w:pict>
          <v:line style="position:absolute;mso-position-horizontal-relative:page;mso-position-vertical-relative:paragraph;z-index:2104" from="0pt,133.614883pt" to="612pt,133.614883pt" stroked="true" strokeweight=".5pt" strokecolor="#292425">
            <v:stroke dashstyle="solid"/>
            <w10:wrap type="none"/>
          </v:line>
        </w:pict>
      </w:r>
      <w:r>
        <w:rPr>
          <w:i/>
          <w:color w:val="292425"/>
          <w:w w:val="105"/>
          <w:sz w:val="16"/>
        </w:rPr>
        <w:t>Provided complete job security for its 33,705 active Employees and a $155.6 million contribution to their collective </w:t>
      </w:r>
      <w:r>
        <w:rPr>
          <w:i/>
          <w:color w:val="292425"/>
          <w:w w:val="105"/>
          <w:sz w:val="16"/>
        </w:rPr>
        <w:t>profitsharing and savings</w:t>
      </w:r>
      <w:r>
        <w:rPr>
          <w:i/>
          <w:color w:val="292425"/>
          <w:spacing w:val="27"/>
          <w:w w:val="105"/>
          <w:sz w:val="16"/>
        </w:rPr>
        <w:t> </w:t>
      </w:r>
      <w:r>
        <w:rPr>
          <w:i/>
          <w:color w:val="292425"/>
          <w:w w:val="105"/>
          <w:sz w:val="16"/>
        </w:rPr>
        <w:t>plans.</w:t>
      </w:r>
    </w:p>
    <w:p>
      <w:pPr>
        <w:spacing w:after="0" w:line="417" w:lineRule="auto"/>
        <w:jc w:val="left"/>
        <w:rPr>
          <w:sz w:val="16"/>
        </w:rPr>
        <w:sectPr>
          <w:headerReference w:type="default" r:id="rId7"/>
          <w:pgSz w:w="12240" w:h="15840"/>
          <w:pgMar w:header="0" w:footer="0" w:top="360" w:bottom="280" w:left="0" w:right="0"/>
        </w:sectPr>
      </w:pPr>
    </w:p>
    <w:p>
      <w:pPr>
        <w:tabs>
          <w:tab w:pos="11736" w:val="right" w:leader="none"/>
        </w:tabs>
        <w:spacing w:before="93"/>
        <w:ind w:left="7753" w:right="0" w:firstLine="0"/>
        <w:jc w:val="left"/>
        <w:rPr>
          <w:sz w:val="14"/>
        </w:rPr>
      </w:pPr>
      <w:r>
        <w:rPr/>
        <w:pict>
          <v:group style="position:absolute;margin-left:-.25pt;margin-top:-.28457pt;width:612.5pt;height:18.5pt;mso-position-horizontal-relative:page;mso-position-vertical-relative:paragraph;z-index:-281224" coordorigin="-5,-6" coordsize="12250,370">
            <v:line style="position:absolute" from="11520,-1" to="11520,359" stroked="true" strokeweight=".5pt" strokecolor="#292425">
              <v:stroke dashstyle="solid"/>
            </v:line>
            <v:line style="position:absolute" from="0,359" to="12240,359" stroked="true" strokeweight=".5pt" strokecolor="#292425">
              <v:stroke dashstyle="solid"/>
            </v:line>
            <w10:wrap type="none"/>
          </v:group>
        </w:pict>
      </w:r>
      <w:r>
        <w:rPr>
          <w:color w:val="292425"/>
          <w:spacing w:val="6"/>
          <w:w w:val="155"/>
          <w:sz w:val="12"/>
        </w:rPr>
        <w:t>Southwest airlines </w:t>
      </w:r>
      <w:r>
        <w:rPr>
          <w:color w:val="292425"/>
          <w:spacing w:val="4"/>
          <w:w w:val="155"/>
          <w:sz w:val="12"/>
        </w:rPr>
        <w:t>co.  </w:t>
      </w:r>
      <w:r>
        <w:rPr>
          <w:color w:val="292425"/>
          <w:spacing w:val="5"/>
          <w:w w:val="140"/>
          <w:sz w:val="12"/>
        </w:rPr>
        <w:t>2002 </w:t>
      </w:r>
      <w:r>
        <w:rPr>
          <w:color w:val="292425"/>
          <w:spacing w:val="18"/>
          <w:w w:val="140"/>
          <w:sz w:val="12"/>
        </w:rPr>
        <w:t> </w:t>
      </w:r>
      <w:r>
        <w:rPr>
          <w:color w:val="292425"/>
          <w:spacing w:val="5"/>
          <w:w w:val="155"/>
          <w:sz w:val="12"/>
        </w:rPr>
        <w:t>annual</w:t>
      </w:r>
      <w:r>
        <w:rPr>
          <w:color w:val="292425"/>
          <w:spacing w:val="29"/>
          <w:w w:val="155"/>
          <w:sz w:val="12"/>
        </w:rPr>
        <w:t> </w:t>
      </w:r>
      <w:r>
        <w:rPr>
          <w:color w:val="292425"/>
          <w:spacing w:val="4"/>
          <w:w w:val="155"/>
          <w:sz w:val="12"/>
        </w:rPr>
        <w:t>report</w:t>
      </w:r>
      <w:r>
        <w:rPr>
          <w:color w:val="292425"/>
          <w:spacing w:val="4"/>
          <w:w w:val="155"/>
          <w:sz w:val="14"/>
        </w:rPr>
        <w:tab/>
      </w:r>
      <w:r>
        <w:rPr>
          <w:color w:val="292425"/>
          <w:w w:val="140"/>
          <w:sz w:val="14"/>
        </w:rPr>
        <w:t>3</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line="468" w:lineRule="auto" w:before="125"/>
        <w:ind w:left="1137" w:right="735" w:firstLine="360"/>
        <w:jc w:val="both"/>
        <w:rPr>
          <w:sz w:val="16"/>
        </w:rPr>
      </w:pPr>
      <w:r>
        <w:rPr>
          <w:color w:val="292425"/>
          <w:w w:val="105"/>
          <w:sz w:val="16"/>
        </w:rPr>
        <w:t>Peering ahead, the year 2003 is fraught with event risk and, hence, uncertainty. If, </w:t>
      </w:r>
      <w:r>
        <w:rPr>
          <w:color w:val="292425"/>
          <w:spacing w:val="-3"/>
          <w:w w:val="105"/>
          <w:sz w:val="16"/>
        </w:rPr>
        <w:t>however, </w:t>
      </w:r>
      <w:r>
        <w:rPr>
          <w:color w:val="292425"/>
          <w:w w:val="105"/>
          <w:sz w:val="16"/>
        </w:rPr>
        <w:t>a lengthy war or another terrorist assault should</w:t>
      </w:r>
      <w:r>
        <w:rPr>
          <w:color w:val="292425"/>
          <w:spacing w:val="38"/>
          <w:w w:val="105"/>
          <w:sz w:val="16"/>
        </w:rPr>
        <w:t> </w:t>
      </w:r>
      <w:r>
        <w:rPr>
          <w:color w:val="292425"/>
          <w:spacing w:val="-3"/>
          <w:w w:val="105"/>
          <w:sz w:val="16"/>
        </w:rPr>
        <w:t>occur, </w:t>
      </w:r>
      <w:r>
        <w:rPr>
          <w:color w:val="292425"/>
          <w:w w:val="105"/>
          <w:sz w:val="16"/>
        </w:rPr>
        <w:t>Southwest is better prepared for such an eventuality than any other major U.S. airline; if  the  U.S.  economy  should  decline, rather  than advance, Southwest is better prepared for such an eventuality than any other major U.S. airline; and if jet fuel prices should rise precipitously, for       any reason, Southwest is better prepared for such an eventuality than any other major U.S. </w:t>
      </w:r>
      <w:r>
        <w:rPr>
          <w:color w:val="292425"/>
          <w:spacing w:val="2"/>
          <w:w w:val="105"/>
          <w:sz w:val="16"/>
        </w:rPr>
        <w:t>airline </w:t>
      </w:r>
      <w:r>
        <w:rPr>
          <w:color w:val="292425"/>
          <w:w w:val="105"/>
          <w:sz w:val="16"/>
        </w:rPr>
        <w:t>(in addition to our financial strength, we </w:t>
      </w:r>
      <w:r>
        <w:rPr>
          <w:color w:val="292425"/>
          <w:spacing w:val="2"/>
          <w:w w:val="105"/>
          <w:sz w:val="16"/>
        </w:rPr>
        <w:t>are </w:t>
      </w:r>
      <w:r>
        <w:rPr>
          <w:color w:val="292425"/>
          <w:w w:val="105"/>
          <w:sz w:val="16"/>
        </w:rPr>
        <w:t>currently</w:t>
      </w:r>
      <w:r>
        <w:rPr>
          <w:color w:val="292425"/>
          <w:spacing w:val="16"/>
          <w:w w:val="105"/>
          <w:sz w:val="16"/>
        </w:rPr>
        <w:t> </w:t>
      </w:r>
      <w:r>
        <w:rPr>
          <w:color w:val="292425"/>
          <w:w w:val="105"/>
          <w:sz w:val="16"/>
        </w:rPr>
        <w:t>hedged</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approximately</w:t>
      </w:r>
      <w:r>
        <w:rPr>
          <w:color w:val="292425"/>
          <w:spacing w:val="16"/>
          <w:w w:val="105"/>
          <w:sz w:val="16"/>
        </w:rPr>
        <w:t> </w:t>
      </w:r>
      <w:r>
        <w:rPr>
          <w:color w:val="292425"/>
          <w:w w:val="105"/>
          <w:sz w:val="16"/>
        </w:rPr>
        <w:t>83</w:t>
      </w:r>
      <w:r>
        <w:rPr>
          <w:color w:val="292425"/>
          <w:spacing w:val="16"/>
          <w:w w:val="105"/>
          <w:sz w:val="16"/>
        </w:rPr>
        <w:t> </w:t>
      </w:r>
      <w:r>
        <w:rPr>
          <w:color w:val="292425"/>
          <w:w w:val="105"/>
          <w:sz w:val="16"/>
        </w:rPr>
        <w:t>percent</w:t>
      </w:r>
      <w:r>
        <w:rPr>
          <w:color w:val="292425"/>
          <w:spacing w:val="16"/>
          <w:w w:val="105"/>
          <w:sz w:val="16"/>
        </w:rPr>
        <w:t> </w:t>
      </w:r>
      <w:r>
        <w:rPr>
          <w:color w:val="292425"/>
          <w:w w:val="105"/>
          <w:sz w:val="16"/>
        </w:rPr>
        <w:t>of</w:t>
      </w:r>
      <w:r>
        <w:rPr>
          <w:color w:val="292425"/>
          <w:spacing w:val="16"/>
          <w:w w:val="105"/>
          <w:sz w:val="16"/>
        </w:rPr>
        <w:t> </w:t>
      </w:r>
      <w:r>
        <w:rPr>
          <w:color w:val="292425"/>
          <w:w w:val="105"/>
          <w:sz w:val="16"/>
        </w:rPr>
        <w:t>our</w:t>
      </w:r>
      <w:r>
        <w:rPr>
          <w:color w:val="292425"/>
          <w:spacing w:val="16"/>
          <w:w w:val="105"/>
          <w:sz w:val="16"/>
        </w:rPr>
        <w:t> </w:t>
      </w:r>
      <w:r>
        <w:rPr>
          <w:color w:val="292425"/>
          <w:w w:val="105"/>
          <w:sz w:val="16"/>
        </w:rPr>
        <w:t>presently</w:t>
      </w:r>
      <w:r>
        <w:rPr>
          <w:color w:val="292425"/>
          <w:spacing w:val="16"/>
          <w:w w:val="105"/>
          <w:sz w:val="16"/>
        </w:rPr>
        <w:t> </w:t>
      </w:r>
      <w:r>
        <w:rPr>
          <w:color w:val="292425"/>
          <w:w w:val="105"/>
          <w:sz w:val="16"/>
        </w:rPr>
        <w:t>anticipated</w:t>
      </w:r>
      <w:r>
        <w:rPr>
          <w:color w:val="292425"/>
          <w:spacing w:val="16"/>
          <w:w w:val="105"/>
          <w:sz w:val="16"/>
        </w:rPr>
        <w:t> </w:t>
      </w:r>
      <w:r>
        <w:rPr>
          <w:color w:val="292425"/>
          <w:w w:val="105"/>
          <w:sz w:val="16"/>
        </w:rPr>
        <w:t>requirements</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2003</w:t>
      </w:r>
      <w:r>
        <w:rPr>
          <w:color w:val="292425"/>
          <w:spacing w:val="16"/>
          <w:w w:val="105"/>
          <w:sz w:val="16"/>
        </w:rPr>
        <w:t> </w:t>
      </w:r>
      <w:r>
        <w:rPr>
          <w:color w:val="292425"/>
          <w:w w:val="105"/>
          <w:sz w:val="16"/>
        </w:rPr>
        <w:t>and</w:t>
      </w:r>
      <w:r>
        <w:rPr>
          <w:color w:val="292425"/>
          <w:spacing w:val="16"/>
          <w:w w:val="105"/>
          <w:sz w:val="16"/>
        </w:rPr>
        <w:t> </w:t>
      </w:r>
      <w:r>
        <w:rPr>
          <w:color w:val="292425"/>
          <w:w w:val="105"/>
          <w:sz w:val="16"/>
        </w:rPr>
        <w:t>80</w:t>
      </w:r>
      <w:r>
        <w:rPr>
          <w:color w:val="292425"/>
          <w:spacing w:val="16"/>
          <w:w w:val="105"/>
          <w:sz w:val="16"/>
        </w:rPr>
        <w:t> </w:t>
      </w:r>
      <w:r>
        <w:rPr>
          <w:color w:val="292425"/>
          <w:w w:val="105"/>
          <w:sz w:val="16"/>
        </w:rPr>
        <w:t>percent</w:t>
      </w:r>
      <w:r>
        <w:rPr>
          <w:color w:val="292425"/>
          <w:spacing w:val="16"/>
          <w:w w:val="105"/>
          <w:sz w:val="16"/>
        </w:rPr>
        <w:t> </w:t>
      </w:r>
      <w:r>
        <w:rPr>
          <w:color w:val="292425"/>
          <w:w w:val="105"/>
          <w:sz w:val="16"/>
        </w:rPr>
        <w:t>for</w:t>
      </w:r>
      <w:r>
        <w:rPr>
          <w:color w:val="292425"/>
          <w:spacing w:val="16"/>
          <w:w w:val="105"/>
          <w:sz w:val="16"/>
        </w:rPr>
        <w:t> </w:t>
      </w:r>
      <w:r>
        <w:rPr>
          <w:color w:val="292425"/>
          <w:w w:val="105"/>
          <w:sz w:val="16"/>
        </w:rPr>
        <w:t>2004).</w:t>
      </w:r>
    </w:p>
    <w:p>
      <w:pPr>
        <w:spacing w:line="468" w:lineRule="auto" w:before="0"/>
        <w:ind w:left="1137" w:right="737" w:firstLine="360"/>
        <w:jc w:val="both"/>
        <w:rPr>
          <w:sz w:val="16"/>
        </w:rPr>
      </w:pPr>
      <w:r>
        <w:rPr>
          <w:color w:val="292425"/>
          <w:w w:val="105"/>
          <w:sz w:val="16"/>
        </w:rPr>
        <w:t>As 2003 begins, we are planning to expand our available seat mile capacity for the year by 4 to 5  percent  and  have  already  begun,  or </w:t>
      </w:r>
      <w:r>
        <w:rPr>
          <w:color w:val="292425"/>
          <w:spacing w:val="2"/>
          <w:w w:val="105"/>
          <w:sz w:val="16"/>
        </w:rPr>
        <w:t>announced, </w:t>
      </w:r>
      <w:r>
        <w:rPr>
          <w:color w:val="292425"/>
          <w:w w:val="105"/>
          <w:sz w:val="16"/>
        </w:rPr>
        <w:t>the </w:t>
      </w:r>
      <w:r>
        <w:rPr>
          <w:color w:val="292425"/>
          <w:spacing w:val="2"/>
          <w:w w:val="105"/>
          <w:sz w:val="16"/>
        </w:rPr>
        <w:t>following additional </w:t>
      </w:r>
      <w:r>
        <w:rPr>
          <w:color w:val="292425"/>
          <w:w w:val="105"/>
          <w:sz w:val="16"/>
        </w:rPr>
        <w:t>air </w:t>
      </w:r>
      <w:r>
        <w:rPr>
          <w:color w:val="292425"/>
          <w:spacing w:val="3"/>
          <w:w w:val="105"/>
          <w:sz w:val="16"/>
        </w:rPr>
        <w:t>service: </w:t>
      </w:r>
      <w:r>
        <w:rPr>
          <w:color w:val="292425"/>
          <w:w w:val="105"/>
          <w:sz w:val="16"/>
        </w:rPr>
        <w:t>new </w:t>
      </w:r>
      <w:r>
        <w:rPr>
          <w:color w:val="292425"/>
          <w:spacing w:val="2"/>
          <w:w w:val="105"/>
          <w:sz w:val="16"/>
        </w:rPr>
        <w:t>nonstop flights from Baltimore/Washington </w:t>
      </w:r>
      <w:r>
        <w:rPr>
          <w:color w:val="292425"/>
          <w:w w:val="105"/>
          <w:sz w:val="16"/>
        </w:rPr>
        <w:t>to San </w:t>
      </w:r>
      <w:r>
        <w:rPr>
          <w:color w:val="292425"/>
          <w:spacing w:val="2"/>
          <w:w w:val="105"/>
          <w:sz w:val="16"/>
        </w:rPr>
        <w:t>Jose </w:t>
      </w:r>
      <w:r>
        <w:rPr>
          <w:color w:val="292425"/>
          <w:w w:val="105"/>
          <w:sz w:val="16"/>
        </w:rPr>
        <w:t>and </w:t>
      </w:r>
      <w:r>
        <w:rPr>
          <w:color w:val="292425"/>
          <w:spacing w:val="2"/>
          <w:w w:val="105"/>
          <w:sz w:val="16"/>
        </w:rPr>
        <w:t>from Phoenix </w:t>
      </w:r>
      <w:r>
        <w:rPr>
          <w:color w:val="292425"/>
          <w:w w:val="105"/>
          <w:sz w:val="16"/>
        </w:rPr>
        <w:t>to </w:t>
      </w:r>
      <w:r>
        <w:rPr>
          <w:color w:val="292425"/>
          <w:spacing w:val="2"/>
          <w:w w:val="105"/>
          <w:sz w:val="16"/>
        </w:rPr>
        <w:t>Detroit; </w:t>
      </w:r>
      <w:r>
        <w:rPr>
          <w:color w:val="292425"/>
          <w:w w:val="105"/>
          <w:sz w:val="16"/>
        </w:rPr>
        <w:t>and additional flights from Baltimore/Washington to Orlando, Long Island/Islip, Manchester, Hartford, Austin, Phoenix, San Antonio, and  West  Palm</w:t>
      </w:r>
      <w:r>
        <w:rPr>
          <w:color w:val="292425"/>
          <w:spacing w:val="38"/>
          <w:w w:val="105"/>
          <w:sz w:val="16"/>
        </w:rPr>
        <w:t> </w:t>
      </w:r>
      <w:r>
        <w:rPr>
          <w:color w:val="292425"/>
          <w:w w:val="105"/>
          <w:sz w:val="16"/>
        </w:rPr>
        <w:t>Beach; Chicago Midway to Cleveland, Las Vegas, and Houston; Long Island/Islip to Orlando and West Palm Beach; Sacramento to Portland and      Orange County; and Phoenix to Raleigh-Durham. If, beyond the planned 4 to 5 percent increase, serendipitous opportunities for profitable seat mile expansion should present themselves, we believe that we are also better prepared to take advantage of such a positive eventuality than any other major  U.S.</w:t>
      </w:r>
      <w:r>
        <w:rPr>
          <w:color w:val="292425"/>
          <w:spacing w:val="16"/>
          <w:w w:val="105"/>
          <w:sz w:val="16"/>
        </w:rPr>
        <w:t> </w:t>
      </w:r>
      <w:r>
        <w:rPr>
          <w:color w:val="292425"/>
          <w:w w:val="105"/>
          <w:sz w:val="16"/>
        </w:rPr>
        <w:t>airline.</w:t>
      </w:r>
    </w:p>
    <w:p>
      <w:pPr>
        <w:spacing w:line="468" w:lineRule="auto" w:before="0"/>
        <w:ind w:left="1137" w:right="737" w:firstLine="360"/>
        <w:jc w:val="both"/>
        <w:rPr>
          <w:sz w:val="16"/>
        </w:rPr>
      </w:pPr>
      <w:r>
        <w:rPr>
          <w:color w:val="292425"/>
          <w:w w:val="105"/>
          <w:sz w:val="16"/>
        </w:rPr>
        <w:t>Although we cannot predict what external, uncontrollable events might transpire during 2003, we can forecast with considerable certainty that our valorous, caring, nimble, good-hearted, and resilient People will ensure that Southwest ends 2003 just the </w:t>
      </w:r>
      <w:r>
        <w:rPr>
          <w:color w:val="292425"/>
          <w:spacing w:val="-3"/>
          <w:w w:val="105"/>
          <w:sz w:val="16"/>
        </w:rPr>
        <w:t>way </w:t>
      </w:r>
      <w:r>
        <w:rPr>
          <w:color w:val="292425"/>
          <w:w w:val="105"/>
          <w:sz w:val="16"/>
        </w:rPr>
        <w:t>it ended 2002 – at the forefront       of our industry. </w:t>
      </w:r>
      <w:r>
        <w:rPr>
          <w:color w:val="292425"/>
          <w:spacing w:val="-5"/>
          <w:w w:val="105"/>
          <w:sz w:val="16"/>
        </w:rPr>
        <w:t>For, </w:t>
      </w:r>
      <w:r>
        <w:rPr>
          <w:color w:val="292425"/>
          <w:w w:val="105"/>
          <w:sz w:val="16"/>
        </w:rPr>
        <w:t>as we wrote to our Shareholders last </w:t>
      </w:r>
      <w:r>
        <w:rPr>
          <w:color w:val="292425"/>
          <w:spacing w:val="-4"/>
          <w:w w:val="105"/>
          <w:sz w:val="16"/>
        </w:rPr>
        <w:t>year, </w:t>
      </w:r>
      <w:r>
        <w:rPr>
          <w:color w:val="292425"/>
          <w:w w:val="105"/>
          <w:sz w:val="16"/>
        </w:rPr>
        <w:t>our wonderful </w:t>
      </w:r>
      <w:r>
        <w:rPr>
          <w:color w:val="292425"/>
          <w:spacing w:val="-3"/>
          <w:w w:val="105"/>
          <w:sz w:val="16"/>
        </w:rPr>
        <w:t>People’s </w:t>
      </w:r>
      <w:r>
        <w:rPr>
          <w:color w:val="292425"/>
          <w:w w:val="105"/>
          <w:sz w:val="16"/>
        </w:rPr>
        <w:t>brave hearts are both informed and inspired by </w:t>
      </w:r>
      <w:r>
        <w:rPr>
          <w:color w:val="292425"/>
          <w:spacing w:val="-4"/>
          <w:w w:val="105"/>
          <w:sz w:val="16"/>
        </w:rPr>
        <w:t>Todd </w:t>
      </w:r>
      <w:r>
        <w:rPr>
          <w:color w:val="292425"/>
          <w:spacing w:val="-3"/>
          <w:w w:val="105"/>
          <w:sz w:val="16"/>
        </w:rPr>
        <w:t>Beamer’s </w:t>
      </w:r>
      <w:r>
        <w:rPr>
          <w:color w:val="292425"/>
          <w:w w:val="105"/>
          <w:sz w:val="16"/>
        </w:rPr>
        <w:t>brave</w:t>
      </w:r>
      <w:r>
        <w:rPr>
          <w:color w:val="292425"/>
          <w:spacing w:val="15"/>
          <w:w w:val="105"/>
          <w:sz w:val="16"/>
        </w:rPr>
        <w:t> </w:t>
      </w:r>
      <w:r>
        <w:rPr>
          <w:color w:val="292425"/>
          <w:w w:val="105"/>
          <w:sz w:val="16"/>
        </w:rPr>
        <w:t>words</w:t>
      </w:r>
      <w:r>
        <w:rPr>
          <w:color w:val="292425"/>
          <w:spacing w:val="15"/>
          <w:w w:val="105"/>
          <w:sz w:val="16"/>
        </w:rPr>
        <w:t> </w:t>
      </w:r>
      <w:r>
        <w:rPr>
          <w:color w:val="292425"/>
          <w:w w:val="105"/>
          <w:sz w:val="16"/>
        </w:rPr>
        <w:t>–</w:t>
      </w:r>
      <w:r>
        <w:rPr>
          <w:color w:val="292425"/>
          <w:spacing w:val="15"/>
          <w:w w:val="105"/>
          <w:sz w:val="16"/>
        </w:rPr>
        <w:t> </w:t>
      </w:r>
      <w:r>
        <w:rPr>
          <w:color w:val="292425"/>
          <w:w w:val="105"/>
          <w:sz w:val="16"/>
        </w:rPr>
        <w:t>and</w:t>
      </w:r>
      <w:r>
        <w:rPr>
          <w:color w:val="292425"/>
          <w:spacing w:val="15"/>
          <w:w w:val="105"/>
          <w:sz w:val="16"/>
        </w:rPr>
        <w:t> </w:t>
      </w:r>
      <w:r>
        <w:rPr>
          <w:color w:val="292425"/>
          <w:w w:val="105"/>
          <w:sz w:val="16"/>
        </w:rPr>
        <w:t>his</w:t>
      </w:r>
      <w:r>
        <w:rPr>
          <w:color w:val="292425"/>
          <w:spacing w:val="15"/>
          <w:w w:val="105"/>
          <w:sz w:val="16"/>
        </w:rPr>
        <w:t> </w:t>
      </w:r>
      <w:r>
        <w:rPr>
          <w:color w:val="292425"/>
          <w:w w:val="105"/>
          <w:sz w:val="16"/>
        </w:rPr>
        <w:t>devotion</w:t>
      </w:r>
      <w:r>
        <w:rPr>
          <w:color w:val="292425"/>
          <w:spacing w:val="15"/>
          <w:w w:val="105"/>
          <w:sz w:val="16"/>
        </w:rPr>
        <w:t> </w:t>
      </w:r>
      <w:r>
        <w:rPr>
          <w:color w:val="292425"/>
          <w:w w:val="105"/>
          <w:sz w:val="16"/>
        </w:rPr>
        <w:t>to</w:t>
      </w:r>
      <w:r>
        <w:rPr>
          <w:color w:val="292425"/>
          <w:spacing w:val="15"/>
          <w:w w:val="105"/>
          <w:sz w:val="16"/>
        </w:rPr>
        <w:t> </w:t>
      </w:r>
      <w:r>
        <w:rPr>
          <w:color w:val="292425"/>
          <w:w w:val="105"/>
          <w:sz w:val="16"/>
        </w:rPr>
        <w:t>the</w:t>
      </w:r>
      <w:r>
        <w:rPr>
          <w:color w:val="292425"/>
          <w:spacing w:val="15"/>
          <w:w w:val="105"/>
          <w:sz w:val="16"/>
        </w:rPr>
        <w:t> </w:t>
      </w:r>
      <w:r>
        <w:rPr>
          <w:color w:val="292425"/>
          <w:w w:val="105"/>
          <w:sz w:val="16"/>
        </w:rPr>
        <w:t>concept</w:t>
      </w:r>
      <w:r>
        <w:rPr>
          <w:color w:val="292425"/>
          <w:spacing w:val="15"/>
          <w:w w:val="105"/>
          <w:sz w:val="16"/>
        </w:rPr>
        <w:t> </w:t>
      </w:r>
      <w:r>
        <w:rPr>
          <w:color w:val="292425"/>
          <w:w w:val="105"/>
          <w:sz w:val="16"/>
        </w:rPr>
        <w:t>of</w:t>
      </w:r>
      <w:r>
        <w:rPr>
          <w:color w:val="292425"/>
          <w:spacing w:val="15"/>
          <w:w w:val="105"/>
          <w:sz w:val="16"/>
        </w:rPr>
        <w:t> </w:t>
      </w:r>
      <w:r>
        <w:rPr>
          <w:color w:val="292425"/>
          <w:w w:val="105"/>
          <w:sz w:val="16"/>
        </w:rPr>
        <w:t>duty</w:t>
      </w:r>
      <w:r>
        <w:rPr>
          <w:color w:val="292425"/>
          <w:spacing w:val="15"/>
          <w:w w:val="105"/>
          <w:sz w:val="16"/>
        </w:rPr>
        <w:t> </w:t>
      </w:r>
      <w:r>
        <w:rPr>
          <w:color w:val="292425"/>
          <w:w w:val="105"/>
          <w:sz w:val="16"/>
        </w:rPr>
        <w:t>with</w:t>
      </w:r>
      <w:r>
        <w:rPr>
          <w:color w:val="292425"/>
          <w:spacing w:val="15"/>
          <w:w w:val="105"/>
          <w:sz w:val="16"/>
        </w:rPr>
        <w:t> </w:t>
      </w:r>
      <w:r>
        <w:rPr>
          <w:color w:val="292425"/>
          <w:w w:val="105"/>
          <w:sz w:val="16"/>
        </w:rPr>
        <w:t>honor:</w:t>
      </w:r>
      <w:r>
        <w:rPr>
          <w:color w:val="292425"/>
          <w:spacing w:val="14"/>
          <w:w w:val="105"/>
          <w:sz w:val="16"/>
        </w:rPr>
        <w:t> </w:t>
      </w:r>
      <w:r>
        <w:rPr>
          <w:color w:val="292425"/>
          <w:w w:val="105"/>
          <w:sz w:val="16"/>
        </w:rPr>
        <w:t>“LET’S</w:t>
      </w:r>
      <w:r>
        <w:rPr>
          <w:color w:val="292425"/>
          <w:spacing w:val="15"/>
          <w:w w:val="105"/>
          <w:sz w:val="16"/>
        </w:rPr>
        <w:t> </w:t>
      </w:r>
      <w:r>
        <w:rPr>
          <w:color w:val="292425"/>
          <w:spacing w:val="-3"/>
          <w:w w:val="105"/>
          <w:sz w:val="16"/>
        </w:rPr>
        <w:t>ROLL.”</w:t>
      </w:r>
    </w:p>
    <w:p>
      <w:pPr>
        <w:pStyle w:val="BodyText"/>
        <w:rPr>
          <w:sz w:val="18"/>
        </w:rPr>
      </w:pPr>
    </w:p>
    <w:p>
      <w:pPr>
        <w:pStyle w:val="BodyText"/>
        <w:rPr>
          <w:sz w:val="18"/>
        </w:rPr>
      </w:pPr>
    </w:p>
    <w:p>
      <w:pPr>
        <w:pStyle w:val="BodyText"/>
        <w:spacing w:before="1"/>
        <w:rPr>
          <w:sz w:val="26"/>
        </w:rPr>
      </w:pPr>
    </w:p>
    <w:p>
      <w:pPr>
        <w:spacing w:line="468" w:lineRule="auto" w:before="0"/>
        <w:ind w:left="1137" w:right="9559" w:firstLine="0"/>
        <w:jc w:val="left"/>
        <w:rPr>
          <w:sz w:val="16"/>
        </w:rPr>
      </w:pPr>
      <w:r>
        <w:rPr>
          <w:color w:val="292425"/>
          <w:w w:val="110"/>
          <w:sz w:val="16"/>
        </w:rPr>
        <w:t>January 20, 2003 </w:t>
      </w:r>
      <w:r>
        <w:rPr>
          <w:color w:val="292425"/>
          <w:w w:val="105"/>
          <w:sz w:val="16"/>
        </w:rPr>
        <w:t>Most sincerely,</w:t>
      </w:r>
    </w:p>
    <w:p>
      <w:pPr>
        <w:pStyle w:val="BodyText"/>
      </w:pPr>
    </w:p>
    <w:p>
      <w:pPr>
        <w:pStyle w:val="BodyText"/>
        <w:spacing w:before="9"/>
        <w:rPr>
          <w:sz w:val="16"/>
        </w:rPr>
      </w:pPr>
      <w:r>
        <w:rPr/>
        <w:drawing>
          <wp:anchor distT="0" distB="0" distL="0" distR="0" allowOverlap="1" layoutInCell="1" locked="0" behindDoc="0" simplePos="0" relativeHeight="2128">
            <wp:simplePos x="0" y="0"/>
            <wp:positionH relativeFrom="page">
              <wp:posOffset>685800</wp:posOffset>
            </wp:positionH>
            <wp:positionV relativeFrom="paragraph">
              <wp:posOffset>251870</wp:posOffset>
            </wp:positionV>
            <wp:extent cx="1308501" cy="293369"/>
            <wp:effectExtent l="0" t="0" r="0" b="0"/>
            <wp:wrapTopAndBottom/>
            <wp:docPr id="3" name="image2.png" descr=""/>
            <wp:cNvGraphicFramePr>
              <a:graphicFrameLocks noChangeAspect="1"/>
            </wp:cNvGraphicFramePr>
            <a:graphic>
              <a:graphicData uri="http://schemas.openxmlformats.org/drawingml/2006/picture">
                <pic:pic>
                  <pic:nvPicPr>
                    <pic:cNvPr id="4" name="image2.png"/>
                    <pic:cNvPicPr/>
                  </pic:nvPicPr>
                  <pic:blipFill>
                    <a:blip r:embed="rId10" cstate="print"/>
                    <a:stretch>
                      <a:fillRect/>
                    </a:stretch>
                  </pic:blipFill>
                  <pic:spPr>
                    <a:xfrm>
                      <a:off x="0" y="0"/>
                      <a:ext cx="1308501" cy="293369"/>
                    </a:xfrm>
                    <a:prstGeom prst="rect">
                      <a:avLst/>
                    </a:prstGeom>
                  </pic:spPr>
                </pic:pic>
              </a:graphicData>
            </a:graphic>
          </wp:anchor>
        </w:drawing>
      </w:r>
      <w:r>
        <w:rPr/>
        <w:drawing>
          <wp:anchor distT="0" distB="0" distL="0" distR="0" allowOverlap="1" layoutInCell="1" locked="0" behindDoc="0" simplePos="0" relativeHeight="2152">
            <wp:simplePos x="0" y="0"/>
            <wp:positionH relativeFrom="page">
              <wp:posOffset>5467858</wp:posOffset>
            </wp:positionH>
            <wp:positionV relativeFrom="paragraph">
              <wp:posOffset>154779</wp:posOffset>
            </wp:positionV>
            <wp:extent cx="1109779" cy="428625"/>
            <wp:effectExtent l="0" t="0" r="0" b="0"/>
            <wp:wrapTopAndBottom/>
            <wp:docPr id="5" name="image3.png" descr=""/>
            <wp:cNvGraphicFramePr>
              <a:graphicFrameLocks noChangeAspect="1"/>
            </wp:cNvGraphicFramePr>
            <a:graphic>
              <a:graphicData uri="http://schemas.openxmlformats.org/drawingml/2006/picture">
                <pic:pic>
                  <pic:nvPicPr>
                    <pic:cNvPr id="6" name="image3.png"/>
                    <pic:cNvPicPr/>
                  </pic:nvPicPr>
                  <pic:blipFill>
                    <a:blip r:embed="rId11" cstate="print"/>
                    <a:stretch>
                      <a:fillRect/>
                    </a:stretch>
                  </pic:blipFill>
                  <pic:spPr>
                    <a:xfrm>
                      <a:off x="0" y="0"/>
                      <a:ext cx="1109779" cy="428625"/>
                    </a:xfrm>
                    <a:prstGeom prst="rect">
                      <a:avLst/>
                    </a:prstGeom>
                  </pic:spPr>
                </pic:pic>
              </a:graphicData>
            </a:graphic>
          </wp:anchor>
        </w:drawing>
      </w:r>
    </w:p>
    <w:p>
      <w:pPr>
        <w:pStyle w:val="BodyText"/>
        <w:spacing w:before="8"/>
        <w:rPr>
          <w:sz w:val="5"/>
        </w:rPr>
      </w:pPr>
    </w:p>
    <w:p>
      <w:pPr>
        <w:spacing w:after="0"/>
        <w:rPr>
          <w:sz w:val="5"/>
        </w:rPr>
        <w:sectPr>
          <w:headerReference w:type="even" r:id="rId9"/>
          <w:pgSz w:w="12240" w:h="15840"/>
          <w:pgMar w:header="0" w:footer="0" w:top="360" w:bottom="280" w:left="0" w:right="0"/>
        </w:sectPr>
      </w:pPr>
    </w:p>
    <w:p>
      <w:pPr>
        <w:spacing w:line="180" w:lineRule="exact" w:before="88"/>
        <w:ind w:left="1151" w:right="217" w:firstLine="0"/>
        <w:jc w:val="left"/>
        <w:rPr>
          <w:sz w:val="15"/>
        </w:rPr>
      </w:pPr>
      <w:r>
        <w:rPr/>
        <w:pict>
          <v:group style="position:absolute;margin-left:-.25pt;margin-top:29.405802pt;width:612.5pt;height:144.25pt;mso-position-horizontal-relative:page;mso-position-vertical-relative:paragraph;z-index:-281176" coordorigin="-5,588" coordsize="12250,2885">
            <v:shape style="position:absolute;left:8628;top:588;width:2880;height:2880" type="#_x0000_t75" stroked="false">
              <v:imagedata r:id="rId12" o:title=""/>
            </v:shape>
            <v:shape style="position:absolute;left:4848;top:588;width:2880;height:2880" type="#_x0000_t75" stroked="false">
              <v:imagedata r:id="rId13" o:title=""/>
            </v:shape>
            <v:shape style="position:absolute;left:1080;top:588;width:2880;height:2880" type="#_x0000_t75" stroked="false">
              <v:imagedata r:id="rId14" o:title=""/>
            </v:shape>
            <v:line style="position:absolute" from="0,3468" to="12240,3468" stroked="true" strokeweight=".5pt" strokecolor="#292425">
              <v:stroke dashstyle="solid"/>
            </v:line>
            <w10:wrap type="none"/>
          </v:group>
        </w:pict>
      </w:r>
      <w:r>
        <w:rPr>
          <w:color w:val="292425"/>
          <w:w w:val="105"/>
          <w:sz w:val="15"/>
        </w:rPr>
        <w:t>Herbert D. Kelleher Chairman of the Board</w:t>
      </w:r>
    </w:p>
    <w:p>
      <w:pPr>
        <w:spacing w:line="182" w:lineRule="exact" w:before="90"/>
        <w:ind w:left="1080" w:right="0" w:firstLine="0"/>
        <w:jc w:val="left"/>
        <w:rPr>
          <w:sz w:val="15"/>
        </w:rPr>
      </w:pPr>
      <w:r>
        <w:rPr/>
        <w:br w:type="column"/>
      </w:r>
      <w:r>
        <w:rPr>
          <w:color w:val="292425"/>
          <w:w w:val="110"/>
          <w:sz w:val="15"/>
        </w:rPr>
        <w:t>James F. Parker</w:t>
      </w:r>
    </w:p>
    <w:p>
      <w:pPr>
        <w:spacing w:line="182" w:lineRule="exact" w:before="0"/>
        <w:ind w:left="1080" w:right="0" w:firstLine="0"/>
        <w:jc w:val="left"/>
        <w:rPr>
          <w:sz w:val="15"/>
        </w:rPr>
      </w:pPr>
      <w:r>
        <w:rPr/>
        <w:drawing>
          <wp:anchor distT="0" distB="0" distL="0" distR="0" allowOverlap="1" layoutInCell="1" locked="0" behindDoc="1" simplePos="0" relativeHeight="268154255">
            <wp:simplePos x="0" y="0"/>
            <wp:positionH relativeFrom="page">
              <wp:posOffset>3081997</wp:posOffset>
            </wp:positionH>
            <wp:positionV relativeFrom="paragraph">
              <wp:posOffset>-650766</wp:posOffset>
            </wp:positionV>
            <wp:extent cx="1053934" cy="642162"/>
            <wp:effectExtent l="0" t="0" r="0" b="0"/>
            <wp:wrapNone/>
            <wp:docPr id="7" name="image7.png" descr=""/>
            <wp:cNvGraphicFramePr>
              <a:graphicFrameLocks noChangeAspect="1"/>
            </wp:cNvGraphicFramePr>
            <a:graphic>
              <a:graphicData uri="http://schemas.openxmlformats.org/drawingml/2006/picture">
                <pic:pic>
                  <pic:nvPicPr>
                    <pic:cNvPr id="8" name="image7.png"/>
                    <pic:cNvPicPr/>
                  </pic:nvPicPr>
                  <pic:blipFill>
                    <a:blip r:embed="rId15" cstate="print"/>
                    <a:stretch>
                      <a:fillRect/>
                    </a:stretch>
                  </pic:blipFill>
                  <pic:spPr>
                    <a:xfrm>
                      <a:off x="0" y="0"/>
                      <a:ext cx="1053934" cy="642162"/>
                    </a:xfrm>
                    <a:prstGeom prst="rect">
                      <a:avLst/>
                    </a:prstGeom>
                  </pic:spPr>
                </pic:pic>
              </a:graphicData>
            </a:graphic>
          </wp:anchor>
        </w:drawing>
      </w:r>
      <w:r>
        <w:rPr>
          <w:color w:val="292425"/>
          <w:w w:val="105"/>
          <w:sz w:val="15"/>
        </w:rPr>
        <w:t>Vice  Chairman  and</w:t>
      </w:r>
      <w:r>
        <w:rPr>
          <w:color w:val="292425"/>
          <w:spacing w:val="-18"/>
          <w:w w:val="105"/>
          <w:sz w:val="15"/>
        </w:rPr>
        <w:t> </w:t>
      </w:r>
      <w:r>
        <w:rPr>
          <w:color w:val="292425"/>
          <w:w w:val="105"/>
          <w:sz w:val="15"/>
        </w:rPr>
        <w:t>CEO</w:t>
      </w:r>
    </w:p>
    <w:p>
      <w:pPr>
        <w:spacing w:line="180" w:lineRule="exact" w:before="76"/>
        <w:ind w:left="1166" w:right="1826" w:firstLine="0"/>
        <w:jc w:val="left"/>
        <w:rPr>
          <w:sz w:val="15"/>
        </w:rPr>
      </w:pPr>
      <w:r>
        <w:rPr/>
        <w:br w:type="column"/>
      </w:r>
      <w:r>
        <w:rPr>
          <w:color w:val="292425"/>
          <w:w w:val="105"/>
          <w:sz w:val="15"/>
        </w:rPr>
        <w:t>Colleen C. Barrett President and COO</w:t>
      </w:r>
    </w:p>
    <w:p>
      <w:pPr>
        <w:spacing w:after="0" w:line="180" w:lineRule="exact"/>
        <w:jc w:val="left"/>
        <w:rPr>
          <w:sz w:val="15"/>
        </w:rPr>
        <w:sectPr>
          <w:type w:val="continuous"/>
          <w:pgSz w:w="12240" w:h="15840"/>
          <w:pgMar w:top="0" w:bottom="280" w:left="0" w:right="0"/>
          <w:cols w:num="3" w:equalWidth="0">
            <w:col w:w="3201" w:space="676"/>
            <w:col w:w="2650" w:space="1003"/>
            <w:col w:w="4710"/>
          </w:cols>
        </w:sectPr>
      </w:pPr>
    </w:p>
    <w:p>
      <w:pPr>
        <w:spacing w:after="0" w:line="180" w:lineRule="exact"/>
        <w:jc w:val="left"/>
        <w:rPr>
          <w:sz w:val="15"/>
        </w:rPr>
        <w:sectPr>
          <w:type w:val="continuous"/>
          <w:pgSz w:w="12240" w:h="15840"/>
          <w:pgMar w:top="0" w:bottom="280" w:left="0" w:right="0"/>
        </w:sectPr>
      </w:pPr>
    </w:p>
    <w:p>
      <w:pPr>
        <w:tabs>
          <w:tab w:pos="536" w:val="left" w:leader="none"/>
        </w:tabs>
        <w:spacing w:before="5"/>
        <w:ind w:left="116" w:right="0" w:firstLine="0"/>
        <w:jc w:val="left"/>
        <w:rPr>
          <w:sz w:val="12"/>
        </w:rPr>
      </w:pPr>
      <w:bookmarkStart w:name="Narrative" w:id="3"/>
      <w:bookmarkEnd w:id="3"/>
      <w:r>
        <w:rPr/>
      </w:r>
      <w:r>
        <w:rPr>
          <w:color w:val="292425"/>
          <w:w w:val="145"/>
          <w:sz w:val="14"/>
        </w:rPr>
        <w:t>4</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9" name="image1.png" descr=""/>
            <wp:cNvGraphicFramePr>
              <a:graphicFrameLocks noChangeAspect="1"/>
            </wp:cNvGraphicFramePr>
            <a:graphic>
              <a:graphicData uri="http://schemas.openxmlformats.org/drawingml/2006/picture">
                <pic:pic>
                  <pic:nvPicPr>
                    <pic:cNvPr id="10"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pPr>
    </w:p>
    <w:p>
      <w:pPr>
        <w:pStyle w:val="BodyText"/>
      </w:pPr>
    </w:p>
    <w:p>
      <w:pPr>
        <w:pStyle w:val="BodyText"/>
      </w:pPr>
    </w:p>
    <w:p>
      <w:pPr>
        <w:pStyle w:val="BodyText"/>
        <w:spacing w:before="7"/>
        <w:rPr>
          <w:sz w:val="22"/>
        </w:rPr>
      </w:pPr>
    </w:p>
    <w:p>
      <w:pPr>
        <w:spacing w:line="393" w:lineRule="auto" w:before="91"/>
        <w:ind w:left="4486" w:right="2912" w:firstLine="0"/>
        <w:jc w:val="both"/>
        <w:rPr>
          <w:i/>
          <w:sz w:val="14"/>
        </w:rPr>
      </w:pPr>
      <w:r>
        <w:rPr>
          <w:i/>
          <w:color w:val="292425"/>
          <w:w w:val="105"/>
          <w:sz w:val="14"/>
        </w:rPr>
        <w:t>Last year, Southwest unveiled our new look for a new </w:t>
      </w:r>
      <w:r>
        <w:rPr>
          <w:i/>
          <w:color w:val="292425"/>
          <w:w w:val="105"/>
          <w:sz w:val="14"/>
        </w:rPr>
        <w:t>millennium — beautiful Canyon Blue jets with all-leather interiors. Soon, our entire Spirit Series fleet will display this proud new look and  feel.</w:t>
      </w:r>
    </w:p>
    <w:p>
      <w:pPr>
        <w:pStyle w:val="BodyText"/>
        <w:rPr>
          <w:i/>
        </w:rPr>
      </w:pPr>
    </w:p>
    <w:p>
      <w:pPr>
        <w:pStyle w:val="BodyText"/>
        <w:rPr>
          <w:i/>
        </w:rPr>
      </w:pPr>
    </w:p>
    <w:p>
      <w:pPr>
        <w:pStyle w:val="BodyText"/>
        <w:rPr>
          <w:i/>
        </w:rPr>
      </w:pPr>
    </w:p>
    <w:p>
      <w:pPr>
        <w:pStyle w:val="BodyText"/>
        <w:rPr>
          <w:i/>
        </w:rPr>
      </w:pPr>
    </w:p>
    <w:p>
      <w:pPr>
        <w:pStyle w:val="BodyText"/>
        <w:spacing w:before="11"/>
        <w:rPr>
          <w:i/>
          <w:sz w:val="16"/>
        </w:rPr>
      </w:pPr>
      <w:r>
        <w:rPr/>
        <w:pict>
          <v:shape style="position:absolute;margin-left:223.809998pt;margin-top:11.537024pt;width:162pt;height:36pt;mso-position-horizontal-relative:page;mso-position-vertical-relative:paragraph;z-index:2248;mso-wrap-distance-left:0;mso-wrap-distance-right:0" type="#_x0000_t202" filled="true" fillcolor="#febd15" stroked="false">
            <v:textbox inset="0,0,0,0">
              <w:txbxContent>
                <w:p>
                  <w:pPr>
                    <w:spacing w:before="231"/>
                    <w:ind w:left="899" w:right="0" w:firstLine="0"/>
                    <w:jc w:val="left"/>
                    <w:rPr>
                      <w:sz w:val="22"/>
                    </w:rPr>
                  </w:pPr>
                  <w:r>
                    <w:rPr>
                      <w:color w:val="FFFFFF"/>
                      <w:w w:val="130"/>
                      <w:sz w:val="22"/>
                    </w:rPr>
                    <w:t>FREEDO M</w:t>
                  </w:r>
                </w:p>
              </w:txbxContent>
            </v:textbox>
            <v:fill type="solid"/>
            <w10:wrap type="topAndBottom"/>
          </v:shape>
        </w:pic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sz w:val="27"/>
        </w:rPr>
      </w:pPr>
    </w:p>
    <w:p>
      <w:pPr>
        <w:spacing w:after="0"/>
        <w:rPr>
          <w:sz w:val="27"/>
        </w:rPr>
        <w:sectPr>
          <w:headerReference w:type="default" r:id="rId16"/>
          <w:pgSz w:w="12240" w:h="15840"/>
          <w:pgMar w:header="0" w:footer="0" w:top="360" w:bottom="280" w:left="360" w:right="1080"/>
        </w:sectPr>
      </w:pPr>
    </w:p>
    <w:p>
      <w:pPr>
        <w:pStyle w:val="BodyText"/>
        <w:rPr>
          <w:i/>
          <w:sz w:val="12"/>
        </w:rPr>
      </w:pPr>
    </w:p>
    <w:p>
      <w:pPr>
        <w:pStyle w:val="BodyText"/>
        <w:rPr>
          <w:i/>
          <w:sz w:val="12"/>
        </w:rPr>
      </w:pPr>
    </w:p>
    <w:p>
      <w:pPr>
        <w:pStyle w:val="BodyText"/>
        <w:spacing w:before="9"/>
        <w:rPr>
          <w:i/>
          <w:sz w:val="17"/>
        </w:rPr>
      </w:pPr>
    </w:p>
    <w:p>
      <w:pPr>
        <w:spacing w:before="1"/>
        <w:ind w:left="0" w:right="0" w:firstLine="0"/>
        <w:jc w:val="right"/>
        <w:rPr>
          <w:sz w:val="11"/>
        </w:rPr>
      </w:pPr>
      <w:r>
        <w:rPr>
          <w:color w:val="292425"/>
          <w:sz w:val="11"/>
        </w:rPr>
        <w:t>8.76¢</w:t>
      </w:r>
    </w:p>
    <w:p>
      <w:pPr>
        <w:pStyle w:val="BodyText"/>
        <w:rPr>
          <w:sz w:val="12"/>
        </w:rPr>
      </w:pPr>
      <w:r>
        <w:rPr/>
        <w:br w:type="column"/>
      </w:r>
      <w:r>
        <w:rPr>
          <w:sz w:val="12"/>
        </w:rPr>
      </w:r>
    </w:p>
    <w:p>
      <w:pPr>
        <w:pStyle w:val="BodyText"/>
        <w:rPr>
          <w:sz w:val="12"/>
        </w:rPr>
      </w:pPr>
    </w:p>
    <w:p>
      <w:pPr>
        <w:spacing w:before="84"/>
        <w:ind w:left="137" w:right="0" w:firstLine="0"/>
        <w:jc w:val="left"/>
        <w:rPr>
          <w:sz w:val="11"/>
        </w:rPr>
      </w:pPr>
      <w:r>
        <w:rPr>
          <w:color w:val="292425"/>
          <w:sz w:val="11"/>
        </w:rPr>
        <w:t>8.96¢</w:t>
      </w:r>
    </w:p>
    <w:p>
      <w:pPr>
        <w:pStyle w:val="BodyText"/>
        <w:rPr>
          <w:sz w:val="12"/>
        </w:rPr>
      </w:pPr>
      <w:r>
        <w:rPr/>
        <w:br w:type="column"/>
      </w:r>
      <w:r>
        <w:rPr>
          <w:sz w:val="12"/>
        </w:rPr>
      </w:r>
    </w:p>
    <w:p>
      <w:pPr>
        <w:spacing w:before="90"/>
        <w:ind w:left="113" w:right="0" w:firstLine="0"/>
        <w:jc w:val="left"/>
        <w:rPr>
          <w:sz w:val="11"/>
        </w:rPr>
      </w:pPr>
      <w:r>
        <w:rPr>
          <w:color w:val="292425"/>
          <w:sz w:val="11"/>
        </w:rPr>
        <w:t>9.43¢</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3"/>
        <w:rPr>
          <w:sz w:val="9"/>
        </w:rPr>
      </w:pPr>
    </w:p>
    <w:p>
      <w:pPr>
        <w:spacing w:before="0"/>
        <w:ind w:left="119" w:right="0" w:firstLine="0"/>
        <w:jc w:val="left"/>
        <w:rPr>
          <w:sz w:val="11"/>
        </w:rPr>
      </w:pPr>
      <w:r>
        <w:rPr>
          <w:color w:val="292425"/>
          <w:sz w:val="11"/>
        </w:rPr>
        <w:t>8.51¢</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rPr>
          <w:sz w:val="12"/>
        </w:rPr>
      </w:pPr>
    </w:p>
    <w:p>
      <w:pPr>
        <w:spacing w:before="78"/>
        <w:ind w:left="106" w:right="0" w:firstLine="0"/>
        <w:jc w:val="left"/>
        <w:rPr>
          <w:sz w:val="11"/>
        </w:rPr>
      </w:pPr>
      <w:r>
        <w:rPr>
          <w:color w:val="292425"/>
          <w:sz w:val="11"/>
        </w:rPr>
        <w:t>8.02¢</w:t>
      </w:r>
    </w:p>
    <w:p>
      <w:pPr>
        <w:pStyle w:val="BodyText"/>
        <w:spacing w:before="9"/>
        <w:rPr>
          <w:sz w:val="11"/>
        </w:rPr>
      </w:pPr>
      <w:r>
        <w:rPr/>
        <w:br w:type="column"/>
      </w:r>
      <w:r>
        <w:rPr>
          <w:sz w:val="11"/>
        </w:rPr>
      </w:r>
    </w:p>
    <w:p>
      <w:pPr>
        <w:spacing w:before="0"/>
        <w:ind w:left="112" w:right="0" w:firstLine="0"/>
        <w:jc w:val="left"/>
        <w:rPr>
          <w:sz w:val="12"/>
        </w:rPr>
      </w:pPr>
      <w:r>
        <w:rPr>
          <w:color w:val="292425"/>
          <w:w w:val="105"/>
          <w:sz w:val="12"/>
        </w:rPr>
        <w:t>9.5¢</w:t>
      </w:r>
    </w:p>
    <w:p>
      <w:pPr>
        <w:spacing w:before="103"/>
        <w:ind w:left="112" w:right="0" w:firstLine="0"/>
        <w:jc w:val="left"/>
        <w:rPr>
          <w:sz w:val="12"/>
        </w:rPr>
      </w:pPr>
      <w:r>
        <w:rPr>
          <w:color w:val="292425"/>
          <w:w w:val="105"/>
          <w:sz w:val="12"/>
        </w:rPr>
        <w:t>9.0¢</w:t>
      </w:r>
    </w:p>
    <w:p>
      <w:pPr>
        <w:spacing w:before="103"/>
        <w:ind w:left="112" w:right="0" w:firstLine="0"/>
        <w:jc w:val="left"/>
        <w:rPr>
          <w:sz w:val="12"/>
        </w:rPr>
      </w:pPr>
      <w:r>
        <w:rPr>
          <w:color w:val="292425"/>
          <w:w w:val="105"/>
          <w:sz w:val="12"/>
        </w:rPr>
        <w:t>8.5¢</w:t>
      </w:r>
    </w:p>
    <w:p>
      <w:pPr>
        <w:spacing w:before="103"/>
        <w:ind w:left="112" w:right="0" w:firstLine="0"/>
        <w:jc w:val="left"/>
        <w:rPr>
          <w:sz w:val="12"/>
        </w:rPr>
      </w:pPr>
      <w:r>
        <w:rPr>
          <w:color w:val="292425"/>
          <w:w w:val="105"/>
          <w:sz w:val="12"/>
        </w:rPr>
        <w:t>8.0¢</w:t>
      </w:r>
    </w:p>
    <w:p>
      <w:pPr>
        <w:spacing w:before="103"/>
        <w:ind w:left="112" w:right="0" w:firstLine="0"/>
        <w:jc w:val="left"/>
        <w:rPr>
          <w:sz w:val="12"/>
        </w:rPr>
      </w:pPr>
      <w:r>
        <w:rPr>
          <w:color w:val="292425"/>
          <w:w w:val="105"/>
          <w:sz w:val="12"/>
        </w:rPr>
        <w:t>7.5¢</w:t>
      </w:r>
    </w:p>
    <w:p>
      <w:pPr>
        <w:spacing w:before="103"/>
        <w:ind w:left="112" w:right="0" w:firstLine="0"/>
        <w:jc w:val="left"/>
        <w:rPr>
          <w:sz w:val="12"/>
        </w:rPr>
      </w:pPr>
      <w:r>
        <w:rPr>
          <w:color w:val="292425"/>
          <w:w w:val="105"/>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2"/>
        <w:rPr>
          <w:sz w:val="15"/>
        </w:rPr>
      </w:pPr>
    </w:p>
    <w:p>
      <w:pPr>
        <w:spacing w:before="0"/>
        <w:ind w:left="0" w:right="0" w:firstLine="0"/>
        <w:jc w:val="right"/>
        <w:rPr>
          <w:sz w:val="11"/>
        </w:rPr>
      </w:pPr>
      <w:r>
        <w:rPr>
          <w:color w:val="292425"/>
          <w:sz w:val="11"/>
        </w:rPr>
        <w:t>7.32¢</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2"/>
        <w:rPr>
          <w:sz w:val="13"/>
        </w:rPr>
      </w:pPr>
    </w:p>
    <w:p>
      <w:pPr>
        <w:spacing w:before="0"/>
        <w:ind w:left="129" w:right="0" w:firstLine="0"/>
        <w:jc w:val="left"/>
        <w:rPr>
          <w:sz w:val="11"/>
        </w:rPr>
      </w:pPr>
      <w:r>
        <w:rPr>
          <w:color w:val="292425"/>
          <w:sz w:val="11"/>
        </w:rPr>
        <w:t>7.48¢</w:t>
      </w:r>
    </w:p>
    <w:p>
      <w:pPr>
        <w:pStyle w:val="BodyText"/>
        <w:spacing w:before="3"/>
        <w:rPr>
          <w:sz w:val="14"/>
        </w:rPr>
      </w:pPr>
      <w:r>
        <w:rPr/>
        <w:br w:type="column"/>
      </w:r>
      <w:r>
        <w:rPr>
          <w:sz w:val="14"/>
        </w:rPr>
      </w:r>
    </w:p>
    <w:p>
      <w:pPr>
        <w:spacing w:before="0"/>
        <w:ind w:left="118" w:right="0" w:firstLine="0"/>
        <w:jc w:val="left"/>
        <w:rPr>
          <w:sz w:val="11"/>
        </w:rPr>
      </w:pPr>
      <w:r>
        <w:rPr>
          <w:color w:val="292425"/>
          <w:sz w:val="11"/>
        </w:rPr>
        <w:t>7.73¢</w:t>
      </w:r>
    </w:p>
    <w:p>
      <w:pPr>
        <w:pStyle w:val="BodyText"/>
        <w:rPr>
          <w:sz w:val="12"/>
        </w:rPr>
      </w:pPr>
      <w:r>
        <w:rPr/>
        <w:br w:type="column"/>
      </w:r>
      <w:r>
        <w:rPr>
          <w:sz w:val="12"/>
        </w:rPr>
      </w:r>
    </w:p>
    <w:p>
      <w:pPr>
        <w:pStyle w:val="BodyText"/>
        <w:rPr>
          <w:sz w:val="12"/>
        </w:rPr>
      </w:pPr>
    </w:p>
    <w:p>
      <w:pPr>
        <w:pStyle w:val="BodyText"/>
        <w:spacing w:before="5"/>
        <w:rPr>
          <w:sz w:val="15"/>
        </w:rPr>
      </w:pPr>
    </w:p>
    <w:p>
      <w:pPr>
        <w:spacing w:before="0"/>
        <w:ind w:left="127" w:right="0" w:firstLine="0"/>
        <w:jc w:val="left"/>
        <w:rPr>
          <w:sz w:val="11"/>
        </w:rPr>
      </w:pPr>
      <w:r>
        <w:rPr>
          <w:color w:val="292425"/>
          <w:sz w:val="11"/>
        </w:rPr>
        <w:t>7.54¢</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10"/>
        <w:rPr>
          <w:sz w:val="14"/>
        </w:rPr>
      </w:pPr>
    </w:p>
    <w:p>
      <w:pPr>
        <w:spacing w:before="0"/>
        <w:ind w:left="98" w:right="0" w:firstLine="0"/>
        <w:jc w:val="left"/>
        <w:rPr>
          <w:sz w:val="11"/>
        </w:rPr>
      </w:pPr>
      <w:r>
        <w:rPr>
          <w:color w:val="292425"/>
          <w:sz w:val="11"/>
        </w:rPr>
        <w:t>7.41¢</w:t>
      </w:r>
    </w:p>
    <w:p>
      <w:pPr>
        <w:pStyle w:val="BodyText"/>
        <w:spacing w:before="10"/>
        <w:rPr>
          <w:sz w:val="12"/>
        </w:rPr>
      </w:pPr>
      <w:r>
        <w:rPr/>
        <w:br w:type="column"/>
      </w:r>
      <w:r>
        <w:rPr>
          <w:sz w:val="12"/>
        </w:rPr>
      </w:r>
    </w:p>
    <w:p>
      <w:pPr>
        <w:spacing w:before="0"/>
        <w:ind w:left="113" w:right="0" w:firstLine="0"/>
        <w:jc w:val="left"/>
        <w:rPr>
          <w:sz w:val="12"/>
        </w:rPr>
      </w:pPr>
      <w:r>
        <w:rPr>
          <w:color w:val="292425"/>
          <w:w w:val="105"/>
          <w:sz w:val="12"/>
        </w:rPr>
        <w:t>7.8¢</w:t>
      </w:r>
    </w:p>
    <w:p>
      <w:pPr>
        <w:pStyle w:val="BodyText"/>
        <w:spacing w:before="8"/>
        <w:rPr>
          <w:sz w:val="11"/>
        </w:rPr>
      </w:pPr>
    </w:p>
    <w:p>
      <w:pPr>
        <w:spacing w:before="1"/>
        <w:ind w:left="113" w:right="0" w:firstLine="0"/>
        <w:jc w:val="left"/>
        <w:rPr>
          <w:sz w:val="12"/>
        </w:rPr>
      </w:pPr>
      <w:r>
        <w:rPr>
          <w:color w:val="292425"/>
          <w:w w:val="105"/>
          <w:sz w:val="12"/>
        </w:rPr>
        <w:t>7.6¢</w:t>
      </w:r>
    </w:p>
    <w:p>
      <w:pPr>
        <w:pStyle w:val="BodyText"/>
        <w:spacing w:before="9"/>
        <w:rPr>
          <w:sz w:val="11"/>
        </w:rPr>
      </w:pPr>
    </w:p>
    <w:p>
      <w:pPr>
        <w:spacing w:before="0"/>
        <w:ind w:left="113" w:right="0" w:firstLine="0"/>
        <w:jc w:val="left"/>
        <w:rPr>
          <w:sz w:val="12"/>
        </w:rPr>
      </w:pPr>
      <w:r>
        <w:rPr>
          <w:color w:val="292425"/>
          <w:w w:val="105"/>
          <w:sz w:val="12"/>
        </w:rPr>
        <w:t>7.4¢</w:t>
      </w:r>
    </w:p>
    <w:p>
      <w:pPr>
        <w:pStyle w:val="BodyText"/>
        <w:spacing w:before="8"/>
        <w:rPr>
          <w:sz w:val="11"/>
        </w:rPr>
      </w:pPr>
    </w:p>
    <w:p>
      <w:pPr>
        <w:spacing w:before="1"/>
        <w:ind w:left="113" w:right="0" w:firstLine="0"/>
        <w:jc w:val="left"/>
        <w:rPr>
          <w:sz w:val="12"/>
        </w:rPr>
      </w:pPr>
      <w:r>
        <w:rPr>
          <w:color w:val="292425"/>
          <w:w w:val="105"/>
          <w:sz w:val="12"/>
        </w:rPr>
        <w:t>7.2¢</w:t>
      </w:r>
    </w:p>
    <w:p>
      <w:pPr>
        <w:pStyle w:val="BodyText"/>
        <w:spacing w:before="9"/>
        <w:rPr>
          <w:sz w:val="11"/>
        </w:rPr>
      </w:pPr>
    </w:p>
    <w:p>
      <w:pPr>
        <w:spacing w:before="0"/>
        <w:ind w:left="113" w:right="0" w:firstLine="0"/>
        <w:jc w:val="left"/>
        <w:rPr>
          <w:sz w:val="12"/>
        </w:rPr>
      </w:pPr>
      <w:r>
        <w:rPr>
          <w:color w:val="292425"/>
          <w:w w:val="105"/>
          <w:sz w:val="12"/>
        </w:rPr>
        <w:t>7.0¢</w:t>
      </w:r>
    </w:p>
    <w:p>
      <w:pPr>
        <w:pStyle w:val="BodyText"/>
        <w:rPr>
          <w:sz w:val="12"/>
        </w:rPr>
      </w:pPr>
      <w:r>
        <w:rPr/>
        <w:br w:type="column"/>
      </w:r>
      <w:r>
        <w:rPr>
          <w:sz w:val="12"/>
        </w:rPr>
      </w:r>
    </w:p>
    <w:p>
      <w:pPr>
        <w:pStyle w:val="BodyText"/>
        <w:rPr>
          <w:sz w:val="12"/>
        </w:rPr>
      </w:pPr>
    </w:p>
    <w:p>
      <w:pPr>
        <w:pStyle w:val="BodyText"/>
        <w:rPr>
          <w:sz w:val="12"/>
        </w:rPr>
      </w:pPr>
    </w:p>
    <w:p>
      <w:pPr>
        <w:pStyle w:val="BodyText"/>
        <w:rPr>
          <w:sz w:val="12"/>
        </w:rPr>
      </w:pPr>
    </w:p>
    <w:p>
      <w:pPr>
        <w:pStyle w:val="BodyText"/>
        <w:spacing w:before="3"/>
        <w:rPr>
          <w:sz w:val="14"/>
        </w:rPr>
      </w:pPr>
    </w:p>
    <w:p>
      <w:pPr>
        <w:spacing w:before="0"/>
        <w:ind w:left="0" w:right="0" w:firstLine="0"/>
        <w:jc w:val="right"/>
        <w:rPr>
          <w:sz w:val="11"/>
        </w:rPr>
      </w:pPr>
      <w:r>
        <w:rPr>
          <w:color w:val="292425"/>
          <w:sz w:val="11"/>
        </w:rPr>
        <w:t>47,544</w:t>
      </w:r>
    </w:p>
    <w:p>
      <w:pPr>
        <w:pStyle w:val="BodyText"/>
        <w:rPr>
          <w:sz w:val="12"/>
        </w:rPr>
      </w:pPr>
      <w:r>
        <w:rPr/>
        <w:br w:type="column"/>
      </w:r>
      <w:r>
        <w:rPr>
          <w:sz w:val="12"/>
        </w:rPr>
      </w:r>
    </w:p>
    <w:p>
      <w:pPr>
        <w:pStyle w:val="BodyText"/>
        <w:rPr>
          <w:sz w:val="12"/>
        </w:rPr>
      </w:pPr>
    </w:p>
    <w:p>
      <w:pPr>
        <w:pStyle w:val="BodyText"/>
        <w:rPr>
          <w:sz w:val="12"/>
        </w:rPr>
      </w:pPr>
    </w:p>
    <w:p>
      <w:pPr>
        <w:pStyle w:val="BodyText"/>
        <w:spacing w:before="8"/>
        <w:rPr>
          <w:sz w:val="11"/>
        </w:rPr>
      </w:pPr>
    </w:p>
    <w:p>
      <w:pPr>
        <w:spacing w:before="0"/>
        <w:ind w:left="81" w:right="0" w:firstLine="0"/>
        <w:jc w:val="left"/>
        <w:rPr>
          <w:sz w:val="11"/>
        </w:rPr>
      </w:pPr>
      <w:r>
        <w:rPr>
          <w:color w:val="292425"/>
          <w:sz w:val="11"/>
        </w:rPr>
        <w:t>52,855</w:t>
      </w:r>
    </w:p>
    <w:p>
      <w:pPr>
        <w:pStyle w:val="BodyText"/>
        <w:rPr>
          <w:sz w:val="12"/>
        </w:rPr>
      </w:pPr>
      <w:r>
        <w:rPr/>
        <w:br w:type="column"/>
      </w:r>
      <w:r>
        <w:rPr>
          <w:sz w:val="12"/>
        </w:rPr>
      </w:r>
    </w:p>
    <w:p>
      <w:pPr>
        <w:pStyle w:val="BodyText"/>
        <w:rPr>
          <w:sz w:val="12"/>
        </w:rPr>
      </w:pPr>
    </w:p>
    <w:p>
      <w:pPr>
        <w:spacing w:before="91"/>
        <w:ind w:left="55" w:right="0" w:firstLine="0"/>
        <w:jc w:val="left"/>
        <w:rPr>
          <w:sz w:val="11"/>
        </w:rPr>
      </w:pPr>
      <w:r>
        <w:rPr>
          <w:color w:val="292425"/>
          <w:sz w:val="11"/>
        </w:rPr>
        <w:t>59,910</w:t>
      </w:r>
    </w:p>
    <w:p>
      <w:pPr>
        <w:spacing w:before="100"/>
        <w:ind w:left="0" w:right="117" w:firstLine="0"/>
        <w:jc w:val="right"/>
        <w:rPr>
          <w:sz w:val="12"/>
        </w:rPr>
      </w:pPr>
      <w:r>
        <w:rPr/>
        <w:br w:type="column"/>
      </w:r>
      <w:r>
        <w:rPr>
          <w:color w:val="292425"/>
          <w:position w:val="-5"/>
          <w:sz w:val="11"/>
        </w:rPr>
        <w:t>65,295    </w:t>
      </w:r>
      <w:r>
        <w:rPr>
          <w:color w:val="292425"/>
          <w:sz w:val="11"/>
        </w:rPr>
        <w:t>68,887      </w:t>
      </w:r>
      <w:r>
        <w:rPr>
          <w:color w:val="292425"/>
          <w:position w:val="2"/>
          <w:sz w:val="12"/>
        </w:rPr>
        <w:t>70</w:t>
      </w:r>
    </w:p>
    <w:p>
      <w:pPr>
        <w:spacing w:before="75"/>
        <w:ind w:left="0" w:right="117" w:firstLine="0"/>
        <w:jc w:val="right"/>
        <w:rPr>
          <w:sz w:val="12"/>
        </w:rPr>
      </w:pPr>
      <w:r>
        <w:rPr>
          <w:color w:val="292425"/>
          <w:w w:val="105"/>
          <w:sz w:val="12"/>
        </w:rPr>
        <w:t>60</w:t>
      </w:r>
    </w:p>
    <w:p>
      <w:pPr>
        <w:pStyle w:val="BodyText"/>
        <w:spacing w:before="7"/>
        <w:rPr>
          <w:sz w:val="12"/>
        </w:rPr>
      </w:pPr>
    </w:p>
    <w:p>
      <w:pPr>
        <w:spacing w:before="0"/>
        <w:ind w:left="0" w:right="117" w:firstLine="0"/>
        <w:jc w:val="right"/>
        <w:rPr>
          <w:sz w:val="12"/>
        </w:rPr>
      </w:pPr>
      <w:r>
        <w:rPr>
          <w:color w:val="292425"/>
          <w:w w:val="105"/>
          <w:sz w:val="12"/>
        </w:rPr>
        <w:t>50</w:t>
      </w:r>
    </w:p>
    <w:p>
      <w:pPr>
        <w:pStyle w:val="BodyText"/>
        <w:spacing w:before="6"/>
        <w:rPr>
          <w:sz w:val="12"/>
        </w:rPr>
      </w:pPr>
    </w:p>
    <w:p>
      <w:pPr>
        <w:spacing w:before="1"/>
        <w:ind w:left="0" w:right="117" w:firstLine="0"/>
        <w:jc w:val="right"/>
        <w:rPr>
          <w:sz w:val="12"/>
        </w:rPr>
      </w:pPr>
      <w:r>
        <w:rPr>
          <w:color w:val="292425"/>
          <w:w w:val="105"/>
          <w:sz w:val="12"/>
        </w:rPr>
        <w:t>40</w:t>
      </w:r>
    </w:p>
    <w:p>
      <w:pPr>
        <w:pStyle w:val="BodyText"/>
        <w:spacing w:before="7"/>
        <w:rPr>
          <w:sz w:val="12"/>
        </w:rPr>
      </w:pPr>
    </w:p>
    <w:p>
      <w:pPr>
        <w:spacing w:before="0"/>
        <w:ind w:left="0" w:right="117" w:firstLine="0"/>
        <w:jc w:val="right"/>
        <w:rPr>
          <w:sz w:val="12"/>
        </w:rPr>
      </w:pPr>
      <w:r>
        <w:rPr>
          <w:color w:val="292425"/>
          <w:w w:val="105"/>
          <w:sz w:val="12"/>
        </w:rPr>
        <w:t>30</w:t>
      </w:r>
    </w:p>
    <w:p>
      <w:pPr>
        <w:spacing w:after="0"/>
        <w:jc w:val="right"/>
        <w:rPr>
          <w:sz w:val="12"/>
        </w:rPr>
        <w:sectPr>
          <w:type w:val="continuous"/>
          <w:pgSz w:w="12240" w:h="15840"/>
          <w:pgMar w:top="0" w:bottom="280" w:left="360" w:right="1080"/>
          <w:cols w:num="16" w:equalWidth="0">
            <w:col w:w="1107" w:space="40"/>
            <w:col w:w="400" w:space="40"/>
            <w:col w:w="376" w:space="40"/>
            <w:col w:w="382" w:space="40"/>
            <w:col w:w="369" w:space="40"/>
            <w:col w:w="346" w:space="679"/>
            <w:col w:w="1107" w:space="40"/>
            <w:col w:w="392" w:space="40"/>
            <w:col w:w="381" w:space="40"/>
            <w:col w:w="390" w:space="40"/>
            <w:col w:w="362" w:space="40"/>
            <w:col w:w="348" w:space="512"/>
            <w:col w:w="1165" w:space="40"/>
            <w:col w:w="403" w:space="40"/>
            <w:col w:w="377" w:space="40"/>
            <w:col w:w="1184"/>
          </w:cols>
        </w:sectPr>
      </w:pPr>
    </w:p>
    <w:p>
      <w:pPr>
        <w:spacing w:before="108"/>
        <w:ind w:left="823" w:right="0" w:firstLine="0"/>
        <w:jc w:val="left"/>
        <w:rPr>
          <w:sz w:val="12"/>
        </w:rPr>
      </w:pPr>
      <w:r>
        <w:rPr/>
        <w:pict>
          <v:group style="position:absolute;margin-left:-.25pt;margin-top:-.11pt;width:612.5pt;height:792.1pt;mso-position-horizontal-relative:page;mso-position-vertical-relative:page;z-index:-281128" coordorigin="-5,-2" coordsize="12250,15842">
            <v:line style="position:absolute" from="12239,-1" to="12239,15839" stroked="true" strokeweight=".1pt" strokecolor="#e2e3e3">
              <v:stroke dashstyle="solid"/>
            </v:line>
            <v:line style="position:absolute" from="720,360" to="720,720" stroked="true" strokeweight=".5pt" strokecolor="#292425">
              <v:stroke dashstyle="solid"/>
            </v:line>
            <v:line style="position:absolute" from="0,720" to="12240,720" stroked="true" strokeweight=".5pt" strokecolor="#292425">
              <v:stroke dashstyle="solid"/>
            </v:line>
            <v:shape style="position:absolute;left:0;top:3600;width:12240;height:8280" type="#_x0000_t75" stroked="false">
              <v:imagedata r:id="rId17" o:title=""/>
            </v:shape>
            <v:shape style="position:absolute;left:1251;top:13096;width:1835;height:1211" coordorigin="1251,13096" coordsize="1835,1211" path="m1396,13373l1251,13373,1251,14300,1396,14300,1396,13373m1838,13234l1692,13234,1692,14306,1838,14306,1838,13234m2251,13096l2105,13096,2105,14302,2251,14302,2251,13096m2684,13407l2538,13407,2538,14300,2684,14300,2684,13407m3086,13679l2940,13679,2940,14300,3086,14300,3086,13679e" filled="true" fillcolor="#4d82c2" stroked="false">
              <v:path arrowok="t"/>
              <v:fill type="solid"/>
            </v:shape>
            <v:shape style="position:absolute;left:1551;top:12752;width:1260;height:1710" coordorigin="1551,12752" coordsize="1260,1710" path="m2810,14462l2810,12752m2391,14462l2391,12752m1971,14462l1971,12752m1551,14462l1551,12752e" filled="false" stroked="true" strokeweight=".552pt" strokecolor="#c9cbcc">
              <v:path arrowok="t"/>
              <v:stroke dashstyle="solid"/>
            </v:shape>
            <v:line style="position:absolute" from="3230,14462" to="3230,12752" stroked="true" strokeweight=".552pt" strokecolor="#292425">
              <v:stroke dashstyle="solid"/>
            </v:line>
            <v:line style="position:absolute" from="1090,14302" to="3579,14302" stroked="true" strokeweight="0pt" strokecolor="#ffffff">
              <v:stroke dashstyle="solid"/>
            </v:line>
            <v:line style="position:absolute" from="1090,14302" to="3579,14302" stroked="true" strokeweight=".552pt" strokecolor="#292425">
              <v:stroke dashstyle="solid"/>
            </v:line>
            <v:shape style="position:absolute;left:5105;top:13020;width:1835;height:1282" coordorigin="5105,13020" coordsize="1835,1282" path="m5250,13622l5105,13622,5105,14295,5250,14295,5250,13622m5692,13453l5546,13453,5546,14301,5692,14301,5692,13453m6105,13020l5959,13020,5959,14297,6105,14297,6105,13020m6537,13338l6392,13338,6392,14295,6537,14295,6537,13338m6939,13489l6794,13489,6794,14295,6939,14295,6939,13489e" filled="true" fillcolor="#4d82c2" stroked="false">
              <v:path arrowok="t"/>
              <v:fill type="solid"/>
            </v:shape>
            <v:shape style="position:absolute;left:5405;top:12747;width:1260;height:1710" coordorigin="5405,12747" coordsize="1260,1710" path="m6664,14457l6664,12747m6244,14457l6244,12747m5825,14457l5825,12747m5405,14457l5405,12747e" filled="false" stroked="true" strokeweight=".552pt" strokecolor="#c9cbcc">
              <v:path arrowok="t"/>
              <v:stroke dashstyle="solid"/>
            </v:shape>
            <v:line style="position:absolute" from="7084,14457" to="7084,12747" stroked="true" strokeweight=".552pt" strokecolor="#292425">
              <v:stroke dashstyle="solid"/>
            </v:line>
            <v:line style="position:absolute" from="4944,14297" to="7433,14297" stroked="true" strokeweight="0pt" strokecolor="#ffffff">
              <v:stroke dashstyle="solid"/>
            </v:line>
            <v:line style="position:absolute" from="4944,14297" to="7433,14297" stroked="true" strokeweight=".552pt" strokecolor="#292425">
              <v:stroke dashstyle="solid"/>
            </v:line>
            <v:shape style="position:absolute;left:8832;top:12989;width:1835;height:1307" coordorigin="8832,12989" coordsize="1835,1307" path="m8977,13612l8832,13612,8832,14289,8977,14289,8977,13612m9419,13422l9273,13422,9273,14295,9419,14295,9419,13422m9832,13240l9686,13240,9686,14291,9832,14291,9832,13240m10265,13036l10119,13036,10119,14289,10265,14289,10265,13036m10666,12989l10521,12989,10521,14289,10666,14289,10666,12989e" filled="true" fillcolor="#4d82c2" stroked="false">
              <v:path arrowok="t"/>
              <v:fill type="solid"/>
            </v:shape>
            <v:shape style="position:absolute;left:9132;top:12741;width:1260;height:1710" coordorigin="9132,12741" coordsize="1260,1710" path="m10391,14451l10391,12741m9972,14451l9972,12741m9552,14451l9552,12741m9132,14451l9132,12741e" filled="false" stroked="true" strokeweight=".552pt" strokecolor="#c9cbcc">
              <v:path arrowok="t"/>
              <v:stroke dashstyle="solid"/>
            </v:shape>
            <v:line style="position:absolute" from="10811,14451" to="10811,12741" stroked="true" strokeweight=".552pt" strokecolor="#292425">
              <v:stroke dashstyle="solid"/>
            </v:line>
            <v:line style="position:absolute" from="8671,14291" to="11160,14291" stroked="true" strokeweight="0pt" strokecolor="#ffffff">
              <v:stroke dashstyle="solid"/>
            </v:line>
            <v:line style="position:absolute" from="8671,14291" to="11160,14291" stroked="true" strokeweight=".552pt" strokecolor="#292425">
              <v:stroke dashstyle="solid"/>
            </v:line>
            <v:shape style="position:absolute;left:0;top:720;width:12240;height:11160" coordorigin="0,720" coordsize="12240,11160" path="m4480,3600l4480,720m0,11880l12240,11880m0,3600l12240,3600e" filled="false" stroked="true" strokeweight=".5pt" strokecolor="#292425">
              <v:path arrowok="t"/>
              <v:stroke dashstyle="solid"/>
            </v:shape>
            <w10:wrap type="none"/>
          </v:group>
        </w:pict>
      </w:r>
      <w:r>
        <w:rPr>
          <w:color w:val="292425"/>
          <w:sz w:val="12"/>
        </w:rPr>
        <w:t>1998        1999      2000       2001      2002</w:t>
      </w:r>
    </w:p>
    <w:p>
      <w:pPr>
        <w:spacing w:line="264" w:lineRule="auto" w:before="110"/>
        <w:ind w:left="720" w:right="87" w:firstLine="0"/>
        <w:jc w:val="left"/>
        <w:rPr>
          <w:rFonts w:ascii="Franklin Gothic Medium"/>
          <w:sz w:val="14"/>
        </w:rPr>
      </w:pPr>
      <w:r>
        <w:rPr>
          <w:rFonts w:ascii="Franklin Gothic Medium"/>
          <w:color w:val="292425"/>
          <w:sz w:val="14"/>
        </w:rPr>
        <w:t>Operating Revenues Per Available Seat Mile</w:t>
      </w:r>
    </w:p>
    <w:p>
      <w:pPr>
        <w:spacing w:before="103"/>
        <w:ind w:left="803" w:right="0" w:firstLine="0"/>
        <w:jc w:val="left"/>
        <w:rPr>
          <w:sz w:val="12"/>
        </w:rPr>
      </w:pPr>
      <w:r>
        <w:rPr/>
        <w:br w:type="column"/>
      </w:r>
      <w:r>
        <w:rPr>
          <w:color w:val="292425"/>
          <w:sz w:val="12"/>
        </w:rPr>
        <w:t>1998        1999      2000       2001      2002</w:t>
      </w:r>
    </w:p>
    <w:p>
      <w:pPr>
        <w:spacing w:line="264" w:lineRule="auto" w:before="110"/>
        <w:ind w:left="720" w:right="92" w:firstLine="0"/>
        <w:jc w:val="left"/>
        <w:rPr>
          <w:rFonts w:ascii="Franklin Gothic Medium"/>
          <w:sz w:val="14"/>
        </w:rPr>
      </w:pPr>
      <w:r>
        <w:rPr>
          <w:rFonts w:ascii="Franklin Gothic Medium"/>
          <w:color w:val="292425"/>
          <w:sz w:val="14"/>
        </w:rPr>
        <w:t>Operating Expenses Per Available Seat Mile</w:t>
      </w:r>
    </w:p>
    <w:p>
      <w:pPr>
        <w:spacing w:before="97"/>
        <w:ind w:left="805" w:right="0" w:firstLine="0"/>
        <w:jc w:val="left"/>
        <w:rPr>
          <w:sz w:val="12"/>
        </w:rPr>
      </w:pPr>
      <w:r>
        <w:rPr/>
        <w:br w:type="column"/>
      </w:r>
      <w:r>
        <w:rPr>
          <w:color w:val="292425"/>
          <w:sz w:val="12"/>
        </w:rPr>
        <w:t>1998        1999      2000       2001      2002</w:t>
      </w:r>
    </w:p>
    <w:p>
      <w:pPr>
        <w:spacing w:before="110"/>
        <w:ind w:left="720" w:right="0" w:firstLine="0"/>
        <w:jc w:val="left"/>
        <w:rPr>
          <w:i/>
          <w:sz w:val="12"/>
        </w:rPr>
      </w:pPr>
      <w:r>
        <w:rPr>
          <w:rFonts w:ascii="Franklin Gothic Medium"/>
          <w:color w:val="292425"/>
          <w:sz w:val="14"/>
        </w:rPr>
        <w:t>Available  Seat  Miles </w:t>
      </w:r>
      <w:r>
        <w:rPr>
          <w:i/>
          <w:color w:val="292425"/>
          <w:sz w:val="12"/>
        </w:rPr>
        <w:t>(in millions)</w:t>
      </w:r>
    </w:p>
    <w:p>
      <w:pPr>
        <w:spacing w:after="0"/>
        <w:jc w:val="left"/>
        <w:rPr>
          <w:sz w:val="12"/>
        </w:rPr>
        <w:sectPr>
          <w:type w:val="continuous"/>
          <w:pgSz w:w="12240" w:h="15840"/>
          <w:pgMar w:top="0" w:bottom="280" w:left="360" w:right="1080"/>
          <w:cols w:num="3" w:equalWidth="0">
            <w:col w:w="2787" w:space="1087"/>
            <w:col w:w="2767" w:space="959"/>
            <w:col w:w="3200"/>
          </w:cols>
        </w:sectPr>
      </w:pPr>
    </w:p>
    <w:p>
      <w:pPr>
        <w:pStyle w:val="BodyText"/>
        <w:spacing w:before="8"/>
        <w:rPr>
          <w:i/>
          <w:sz w:val="28"/>
        </w:rPr>
      </w:pPr>
    </w:p>
    <w:p>
      <w:pPr>
        <w:tabs>
          <w:tab w:pos="11741" w:val="right" w:leader="none"/>
        </w:tabs>
        <w:spacing w:before="104"/>
        <w:ind w:left="7753" w:right="0" w:firstLine="0"/>
        <w:jc w:val="left"/>
        <w:rPr>
          <w:sz w:val="14"/>
        </w:rPr>
      </w:pPr>
      <w:r>
        <w:rPr/>
        <w:pict>
          <v:group style="position:absolute;margin-left:-.25pt;margin-top:.26543pt;width:612.5pt;height:162.5pt;mso-position-horizontal-relative:page;mso-position-vertical-relative:paragraph;z-index:-281104" coordorigin="-5,5" coordsize="12250,3250">
            <v:line style="position:absolute" from="11520,10" to="11520,370" stroked="true" strokeweight=".5pt" strokecolor="#292425">
              <v:stroke dashstyle="solid"/>
            </v:line>
            <v:shape style="position:absolute;left:4848;top:370;width:2880;height:2880" type="#_x0000_t75" stroked="false">
              <v:imagedata r:id="rId19" o:title=""/>
            </v:shape>
            <v:shape style="position:absolute;left:1080;top:370;width:2880;height:2880" type="#_x0000_t75" stroked="false">
              <v:imagedata r:id="rId20" o:title=""/>
            </v:shape>
            <v:shape style="position:absolute;left:0;top:370;width:12240;height:2880" coordorigin="0,370" coordsize="12240,2880" path="m0,370l12240,370m0,3250l12240,3250e" filled="false" stroked="true" strokeweight=".5pt" strokecolor="#292425">
              <v:path arrowok="t"/>
              <v:stroke dashstyle="solid"/>
            </v:shape>
            <w10:wrap type="none"/>
          </v:group>
        </w:pict>
      </w:r>
      <w:bookmarkStart w:name="Overview" w:id="4"/>
      <w:bookmarkEnd w:id="4"/>
      <w:r>
        <w:rPr/>
      </w:r>
      <w:bookmarkStart w:name="Low Costs" w:id="5"/>
      <w:bookmarkEnd w:id="5"/>
      <w:r>
        <w:rPr/>
      </w:r>
      <w:bookmarkStart w:name="Low Fares" w:id="6"/>
      <w:bookmarkEnd w:id="6"/>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29"/>
          <w:w w:val="135"/>
          <w:sz w:val="12"/>
        </w:rPr>
        <w:t> </w:t>
      </w:r>
      <w:r>
        <w:rPr>
          <w:color w:val="292425"/>
          <w:spacing w:val="5"/>
          <w:w w:val="155"/>
          <w:sz w:val="12"/>
        </w:rPr>
        <w:t>annual</w:t>
      </w:r>
      <w:r>
        <w:rPr>
          <w:color w:val="292425"/>
          <w:spacing w:val="30"/>
          <w:w w:val="155"/>
          <w:sz w:val="12"/>
        </w:rPr>
        <w:t> </w:t>
      </w:r>
      <w:r>
        <w:rPr>
          <w:color w:val="292425"/>
          <w:spacing w:val="4"/>
          <w:w w:val="155"/>
          <w:sz w:val="12"/>
        </w:rPr>
        <w:t>report</w:t>
      </w:r>
      <w:r>
        <w:rPr>
          <w:color w:val="292425"/>
          <w:spacing w:val="4"/>
          <w:w w:val="155"/>
          <w:sz w:val="14"/>
        </w:rPr>
        <w:tab/>
      </w:r>
      <w:r>
        <w:rPr>
          <w:color w:val="292425"/>
          <w:w w:val="135"/>
          <w:sz w:val="14"/>
        </w:rPr>
        <w:t>5</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8"/>
        </w:rPr>
      </w:pPr>
    </w:p>
    <w:p>
      <w:pPr>
        <w:spacing w:line="393" w:lineRule="auto" w:before="0"/>
        <w:ind w:left="8096" w:right="929" w:firstLine="0"/>
        <w:jc w:val="both"/>
        <w:rPr>
          <w:i/>
          <w:sz w:val="14"/>
        </w:rPr>
      </w:pPr>
      <w:r>
        <w:rPr>
          <w:i/>
          <w:color w:val="292425"/>
          <w:w w:val="105"/>
          <w:sz w:val="14"/>
        </w:rPr>
        <w:t>The interior of our Spirit Series fleet will feature </w:t>
      </w:r>
      <w:r>
        <w:rPr>
          <w:i/>
          <w:color w:val="292425"/>
          <w:w w:val="105"/>
          <w:sz w:val="14"/>
        </w:rPr>
        <w:t>stylish, comfortable, and durable Canyon Blue and Saddle Tan leather. Our Customers and our  People give the new look a big thumbs  up.</w:t>
      </w:r>
    </w:p>
    <w:p>
      <w:pPr>
        <w:pStyle w:val="BodyText"/>
        <w:rPr>
          <w:i/>
        </w:rPr>
      </w:pPr>
    </w:p>
    <w:p>
      <w:pPr>
        <w:pStyle w:val="BodyText"/>
        <w:rPr>
          <w:i/>
        </w:rPr>
      </w:pPr>
    </w:p>
    <w:p>
      <w:pPr>
        <w:pStyle w:val="BodyText"/>
        <w:rPr>
          <w:i/>
        </w:rPr>
      </w:pPr>
    </w:p>
    <w:p>
      <w:pPr>
        <w:pStyle w:val="BodyText"/>
        <w:spacing w:before="2"/>
        <w:rPr>
          <w:i/>
          <w:sz w:val="19"/>
        </w:rPr>
      </w:pPr>
    </w:p>
    <w:p>
      <w:pPr>
        <w:spacing w:line="441" w:lineRule="auto" w:before="0"/>
        <w:ind w:left="1079" w:right="753" w:firstLine="360"/>
        <w:jc w:val="both"/>
        <w:rPr>
          <w:sz w:val="16"/>
        </w:rPr>
      </w:pPr>
      <w:r>
        <w:rPr>
          <w:color w:val="292425"/>
          <w:spacing w:val="2"/>
          <w:w w:val="105"/>
          <w:sz w:val="16"/>
        </w:rPr>
        <w:t>The </w:t>
      </w:r>
      <w:r>
        <w:rPr>
          <w:color w:val="292425"/>
          <w:spacing w:val="3"/>
          <w:w w:val="105"/>
          <w:sz w:val="16"/>
        </w:rPr>
        <w:t>year 2002 </w:t>
      </w:r>
      <w:r>
        <w:rPr>
          <w:color w:val="292425"/>
          <w:w w:val="105"/>
          <w:sz w:val="16"/>
        </w:rPr>
        <w:t>was </w:t>
      </w:r>
      <w:r>
        <w:rPr>
          <w:i/>
          <w:color w:val="292425"/>
          <w:spacing w:val="2"/>
          <w:w w:val="105"/>
          <w:sz w:val="16"/>
        </w:rPr>
        <w:t>the </w:t>
      </w:r>
      <w:r>
        <w:rPr>
          <w:color w:val="292425"/>
          <w:spacing w:val="3"/>
          <w:w w:val="105"/>
          <w:sz w:val="16"/>
        </w:rPr>
        <w:t>worst </w:t>
      </w:r>
      <w:r>
        <w:rPr>
          <w:color w:val="292425"/>
          <w:w w:val="105"/>
          <w:sz w:val="16"/>
        </w:rPr>
        <w:t>year, ever, </w:t>
      </w:r>
      <w:r>
        <w:rPr>
          <w:color w:val="292425"/>
          <w:spacing w:val="2"/>
          <w:w w:val="105"/>
          <w:sz w:val="16"/>
        </w:rPr>
        <w:t>for the  </w:t>
      </w:r>
      <w:r>
        <w:rPr>
          <w:color w:val="292425"/>
          <w:spacing w:val="3"/>
          <w:w w:val="105"/>
          <w:sz w:val="16"/>
        </w:rPr>
        <w:t>airline  industry.  Sluggish  </w:t>
      </w:r>
      <w:r>
        <w:rPr>
          <w:color w:val="292425"/>
          <w:w w:val="105"/>
          <w:sz w:val="16"/>
        </w:rPr>
        <w:t>economy.  </w:t>
      </w:r>
      <w:r>
        <w:rPr>
          <w:color w:val="292425"/>
          <w:spacing w:val="3"/>
          <w:w w:val="105"/>
          <w:sz w:val="16"/>
        </w:rPr>
        <w:t>Radical  changes  </w:t>
      </w:r>
      <w:r>
        <w:rPr>
          <w:color w:val="292425"/>
          <w:w w:val="105"/>
          <w:sz w:val="16"/>
        </w:rPr>
        <w:t>in  </w:t>
      </w:r>
      <w:r>
        <w:rPr>
          <w:color w:val="292425"/>
          <w:spacing w:val="5"/>
          <w:w w:val="105"/>
          <w:sz w:val="16"/>
        </w:rPr>
        <w:t>airport  </w:t>
      </w:r>
      <w:r>
        <w:rPr>
          <w:color w:val="292425"/>
          <w:spacing w:val="2"/>
          <w:w w:val="105"/>
          <w:sz w:val="16"/>
        </w:rPr>
        <w:t>security.  </w:t>
      </w:r>
      <w:r>
        <w:rPr>
          <w:color w:val="292425"/>
          <w:spacing w:val="3"/>
          <w:w w:val="105"/>
          <w:sz w:val="16"/>
        </w:rPr>
        <w:t>High  energy prices. International tension. Corporate scandals. Nasty bear market. </w:t>
      </w:r>
      <w:r>
        <w:rPr>
          <w:color w:val="292425"/>
          <w:spacing w:val="2"/>
          <w:w w:val="105"/>
          <w:sz w:val="16"/>
        </w:rPr>
        <w:t>Add all </w:t>
      </w:r>
      <w:r>
        <w:rPr>
          <w:color w:val="292425"/>
          <w:spacing w:val="3"/>
          <w:w w:val="105"/>
          <w:sz w:val="16"/>
        </w:rPr>
        <w:t>that </w:t>
      </w:r>
      <w:r>
        <w:rPr>
          <w:color w:val="292425"/>
          <w:w w:val="105"/>
          <w:sz w:val="16"/>
        </w:rPr>
        <w:t>up  </w:t>
      </w:r>
      <w:r>
        <w:rPr>
          <w:color w:val="292425"/>
          <w:spacing w:val="2"/>
          <w:w w:val="105"/>
          <w:sz w:val="16"/>
        </w:rPr>
        <w:t>and </w:t>
      </w:r>
      <w:r>
        <w:rPr>
          <w:color w:val="292425"/>
          <w:w w:val="105"/>
          <w:sz w:val="16"/>
        </w:rPr>
        <w:t>it  </w:t>
      </w:r>
      <w:r>
        <w:rPr>
          <w:color w:val="292425"/>
          <w:spacing w:val="3"/>
          <w:w w:val="105"/>
          <w:sz w:val="16"/>
        </w:rPr>
        <w:t>spelled financial disaster </w:t>
      </w:r>
      <w:r>
        <w:rPr>
          <w:color w:val="292425"/>
          <w:spacing w:val="2"/>
          <w:w w:val="105"/>
          <w:sz w:val="16"/>
        </w:rPr>
        <w:t>for the </w:t>
      </w:r>
      <w:r>
        <w:rPr>
          <w:color w:val="292425"/>
          <w:spacing w:val="3"/>
          <w:w w:val="105"/>
          <w:sz w:val="16"/>
        </w:rPr>
        <w:t>major </w:t>
      </w:r>
      <w:r>
        <w:rPr>
          <w:color w:val="292425"/>
          <w:spacing w:val="4"/>
          <w:w w:val="105"/>
          <w:sz w:val="16"/>
        </w:rPr>
        <w:t>airlines.          </w:t>
      </w:r>
      <w:r>
        <w:rPr>
          <w:color w:val="292425"/>
          <w:spacing w:val="2"/>
          <w:w w:val="105"/>
          <w:sz w:val="16"/>
        </w:rPr>
        <w:t>All  </w:t>
      </w:r>
      <w:r>
        <w:rPr>
          <w:color w:val="292425"/>
          <w:spacing w:val="3"/>
          <w:w w:val="105"/>
          <w:sz w:val="16"/>
        </w:rPr>
        <w:t>major airlines incurred significant losses </w:t>
      </w:r>
      <w:r>
        <w:rPr>
          <w:color w:val="292425"/>
          <w:w w:val="105"/>
          <w:sz w:val="16"/>
        </w:rPr>
        <w:t>in  </w:t>
      </w:r>
      <w:r>
        <w:rPr>
          <w:color w:val="292425"/>
          <w:spacing w:val="3"/>
          <w:w w:val="105"/>
          <w:sz w:val="16"/>
        </w:rPr>
        <w:t>2002, except </w:t>
      </w:r>
      <w:r>
        <w:rPr>
          <w:color w:val="292425"/>
          <w:spacing w:val="2"/>
          <w:w w:val="105"/>
          <w:sz w:val="16"/>
        </w:rPr>
        <w:t>one  </w:t>
      </w:r>
      <w:r>
        <w:rPr>
          <w:color w:val="292425"/>
          <w:w w:val="105"/>
          <w:sz w:val="16"/>
        </w:rPr>
        <w:t>—  </w:t>
      </w:r>
      <w:r>
        <w:rPr>
          <w:color w:val="292425"/>
          <w:spacing w:val="3"/>
          <w:w w:val="105"/>
          <w:sz w:val="16"/>
        </w:rPr>
        <w:t>Southwest Airlines. Despite </w:t>
      </w:r>
      <w:r>
        <w:rPr>
          <w:color w:val="292425"/>
          <w:spacing w:val="2"/>
          <w:w w:val="105"/>
          <w:sz w:val="16"/>
        </w:rPr>
        <w:t>the  </w:t>
      </w:r>
      <w:r>
        <w:rPr>
          <w:color w:val="292425"/>
          <w:spacing w:val="3"/>
          <w:w w:val="105"/>
          <w:sz w:val="16"/>
        </w:rPr>
        <w:t>punishing environment </w:t>
      </w:r>
      <w:r>
        <w:rPr>
          <w:color w:val="292425"/>
          <w:w w:val="105"/>
          <w:sz w:val="16"/>
        </w:rPr>
        <w:t>of  </w:t>
      </w:r>
      <w:r>
        <w:rPr>
          <w:color w:val="292425"/>
          <w:spacing w:val="3"/>
          <w:w w:val="105"/>
          <w:sz w:val="16"/>
        </w:rPr>
        <w:t>2002, </w:t>
      </w:r>
      <w:r>
        <w:rPr>
          <w:color w:val="292425"/>
          <w:spacing w:val="4"/>
          <w:w w:val="105"/>
          <w:sz w:val="16"/>
        </w:rPr>
        <w:t>amidst    </w:t>
      </w:r>
      <w:r>
        <w:rPr>
          <w:color w:val="292425"/>
          <w:spacing w:val="2"/>
          <w:w w:val="105"/>
          <w:sz w:val="16"/>
        </w:rPr>
        <w:t>the </w:t>
      </w:r>
      <w:r>
        <w:rPr>
          <w:color w:val="292425"/>
          <w:spacing w:val="3"/>
          <w:w w:val="105"/>
          <w:sz w:val="16"/>
        </w:rPr>
        <w:t>lingering aftereffects </w:t>
      </w:r>
      <w:r>
        <w:rPr>
          <w:color w:val="292425"/>
          <w:w w:val="105"/>
          <w:sz w:val="16"/>
        </w:rPr>
        <w:t>of </w:t>
      </w:r>
      <w:r>
        <w:rPr>
          <w:color w:val="292425"/>
          <w:spacing w:val="3"/>
          <w:w w:val="105"/>
          <w:sz w:val="16"/>
        </w:rPr>
        <w:t>September </w:t>
      </w:r>
      <w:r>
        <w:rPr>
          <w:color w:val="292425"/>
          <w:spacing w:val="2"/>
          <w:w w:val="105"/>
          <w:sz w:val="16"/>
        </w:rPr>
        <w:t>11, </w:t>
      </w:r>
      <w:r>
        <w:rPr>
          <w:color w:val="292425"/>
          <w:spacing w:val="3"/>
          <w:w w:val="105"/>
          <w:sz w:val="16"/>
        </w:rPr>
        <w:t>2001, Southwest posted  </w:t>
      </w:r>
      <w:r>
        <w:rPr>
          <w:color w:val="292425"/>
          <w:spacing w:val="2"/>
          <w:w w:val="105"/>
          <w:sz w:val="16"/>
        </w:rPr>
        <w:t>its  </w:t>
      </w:r>
      <w:r>
        <w:rPr>
          <w:color w:val="292425"/>
          <w:spacing w:val="3"/>
          <w:w w:val="105"/>
          <w:sz w:val="16"/>
        </w:rPr>
        <w:t>30th  consecutive  annual  profit.  </w:t>
      </w:r>
      <w:r>
        <w:rPr>
          <w:color w:val="292425"/>
          <w:w w:val="105"/>
          <w:sz w:val="16"/>
        </w:rPr>
        <w:t>No  </w:t>
      </w:r>
      <w:r>
        <w:rPr>
          <w:color w:val="292425"/>
          <w:spacing w:val="3"/>
          <w:w w:val="105"/>
          <w:sz w:val="16"/>
        </w:rPr>
        <w:t>other  airline  </w:t>
      </w:r>
      <w:r>
        <w:rPr>
          <w:color w:val="292425"/>
          <w:spacing w:val="2"/>
          <w:w w:val="105"/>
          <w:sz w:val="16"/>
        </w:rPr>
        <w:t>has  </w:t>
      </w:r>
      <w:r>
        <w:rPr>
          <w:color w:val="292425"/>
          <w:spacing w:val="3"/>
          <w:w w:val="105"/>
          <w:sz w:val="16"/>
        </w:rPr>
        <w:t>equaled  </w:t>
      </w:r>
      <w:r>
        <w:rPr>
          <w:color w:val="292425"/>
          <w:spacing w:val="4"/>
          <w:w w:val="105"/>
          <w:sz w:val="16"/>
        </w:rPr>
        <w:t>this </w:t>
      </w:r>
      <w:r>
        <w:rPr>
          <w:color w:val="292425"/>
          <w:spacing w:val="3"/>
          <w:w w:val="105"/>
          <w:sz w:val="16"/>
        </w:rPr>
        <w:t>record</w:t>
      </w:r>
      <w:r>
        <w:rPr>
          <w:color w:val="292425"/>
          <w:spacing w:val="29"/>
          <w:w w:val="105"/>
          <w:sz w:val="16"/>
        </w:rPr>
        <w:t> </w:t>
      </w:r>
      <w:r>
        <w:rPr>
          <w:color w:val="292425"/>
          <w:w w:val="105"/>
          <w:sz w:val="16"/>
        </w:rPr>
        <w:t>of</w:t>
      </w:r>
      <w:r>
        <w:rPr>
          <w:color w:val="292425"/>
          <w:spacing w:val="29"/>
          <w:w w:val="105"/>
          <w:sz w:val="16"/>
        </w:rPr>
        <w:t> </w:t>
      </w:r>
      <w:r>
        <w:rPr>
          <w:color w:val="292425"/>
          <w:spacing w:val="2"/>
          <w:w w:val="105"/>
          <w:sz w:val="16"/>
        </w:rPr>
        <w:t>profitability.</w:t>
      </w:r>
      <w:r>
        <w:rPr>
          <w:color w:val="292425"/>
          <w:spacing w:val="29"/>
          <w:w w:val="105"/>
          <w:sz w:val="16"/>
        </w:rPr>
        <w:t> </w:t>
      </w:r>
      <w:r>
        <w:rPr>
          <w:color w:val="292425"/>
          <w:w w:val="105"/>
          <w:sz w:val="16"/>
        </w:rPr>
        <w:t>In</w:t>
      </w:r>
      <w:r>
        <w:rPr>
          <w:color w:val="292425"/>
          <w:spacing w:val="29"/>
          <w:w w:val="105"/>
          <w:sz w:val="16"/>
        </w:rPr>
        <w:t> </w:t>
      </w:r>
      <w:r>
        <w:rPr>
          <w:color w:val="292425"/>
          <w:spacing w:val="3"/>
          <w:w w:val="105"/>
          <w:sz w:val="16"/>
        </w:rPr>
        <w:t>fact,</w:t>
      </w:r>
      <w:r>
        <w:rPr>
          <w:color w:val="292425"/>
          <w:spacing w:val="22"/>
          <w:w w:val="105"/>
          <w:sz w:val="16"/>
        </w:rPr>
        <w:t> </w:t>
      </w:r>
      <w:r>
        <w:rPr>
          <w:color w:val="292425"/>
          <w:spacing w:val="2"/>
          <w:w w:val="105"/>
          <w:sz w:val="16"/>
        </w:rPr>
        <w:t>even</w:t>
      </w:r>
      <w:r>
        <w:rPr>
          <w:color w:val="292425"/>
          <w:spacing w:val="29"/>
          <w:w w:val="105"/>
          <w:sz w:val="16"/>
        </w:rPr>
        <w:t> </w:t>
      </w:r>
      <w:r>
        <w:rPr>
          <w:color w:val="292425"/>
          <w:spacing w:val="3"/>
          <w:w w:val="105"/>
          <w:sz w:val="16"/>
        </w:rPr>
        <w:t>after</w:t>
      </w:r>
      <w:r>
        <w:rPr>
          <w:color w:val="292425"/>
          <w:spacing w:val="29"/>
          <w:w w:val="105"/>
          <w:sz w:val="16"/>
        </w:rPr>
        <w:t> </w:t>
      </w:r>
      <w:r>
        <w:rPr>
          <w:color w:val="292425"/>
          <w:spacing w:val="3"/>
          <w:w w:val="105"/>
          <w:sz w:val="16"/>
        </w:rPr>
        <w:t>September</w:t>
      </w:r>
      <w:r>
        <w:rPr>
          <w:color w:val="292425"/>
          <w:spacing w:val="29"/>
          <w:w w:val="105"/>
          <w:sz w:val="16"/>
        </w:rPr>
        <w:t> </w:t>
      </w:r>
      <w:r>
        <w:rPr>
          <w:color w:val="292425"/>
          <w:spacing w:val="2"/>
          <w:w w:val="105"/>
          <w:sz w:val="16"/>
        </w:rPr>
        <w:t>11,</w:t>
      </w:r>
      <w:r>
        <w:rPr>
          <w:color w:val="292425"/>
          <w:spacing w:val="22"/>
          <w:w w:val="105"/>
          <w:sz w:val="16"/>
        </w:rPr>
        <w:t> </w:t>
      </w:r>
      <w:r>
        <w:rPr>
          <w:color w:val="292425"/>
          <w:spacing w:val="3"/>
          <w:w w:val="105"/>
          <w:sz w:val="16"/>
        </w:rPr>
        <w:t>2001,</w:t>
      </w:r>
      <w:r>
        <w:rPr>
          <w:color w:val="292425"/>
          <w:spacing w:val="22"/>
          <w:w w:val="105"/>
          <w:sz w:val="16"/>
        </w:rPr>
        <w:t> </w:t>
      </w:r>
      <w:r>
        <w:rPr>
          <w:color w:val="292425"/>
          <w:spacing w:val="3"/>
          <w:w w:val="105"/>
          <w:sz w:val="16"/>
        </w:rPr>
        <w:t>Southwest</w:t>
      </w:r>
      <w:r>
        <w:rPr>
          <w:color w:val="292425"/>
          <w:spacing w:val="29"/>
          <w:w w:val="105"/>
          <w:sz w:val="16"/>
        </w:rPr>
        <w:t> </w:t>
      </w:r>
      <w:r>
        <w:rPr>
          <w:color w:val="292425"/>
          <w:spacing w:val="2"/>
          <w:w w:val="105"/>
          <w:sz w:val="16"/>
        </w:rPr>
        <w:t>has</w:t>
      </w:r>
      <w:r>
        <w:rPr>
          <w:color w:val="292425"/>
          <w:spacing w:val="29"/>
          <w:w w:val="105"/>
          <w:sz w:val="16"/>
        </w:rPr>
        <w:t> </w:t>
      </w:r>
      <w:r>
        <w:rPr>
          <w:color w:val="292425"/>
          <w:spacing w:val="3"/>
          <w:w w:val="105"/>
          <w:sz w:val="16"/>
        </w:rPr>
        <w:t>been</w:t>
      </w:r>
      <w:r>
        <w:rPr>
          <w:color w:val="292425"/>
          <w:spacing w:val="29"/>
          <w:w w:val="105"/>
          <w:sz w:val="16"/>
        </w:rPr>
        <w:t> </w:t>
      </w:r>
      <w:r>
        <w:rPr>
          <w:color w:val="292425"/>
          <w:spacing w:val="3"/>
          <w:w w:val="105"/>
          <w:sz w:val="16"/>
        </w:rPr>
        <w:t>profitable</w:t>
      </w:r>
      <w:r>
        <w:rPr>
          <w:color w:val="292425"/>
          <w:spacing w:val="29"/>
          <w:w w:val="105"/>
          <w:sz w:val="16"/>
        </w:rPr>
        <w:t> </w:t>
      </w:r>
      <w:r>
        <w:rPr>
          <w:color w:val="292425"/>
          <w:spacing w:val="4"/>
          <w:w w:val="105"/>
          <w:sz w:val="16"/>
        </w:rPr>
        <w:t>every</w:t>
      </w:r>
      <w:r>
        <w:rPr>
          <w:color w:val="292425"/>
          <w:spacing w:val="29"/>
          <w:w w:val="105"/>
          <w:sz w:val="16"/>
        </w:rPr>
        <w:t> </w:t>
      </w:r>
      <w:r>
        <w:rPr>
          <w:color w:val="292425"/>
          <w:spacing w:val="2"/>
          <w:w w:val="105"/>
          <w:sz w:val="16"/>
        </w:rPr>
        <w:t>quarter.</w:t>
      </w:r>
    </w:p>
    <w:p>
      <w:pPr>
        <w:spacing w:line="441" w:lineRule="auto" w:before="0"/>
        <w:ind w:left="1079" w:right="750" w:firstLine="360"/>
        <w:jc w:val="both"/>
        <w:rPr>
          <w:sz w:val="16"/>
        </w:rPr>
      </w:pPr>
      <w:r>
        <w:rPr>
          <w:color w:val="292425"/>
          <w:w w:val="110"/>
          <w:sz w:val="16"/>
        </w:rPr>
        <w:t>During the 15 months since the terrorist attacks of September 11, virtually every major U.S. air carrier has downsized, laid off workers, grounded aircraft, and/or disrupted its air service. Southwest, instead, has steadily grown. No Employees were furloughed and no aircraft grounded. In 2002, Southwest increased its all-Boeing 737 fleet by 20 aircraft to 375, a capacity (in available seat miles) increase of</w:t>
      </w:r>
    </w:p>
    <w:p>
      <w:pPr>
        <w:spacing w:before="0"/>
        <w:ind w:left="1079" w:right="0" w:firstLine="0"/>
        <w:jc w:val="left"/>
        <w:rPr>
          <w:sz w:val="16"/>
        </w:rPr>
      </w:pPr>
      <w:r>
        <w:rPr>
          <w:color w:val="292425"/>
          <w:w w:val="105"/>
          <w:sz w:val="16"/>
        </w:rPr>
        <w:t>5.5  percent.  Accordingly, we  also  increased  our  number  of  Employees  by  2,125  to  33,705.  And  our  profits  in  2002  were  $241  million, or</w:t>
      </w:r>
    </w:p>
    <w:p>
      <w:pPr>
        <w:pStyle w:val="BodyText"/>
        <w:spacing w:before="5"/>
        <w:rPr>
          <w:sz w:val="13"/>
        </w:rPr>
      </w:pPr>
    </w:p>
    <w:p>
      <w:pPr>
        <w:spacing w:line="441" w:lineRule="auto" w:before="0"/>
        <w:ind w:left="1080" w:right="820" w:firstLine="0"/>
        <w:jc w:val="left"/>
        <w:rPr>
          <w:sz w:val="16"/>
        </w:rPr>
      </w:pPr>
      <w:r>
        <w:rPr>
          <w:color w:val="292425"/>
          <w:spacing w:val="2"/>
          <w:w w:val="110"/>
          <w:sz w:val="16"/>
        </w:rPr>
        <w:t>$198.1 million excluding special items. </w:t>
      </w:r>
      <w:r>
        <w:rPr>
          <w:color w:val="292425"/>
          <w:w w:val="110"/>
          <w:sz w:val="16"/>
        </w:rPr>
        <w:t>Our </w:t>
      </w:r>
      <w:r>
        <w:rPr>
          <w:color w:val="292425"/>
          <w:spacing w:val="2"/>
          <w:w w:val="110"/>
          <w:sz w:val="16"/>
        </w:rPr>
        <w:t>2001 Annual </w:t>
      </w:r>
      <w:r>
        <w:rPr>
          <w:color w:val="292425"/>
          <w:spacing w:val="3"/>
          <w:w w:val="110"/>
          <w:sz w:val="16"/>
        </w:rPr>
        <w:t>Report </w:t>
      </w:r>
      <w:r>
        <w:rPr>
          <w:color w:val="292425"/>
          <w:w w:val="110"/>
          <w:sz w:val="16"/>
        </w:rPr>
        <w:t>to </w:t>
      </w:r>
      <w:r>
        <w:rPr>
          <w:color w:val="292425"/>
          <w:spacing w:val="2"/>
          <w:w w:val="110"/>
          <w:sz w:val="16"/>
        </w:rPr>
        <w:t>Shareholders extolled </w:t>
      </w:r>
      <w:r>
        <w:rPr>
          <w:color w:val="292425"/>
          <w:w w:val="110"/>
          <w:sz w:val="16"/>
        </w:rPr>
        <w:t>the </w:t>
      </w:r>
      <w:r>
        <w:rPr>
          <w:color w:val="292425"/>
          <w:spacing w:val="2"/>
          <w:w w:val="110"/>
          <w:sz w:val="16"/>
        </w:rPr>
        <w:t>motto, </w:t>
      </w:r>
      <w:r>
        <w:rPr>
          <w:color w:val="292425"/>
          <w:w w:val="110"/>
          <w:sz w:val="16"/>
        </w:rPr>
        <w:t>“Be Prepared,” as a </w:t>
      </w:r>
      <w:r>
        <w:rPr>
          <w:color w:val="292425"/>
          <w:spacing w:val="2"/>
          <w:w w:val="110"/>
          <w:sz w:val="16"/>
        </w:rPr>
        <w:t>governing </w:t>
      </w:r>
      <w:r>
        <w:rPr>
          <w:color w:val="292425"/>
          <w:spacing w:val="3"/>
          <w:w w:val="110"/>
          <w:sz w:val="16"/>
        </w:rPr>
        <w:t>principle   </w:t>
      </w:r>
      <w:r>
        <w:rPr>
          <w:color w:val="292425"/>
          <w:w w:val="110"/>
          <w:sz w:val="16"/>
        </w:rPr>
        <w:t>of </w:t>
      </w:r>
      <w:r>
        <w:rPr>
          <w:color w:val="292425"/>
          <w:spacing w:val="3"/>
          <w:w w:val="110"/>
          <w:sz w:val="16"/>
        </w:rPr>
        <w:t>Southwest Airlines. That principle </w:t>
      </w:r>
      <w:r>
        <w:rPr>
          <w:color w:val="292425"/>
          <w:spacing w:val="4"/>
          <w:w w:val="110"/>
          <w:sz w:val="16"/>
        </w:rPr>
        <w:t>served </w:t>
      </w:r>
      <w:r>
        <w:rPr>
          <w:color w:val="292425"/>
          <w:w w:val="110"/>
          <w:sz w:val="16"/>
        </w:rPr>
        <w:t>us </w:t>
      </w:r>
      <w:r>
        <w:rPr>
          <w:color w:val="292425"/>
          <w:spacing w:val="2"/>
          <w:w w:val="110"/>
          <w:sz w:val="16"/>
        </w:rPr>
        <w:t>well </w:t>
      </w:r>
      <w:r>
        <w:rPr>
          <w:color w:val="292425"/>
          <w:w w:val="110"/>
          <w:sz w:val="16"/>
        </w:rPr>
        <w:t>in  </w:t>
      </w:r>
      <w:r>
        <w:rPr>
          <w:color w:val="292425"/>
          <w:spacing w:val="25"/>
          <w:w w:val="110"/>
          <w:sz w:val="16"/>
        </w:rPr>
        <w:t> </w:t>
      </w:r>
      <w:r>
        <w:rPr>
          <w:color w:val="292425"/>
          <w:spacing w:val="4"/>
          <w:w w:val="110"/>
          <w:sz w:val="16"/>
        </w:rPr>
        <w:t>2002.</w:t>
      </w:r>
    </w:p>
    <w:p>
      <w:pPr>
        <w:spacing w:line="441" w:lineRule="auto" w:before="0"/>
        <w:ind w:left="1080" w:right="753" w:firstLine="360"/>
        <w:jc w:val="both"/>
        <w:rPr>
          <w:sz w:val="16"/>
        </w:rPr>
      </w:pPr>
      <w:r>
        <w:rPr>
          <w:color w:val="292425"/>
          <w:spacing w:val="4"/>
          <w:w w:val="105"/>
          <w:sz w:val="16"/>
        </w:rPr>
        <w:t>Industry </w:t>
      </w:r>
      <w:r>
        <w:rPr>
          <w:color w:val="292425"/>
          <w:spacing w:val="3"/>
          <w:w w:val="105"/>
          <w:sz w:val="16"/>
        </w:rPr>
        <w:t>results </w:t>
      </w:r>
      <w:r>
        <w:rPr>
          <w:color w:val="292425"/>
          <w:spacing w:val="2"/>
          <w:w w:val="105"/>
          <w:sz w:val="16"/>
        </w:rPr>
        <w:t>were </w:t>
      </w:r>
      <w:r>
        <w:rPr>
          <w:color w:val="292425"/>
          <w:w w:val="105"/>
          <w:sz w:val="16"/>
        </w:rPr>
        <w:t>so  </w:t>
      </w:r>
      <w:r>
        <w:rPr>
          <w:color w:val="292425"/>
          <w:spacing w:val="2"/>
          <w:w w:val="105"/>
          <w:sz w:val="16"/>
        </w:rPr>
        <w:t>bad </w:t>
      </w:r>
      <w:r>
        <w:rPr>
          <w:color w:val="292425"/>
          <w:w w:val="105"/>
          <w:sz w:val="16"/>
        </w:rPr>
        <w:t>in  </w:t>
      </w:r>
      <w:r>
        <w:rPr>
          <w:color w:val="292425"/>
          <w:spacing w:val="3"/>
          <w:w w:val="105"/>
          <w:sz w:val="16"/>
        </w:rPr>
        <w:t>2002 that despite federal cash grants </w:t>
      </w:r>
      <w:r>
        <w:rPr>
          <w:color w:val="292425"/>
          <w:spacing w:val="2"/>
          <w:w w:val="105"/>
          <w:sz w:val="16"/>
        </w:rPr>
        <w:t>two </w:t>
      </w:r>
      <w:r>
        <w:rPr>
          <w:color w:val="292425"/>
          <w:spacing w:val="3"/>
          <w:w w:val="105"/>
          <w:sz w:val="16"/>
        </w:rPr>
        <w:t>major airlines filed </w:t>
      </w:r>
      <w:r>
        <w:rPr>
          <w:color w:val="292425"/>
          <w:spacing w:val="2"/>
          <w:w w:val="105"/>
          <w:sz w:val="16"/>
        </w:rPr>
        <w:t>for </w:t>
      </w:r>
      <w:r>
        <w:rPr>
          <w:color w:val="292425"/>
          <w:spacing w:val="3"/>
          <w:w w:val="105"/>
          <w:sz w:val="16"/>
        </w:rPr>
        <w:t>Chapter </w:t>
      </w:r>
      <w:r>
        <w:rPr>
          <w:color w:val="292425"/>
          <w:w w:val="105"/>
          <w:sz w:val="16"/>
        </w:rPr>
        <w:t>11  </w:t>
      </w:r>
      <w:r>
        <w:rPr>
          <w:color w:val="292425"/>
          <w:spacing w:val="3"/>
          <w:w w:val="105"/>
          <w:sz w:val="16"/>
        </w:rPr>
        <w:t>bankruptcy protection </w:t>
      </w:r>
      <w:r>
        <w:rPr>
          <w:color w:val="292425"/>
          <w:spacing w:val="4"/>
          <w:w w:val="105"/>
          <w:sz w:val="16"/>
        </w:rPr>
        <w:t>and    </w:t>
      </w:r>
      <w:r>
        <w:rPr>
          <w:color w:val="292425"/>
          <w:spacing w:val="3"/>
          <w:w w:val="105"/>
          <w:sz w:val="16"/>
        </w:rPr>
        <w:t>face </w:t>
      </w:r>
      <w:r>
        <w:rPr>
          <w:color w:val="292425"/>
          <w:w w:val="105"/>
          <w:sz w:val="16"/>
        </w:rPr>
        <w:t>a </w:t>
      </w:r>
      <w:r>
        <w:rPr>
          <w:color w:val="292425"/>
          <w:spacing w:val="3"/>
          <w:w w:val="105"/>
          <w:sz w:val="16"/>
        </w:rPr>
        <w:t>presently </w:t>
      </w:r>
      <w:r>
        <w:rPr>
          <w:color w:val="292425"/>
          <w:spacing w:val="4"/>
          <w:w w:val="105"/>
          <w:sz w:val="16"/>
        </w:rPr>
        <w:t>uncertain </w:t>
      </w:r>
      <w:r>
        <w:rPr>
          <w:color w:val="292425"/>
          <w:spacing w:val="3"/>
          <w:w w:val="105"/>
          <w:sz w:val="16"/>
        </w:rPr>
        <w:t>future. Others </w:t>
      </w:r>
      <w:r>
        <w:rPr>
          <w:color w:val="292425"/>
          <w:w w:val="105"/>
          <w:sz w:val="16"/>
        </w:rPr>
        <w:t>may </w:t>
      </w:r>
      <w:r>
        <w:rPr>
          <w:color w:val="292425"/>
          <w:spacing w:val="2"/>
          <w:w w:val="105"/>
          <w:sz w:val="16"/>
        </w:rPr>
        <w:t>follow. </w:t>
      </w:r>
      <w:r>
        <w:rPr>
          <w:color w:val="292425"/>
          <w:spacing w:val="3"/>
          <w:w w:val="105"/>
          <w:sz w:val="16"/>
        </w:rPr>
        <w:t>This </w:t>
      </w:r>
      <w:r>
        <w:rPr>
          <w:color w:val="292425"/>
          <w:spacing w:val="2"/>
          <w:w w:val="105"/>
          <w:sz w:val="16"/>
        </w:rPr>
        <w:t>weakened </w:t>
      </w:r>
      <w:r>
        <w:rPr>
          <w:color w:val="292425"/>
          <w:spacing w:val="4"/>
          <w:w w:val="105"/>
          <w:sz w:val="16"/>
        </w:rPr>
        <w:t>industry </w:t>
      </w:r>
      <w:r>
        <w:rPr>
          <w:color w:val="292425"/>
          <w:spacing w:val="3"/>
          <w:w w:val="105"/>
          <w:sz w:val="16"/>
        </w:rPr>
        <w:t>could possibly </w:t>
      </w:r>
      <w:r>
        <w:rPr>
          <w:color w:val="292425"/>
          <w:spacing w:val="2"/>
          <w:w w:val="105"/>
          <w:sz w:val="16"/>
        </w:rPr>
        <w:t>put </w:t>
      </w:r>
      <w:r>
        <w:rPr>
          <w:color w:val="292425"/>
          <w:spacing w:val="3"/>
          <w:w w:val="105"/>
          <w:sz w:val="16"/>
        </w:rPr>
        <w:t>Southwest </w:t>
      </w:r>
      <w:r>
        <w:rPr>
          <w:color w:val="292425"/>
          <w:w w:val="105"/>
          <w:sz w:val="16"/>
        </w:rPr>
        <w:t>in a </w:t>
      </w:r>
      <w:r>
        <w:rPr>
          <w:color w:val="292425"/>
          <w:spacing w:val="3"/>
          <w:w w:val="105"/>
          <w:sz w:val="16"/>
        </w:rPr>
        <w:t>strong position </w:t>
      </w:r>
      <w:r>
        <w:rPr>
          <w:color w:val="292425"/>
          <w:w w:val="105"/>
          <w:sz w:val="16"/>
        </w:rPr>
        <w:t>to </w:t>
      </w:r>
      <w:r>
        <w:rPr>
          <w:color w:val="292425"/>
          <w:spacing w:val="3"/>
          <w:w w:val="105"/>
          <w:sz w:val="16"/>
        </w:rPr>
        <w:t>grow </w:t>
      </w:r>
      <w:r>
        <w:rPr>
          <w:color w:val="292425"/>
          <w:spacing w:val="4"/>
          <w:w w:val="105"/>
          <w:sz w:val="16"/>
        </w:rPr>
        <w:t>more </w:t>
      </w:r>
      <w:r>
        <w:rPr>
          <w:color w:val="292425"/>
          <w:spacing w:val="3"/>
          <w:w w:val="105"/>
          <w:sz w:val="16"/>
        </w:rPr>
        <w:t>rapidly</w:t>
      </w:r>
      <w:r>
        <w:rPr>
          <w:color w:val="292425"/>
          <w:spacing w:val="27"/>
          <w:w w:val="105"/>
          <w:sz w:val="16"/>
        </w:rPr>
        <w:t> </w:t>
      </w:r>
      <w:r>
        <w:rPr>
          <w:color w:val="292425"/>
          <w:w w:val="105"/>
          <w:sz w:val="16"/>
        </w:rPr>
        <w:t>in</w:t>
      </w:r>
      <w:r>
        <w:rPr>
          <w:color w:val="292425"/>
          <w:spacing w:val="27"/>
          <w:w w:val="105"/>
          <w:sz w:val="16"/>
        </w:rPr>
        <w:t> </w:t>
      </w:r>
      <w:r>
        <w:rPr>
          <w:color w:val="292425"/>
          <w:spacing w:val="2"/>
          <w:w w:val="105"/>
          <w:sz w:val="16"/>
        </w:rPr>
        <w:t>the</w:t>
      </w:r>
      <w:r>
        <w:rPr>
          <w:color w:val="292425"/>
          <w:spacing w:val="27"/>
          <w:w w:val="105"/>
          <w:sz w:val="16"/>
        </w:rPr>
        <w:t> </w:t>
      </w:r>
      <w:r>
        <w:rPr>
          <w:color w:val="292425"/>
          <w:spacing w:val="3"/>
          <w:w w:val="105"/>
          <w:sz w:val="16"/>
        </w:rPr>
        <w:t>future.</w:t>
      </w:r>
      <w:r>
        <w:rPr>
          <w:color w:val="292425"/>
          <w:spacing w:val="27"/>
          <w:w w:val="105"/>
          <w:sz w:val="16"/>
        </w:rPr>
        <w:t> </w:t>
      </w:r>
      <w:r>
        <w:rPr>
          <w:color w:val="292425"/>
          <w:spacing w:val="2"/>
          <w:w w:val="105"/>
          <w:sz w:val="16"/>
        </w:rPr>
        <w:t>How</w:t>
      </w:r>
      <w:r>
        <w:rPr>
          <w:color w:val="292425"/>
          <w:spacing w:val="27"/>
          <w:w w:val="105"/>
          <w:sz w:val="16"/>
        </w:rPr>
        <w:t> </w:t>
      </w:r>
      <w:r>
        <w:rPr>
          <w:color w:val="292425"/>
          <w:w w:val="105"/>
          <w:sz w:val="16"/>
        </w:rPr>
        <w:t>is</w:t>
      </w:r>
      <w:r>
        <w:rPr>
          <w:color w:val="292425"/>
          <w:spacing w:val="27"/>
          <w:w w:val="105"/>
          <w:sz w:val="16"/>
        </w:rPr>
        <w:t> </w:t>
      </w:r>
      <w:r>
        <w:rPr>
          <w:color w:val="292425"/>
          <w:w w:val="105"/>
          <w:sz w:val="16"/>
        </w:rPr>
        <w:t>it</w:t>
      </w:r>
      <w:r>
        <w:rPr>
          <w:color w:val="292425"/>
          <w:spacing w:val="27"/>
          <w:w w:val="105"/>
          <w:sz w:val="16"/>
        </w:rPr>
        <w:t> </w:t>
      </w:r>
      <w:r>
        <w:rPr>
          <w:color w:val="292425"/>
          <w:spacing w:val="3"/>
          <w:w w:val="105"/>
          <w:sz w:val="16"/>
        </w:rPr>
        <w:t>that</w:t>
      </w:r>
      <w:r>
        <w:rPr>
          <w:color w:val="292425"/>
          <w:spacing w:val="27"/>
          <w:w w:val="105"/>
          <w:sz w:val="16"/>
        </w:rPr>
        <w:t> </w:t>
      </w:r>
      <w:r>
        <w:rPr>
          <w:color w:val="292425"/>
          <w:spacing w:val="3"/>
          <w:w w:val="105"/>
          <w:sz w:val="16"/>
        </w:rPr>
        <w:t>Southwest</w:t>
      </w:r>
      <w:r>
        <w:rPr>
          <w:color w:val="292425"/>
          <w:spacing w:val="27"/>
          <w:w w:val="105"/>
          <w:sz w:val="16"/>
        </w:rPr>
        <w:t> </w:t>
      </w:r>
      <w:r>
        <w:rPr>
          <w:color w:val="292425"/>
          <w:spacing w:val="3"/>
          <w:w w:val="105"/>
          <w:sz w:val="16"/>
        </w:rPr>
        <w:t>finds</w:t>
      </w:r>
      <w:r>
        <w:rPr>
          <w:color w:val="292425"/>
          <w:spacing w:val="27"/>
          <w:w w:val="105"/>
          <w:sz w:val="16"/>
        </w:rPr>
        <w:t> </w:t>
      </w:r>
      <w:r>
        <w:rPr>
          <w:color w:val="292425"/>
          <w:spacing w:val="3"/>
          <w:w w:val="105"/>
          <w:sz w:val="16"/>
        </w:rPr>
        <w:t>itself</w:t>
      </w:r>
      <w:r>
        <w:rPr>
          <w:color w:val="292425"/>
          <w:spacing w:val="27"/>
          <w:w w:val="105"/>
          <w:sz w:val="16"/>
        </w:rPr>
        <w:t> </w:t>
      </w:r>
      <w:r>
        <w:rPr>
          <w:color w:val="292425"/>
          <w:w w:val="105"/>
          <w:sz w:val="16"/>
        </w:rPr>
        <w:t>in</w:t>
      </w:r>
      <w:r>
        <w:rPr>
          <w:color w:val="292425"/>
          <w:spacing w:val="27"/>
          <w:w w:val="105"/>
          <w:sz w:val="16"/>
        </w:rPr>
        <w:t> </w:t>
      </w:r>
      <w:r>
        <w:rPr>
          <w:color w:val="292425"/>
          <w:spacing w:val="3"/>
          <w:w w:val="105"/>
          <w:sz w:val="16"/>
        </w:rPr>
        <w:t>this</w:t>
      </w:r>
      <w:r>
        <w:rPr>
          <w:color w:val="292425"/>
          <w:spacing w:val="27"/>
          <w:w w:val="105"/>
          <w:sz w:val="16"/>
        </w:rPr>
        <w:t> </w:t>
      </w:r>
      <w:r>
        <w:rPr>
          <w:color w:val="292425"/>
          <w:spacing w:val="4"/>
          <w:w w:val="105"/>
          <w:sz w:val="16"/>
        </w:rPr>
        <w:t>position?</w:t>
      </w:r>
    </w:p>
    <w:p>
      <w:pPr>
        <w:pStyle w:val="BodyText"/>
        <w:spacing w:before="11"/>
        <w:rPr>
          <w:sz w:val="22"/>
        </w:rPr>
      </w:pPr>
    </w:p>
    <w:p>
      <w:pPr>
        <w:spacing w:before="1"/>
        <w:ind w:left="1080" w:right="0" w:firstLine="0"/>
        <w:jc w:val="left"/>
        <w:rPr>
          <w:i/>
          <w:sz w:val="16"/>
        </w:rPr>
      </w:pPr>
      <w:r>
        <w:rPr>
          <w:i/>
          <w:color w:val="292425"/>
          <w:w w:val="105"/>
          <w:sz w:val="16"/>
        </w:rPr>
        <w:t>Low Costs</w:t>
      </w:r>
    </w:p>
    <w:p>
      <w:pPr>
        <w:pStyle w:val="BodyText"/>
        <w:rPr>
          <w:i/>
          <w:sz w:val="18"/>
        </w:rPr>
      </w:pPr>
    </w:p>
    <w:p>
      <w:pPr>
        <w:pStyle w:val="BodyText"/>
        <w:spacing w:before="5"/>
        <w:rPr>
          <w:i/>
          <w:sz w:val="18"/>
        </w:rPr>
      </w:pPr>
    </w:p>
    <w:p>
      <w:pPr>
        <w:spacing w:before="0"/>
        <w:ind w:left="1440" w:right="0" w:firstLine="0"/>
        <w:jc w:val="left"/>
        <w:rPr>
          <w:sz w:val="16"/>
        </w:rPr>
      </w:pPr>
      <w:r>
        <w:rPr>
          <w:color w:val="292425"/>
          <w:w w:val="105"/>
          <w:sz w:val="16"/>
        </w:rPr>
        <w:t>Southwest has the lowest operating costs of all the major airlines and by a very wide margin. Travel demand is down from previous years.</w:t>
      </w:r>
    </w:p>
    <w:p>
      <w:pPr>
        <w:pStyle w:val="BodyText"/>
        <w:spacing w:before="5"/>
        <w:rPr>
          <w:sz w:val="13"/>
        </w:rPr>
      </w:pPr>
    </w:p>
    <w:p>
      <w:pPr>
        <w:spacing w:line="441" w:lineRule="auto" w:before="0"/>
        <w:ind w:left="1440" w:right="758" w:hanging="360"/>
        <w:jc w:val="left"/>
        <w:rPr>
          <w:sz w:val="16"/>
        </w:rPr>
      </w:pPr>
      <w:r>
        <w:rPr>
          <w:color w:val="292425"/>
          <w:w w:val="105"/>
          <w:sz w:val="16"/>
        </w:rPr>
        <w:t>So is revenue. Low operating costs, </w:t>
      </w:r>
      <w:r>
        <w:rPr>
          <w:color w:val="292425"/>
          <w:spacing w:val="-4"/>
          <w:w w:val="105"/>
          <w:sz w:val="16"/>
        </w:rPr>
        <w:t>however, </w:t>
      </w:r>
      <w:r>
        <w:rPr>
          <w:color w:val="292425"/>
          <w:w w:val="105"/>
          <w:sz w:val="16"/>
        </w:rPr>
        <w:t>allow Southwest to “take the hit” to revenues and still make a profit. </w:t>
      </w:r>
      <w:r>
        <w:rPr>
          <w:color w:val="292425"/>
          <w:spacing w:val="-4"/>
          <w:w w:val="105"/>
          <w:sz w:val="16"/>
        </w:rPr>
        <w:t>That’s  </w:t>
      </w:r>
      <w:r>
        <w:rPr>
          <w:color w:val="292425"/>
          <w:w w:val="105"/>
          <w:sz w:val="16"/>
        </w:rPr>
        <w:t>“being </w:t>
      </w:r>
      <w:r>
        <w:rPr>
          <w:color w:val="292425"/>
          <w:spacing w:val="-3"/>
          <w:w w:val="105"/>
          <w:sz w:val="16"/>
        </w:rPr>
        <w:t>prepared.”     Southwest’s</w:t>
      </w:r>
      <w:r>
        <w:rPr>
          <w:color w:val="292425"/>
          <w:spacing w:val="14"/>
          <w:w w:val="105"/>
          <w:sz w:val="16"/>
        </w:rPr>
        <w:t> </w:t>
      </w:r>
      <w:r>
        <w:rPr>
          <w:color w:val="292425"/>
          <w:w w:val="105"/>
          <w:sz w:val="16"/>
        </w:rPr>
        <w:t>costs</w:t>
      </w:r>
      <w:r>
        <w:rPr>
          <w:color w:val="292425"/>
          <w:spacing w:val="14"/>
          <w:w w:val="105"/>
          <w:sz w:val="16"/>
        </w:rPr>
        <w:t> </w:t>
      </w:r>
      <w:r>
        <w:rPr>
          <w:color w:val="292425"/>
          <w:w w:val="105"/>
          <w:sz w:val="16"/>
        </w:rPr>
        <w:t>are</w:t>
      </w:r>
      <w:r>
        <w:rPr>
          <w:color w:val="292425"/>
          <w:spacing w:val="21"/>
          <w:w w:val="105"/>
          <w:sz w:val="16"/>
        </w:rPr>
        <w:t> </w:t>
      </w:r>
      <w:r>
        <w:rPr>
          <w:color w:val="292425"/>
          <w:w w:val="105"/>
          <w:sz w:val="16"/>
        </w:rPr>
        <w:t>low</w:t>
      </w:r>
      <w:r>
        <w:rPr>
          <w:color w:val="292425"/>
          <w:spacing w:val="21"/>
          <w:w w:val="105"/>
          <w:sz w:val="16"/>
        </w:rPr>
        <w:t> </w:t>
      </w:r>
      <w:r>
        <w:rPr>
          <w:color w:val="292425"/>
          <w:w w:val="105"/>
          <w:sz w:val="16"/>
        </w:rPr>
        <w:t>for</w:t>
      </w:r>
      <w:r>
        <w:rPr>
          <w:color w:val="292425"/>
          <w:spacing w:val="21"/>
          <w:w w:val="105"/>
          <w:sz w:val="16"/>
        </w:rPr>
        <w:t> </w:t>
      </w:r>
      <w:r>
        <w:rPr>
          <w:color w:val="292425"/>
          <w:w w:val="105"/>
          <w:sz w:val="16"/>
        </w:rPr>
        <w:t>a</w:t>
      </w:r>
      <w:r>
        <w:rPr>
          <w:color w:val="292425"/>
          <w:spacing w:val="21"/>
          <w:w w:val="105"/>
          <w:sz w:val="16"/>
        </w:rPr>
        <w:t> </w:t>
      </w:r>
      <w:r>
        <w:rPr>
          <w:color w:val="292425"/>
          <w:w w:val="105"/>
          <w:sz w:val="16"/>
        </w:rPr>
        <w:t>variety</w:t>
      </w:r>
      <w:r>
        <w:rPr>
          <w:color w:val="292425"/>
          <w:spacing w:val="21"/>
          <w:w w:val="105"/>
          <w:sz w:val="16"/>
        </w:rPr>
        <w:t> </w:t>
      </w:r>
      <w:r>
        <w:rPr>
          <w:color w:val="292425"/>
          <w:w w:val="105"/>
          <w:sz w:val="16"/>
        </w:rPr>
        <w:t>of</w:t>
      </w:r>
      <w:r>
        <w:rPr>
          <w:color w:val="292425"/>
          <w:spacing w:val="21"/>
          <w:w w:val="105"/>
          <w:sz w:val="16"/>
        </w:rPr>
        <w:t> </w:t>
      </w:r>
      <w:r>
        <w:rPr>
          <w:color w:val="292425"/>
          <w:w w:val="105"/>
          <w:sz w:val="16"/>
        </w:rPr>
        <w:t>reasons:</w:t>
      </w:r>
      <w:r>
        <w:rPr>
          <w:color w:val="292425"/>
          <w:spacing w:val="21"/>
          <w:w w:val="105"/>
          <w:sz w:val="16"/>
        </w:rPr>
        <w:t> </w:t>
      </w:r>
      <w:r>
        <w:rPr>
          <w:color w:val="292425"/>
          <w:w w:val="105"/>
          <w:sz w:val="16"/>
        </w:rPr>
        <w:t>single</w:t>
      </w:r>
      <w:r>
        <w:rPr>
          <w:color w:val="292425"/>
          <w:spacing w:val="21"/>
          <w:w w:val="105"/>
          <w:sz w:val="16"/>
        </w:rPr>
        <w:t> </w:t>
      </w:r>
      <w:r>
        <w:rPr>
          <w:color w:val="292425"/>
          <w:w w:val="105"/>
          <w:sz w:val="16"/>
        </w:rPr>
        <w:t>aircraft</w:t>
      </w:r>
      <w:r>
        <w:rPr>
          <w:color w:val="292425"/>
          <w:spacing w:val="21"/>
          <w:w w:val="105"/>
          <w:sz w:val="16"/>
        </w:rPr>
        <w:t> </w:t>
      </w:r>
      <w:r>
        <w:rPr>
          <w:color w:val="292425"/>
          <w:w w:val="105"/>
          <w:sz w:val="16"/>
        </w:rPr>
        <w:t>type;</w:t>
      </w:r>
      <w:r>
        <w:rPr>
          <w:color w:val="292425"/>
          <w:spacing w:val="21"/>
          <w:w w:val="105"/>
          <w:sz w:val="16"/>
        </w:rPr>
        <w:t> </w:t>
      </w:r>
      <w:r>
        <w:rPr>
          <w:color w:val="292425"/>
          <w:w w:val="105"/>
          <w:sz w:val="16"/>
        </w:rPr>
        <w:t>efficient,</w:t>
      </w:r>
      <w:r>
        <w:rPr>
          <w:color w:val="292425"/>
          <w:spacing w:val="12"/>
          <w:w w:val="105"/>
          <w:sz w:val="16"/>
        </w:rPr>
        <w:t> </w:t>
      </w:r>
      <w:r>
        <w:rPr>
          <w:color w:val="292425"/>
          <w:w w:val="105"/>
          <w:sz w:val="16"/>
        </w:rPr>
        <w:t>high-utilization,</w:t>
      </w:r>
      <w:r>
        <w:rPr>
          <w:color w:val="292425"/>
          <w:spacing w:val="12"/>
          <w:w w:val="105"/>
          <w:sz w:val="16"/>
        </w:rPr>
        <w:t> </w:t>
      </w:r>
      <w:r>
        <w:rPr>
          <w:color w:val="292425"/>
          <w:w w:val="105"/>
          <w:sz w:val="16"/>
        </w:rPr>
        <w:t>point-to-point</w:t>
      </w:r>
      <w:r>
        <w:rPr>
          <w:color w:val="292425"/>
          <w:spacing w:val="21"/>
          <w:w w:val="105"/>
          <w:sz w:val="16"/>
        </w:rPr>
        <w:t> </w:t>
      </w:r>
      <w:r>
        <w:rPr>
          <w:color w:val="292425"/>
          <w:w w:val="105"/>
          <w:sz w:val="16"/>
        </w:rPr>
        <w:t>route</w:t>
      </w:r>
      <w:r>
        <w:rPr>
          <w:color w:val="292425"/>
          <w:spacing w:val="21"/>
          <w:w w:val="105"/>
          <w:sz w:val="16"/>
        </w:rPr>
        <w:t> </w:t>
      </w:r>
      <w:r>
        <w:rPr>
          <w:color w:val="292425"/>
          <w:spacing w:val="2"/>
          <w:w w:val="105"/>
          <w:sz w:val="16"/>
        </w:rPr>
        <w:t>structure;</w:t>
      </w:r>
      <w:r>
        <w:rPr>
          <w:color w:val="292425"/>
          <w:spacing w:val="21"/>
          <w:w w:val="105"/>
          <w:sz w:val="16"/>
        </w:rPr>
        <w:t> </w:t>
      </w:r>
      <w:r>
        <w:rPr>
          <w:color w:val="292425"/>
          <w:spacing w:val="2"/>
          <w:w w:val="105"/>
          <w:sz w:val="16"/>
        </w:rPr>
        <w:t>hardworking,</w:t>
      </w:r>
    </w:p>
    <w:p>
      <w:pPr>
        <w:spacing w:before="0"/>
        <w:ind w:left="1080" w:right="0" w:firstLine="0"/>
        <w:jc w:val="left"/>
        <w:rPr>
          <w:sz w:val="16"/>
        </w:rPr>
      </w:pPr>
      <w:r>
        <w:rPr>
          <w:color w:val="292425"/>
          <w:w w:val="105"/>
          <w:sz w:val="16"/>
        </w:rPr>
        <w:t>innovative, and highly productive Employees, to name a few. In sum, we operate very differently from the other major airlines.</w:t>
      </w:r>
    </w:p>
    <w:p>
      <w:pPr>
        <w:pStyle w:val="BodyText"/>
        <w:rPr>
          <w:sz w:val="18"/>
        </w:rPr>
      </w:pPr>
    </w:p>
    <w:p>
      <w:pPr>
        <w:pStyle w:val="BodyText"/>
        <w:spacing w:before="5"/>
        <w:rPr>
          <w:sz w:val="18"/>
        </w:rPr>
      </w:pPr>
    </w:p>
    <w:p>
      <w:pPr>
        <w:spacing w:before="0"/>
        <w:ind w:left="1080" w:right="0" w:firstLine="0"/>
        <w:jc w:val="left"/>
        <w:rPr>
          <w:i/>
          <w:sz w:val="16"/>
        </w:rPr>
      </w:pPr>
      <w:r>
        <w:rPr>
          <w:i/>
          <w:color w:val="292425"/>
          <w:w w:val="105"/>
          <w:sz w:val="16"/>
        </w:rPr>
        <w:t>Low Fares</w:t>
      </w:r>
    </w:p>
    <w:p>
      <w:pPr>
        <w:pStyle w:val="BodyText"/>
        <w:rPr>
          <w:i/>
          <w:sz w:val="18"/>
        </w:rPr>
      </w:pPr>
    </w:p>
    <w:p>
      <w:pPr>
        <w:pStyle w:val="BodyText"/>
        <w:spacing w:before="4"/>
        <w:rPr>
          <w:i/>
          <w:sz w:val="18"/>
        </w:rPr>
      </w:pPr>
    </w:p>
    <w:p>
      <w:pPr>
        <w:spacing w:line="441" w:lineRule="auto" w:before="1"/>
        <w:ind w:left="1080" w:right="1131" w:firstLine="360"/>
        <w:jc w:val="left"/>
        <w:rPr>
          <w:sz w:val="16"/>
        </w:rPr>
      </w:pPr>
      <w:r>
        <w:rPr>
          <w:color w:val="292425"/>
          <w:w w:val="105"/>
          <w:sz w:val="16"/>
        </w:rPr>
        <w:t>Not just low costs but low fares. </w:t>
      </w:r>
      <w:r>
        <w:rPr>
          <w:color w:val="292425"/>
          <w:spacing w:val="3"/>
          <w:w w:val="105"/>
          <w:sz w:val="16"/>
        </w:rPr>
        <w:t>Every </w:t>
      </w:r>
      <w:r>
        <w:rPr>
          <w:color w:val="292425"/>
          <w:w w:val="105"/>
          <w:sz w:val="16"/>
        </w:rPr>
        <w:t>seat. </w:t>
      </w:r>
      <w:r>
        <w:rPr>
          <w:color w:val="292425"/>
          <w:spacing w:val="3"/>
          <w:w w:val="105"/>
          <w:sz w:val="16"/>
        </w:rPr>
        <w:t>Every </w:t>
      </w:r>
      <w:r>
        <w:rPr>
          <w:color w:val="292425"/>
          <w:w w:val="105"/>
          <w:sz w:val="16"/>
        </w:rPr>
        <w:t>flight. </w:t>
      </w:r>
      <w:r>
        <w:rPr>
          <w:color w:val="292425"/>
          <w:spacing w:val="3"/>
          <w:w w:val="105"/>
          <w:sz w:val="16"/>
        </w:rPr>
        <w:t>Every </w:t>
      </w:r>
      <w:r>
        <w:rPr>
          <w:color w:val="292425"/>
          <w:spacing w:val="-3"/>
          <w:w w:val="105"/>
          <w:sz w:val="16"/>
        </w:rPr>
        <w:t>day.  </w:t>
      </w:r>
      <w:r>
        <w:rPr>
          <w:color w:val="292425"/>
          <w:w w:val="105"/>
          <w:sz w:val="16"/>
        </w:rPr>
        <w:t>Of </w:t>
      </w:r>
      <w:r>
        <w:rPr>
          <w:color w:val="292425"/>
          <w:spacing w:val="2"/>
          <w:w w:val="105"/>
          <w:sz w:val="16"/>
        </w:rPr>
        <w:t>course, </w:t>
      </w:r>
      <w:r>
        <w:rPr>
          <w:color w:val="292425"/>
          <w:w w:val="105"/>
          <w:sz w:val="16"/>
        </w:rPr>
        <w:t>we could choose to charge high fares like our </w:t>
      </w:r>
      <w:r>
        <w:rPr>
          <w:color w:val="292425"/>
          <w:spacing w:val="2"/>
          <w:w w:val="105"/>
          <w:sz w:val="16"/>
        </w:rPr>
        <w:t>competitors.           </w:t>
      </w:r>
      <w:r>
        <w:rPr>
          <w:color w:val="292425"/>
          <w:w w:val="105"/>
          <w:sz w:val="16"/>
        </w:rPr>
        <w:t>But we </w:t>
      </w:r>
      <w:r>
        <w:rPr>
          <w:color w:val="292425"/>
          <w:spacing w:val="2"/>
          <w:w w:val="105"/>
          <w:sz w:val="16"/>
        </w:rPr>
        <w:t>choose </w:t>
      </w:r>
      <w:r>
        <w:rPr>
          <w:color w:val="292425"/>
          <w:w w:val="105"/>
          <w:sz w:val="16"/>
        </w:rPr>
        <w:t>not to — our </w:t>
      </w:r>
      <w:r>
        <w:rPr>
          <w:color w:val="292425"/>
          <w:spacing w:val="2"/>
          <w:w w:val="105"/>
          <w:sz w:val="16"/>
        </w:rPr>
        <w:t>philosophy </w:t>
      </w:r>
      <w:r>
        <w:rPr>
          <w:color w:val="292425"/>
          <w:w w:val="105"/>
          <w:sz w:val="16"/>
        </w:rPr>
        <w:t>is Low Fares. </w:t>
      </w:r>
      <w:r>
        <w:rPr>
          <w:color w:val="292425"/>
          <w:spacing w:val="2"/>
          <w:w w:val="105"/>
          <w:sz w:val="16"/>
        </w:rPr>
        <w:t>Customers know </w:t>
      </w:r>
      <w:r>
        <w:rPr>
          <w:color w:val="292425"/>
          <w:w w:val="105"/>
          <w:sz w:val="16"/>
        </w:rPr>
        <w:t>we are </w:t>
      </w:r>
      <w:r>
        <w:rPr>
          <w:color w:val="292425"/>
          <w:spacing w:val="2"/>
          <w:w w:val="105"/>
          <w:sz w:val="16"/>
        </w:rPr>
        <w:t>“the” low-fare </w:t>
      </w:r>
      <w:r>
        <w:rPr>
          <w:color w:val="292425"/>
          <w:w w:val="105"/>
          <w:sz w:val="16"/>
        </w:rPr>
        <w:t>carrier.  And  </w:t>
      </w:r>
      <w:r>
        <w:rPr>
          <w:color w:val="292425"/>
          <w:spacing w:val="2"/>
          <w:w w:val="105"/>
          <w:sz w:val="16"/>
        </w:rPr>
        <w:t>that brand </w:t>
      </w:r>
      <w:r>
        <w:rPr>
          <w:color w:val="292425"/>
          <w:spacing w:val="3"/>
          <w:w w:val="105"/>
          <w:sz w:val="16"/>
        </w:rPr>
        <w:t>serves </w:t>
      </w:r>
      <w:r>
        <w:rPr>
          <w:color w:val="292425"/>
          <w:w w:val="105"/>
          <w:sz w:val="16"/>
        </w:rPr>
        <w:t>us  well  in  today’s difficult environment when, as our Chairman put it, </w:t>
      </w:r>
      <w:r>
        <w:rPr>
          <w:color w:val="292425"/>
          <w:spacing w:val="-3"/>
          <w:w w:val="105"/>
          <w:sz w:val="16"/>
        </w:rPr>
        <w:t>“We </w:t>
      </w:r>
      <w:r>
        <w:rPr>
          <w:color w:val="292425"/>
          <w:w w:val="105"/>
          <w:sz w:val="16"/>
        </w:rPr>
        <w:t>are all low-fare </w:t>
      </w:r>
      <w:r>
        <w:rPr>
          <w:color w:val="292425"/>
          <w:spacing w:val="22"/>
          <w:w w:val="105"/>
          <w:sz w:val="16"/>
        </w:rPr>
        <w:t> </w:t>
      </w:r>
      <w:r>
        <w:rPr>
          <w:color w:val="292425"/>
          <w:w w:val="105"/>
          <w:sz w:val="16"/>
        </w:rPr>
        <w:t>carriers.”</w:t>
      </w:r>
    </w:p>
    <w:p>
      <w:pPr>
        <w:spacing w:after="0" w:line="441" w:lineRule="auto"/>
        <w:jc w:val="left"/>
        <w:rPr>
          <w:sz w:val="16"/>
        </w:rPr>
        <w:sectPr>
          <w:headerReference w:type="even" r:id="rId18"/>
          <w:pgSz w:w="12240" w:h="15840"/>
          <w:pgMar w:header="0" w:footer="0" w:top="0" w:bottom="280" w:left="0" w:right="0"/>
        </w:sectPr>
      </w:pPr>
    </w:p>
    <w:p>
      <w:pPr>
        <w:tabs>
          <w:tab w:pos="896" w:val="left" w:leader="none"/>
        </w:tabs>
        <w:spacing w:before="5"/>
        <w:ind w:left="491" w:right="0" w:firstLine="0"/>
        <w:jc w:val="left"/>
        <w:rPr>
          <w:sz w:val="12"/>
        </w:rPr>
      </w:pPr>
      <w:r>
        <w:rPr/>
        <w:pict>
          <v:group style="position:absolute;margin-left:-.25pt;margin-top:179.75pt;width:612.5pt;height:612.450pt;mso-position-horizontal-relative:page;mso-position-vertical-relative:page;z-index:-281056" coordorigin="-5,3595" coordsize="12250,12249">
            <v:shape style="position:absolute;left:0;top:3600;width:12240;height:8278" type="#_x0000_t75" stroked="false">
              <v:imagedata r:id="rId22" o:title=""/>
            </v:shape>
            <v:shape style="position:absolute;left:0;top:3600;width:12240;height:12239" coordorigin="0,3600" coordsize="12240,12239" path="m0,3600l12240,3600m4492,11880l4492,15839m0,11880l12240,11880e" filled="false" stroked="true" strokeweight=".5pt" strokecolor="#292425">
              <v:path arrowok="t"/>
              <v:stroke dashstyle="solid"/>
            </v:shape>
            <w10:wrap type="none"/>
          </v:group>
        </w:pict>
      </w:r>
      <w:r>
        <w:rPr/>
        <w:pict>
          <v:group style="position:absolute;margin-left:-.25pt;margin-top:-.27pt;width:612.5pt;height:18.5pt;mso-position-horizontal-relative:page;mso-position-vertical-relative:paragraph;z-index:-281032"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r>
        <w:rPr>
          <w:color w:val="292425"/>
          <w:w w:val="145"/>
          <w:sz w:val="14"/>
        </w:rPr>
        <w:t>6</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1" name="image1.png" descr=""/>
            <wp:cNvGraphicFramePr>
              <a:graphicFrameLocks noChangeAspect="1"/>
            </wp:cNvGraphicFramePr>
            <a:graphic>
              <a:graphicData uri="http://schemas.openxmlformats.org/drawingml/2006/picture">
                <pic:pic>
                  <pic:nvPicPr>
                    <pic:cNvPr id="12"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23"/>
        </w:rPr>
      </w:pPr>
      <w:r>
        <w:rPr/>
        <w:pict>
          <v:shape style="position:absolute;margin-left:224.639999pt;margin-top:15.279016pt;width:162pt;height:36pt;mso-position-horizontal-relative:page;mso-position-vertical-relative:paragraph;z-index:2320;mso-wrap-distance-left:0;mso-wrap-distance-right:0" type="#_x0000_t202" filled="true" fillcolor="#4d82c2" stroked="false">
            <v:textbox inset="0,0,0,0">
              <w:txbxContent>
                <w:p>
                  <w:pPr>
                    <w:spacing w:before="204"/>
                    <w:ind w:left="1132" w:right="0" w:firstLine="0"/>
                    <w:jc w:val="left"/>
                    <w:rPr>
                      <w:sz w:val="22"/>
                    </w:rPr>
                  </w:pPr>
                  <w:r>
                    <w:rPr>
                      <w:color w:val="FFFFFF"/>
                      <w:spacing w:val="21"/>
                      <w:w w:val="140"/>
                      <w:sz w:val="22"/>
                    </w:rPr>
                    <w:t>SP </w:t>
                  </w:r>
                  <w:r>
                    <w:rPr>
                      <w:color w:val="FFFFFF"/>
                      <w:spacing w:val="31"/>
                      <w:w w:val="140"/>
                      <w:sz w:val="22"/>
                    </w:rPr>
                    <w:t>IRIT</w:t>
                  </w:r>
                  <w:r>
                    <w:rPr>
                      <w:color w:val="FFFFFF"/>
                      <w:spacing w:val="-7"/>
                      <w:sz w:val="22"/>
                    </w:rPr>
                    <w:t> </w:t>
                  </w:r>
                </w:p>
              </w:txbxContent>
            </v:textbox>
            <v:fill type="solid"/>
            <w10:wrap type="topAndBottom"/>
          </v:shape>
        </w:pict>
      </w:r>
    </w:p>
    <w:p>
      <w:pPr>
        <w:pStyle w:val="BodyText"/>
      </w:pPr>
    </w:p>
    <w:p>
      <w:pPr>
        <w:pStyle w:val="BodyText"/>
      </w:pPr>
    </w:p>
    <w:p>
      <w:pPr>
        <w:pStyle w:val="BodyText"/>
      </w:pPr>
    </w:p>
    <w:p>
      <w:pPr>
        <w:pStyle w:val="BodyText"/>
      </w:pPr>
    </w:p>
    <w:p>
      <w:pPr>
        <w:pStyle w:val="BodyText"/>
        <w:rPr>
          <w:sz w:val="18"/>
        </w:rPr>
      </w:pPr>
    </w:p>
    <w:p>
      <w:pPr>
        <w:spacing w:line="393" w:lineRule="auto" w:before="91"/>
        <w:ind w:left="4893" w:right="3373" w:firstLine="0"/>
        <w:jc w:val="both"/>
        <w:rPr>
          <w:i/>
          <w:sz w:val="14"/>
        </w:rPr>
      </w:pPr>
      <w:r>
        <w:rPr>
          <w:i/>
          <w:color w:val="292425"/>
          <w:w w:val="105"/>
          <w:sz w:val="14"/>
        </w:rPr>
        <w:t>Our Southwest Spirit has never been stronger, thanks to our </w:t>
      </w:r>
      <w:r>
        <w:rPr>
          <w:i/>
          <w:color w:val="292425"/>
          <w:w w:val="105"/>
          <w:sz w:val="14"/>
        </w:rPr>
        <w:t>remarkably resourceful People, who always go the extra mile to deliver  Legendary  Customer Service.</w:t>
      </w:r>
    </w:p>
    <w:p>
      <w:pPr>
        <w:spacing w:after="0" w:line="393" w:lineRule="auto"/>
        <w:jc w:val="both"/>
        <w:rPr>
          <w:sz w:val="14"/>
        </w:rPr>
        <w:sectPr>
          <w:headerReference w:type="default" r:id="rId21"/>
          <w:pgSz w:w="12240" w:h="15840"/>
          <w:pgMar w:header="0" w:footer="0" w:top="360" w:bottom="0" w:left="0" w:right="0"/>
        </w:sectPr>
      </w:pPr>
    </w:p>
    <w:p>
      <w:pPr>
        <w:pStyle w:val="BodyText"/>
        <w:spacing w:before="8"/>
        <w:rPr>
          <w:i/>
          <w:sz w:val="28"/>
        </w:rPr>
      </w:pPr>
    </w:p>
    <w:p>
      <w:pPr>
        <w:tabs>
          <w:tab w:pos="11743" w:val="right" w:leader="none"/>
        </w:tabs>
        <w:spacing w:before="104"/>
        <w:ind w:left="7753" w:right="0" w:firstLine="0"/>
        <w:jc w:val="left"/>
        <w:rPr>
          <w:sz w:val="14"/>
        </w:rPr>
      </w:pPr>
      <w:r>
        <w:rPr/>
        <w:pict>
          <v:group style="position:absolute;margin-left:-.25pt;margin-top:.26043pt;width:612.5pt;height:162.550pt;mso-position-horizontal-relative:page;mso-position-vertical-relative:paragraph;z-index:-281008" coordorigin="-5,5" coordsize="12250,3251">
            <v:line style="position:absolute" from="11503,10" to="11503,370" stroked="true" strokeweight=".5pt" strokecolor="#292425">
              <v:stroke dashstyle="solid"/>
            </v:line>
            <v:shape style="position:absolute;left:8621;top:370;width:2880;height:2880" type="#_x0000_t75" stroked="false">
              <v:imagedata r:id="rId24" o:title=""/>
            </v:shape>
            <v:shape style="position:absolute;left:4848;top:370;width:2880;height:2880" type="#_x0000_t75" stroked="false">
              <v:imagedata r:id="rId25" o:title=""/>
            </v:shape>
            <v:shape style="position:absolute;left:1080;top:370;width:2880;height:2880" type="#_x0000_t75" stroked="false">
              <v:imagedata r:id="rId26" o:title=""/>
            </v:shape>
            <v:shape style="position:absolute;left:0;top:370;width:12240;height:2880" coordorigin="0,370" coordsize="12240,2880" path="m0,370l12240,370m0,3250l12240,3250e" filled="false" stroked="true" strokeweight=".5pt" strokecolor="#292425">
              <v:path arrowok="t"/>
              <v:stroke dashstyle="solid"/>
            </v:shape>
            <w10:wrap type="none"/>
          </v:group>
        </w:pict>
      </w:r>
      <w:bookmarkStart w:name="Frequent Flights" w:id="7"/>
      <w:bookmarkEnd w:id="7"/>
      <w:r>
        <w:rPr/>
      </w:r>
      <w:bookmarkStart w:name="Strong Financials" w:id="8"/>
      <w:bookmarkEnd w:id="8"/>
      <w:r>
        <w:rPr/>
      </w:r>
      <w:bookmarkStart w:name="Legendary Customer Service" w:id="9"/>
      <w:bookmarkEnd w:id="9"/>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27"/>
          <w:w w:val="135"/>
          <w:sz w:val="12"/>
        </w:rPr>
        <w:t> </w:t>
      </w:r>
      <w:r>
        <w:rPr>
          <w:color w:val="292425"/>
          <w:spacing w:val="5"/>
          <w:w w:val="155"/>
          <w:sz w:val="12"/>
        </w:rPr>
        <w:t>annual</w:t>
      </w:r>
      <w:r>
        <w:rPr>
          <w:color w:val="292425"/>
          <w:spacing w:val="30"/>
          <w:w w:val="155"/>
          <w:sz w:val="12"/>
        </w:rPr>
        <w:t> </w:t>
      </w:r>
      <w:r>
        <w:rPr>
          <w:color w:val="292425"/>
          <w:spacing w:val="4"/>
          <w:w w:val="155"/>
          <w:sz w:val="12"/>
        </w:rPr>
        <w:t>report</w:t>
      </w:r>
      <w:r>
        <w:rPr>
          <w:color w:val="292425"/>
          <w:spacing w:val="4"/>
          <w:w w:val="155"/>
          <w:sz w:val="14"/>
        </w:rPr>
        <w:tab/>
      </w:r>
      <w:r>
        <w:rPr>
          <w:color w:val="292425"/>
          <w:w w:val="135"/>
          <w:sz w:val="14"/>
        </w:rPr>
        <w:t>7</w:t>
      </w: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pStyle w:val="BodyText"/>
        <w:rPr>
          <w:sz w:val="18"/>
        </w:rPr>
      </w:pPr>
    </w:p>
    <w:p>
      <w:pPr>
        <w:spacing w:before="157"/>
        <w:ind w:left="1160" w:right="0" w:firstLine="0"/>
        <w:jc w:val="left"/>
        <w:rPr>
          <w:i/>
          <w:sz w:val="16"/>
        </w:rPr>
      </w:pPr>
      <w:r>
        <w:rPr>
          <w:i/>
          <w:color w:val="292425"/>
          <w:w w:val="105"/>
          <w:sz w:val="16"/>
        </w:rPr>
        <w:t>Frequent Flights</w:t>
      </w:r>
    </w:p>
    <w:p>
      <w:pPr>
        <w:pStyle w:val="BodyText"/>
        <w:rPr>
          <w:i/>
          <w:sz w:val="18"/>
        </w:rPr>
      </w:pPr>
    </w:p>
    <w:p>
      <w:pPr>
        <w:pStyle w:val="BodyText"/>
        <w:spacing w:before="4"/>
        <w:rPr>
          <w:i/>
          <w:sz w:val="18"/>
        </w:rPr>
      </w:pPr>
    </w:p>
    <w:p>
      <w:pPr>
        <w:spacing w:line="441" w:lineRule="auto" w:before="1"/>
        <w:ind w:left="1160" w:right="766" w:firstLine="360"/>
        <w:jc w:val="both"/>
        <w:rPr>
          <w:sz w:val="16"/>
        </w:rPr>
      </w:pPr>
      <w:r>
        <w:rPr>
          <w:color w:val="292425"/>
          <w:spacing w:val="-4"/>
          <w:w w:val="105"/>
          <w:sz w:val="16"/>
        </w:rPr>
        <w:t>We  </w:t>
      </w:r>
      <w:r>
        <w:rPr>
          <w:color w:val="292425"/>
          <w:w w:val="105"/>
          <w:sz w:val="16"/>
        </w:rPr>
        <w:t>serve 59 airports with 375 aircraft and carried over 63 million Customers in 2002. That made us the fourth largest U.S. air </w:t>
      </w:r>
      <w:r>
        <w:rPr>
          <w:color w:val="292425"/>
          <w:spacing w:val="-3"/>
          <w:w w:val="105"/>
          <w:sz w:val="16"/>
        </w:rPr>
        <w:t>carrier.  </w:t>
      </w:r>
      <w:r>
        <w:rPr>
          <w:color w:val="292425"/>
          <w:spacing w:val="-4"/>
          <w:w w:val="105"/>
          <w:sz w:val="16"/>
        </w:rPr>
        <w:t>We         </w:t>
      </w:r>
      <w:r>
        <w:rPr>
          <w:color w:val="292425"/>
          <w:w w:val="105"/>
          <w:sz w:val="16"/>
        </w:rPr>
        <w:t>offer lots of flights to the cities we serve and continued to increase them in 2002. That gives our Customers convenience and reliability with lots          of options to get where they want to go, when they want to get there. In fact, in markets we </w:t>
      </w:r>
      <w:r>
        <w:rPr>
          <w:color w:val="292425"/>
          <w:spacing w:val="2"/>
          <w:w w:val="105"/>
          <w:sz w:val="16"/>
        </w:rPr>
        <w:t>serve, </w:t>
      </w:r>
      <w:r>
        <w:rPr>
          <w:color w:val="292425"/>
          <w:w w:val="105"/>
          <w:sz w:val="16"/>
        </w:rPr>
        <w:t>we are usually the largest carrier in terms of Customers  carried and flights</w:t>
      </w:r>
      <w:r>
        <w:rPr>
          <w:color w:val="292425"/>
          <w:spacing w:val="34"/>
          <w:w w:val="105"/>
          <w:sz w:val="16"/>
        </w:rPr>
        <w:t> </w:t>
      </w:r>
      <w:r>
        <w:rPr>
          <w:color w:val="292425"/>
          <w:w w:val="105"/>
          <w:sz w:val="16"/>
        </w:rPr>
        <w:t>flown.</w:t>
      </w:r>
    </w:p>
    <w:p>
      <w:pPr>
        <w:pStyle w:val="BodyText"/>
        <w:spacing w:before="12"/>
        <w:rPr>
          <w:sz w:val="22"/>
        </w:rPr>
      </w:pPr>
    </w:p>
    <w:p>
      <w:pPr>
        <w:spacing w:before="0"/>
        <w:ind w:left="1160" w:right="0" w:firstLine="0"/>
        <w:jc w:val="left"/>
        <w:rPr>
          <w:i/>
          <w:sz w:val="16"/>
        </w:rPr>
      </w:pPr>
      <w:r>
        <w:rPr>
          <w:i/>
          <w:color w:val="292425"/>
          <w:w w:val="105"/>
          <w:sz w:val="16"/>
        </w:rPr>
        <w:t>Strong  Financials</w:t>
      </w:r>
    </w:p>
    <w:p>
      <w:pPr>
        <w:pStyle w:val="BodyText"/>
        <w:rPr>
          <w:i/>
          <w:sz w:val="18"/>
        </w:rPr>
      </w:pPr>
    </w:p>
    <w:p>
      <w:pPr>
        <w:pStyle w:val="BodyText"/>
        <w:spacing w:before="5"/>
        <w:rPr>
          <w:i/>
          <w:sz w:val="18"/>
        </w:rPr>
      </w:pPr>
    </w:p>
    <w:p>
      <w:pPr>
        <w:spacing w:line="441" w:lineRule="auto" w:before="0"/>
        <w:ind w:left="1159" w:right="765" w:firstLine="360"/>
        <w:jc w:val="both"/>
        <w:rPr>
          <w:sz w:val="16"/>
        </w:rPr>
      </w:pPr>
      <w:r>
        <w:rPr>
          <w:color w:val="292425"/>
          <w:w w:val="110"/>
          <w:sz w:val="16"/>
        </w:rPr>
        <w:t>Our industry is cyclical, energy intensive, labor intensive, and, </w:t>
      </w:r>
      <w:r>
        <w:rPr>
          <w:color w:val="292425"/>
          <w:spacing w:val="-3"/>
          <w:w w:val="110"/>
          <w:sz w:val="16"/>
        </w:rPr>
        <w:t>finally, </w:t>
      </w:r>
      <w:r>
        <w:rPr>
          <w:color w:val="292425"/>
          <w:w w:val="110"/>
          <w:sz w:val="16"/>
        </w:rPr>
        <w:t>capital intensive. Operating costs are mostly fixed, and operations are subject</w:t>
      </w:r>
      <w:r>
        <w:rPr>
          <w:color w:val="292425"/>
          <w:spacing w:val="-5"/>
          <w:w w:val="110"/>
          <w:sz w:val="16"/>
        </w:rPr>
        <w:t> </w:t>
      </w:r>
      <w:r>
        <w:rPr>
          <w:color w:val="292425"/>
          <w:w w:val="110"/>
          <w:sz w:val="16"/>
        </w:rPr>
        <w:t>to</w:t>
      </w:r>
      <w:r>
        <w:rPr>
          <w:color w:val="292425"/>
          <w:spacing w:val="-5"/>
          <w:w w:val="110"/>
          <w:sz w:val="16"/>
        </w:rPr>
        <w:t> </w:t>
      </w:r>
      <w:r>
        <w:rPr>
          <w:color w:val="292425"/>
          <w:w w:val="110"/>
          <w:sz w:val="16"/>
        </w:rPr>
        <w:t>weather</w:t>
      </w:r>
      <w:r>
        <w:rPr>
          <w:color w:val="292425"/>
          <w:spacing w:val="-5"/>
          <w:w w:val="110"/>
          <w:sz w:val="16"/>
        </w:rPr>
        <w:t> </w:t>
      </w:r>
      <w:r>
        <w:rPr>
          <w:color w:val="292425"/>
          <w:w w:val="110"/>
          <w:sz w:val="16"/>
        </w:rPr>
        <w:t>conditions</w:t>
      </w:r>
      <w:r>
        <w:rPr>
          <w:color w:val="292425"/>
          <w:spacing w:val="-5"/>
          <w:w w:val="110"/>
          <w:sz w:val="16"/>
        </w:rPr>
        <w:t> </w:t>
      </w:r>
      <w:r>
        <w:rPr>
          <w:color w:val="292425"/>
          <w:w w:val="110"/>
          <w:sz w:val="16"/>
        </w:rPr>
        <w:t>and</w:t>
      </w:r>
      <w:r>
        <w:rPr>
          <w:color w:val="292425"/>
          <w:spacing w:val="-5"/>
          <w:w w:val="110"/>
          <w:sz w:val="16"/>
        </w:rPr>
        <w:t> </w:t>
      </w:r>
      <w:r>
        <w:rPr>
          <w:color w:val="292425"/>
          <w:w w:val="110"/>
          <w:sz w:val="16"/>
        </w:rPr>
        <w:t>federal</w:t>
      </w:r>
      <w:r>
        <w:rPr>
          <w:color w:val="292425"/>
          <w:spacing w:val="-5"/>
          <w:w w:val="110"/>
          <w:sz w:val="16"/>
        </w:rPr>
        <w:t> </w:t>
      </w:r>
      <w:r>
        <w:rPr>
          <w:color w:val="292425"/>
          <w:w w:val="110"/>
          <w:sz w:val="16"/>
        </w:rPr>
        <w:t>oversight.</w:t>
      </w:r>
      <w:r>
        <w:rPr>
          <w:color w:val="292425"/>
          <w:spacing w:val="-5"/>
          <w:w w:val="110"/>
          <w:sz w:val="16"/>
        </w:rPr>
        <w:t> </w:t>
      </w:r>
      <w:r>
        <w:rPr>
          <w:color w:val="292425"/>
          <w:w w:val="110"/>
          <w:sz w:val="16"/>
        </w:rPr>
        <w:t>In</w:t>
      </w:r>
      <w:r>
        <w:rPr>
          <w:color w:val="292425"/>
          <w:spacing w:val="-5"/>
          <w:w w:val="110"/>
          <w:sz w:val="16"/>
        </w:rPr>
        <w:t> </w:t>
      </w:r>
      <w:r>
        <w:rPr>
          <w:color w:val="292425"/>
          <w:w w:val="110"/>
          <w:sz w:val="16"/>
        </w:rPr>
        <w:t>short,</w:t>
      </w:r>
      <w:r>
        <w:rPr>
          <w:color w:val="292425"/>
          <w:spacing w:val="-11"/>
          <w:w w:val="110"/>
          <w:sz w:val="16"/>
        </w:rPr>
        <w:t> </w:t>
      </w:r>
      <w:r>
        <w:rPr>
          <w:color w:val="292425"/>
          <w:spacing w:val="-6"/>
          <w:w w:val="110"/>
          <w:sz w:val="16"/>
        </w:rPr>
        <w:t>it’s</w:t>
      </w:r>
      <w:r>
        <w:rPr>
          <w:color w:val="292425"/>
          <w:spacing w:val="-5"/>
          <w:w w:val="110"/>
          <w:sz w:val="16"/>
        </w:rPr>
        <w:t> </w:t>
      </w:r>
      <w:r>
        <w:rPr>
          <w:color w:val="292425"/>
          <w:w w:val="110"/>
          <w:sz w:val="16"/>
        </w:rPr>
        <w:t>a</w:t>
      </w:r>
      <w:r>
        <w:rPr>
          <w:color w:val="292425"/>
          <w:spacing w:val="-5"/>
          <w:w w:val="110"/>
          <w:sz w:val="16"/>
        </w:rPr>
        <w:t> </w:t>
      </w:r>
      <w:r>
        <w:rPr>
          <w:color w:val="292425"/>
          <w:w w:val="110"/>
          <w:sz w:val="16"/>
        </w:rPr>
        <w:t>risky</w:t>
      </w:r>
      <w:r>
        <w:rPr>
          <w:color w:val="292425"/>
          <w:spacing w:val="-5"/>
          <w:w w:val="110"/>
          <w:sz w:val="16"/>
        </w:rPr>
        <w:t> </w:t>
      </w:r>
      <w:r>
        <w:rPr>
          <w:color w:val="292425"/>
          <w:w w:val="110"/>
          <w:sz w:val="16"/>
        </w:rPr>
        <w:t>business.</w:t>
      </w:r>
      <w:r>
        <w:rPr>
          <w:color w:val="292425"/>
          <w:spacing w:val="-5"/>
          <w:w w:val="110"/>
          <w:sz w:val="16"/>
        </w:rPr>
        <w:t> </w:t>
      </w:r>
      <w:r>
        <w:rPr>
          <w:color w:val="292425"/>
          <w:spacing w:val="-9"/>
          <w:w w:val="110"/>
          <w:sz w:val="16"/>
        </w:rPr>
        <w:t>To</w:t>
      </w:r>
      <w:r>
        <w:rPr>
          <w:color w:val="292425"/>
          <w:spacing w:val="-5"/>
          <w:w w:val="110"/>
          <w:sz w:val="16"/>
        </w:rPr>
        <w:t> </w:t>
      </w:r>
      <w:r>
        <w:rPr>
          <w:color w:val="292425"/>
          <w:w w:val="110"/>
          <w:sz w:val="16"/>
        </w:rPr>
        <w:t>“be</w:t>
      </w:r>
      <w:r>
        <w:rPr>
          <w:color w:val="292425"/>
          <w:spacing w:val="-5"/>
          <w:w w:val="110"/>
          <w:sz w:val="16"/>
        </w:rPr>
        <w:t> </w:t>
      </w:r>
      <w:r>
        <w:rPr>
          <w:color w:val="292425"/>
          <w:spacing w:val="-3"/>
          <w:w w:val="110"/>
          <w:sz w:val="16"/>
        </w:rPr>
        <w:t>prepared,”</w:t>
      </w:r>
      <w:r>
        <w:rPr>
          <w:color w:val="292425"/>
          <w:spacing w:val="-5"/>
          <w:w w:val="110"/>
          <w:sz w:val="16"/>
        </w:rPr>
        <w:t> </w:t>
      </w:r>
      <w:r>
        <w:rPr>
          <w:color w:val="292425"/>
          <w:w w:val="110"/>
          <w:sz w:val="16"/>
        </w:rPr>
        <w:t>we</w:t>
      </w:r>
      <w:r>
        <w:rPr>
          <w:color w:val="292425"/>
          <w:spacing w:val="-5"/>
          <w:w w:val="110"/>
          <w:sz w:val="16"/>
        </w:rPr>
        <w:t> </w:t>
      </w:r>
      <w:r>
        <w:rPr>
          <w:color w:val="292425"/>
          <w:w w:val="110"/>
          <w:sz w:val="16"/>
        </w:rPr>
        <w:t>maintain</w:t>
      </w:r>
      <w:r>
        <w:rPr>
          <w:color w:val="292425"/>
          <w:spacing w:val="-5"/>
          <w:w w:val="110"/>
          <w:sz w:val="16"/>
        </w:rPr>
        <w:t> </w:t>
      </w:r>
      <w:r>
        <w:rPr>
          <w:color w:val="292425"/>
          <w:w w:val="110"/>
          <w:sz w:val="16"/>
        </w:rPr>
        <w:t>healthy</w:t>
      </w:r>
      <w:r>
        <w:rPr>
          <w:color w:val="292425"/>
          <w:spacing w:val="-5"/>
          <w:w w:val="110"/>
          <w:sz w:val="16"/>
        </w:rPr>
        <w:t> </w:t>
      </w:r>
      <w:r>
        <w:rPr>
          <w:color w:val="292425"/>
          <w:w w:val="110"/>
          <w:sz w:val="16"/>
        </w:rPr>
        <w:t>cash</w:t>
      </w:r>
      <w:r>
        <w:rPr>
          <w:color w:val="292425"/>
          <w:spacing w:val="-5"/>
          <w:w w:val="110"/>
          <w:sz w:val="16"/>
        </w:rPr>
        <w:t> </w:t>
      </w:r>
      <w:r>
        <w:rPr>
          <w:color w:val="292425"/>
          <w:w w:val="110"/>
          <w:sz w:val="16"/>
        </w:rPr>
        <w:t>reserves,</w:t>
      </w:r>
      <w:r>
        <w:rPr>
          <w:color w:val="292425"/>
          <w:spacing w:val="-11"/>
          <w:w w:val="110"/>
          <w:sz w:val="16"/>
        </w:rPr>
        <w:t> </w:t>
      </w:r>
      <w:r>
        <w:rPr>
          <w:color w:val="292425"/>
          <w:w w:val="110"/>
          <w:sz w:val="16"/>
        </w:rPr>
        <w:t>low</w:t>
      </w:r>
      <w:r>
        <w:rPr>
          <w:color w:val="292425"/>
          <w:spacing w:val="-5"/>
          <w:w w:val="110"/>
          <w:sz w:val="16"/>
        </w:rPr>
        <w:t> </w:t>
      </w:r>
      <w:r>
        <w:rPr>
          <w:color w:val="292425"/>
          <w:w w:val="110"/>
          <w:sz w:val="16"/>
        </w:rPr>
        <w:t>levels of indebtedness, and ready access to more financing. </w:t>
      </w:r>
      <w:r>
        <w:rPr>
          <w:color w:val="292425"/>
          <w:spacing w:val="-4"/>
          <w:w w:val="110"/>
          <w:sz w:val="16"/>
        </w:rPr>
        <w:t>We </w:t>
      </w:r>
      <w:r>
        <w:rPr>
          <w:color w:val="292425"/>
          <w:w w:val="110"/>
          <w:sz w:val="16"/>
        </w:rPr>
        <w:t>are the only U.S. airline whose credit is rated “investment grade” </w:t>
      </w:r>
      <w:r>
        <w:rPr>
          <w:color w:val="292425"/>
          <w:spacing w:val="-8"/>
          <w:w w:val="110"/>
          <w:sz w:val="16"/>
        </w:rPr>
        <w:t>(“A” </w:t>
      </w:r>
      <w:r>
        <w:rPr>
          <w:color w:val="292425"/>
          <w:w w:val="110"/>
          <w:sz w:val="16"/>
        </w:rPr>
        <w:t>by Standard &amp; </w:t>
      </w:r>
      <w:r>
        <w:rPr>
          <w:color w:val="292425"/>
          <w:spacing w:val="-3"/>
          <w:w w:val="110"/>
          <w:sz w:val="16"/>
        </w:rPr>
        <w:t>Poor’s </w:t>
      </w:r>
      <w:r>
        <w:rPr>
          <w:color w:val="292425"/>
          <w:w w:val="110"/>
          <w:sz w:val="16"/>
        </w:rPr>
        <w:t>and Fitch) by each of the three major rating agencies. At the end of 2002, we had $1.8 billion in cash on hand, or close to six months’ </w:t>
      </w:r>
      <w:r>
        <w:rPr>
          <w:color w:val="292425"/>
          <w:spacing w:val="39"/>
          <w:w w:val="110"/>
          <w:sz w:val="16"/>
        </w:rPr>
        <w:t> </w:t>
      </w:r>
      <w:r>
        <w:rPr>
          <w:color w:val="292425"/>
          <w:w w:val="110"/>
          <w:sz w:val="16"/>
        </w:rPr>
        <w:t>cash operating expenses; a fully available bank revolving credit facility of $575 million; </w:t>
      </w:r>
      <w:r>
        <w:rPr>
          <w:color w:val="292425"/>
          <w:spacing w:val="2"/>
          <w:w w:val="110"/>
          <w:sz w:val="16"/>
        </w:rPr>
        <w:t>unmortgaged </w:t>
      </w:r>
      <w:r>
        <w:rPr>
          <w:color w:val="292425"/>
          <w:w w:val="110"/>
          <w:sz w:val="16"/>
        </w:rPr>
        <w:t>assets of approximately $5 billion; </w:t>
      </w:r>
      <w:r>
        <w:rPr>
          <w:color w:val="292425"/>
          <w:spacing w:val="2"/>
          <w:w w:val="110"/>
          <w:sz w:val="16"/>
        </w:rPr>
        <w:t>and  </w:t>
      </w:r>
      <w:r>
        <w:rPr>
          <w:color w:val="292425"/>
          <w:w w:val="110"/>
          <w:sz w:val="16"/>
        </w:rPr>
        <w:t>debt to total capital of only 40 percent, including aircraft leases as debt. </w:t>
      </w:r>
      <w:r>
        <w:rPr>
          <w:color w:val="292425"/>
          <w:spacing w:val="-5"/>
          <w:w w:val="110"/>
          <w:sz w:val="16"/>
        </w:rPr>
        <w:t>It’s </w:t>
      </w:r>
      <w:r>
        <w:rPr>
          <w:color w:val="292425"/>
          <w:w w:val="110"/>
          <w:sz w:val="16"/>
        </w:rPr>
        <w:t>no </w:t>
      </w:r>
      <w:r>
        <w:rPr>
          <w:color w:val="292425"/>
          <w:spacing w:val="-3"/>
          <w:w w:val="110"/>
          <w:sz w:val="16"/>
        </w:rPr>
        <w:t>wonder </w:t>
      </w:r>
      <w:r>
        <w:rPr>
          <w:color w:val="292425"/>
          <w:w w:val="110"/>
          <w:sz w:val="16"/>
        </w:rPr>
        <w:t>Southwest was recently named as </w:t>
      </w:r>
      <w:r>
        <w:rPr>
          <w:i/>
          <w:color w:val="292425"/>
          <w:w w:val="110"/>
          <w:sz w:val="16"/>
        </w:rPr>
        <w:t>Global Finance’s </w:t>
      </w:r>
      <w:r>
        <w:rPr>
          <w:color w:val="292425"/>
          <w:w w:val="110"/>
          <w:sz w:val="16"/>
        </w:rPr>
        <w:t>“Best Company”</w:t>
      </w:r>
      <w:r>
        <w:rPr>
          <w:color w:val="292425"/>
          <w:spacing w:val="-15"/>
          <w:w w:val="110"/>
          <w:sz w:val="16"/>
        </w:rPr>
        <w:t> </w:t>
      </w:r>
      <w:r>
        <w:rPr>
          <w:color w:val="292425"/>
          <w:w w:val="110"/>
          <w:sz w:val="16"/>
        </w:rPr>
        <w:t>in</w:t>
      </w:r>
      <w:r>
        <w:rPr>
          <w:color w:val="292425"/>
          <w:spacing w:val="-15"/>
          <w:w w:val="110"/>
          <w:sz w:val="16"/>
        </w:rPr>
        <w:t> </w:t>
      </w:r>
      <w:r>
        <w:rPr>
          <w:color w:val="292425"/>
          <w:w w:val="110"/>
          <w:sz w:val="16"/>
        </w:rPr>
        <w:t>North</w:t>
      </w:r>
      <w:r>
        <w:rPr>
          <w:color w:val="292425"/>
          <w:spacing w:val="-15"/>
          <w:w w:val="110"/>
          <w:sz w:val="16"/>
        </w:rPr>
        <w:t> </w:t>
      </w:r>
      <w:r>
        <w:rPr>
          <w:color w:val="292425"/>
          <w:w w:val="110"/>
          <w:sz w:val="16"/>
        </w:rPr>
        <w:t>America</w:t>
      </w:r>
      <w:r>
        <w:rPr>
          <w:color w:val="292425"/>
          <w:spacing w:val="-15"/>
          <w:w w:val="110"/>
          <w:sz w:val="16"/>
        </w:rPr>
        <w:t> </w:t>
      </w:r>
      <w:r>
        <w:rPr>
          <w:color w:val="292425"/>
          <w:w w:val="110"/>
          <w:sz w:val="16"/>
        </w:rPr>
        <w:t>in</w:t>
      </w:r>
      <w:r>
        <w:rPr>
          <w:color w:val="292425"/>
          <w:spacing w:val="-15"/>
          <w:w w:val="110"/>
          <w:sz w:val="16"/>
        </w:rPr>
        <w:t> </w:t>
      </w:r>
      <w:r>
        <w:rPr>
          <w:color w:val="292425"/>
          <w:w w:val="110"/>
          <w:sz w:val="16"/>
        </w:rPr>
        <w:t>the</w:t>
      </w:r>
      <w:r>
        <w:rPr>
          <w:color w:val="292425"/>
          <w:spacing w:val="-15"/>
          <w:w w:val="110"/>
          <w:sz w:val="16"/>
        </w:rPr>
        <w:t> </w:t>
      </w:r>
      <w:r>
        <w:rPr>
          <w:color w:val="292425"/>
          <w:w w:val="110"/>
          <w:sz w:val="16"/>
        </w:rPr>
        <w:t>Airline</w:t>
      </w:r>
      <w:r>
        <w:rPr>
          <w:color w:val="292425"/>
          <w:spacing w:val="-15"/>
          <w:w w:val="110"/>
          <w:sz w:val="16"/>
        </w:rPr>
        <w:t> </w:t>
      </w:r>
      <w:r>
        <w:rPr>
          <w:color w:val="292425"/>
          <w:spacing w:val="-4"/>
          <w:w w:val="110"/>
          <w:sz w:val="16"/>
        </w:rPr>
        <w:t>sector.</w:t>
      </w:r>
    </w:p>
    <w:p>
      <w:pPr>
        <w:pStyle w:val="BodyText"/>
        <w:spacing w:before="11"/>
        <w:rPr>
          <w:sz w:val="22"/>
        </w:rPr>
      </w:pPr>
    </w:p>
    <w:p>
      <w:pPr>
        <w:spacing w:before="1"/>
        <w:ind w:left="1159" w:right="0" w:firstLine="0"/>
        <w:jc w:val="left"/>
        <w:rPr>
          <w:i/>
          <w:sz w:val="16"/>
        </w:rPr>
      </w:pPr>
      <w:r>
        <w:rPr>
          <w:i/>
          <w:color w:val="292425"/>
          <w:w w:val="105"/>
          <w:sz w:val="16"/>
        </w:rPr>
        <w:t>Legendary  Customer  Service</w:t>
      </w:r>
    </w:p>
    <w:p>
      <w:pPr>
        <w:pStyle w:val="BodyText"/>
        <w:rPr>
          <w:i/>
          <w:sz w:val="18"/>
        </w:rPr>
      </w:pPr>
    </w:p>
    <w:p>
      <w:pPr>
        <w:pStyle w:val="BodyText"/>
        <w:spacing w:before="5"/>
        <w:rPr>
          <w:i/>
          <w:sz w:val="18"/>
        </w:rPr>
      </w:pPr>
    </w:p>
    <w:p>
      <w:pPr>
        <w:spacing w:line="441" w:lineRule="auto" w:before="0"/>
        <w:ind w:left="1159" w:right="768" w:firstLine="360"/>
        <w:jc w:val="both"/>
        <w:rPr>
          <w:sz w:val="16"/>
        </w:rPr>
      </w:pPr>
      <w:r>
        <w:rPr>
          <w:color w:val="292425"/>
          <w:w w:val="105"/>
          <w:sz w:val="16"/>
        </w:rPr>
        <w:t>Southwest is a company of great People who genuinely care about our </w:t>
      </w:r>
      <w:r>
        <w:rPr>
          <w:color w:val="292425"/>
          <w:spacing w:val="-3"/>
          <w:w w:val="105"/>
          <w:sz w:val="16"/>
        </w:rPr>
        <w:t>Company, </w:t>
      </w:r>
      <w:r>
        <w:rPr>
          <w:color w:val="292425"/>
          <w:w w:val="105"/>
          <w:sz w:val="16"/>
        </w:rPr>
        <w:t>our Customers, and the communities we serve. Despite the stress and strain of instituting drastic changes in airport security and a disastrous airline economic  environment,  we  intensified  our  focus  on Customer Service and our resolve to provide affordable air transportation. Our People came to work each day with their usual smiles and caring hearts, prepared to do whatever was required to quickly adapt to the multitude of new and complex security measures and procedures, which were </w:t>
      </w:r>
      <w:r>
        <w:rPr>
          <w:color w:val="292425"/>
          <w:spacing w:val="2"/>
          <w:w w:val="105"/>
          <w:sz w:val="16"/>
        </w:rPr>
        <w:t>mandated </w:t>
      </w:r>
      <w:r>
        <w:rPr>
          <w:color w:val="292425"/>
          <w:w w:val="105"/>
          <w:sz w:val="16"/>
        </w:rPr>
        <w:t>by the </w:t>
      </w:r>
      <w:r>
        <w:rPr>
          <w:color w:val="292425"/>
          <w:spacing w:val="2"/>
          <w:w w:val="105"/>
          <w:sz w:val="16"/>
        </w:rPr>
        <w:t>federal government throughout </w:t>
      </w:r>
      <w:r>
        <w:rPr>
          <w:color w:val="292425"/>
          <w:w w:val="105"/>
          <w:sz w:val="16"/>
        </w:rPr>
        <w:t>the year. Our </w:t>
      </w:r>
      <w:r>
        <w:rPr>
          <w:color w:val="292425"/>
          <w:spacing w:val="2"/>
          <w:w w:val="105"/>
          <w:sz w:val="16"/>
        </w:rPr>
        <w:t>Employees </w:t>
      </w:r>
      <w:r>
        <w:rPr>
          <w:color w:val="292425"/>
          <w:w w:val="105"/>
          <w:sz w:val="16"/>
        </w:rPr>
        <w:t>have </w:t>
      </w:r>
      <w:r>
        <w:rPr>
          <w:color w:val="292425"/>
          <w:spacing w:val="3"/>
          <w:w w:val="105"/>
          <w:sz w:val="16"/>
        </w:rPr>
        <w:t>wholeheartedly </w:t>
      </w:r>
      <w:r>
        <w:rPr>
          <w:color w:val="292425"/>
          <w:spacing w:val="2"/>
          <w:w w:val="105"/>
          <w:sz w:val="16"/>
        </w:rPr>
        <w:t>embraced numerous technological </w:t>
      </w:r>
      <w:r>
        <w:rPr>
          <w:color w:val="292425"/>
          <w:w w:val="105"/>
          <w:sz w:val="16"/>
        </w:rPr>
        <w:t>and </w:t>
      </w:r>
      <w:r>
        <w:rPr>
          <w:color w:val="292425"/>
          <w:spacing w:val="3"/>
          <w:w w:val="105"/>
          <w:sz w:val="16"/>
        </w:rPr>
        <w:t>other </w:t>
      </w:r>
      <w:r>
        <w:rPr>
          <w:color w:val="292425"/>
          <w:w w:val="105"/>
          <w:sz w:val="16"/>
        </w:rPr>
        <w:t>security-driven changes, which were implemented to improve the overall Customer airport experience and our operational </w:t>
      </w:r>
      <w:r>
        <w:rPr>
          <w:color w:val="292425"/>
          <w:spacing w:val="10"/>
          <w:w w:val="105"/>
          <w:sz w:val="16"/>
        </w:rPr>
        <w:t> </w:t>
      </w:r>
      <w:r>
        <w:rPr>
          <w:color w:val="292425"/>
          <w:spacing w:val="-4"/>
          <w:w w:val="105"/>
          <w:sz w:val="16"/>
        </w:rPr>
        <w:t>efficiency.</w:t>
      </w:r>
    </w:p>
    <w:p>
      <w:pPr>
        <w:spacing w:line="441" w:lineRule="auto" w:before="0"/>
        <w:ind w:left="1159" w:right="764" w:firstLine="360"/>
        <w:jc w:val="both"/>
        <w:rPr>
          <w:sz w:val="16"/>
        </w:rPr>
      </w:pPr>
      <w:r>
        <w:rPr>
          <w:color w:val="292425"/>
          <w:w w:val="105"/>
          <w:sz w:val="16"/>
        </w:rPr>
        <w:t>Although 2002 was one of the most challenging years in our history, our committed and insuperable Employees continued their 32-year tradition of delivering incomparable Customer Service. For the 12th straight year, Southwest had the best Customer complaint record of any U.S. airline. During 2002, Southwest was also recognized as the Best Low  Cost  Carrier,  in  </w:t>
      </w:r>
      <w:r>
        <w:rPr>
          <w:i/>
          <w:color w:val="292425"/>
          <w:w w:val="105"/>
          <w:sz w:val="16"/>
        </w:rPr>
        <w:t>Business Traveler’s  </w:t>
      </w:r>
      <w:r>
        <w:rPr>
          <w:color w:val="292425"/>
          <w:w w:val="105"/>
          <w:sz w:val="16"/>
        </w:rPr>
        <w:t>Annual  Best  in  Business  Travel  Reader Survey, and Best Low Cost Airline in the 2002 </w:t>
      </w:r>
      <w:r>
        <w:rPr>
          <w:i/>
          <w:color w:val="292425"/>
          <w:w w:val="105"/>
          <w:sz w:val="16"/>
        </w:rPr>
        <w:t>Official Airline Guide</w:t>
      </w:r>
      <w:r>
        <w:rPr>
          <w:color w:val="292425"/>
          <w:w w:val="105"/>
          <w:sz w:val="16"/>
        </w:rPr>
        <w:t>. In addition, Southwest ranked first among airlines for Customer Service satisfaction, according to a survey by the American Customer Satisfaction Index, as reported in </w:t>
      </w:r>
      <w:r>
        <w:rPr>
          <w:i/>
          <w:color w:val="292425"/>
          <w:w w:val="105"/>
          <w:sz w:val="16"/>
        </w:rPr>
        <w:t>The Wall Street Journal</w:t>
      </w:r>
      <w:r>
        <w:rPr>
          <w:color w:val="292425"/>
          <w:w w:val="105"/>
          <w:sz w:val="16"/>
        </w:rPr>
        <w:t>. Southwest was also again named by </w:t>
      </w:r>
      <w:r>
        <w:rPr>
          <w:i/>
          <w:color w:val="292425"/>
          <w:w w:val="105"/>
          <w:sz w:val="16"/>
        </w:rPr>
        <w:t>FORTUNE </w:t>
      </w:r>
      <w:r>
        <w:rPr>
          <w:color w:val="292425"/>
          <w:w w:val="105"/>
          <w:sz w:val="16"/>
        </w:rPr>
        <w:t>as one of the most admired companies in America and the most admired airline in America.</w:t>
      </w:r>
    </w:p>
    <w:p>
      <w:pPr>
        <w:spacing w:after="0" w:line="441" w:lineRule="auto"/>
        <w:jc w:val="both"/>
        <w:rPr>
          <w:sz w:val="16"/>
        </w:rPr>
        <w:sectPr>
          <w:headerReference w:type="even" r:id="rId23"/>
          <w:pgSz w:w="12240" w:h="15840"/>
          <w:pgMar w:header="0" w:footer="0" w:top="0" w:bottom="280" w:left="0" w:right="0"/>
        </w:sectPr>
      </w:pPr>
    </w:p>
    <w:p>
      <w:pPr>
        <w:tabs>
          <w:tab w:pos="536" w:val="left" w:leader="none"/>
        </w:tabs>
        <w:spacing w:before="73"/>
        <w:ind w:left="116" w:right="0" w:firstLine="0"/>
        <w:jc w:val="left"/>
        <w:rPr>
          <w:sz w:val="12"/>
        </w:rPr>
      </w:pPr>
      <w:r>
        <w:rPr/>
        <w:pict>
          <v:group style="position:absolute;margin-left:-.25pt;margin-top:-.06pt;width:612.5pt;height:792.25pt;mso-position-horizontal-relative:page;mso-position-vertical-relative:page;z-index:-280960" coordorigin="-5,-1" coordsize="12250,15845">
            <v:shape style="position:absolute;left:0;top:3604;width:12240;height:8276" type="#_x0000_t75" stroked="false">
              <v:imagedata r:id="rId28" o:title=""/>
            </v:shape>
            <v:line style="position:absolute" from="12240,-1" to="12240,15839" stroked="true" strokeweight="0pt" strokecolor="#e2e3e3">
              <v:stroke dashstyle="solid"/>
            </v:line>
            <v:shape style="position:absolute;left:4555;top:365;width:590;height:242" type="#_x0000_t75" stroked="false">
              <v:imagedata r:id="rId8" o:title=""/>
            </v:shape>
            <v:line style="position:absolute" from="697,360" to="697,720" stroked="true" strokeweight=".5pt" strokecolor="#292425">
              <v:stroke dashstyle="solid"/>
            </v:line>
            <v:shape style="position:absolute;left:0;top:720;width:12240;height:15119" coordorigin="0,720" coordsize="12240,15119" path="m0,720l12240,720m4475,11882l4475,15839e" filled="false" stroked="true" strokeweight=".5pt" strokecolor="#292425">
              <v:path arrowok="t"/>
              <v:stroke dashstyle="solid"/>
            </v:shape>
            <v:line style="position:absolute" from="0,3600" to="12240,3600" stroked="true" strokeweight=".5pt" strokecolor="#292425">
              <v:stroke dashstyle="solid"/>
            </v:line>
            <v:line style="position:absolute" from="12239,11875" to="12239,11885" stroked="true" strokeweight=".13pt" strokecolor="#292425">
              <v:stroke dashstyle="solid"/>
            </v:line>
            <v:line style="position:absolute" from="0,11880" to="12240,11880" stroked="true" strokeweight=".5pt" strokecolor="#292425">
              <v:stroke dashstyle="solid"/>
            </v:line>
            <w10:wrap type="none"/>
          </v:group>
        </w:pict>
      </w:r>
      <w:r>
        <w:rPr>
          <w:color w:val="292425"/>
          <w:w w:val="145"/>
          <w:sz w:val="14"/>
        </w:rPr>
        <w:t>8</w:t>
        <w:tab/>
      </w:r>
      <w:r>
        <w:rPr>
          <w:color w:val="292425"/>
          <w:spacing w:val="6"/>
          <w:w w:val="155"/>
          <w:sz w:val="12"/>
        </w:rPr>
        <w:t>Southwest  airlines  </w:t>
      </w:r>
      <w:r>
        <w:rPr>
          <w:color w:val="292425"/>
          <w:spacing w:val="4"/>
          <w:w w:val="155"/>
          <w:sz w:val="12"/>
        </w:rPr>
        <w:t>co.  </w:t>
      </w:r>
      <w:r>
        <w:rPr>
          <w:color w:val="292425"/>
          <w:spacing w:val="5"/>
          <w:w w:val="145"/>
          <w:sz w:val="12"/>
        </w:rPr>
        <w:t>2002  </w:t>
      </w:r>
      <w:r>
        <w:rPr>
          <w:color w:val="292425"/>
          <w:spacing w:val="5"/>
          <w:w w:val="155"/>
          <w:sz w:val="12"/>
        </w:rPr>
        <w:t>annual</w:t>
      </w:r>
      <w:r>
        <w:rPr>
          <w:color w:val="292425"/>
          <w:spacing w:val="29"/>
          <w:w w:val="155"/>
          <w:sz w:val="12"/>
        </w:rPr>
        <w:t> </w:t>
      </w:r>
      <w:r>
        <w:rPr>
          <w:color w:val="292425"/>
          <w:spacing w:val="4"/>
          <w:w w:val="155"/>
          <w:sz w:val="12"/>
        </w:rPr>
        <w:t>report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18"/>
        </w:rPr>
      </w:pPr>
      <w:r>
        <w:rPr/>
        <w:pict>
          <v:shape style="position:absolute;margin-left:223.779999pt;margin-top:12.62064pt;width:162pt;height:36pt;mso-position-horizontal-relative:page;mso-position-vertical-relative:paragraph;z-index:2416;mso-wrap-distance-left:0;mso-wrap-distance-right:0" type="#_x0000_t202" filled="true" fillcolor="#ed2232" stroked="false">
            <v:textbox inset="0,0,0,0">
              <w:txbxContent>
                <w:p>
                  <w:pPr>
                    <w:spacing w:before="219"/>
                    <w:ind w:left="492" w:right="0" w:firstLine="0"/>
                    <w:jc w:val="left"/>
                    <w:rPr>
                      <w:sz w:val="22"/>
                    </w:rPr>
                  </w:pPr>
                  <w:r>
                    <w:rPr>
                      <w:color w:val="FFFFFF"/>
                      <w:spacing w:val="20"/>
                      <w:w w:val="140"/>
                      <w:sz w:val="22"/>
                    </w:rPr>
                    <w:t>CO </w:t>
                  </w:r>
                  <w:r>
                    <w:rPr>
                      <w:color w:val="FFFFFF"/>
                      <w:spacing w:val="37"/>
                      <w:w w:val="140"/>
                      <w:sz w:val="22"/>
                    </w:rPr>
                    <w:t>NVENIENCE</w:t>
                  </w:r>
                  <w:r>
                    <w:rPr>
                      <w:color w:val="FFFFFF"/>
                      <w:spacing w:val="-7"/>
                      <w:sz w:val="22"/>
                    </w:rPr>
                    <w:t> </w:t>
                  </w:r>
                </w:p>
              </w:txbxContent>
            </v:textbox>
            <v:fill type="solid"/>
            <w10:wrap type="topAndBottom"/>
          </v:shape>
        </w:pic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
        <w:rPr>
          <w:sz w:val="22"/>
        </w:rPr>
      </w:pPr>
    </w:p>
    <w:p>
      <w:pPr>
        <w:spacing w:line="393" w:lineRule="auto" w:before="91"/>
        <w:ind w:left="4491" w:right="1958" w:firstLine="0"/>
        <w:jc w:val="both"/>
        <w:rPr>
          <w:i/>
          <w:sz w:val="14"/>
        </w:rPr>
      </w:pPr>
      <w:r>
        <w:rPr>
          <w:i/>
          <w:color w:val="292425"/>
          <w:w w:val="105"/>
          <w:sz w:val="14"/>
        </w:rPr>
        <w:t>Our new RAPID CHECK-IN Kiosks and automated </w:t>
      </w:r>
      <w:r>
        <w:rPr>
          <w:i/>
          <w:color w:val="292425"/>
          <w:w w:val="105"/>
          <w:sz w:val="14"/>
        </w:rPr>
        <w:t>boarding passes signal our ongoing commitment to keeping our Southwest boarding procedure quick and simple for  our Customers.</w:t>
      </w:r>
    </w:p>
    <w:p>
      <w:pPr>
        <w:spacing w:after="0" w:line="393" w:lineRule="auto"/>
        <w:jc w:val="both"/>
        <w:rPr>
          <w:sz w:val="14"/>
        </w:rPr>
        <w:sectPr>
          <w:headerReference w:type="default" r:id="rId27"/>
          <w:pgSz w:w="12240" w:h="15840"/>
          <w:pgMar w:header="0" w:footer="0" w:top="380" w:bottom="280" w:left="360" w:right="1720"/>
        </w:sectPr>
      </w:pPr>
    </w:p>
    <w:p>
      <w:pPr>
        <w:pStyle w:val="BodyText"/>
        <w:spacing w:before="8"/>
        <w:rPr>
          <w:i/>
          <w:sz w:val="29"/>
        </w:rPr>
      </w:pPr>
    </w:p>
    <w:p>
      <w:pPr>
        <w:tabs>
          <w:tab w:pos="11724" w:val="right" w:leader="none"/>
        </w:tabs>
        <w:spacing w:before="102"/>
        <w:ind w:left="7753" w:right="0" w:firstLine="0"/>
        <w:jc w:val="left"/>
        <w:rPr>
          <w:sz w:val="14"/>
        </w:rPr>
      </w:pPr>
      <w:r>
        <w:rPr/>
        <w:pict>
          <v:group style="position:absolute;margin-left:-.25pt;margin-top:-.380042pt;width:612.5pt;height:18.5pt;mso-position-horizontal-relative:page;mso-position-vertical-relative:paragraph;z-index:-280936" coordorigin="-5,-8" coordsize="12250,370">
            <v:line style="position:absolute" from="11520,-3" to="11520,357" stroked="true" strokeweight=".5pt" strokecolor="#292425">
              <v:stroke dashstyle="solid"/>
            </v:line>
            <v:line style="position:absolute" from="0,357" to="12240,357" stroked="true" strokeweight=".5pt" strokecolor="#292425">
              <v:stroke dashstyle="solid"/>
            </v:line>
            <w10:wrap type="none"/>
          </v:group>
        </w:pict>
      </w:r>
      <w:bookmarkStart w:name="Rapid Rewards" w:id="10"/>
      <w:bookmarkEnd w:id="10"/>
      <w:r>
        <w:rPr/>
      </w:r>
      <w:bookmarkStart w:name="Cautious Growth" w:id="11"/>
      <w:bookmarkEnd w:id="11"/>
      <w:r>
        <w:rPr/>
      </w:r>
      <w:r>
        <w:rPr>
          <w:color w:val="292425"/>
          <w:spacing w:val="6"/>
          <w:w w:val="155"/>
          <w:position w:val="1"/>
          <w:sz w:val="12"/>
        </w:rPr>
        <w:t>Southwest airlines </w:t>
      </w:r>
      <w:r>
        <w:rPr>
          <w:color w:val="292425"/>
          <w:spacing w:val="4"/>
          <w:w w:val="155"/>
          <w:position w:val="1"/>
          <w:sz w:val="12"/>
        </w:rPr>
        <w:t>co.  </w:t>
      </w:r>
      <w:r>
        <w:rPr>
          <w:color w:val="292425"/>
          <w:spacing w:val="5"/>
          <w:w w:val="140"/>
          <w:position w:val="1"/>
          <w:sz w:val="12"/>
        </w:rPr>
        <w:t>2002 </w:t>
      </w:r>
      <w:r>
        <w:rPr>
          <w:color w:val="292425"/>
          <w:spacing w:val="19"/>
          <w:w w:val="140"/>
          <w:position w:val="1"/>
          <w:sz w:val="12"/>
        </w:rPr>
        <w:t> </w:t>
      </w:r>
      <w:r>
        <w:rPr>
          <w:color w:val="292425"/>
          <w:spacing w:val="5"/>
          <w:w w:val="155"/>
          <w:position w:val="1"/>
          <w:sz w:val="12"/>
        </w:rPr>
        <w:t>annual</w:t>
      </w:r>
      <w:r>
        <w:rPr>
          <w:color w:val="292425"/>
          <w:spacing w:val="30"/>
          <w:w w:val="155"/>
          <w:position w:val="1"/>
          <w:sz w:val="12"/>
        </w:rPr>
        <w:t> </w:t>
      </w:r>
      <w:r>
        <w:rPr>
          <w:color w:val="292425"/>
          <w:spacing w:val="4"/>
          <w:w w:val="155"/>
          <w:position w:val="1"/>
          <w:sz w:val="12"/>
        </w:rPr>
        <w:t>report</w:t>
      </w:r>
      <w:r>
        <w:rPr>
          <w:color w:val="292425"/>
          <w:spacing w:val="4"/>
          <w:w w:val="155"/>
          <w:sz w:val="14"/>
        </w:rPr>
        <w:tab/>
      </w:r>
      <w:r>
        <w:rPr>
          <w:color w:val="292425"/>
          <w:w w:val="140"/>
          <w:sz w:val="14"/>
        </w:rPr>
        <w:t>9</w:t>
      </w:r>
    </w:p>
    <w:p>
      <w:pPr>
        <w:pStyle w:val="BodyText"/>
        <w:rPr>
          <w:sz w:val="18"/>
        </w:rPr>
      </w:pPr>
    </w:p>
    <w:p>
      <w:pPr>
        <w:pStyle w:val="BodyText"/>
        <w:rPr>
          <w:sz w:val="18"/>
        </w:rPr>
      </w:pPr>
    </w:p>
    <w:p>
      <w:pPr>
        <w:pStyle w:val="BodyText"/>
        <w:rPr>
          <w:sz w:val="18"/>
        </w:rPr>
      </w:pPr>
    </w:p>
    <w:p>
      <w:pPr>
        <w:spacing w:before="119"/>
        <w:ind w:left="1100" w:right="0" w:firstLine="0"/>
        <w:jc w:val="left"/>
        <w:rPr>
          <w:i/>
          <w:sz w:val="16"/>
        </w:rPr>
      </w:pPr>
      <w:r>
        <w:rPr>
          <w:i/>
          <w:color w:val="292425"/>
          <w:w w:val="105"/>
          <w:sz w:val="16"/>
        </w:rPr>
        <w:t>Rapid  Rewards</w:t>
      </w:r>
    </w:p>
    <w:p>
      <w:pPr>
        <w:pStyle w:val="BodyText"/>
        <w:rPr>
          <w:i/>
          <w:sz w:val="18"/>
        </w:rPr>
      </w:pPr>
    </w:p>
    <w:p>
      <w:pPr>
        <w:pStyle w:val="BodyText"/>
        <w:rPr>
          <w:i/>
          <w:sz w:val="18"/>
        </w:rPr>
      </w:pPr>
    </w:p>
    <w:p>
      <w:pPr>
        <w:spacing w:line="441" w:lineRule="auto" w:before="142"/>
        <w:ind w:left="1099" w:right="735" w:firstLine="360"/>
        <w:jc w:val="both"/>
        <w:rPr>
          <w:sz w:val="16"/>
        </w:rPr>
      </w:pPr>
      <w:r>
        <w:rPr>
          <w:color w:val="292425"/>
          <w:w w:val="105"/>
          <w:sz w:val="16"/>
        </w:rPr>
        <w:t>In addition to our low fares, our Customers have the opportunity to receive Rapid Rewards. After purchasing and flying only eight roundtrips or </w:t>
      </w:r>
      <w:r>
        <w:rPr>
          <w:color w:val="292425"/>
          <w:spacing w:val="2"/>
          <w:w w:val="105"/>
          <w:sz w:val="16"/>
        </w:rPr>
        <w:t>earning </w:t>
      </w:r>
      <w:r>
        <w:rPr>
          <w:color w:val="292425"/>
          <w:w w:val="105"/>
          <w:sz w:val="16"/>
        </w:rPr>
        <w:t>16 credits (a one-way ticket equals one credit) in a 12-month period, </w:t>
      </w:r>
      <w:r>
        <w:rPr>
          <w:color w:val="292425"/>
          <w:spacing w:val="2"/>
          <w:w w:val="105"/>
          <w:sz w:val="16"/>
        </w:rPr>
        <w:t>Customers </w:t>
      </w:r>
      <w:r>
        <w:rPr>
          <w:color w:val="292425"/>
          <w:w w:val="105"/>
          <w:sz w:val="16"/>
        </w:rPr>
        <w:t>receive a roundtrip ticket for travel anywhere within </w:t>
      </w:r>
      <w:r>
        <w:rPr>
          <w:color w:val="292425"/>
          <w:spacing w:val="2"/>
          <w:w w:val="105"/>
          <w:sz w:val="16"/>
        </w:rPr>
        <w:t>our </w:t>
      </w:r>
      <w:r>
        <w:rPr>
          <w:color w:val="292425"/>
          <w:w w:val="105"/>
          <w:sz w:val="16"/>
        </w:rPr>
        <w:t>system for up to a year. Since there are no restrictions on the number of Rapid Rewards seats and </w:t>
      </w:r>
      <w:r>
        <w:rPr>
          <w:color w:val="292425"/>
          <w:spacing w:val="3"/>
          <w:w w:val="105"/>
          <w:sz w:val="16"/>
        </w:rPr>
        <w:t>very </w:t>
      </w:r>
      <w:r>
        <w:rPr>
          <w:color w:val="292425"/>
          <w:w w:val="105"/>
          <w:sz w:val="16"/>
        </w:rPr>
        <w:t>few blackout dates, </w:t>
      </w:r>
      <w:r>
        <w:rPr>
          <w:color w:val="292425"/>
          <w:spacing w:val="2"/>
          <w:w w:val="105"/>
          <w:sz w:val="16"/>
        </w:rPr>
        <w:t>Customers </w:t>
      </w:r>
      <w:r>
        <w:rPr>
          <w:color w:val="292425"/>
          <w:w w:val="105"/>
          <w:sz w:val="16"/>
        </w:rPr>
        <w:t>can </w:t>
      </w:r>
      <w:r>
        <w:rPr>
          <w:color w:val="292425"/>
          <w:spacing w:val="2"/>
          <w:w w:val="105"/>
          <w:sz w:val="16"/>
        </w:rPr>
        <w:t>fly      </w:t>
      </w:r>
      <w:r>
        <w:rPr>
          <w:color w:val="292425"/>
          <w:w w:val="105"/>
          <w:sz w:val="16"/>
        </w:rPr>
        <w:t>virtually anytime to any Southwest destination. Rapid </w:t>
      </w:r>
      <w:r>
        <w:rPr>
          <w:color w:val="292425"/>
          <w:spacing w:val="-3"/>
          <w:w w:val="105"/>
          <w:sz w:val="16"/>
        </w:rPr>
        <w:t>Rewards </w:t>
      </w:r>
      <w:r>
        <w:rPr>
          <w:color w:val="292425"/>
          <w:w w:val="105"/>
          <w:sz w:val="16"/>
        </w:rPr>
        <w:t>members can also transfer (but not sell) the </w:t>
      </w:r>
      <w:r>
        <w:rPr>
          <w:color w:val="292425"/>
          <w:spacing w:val="-4"/>
          <w:w w:val="105"/>
          <w:sz w:val="16"/>
        </w:rPr>
        <w:t>award </w:t>
      </w:r>
      <w:r>
        <w:rPr>
          <w:color w:val="292425"/>
          <w:spacing w:val="-3"/>
          <w:w w:val="105"/>
          <w:sz w:val="16"/>
        </w:rPr>
        <w:t>ticket </w:t>
      </w:r>
      <w:r>
        <w:rPr>
          <w:color w:val="292425"/>
          <w:w w:val="105"/>
          <w:sz w:val="16"/>
        </w:rPr>
        <w:t>to </w:t>
      </w:r>
      <w:r>
        <w:rPr>
          <w:color w:val="292425"/>
          <w:spacing w:val="-3"/>
          <w:w w:val="105"/>
          <w:sz w:val="16"/>
        </w:rPr>
        <w:t>anyone </w:t>
      </w:r>
      <w:r>
        <w:rPr>
          <w:color w:val="292425"/>
          <w:w w:val="105"/>
          <w:sz w:val="16"/>
        </w:rPr>
        <w:t>with no additional paperwork. Our Rapid Rewards program is simple and </w:t>
      </w:r>
      <w:r>
        <w:rPr>
          <w:color w:val="292425"/>
          <w:spacing w:val="-3"/>
          <w:w w:val="105"/>
          <w:sz w:val="16"/>
        </w:rPr>
        <w:t>by </w:t>
      </w:r>
      <w:r>
        <w:rPr>
          <w:color w:val="292425"/>
          <w:w w:val="105"/>
          <w:sz w:val="16"/>
        </w:rPr>
        <w:t>far the most generous in the industry. In fact, our Rapid Rewards program won top honors as frequent flyer Program of the </w:t>
      </w:r>
      <w:r>
        <w:rPr>
          <w:color w:val="292425"/>
          <w:spacing w:val="-5"/>
          <w:w w:val="105"/>
          <w:sz w:val="16"/>
        </w:rPr>
        <w:t>Year </w:t>
      </w:r>
      <w:r>
        <w:rPr>
          <w:color w:val="292425"/>
          <w:w w:val="105"/>
          <w:sz w:val="16"/>
        </w:rPr>
        <w:t>in </w:t>
      </w:r>
      <w:r>
        <w:rPr>
          <w:i/>
          <w:color w:val="292425"/>
          <w:w w:val="105"/>
          <w:sz w:val="16"/>
        </w:rPr>
        <w:t>Inside Flyer </w:t>
      </w:r>
      <w:r>
        <w:rPr>
          <w:color w:val="292425"/>
          <w:spacing w:val="-3"/>
          <w:w w:val="105"/>
          <w:sz w:val="16"/>
        </w:rPr>
        <w:t>magazine’s </w:t>
      </w:r>
      <w:r>
        <w:rPr>
          <w:color w:val="292425"/>
          <w:w w:val="105"/>
          <w:sz w:val="16"/>
        </w:rPr>
        <w:t>annual Freddie Awards. The awards for Best Customer Service, Best Award Redemption,</w:t>
      </w:r>
      <w:r>
        <w:rPr>
          <w:color w:val="292425"/>
          <w:spacing w:val="38"/>
          <w:w w:val="105"/>
          <w:sz w:val="16"/>
        </w:rPr>
        <w:t> </w:t>
      </w:r>
      <w:r>
        <w:rPr>
          <w:color w:val="292425"/>
          <w:w w:val="105"/>
          <w:sz w:val="16"/>
        </w:rPr>
        <w:t>and Best Bonus Promotion among all frequent flyer programs were also earned </w:t>
      </w:r>
      <w:r>
        <w:rPr>
          <w:color w:val="292425"/>
          <w:spacing w:val="-3"/>
          <w:w w:val="105"/>
          <w:sz w:val="16"/>
        </w:rPr>
        <w:t>by </w:t>
      </w:r>
      <w:r>
        <w:rPr>
          <w:color w:val="292425"/>
          <w:w w:val="105"/>
          <w:sz w:val="16"/>
        </w:rPr>
        <w:t>our program. Rapid Rewards members can also earn flight credits     by doing business with our preferred partners (Alamo, American Express, Budget, Diners Club, </w:t>
      </w:r>
      <w:r>
        <w:rPr>
          <w:color w:val="292425"/>
          <w:spacing w:val="-3"/>
          <w:w w:val="105"/>
          <w:sz w:val="16"/>
        </w:rPr>
        <w:t>Dollar, </w:t>
      </w:r>
      <w:r>
        <w:rPr>
          <w:color w:val="292425"/>
          <w:w w:val="105"/>
          <w:sz w:val="16"/>
        </w:rPr>
        <w:t>Hertz, EarthLink, MCI, Nextel, Hilton, Hyatt, Marriott,</w:t>
      </w:r>
      <w:r>
        <w:rPr>
          <w:color w:val="292425"/>
          <w:spacing w:val="6"/>
          <w:w w:val="105"/>
          <w:sz w:val="16"/>
        </w:rPr>
        <w:t> </w:t>
      </w:r>
      <w:r>
        <w:rPr>
          <w:color w:val="292425"/>
          <w:w w:val="105"/>
          <w:sz w:val="16"/>
        </w:rPr>
        <w:t>La</w:t>
      </w:r>
      <w:r>
        <w:rPr>
          <w:color w:val="292425"/>
          <w:spacing w:val="14"/>
          <w:w w:val="105"/>
          <w:sz w:val="16"/>
        </w:rPr>
        <w:t> </w:t>
      </w:r>
      <w:r>
        <w:rPr>
          <w:color w:val="292425"/>
          <w:w w:val="105"/>
          <w:sz w:val="16"/>
        </w:rPr>
        <w:t>Quinta,</w:t>
      </w:r>
      <w:r>
        <w:rPr>
          <w:color w:val="292425"/>
          <w:spacing w:val="6"/>
          <w:w w:val="105"/>
          <w:sz w:val="16"/>
        </w:rPr>
        <w:t> </w:t>
      </w:r>
      <w:r>
        <w:rPr>
          <w:color w:val="292425"/>
          <w:w w:val="105"/>
          <w:sz w:val="16"/>
        </w:rPr>
        <w:t>and</w:t>
      </w:r>
      <w:r>
        <w:rPr>
          <w:color w:val="292425"/>
          <w:spacing w:val="14"/>
          <w:w w:val="105"/>
          <w:sz w:val="16"/>
        </w:rPr>
        <w:t> </w:t>
      </w:r>
      <w:r>
        <w:rPr>
          <w:color w:val="292425"/>
          <w:w w:val="105"/>
          <w:sz w:val="16"/>
        </w:rPr>
        <w:t>Choice</w:t>
      </w:r>
      <w:r>
        <w:rPr>
          <w:color w:val="292425"/>
          <w:spacing w:val="14"/>
          <w:w w:val="105"/>
          <w:sz w:val="16"/>
        </w:rPr>
        <w:t> </w:t>
      </w:r>
      <w:r>
        <w:rPr>
          <w:color w:val="292425"/>
          <w:w w:val="105"/>
          <w:sz w:val="16"/>
        </w:rPr>
        <w:t>brand</w:t>
      </w:r>
      <w:r>
        <w:rPr>
          <w:color w:val="292425"/>
          <w:spacing w:val="14"/>
          <w:w w:val="105"/>
          <w:sz w:val="16"/>
        </w:rPr>
        <w:t> </w:t>
      </w:r>
      <w:r>
        <w:rPr>
          <w:color w:val="292425"/>
          <w:w w:val="105"/>
          <w:sz w:val="16"/>
        </w:rPr>
        <w:t>hotels)</w:t>
      </w:r>
      <w:r>
        <w:rPr>
          <w:color w:val="292425"/>
          <w:spacing w:val="14"/>
          <w:w w:val="105"/>
          <w:sz w:val="16"/>
        </w:rPr>
        <w:t> </w:t>
      </w:r>
      <w:r>
        <w:rPr>
          <w:color w:val="292425"/>
          <w:w w:val="105"/>
          <w:sz w:val="16"/>
        </w:rPr>
        <w:t>as</w:t>
      </w:r>
      <w:r>
        <w:rPr>
          <w:color w:val="292425"/>
          <w:spacing w:val="14"/>
          <w:w w:val="105"/>
          <w:sz w:val="16"/>
        </w:rPr>
        <w:t> </w:t>
      </w:r>
      <w:r>
        <w:rPr>
          <w:color w:val="292425"/>
          <w:w w:val="105"/>
          <w:sz w:val="16"/>
        </w:rPr>
        <w:t>well</w:t>
      </w:r>
      <w:r>
        <w:rPr>
          <w:color w:val="292425"/>
          <w:spacing w:val="14"/>
          <w:w w:val="105"/>
          <w:sz w:val="16"/>
        </w:rPr>
        <w:t> </w:t>
      </w:r>
      <w:r>
        <w:rPr>
          <w:color w:val="292425"/>
          <w:w w:val="105"/>
          <w:sz w:val="16"/>
        </w:rPr>
        <w:t>as</w:t>
      </w:r>
      <w:r>
        <w:rPr>
          <w:color w:val="292425"/>
          <w:spacing w:val="14"/>
          <w:w w:val="105"/>
          <w:sz w:val="16"/>
        </w:rPr>
        <w:t> </w:t>
      </w:r>
      <w:r>
        <w:rPr>
          <w:color w:val="292425"/>
          <w:w w:val="105"/>
          <w:sz w:val="16"/>
        </w:rPr>
        <w:t>through</w:t>
      </w:r>
      <w:r>
        <w:rPr>
          <w:color w:val="292425"/>
          <w:spacing w:val="14"/>
          <w:w w:val="105"/>
          <w:sz w:val="16"/>
        </w:rPr>
        <w:t> </w:t>
      </w:r>
      <w:r>
        <w:rPr>
          <w:color w:val="292425"/>
          <w:w w:val="105"/>
          <w:sz w:val="16"/>
        </w:rPr>
        <w:t>the</w:t>
      </w:r>
      <w:r>
        <w:rPr>
          <w:color w:val="292425"/>
          <w:spacing w:val="14"/>
          <w:w w:val="105"/>
          <w:sz w:val="16"/>
        </w:rPr>
        <w:t> </w:t>
      </w:r>
      <w:r>
        <w:rPr>
          <w:color w:val="292425"/>
          <w:w w:val="105"/>
          <w:sz w:val="16"/>
        </w:rPr>
        <w:t>use</w:t>
      </w:r>
      <w:r>
        <w:rPr>
          <w:color w:val="292425"/>
          <w:spacing w:val="14"/>
          <w:w w:val="105"/>
          <w:sz w:val="16"/>
        </w:rPr>
        <w:t> </w:t>
      </w:r>
      <w:r>
        <w:rPr>
          <w:color w:val="292425"/>
          <w:w w:val="105"/>
          <w:sz w:val="16"/>
        </w:rPr>
        <w:t>of</w:t>
      </w:r>
      <w:r>
        <w:rPr>
          <w:color w:val="292425"/>
          <w:spacing w:val="14"/>
          <w:w w:val="105"/>
          <w:sz w:val="16"/>
        </w:rPr>
        <w:t> </w:t>
      </w:r>
      <w:r>
        <w:rPr>
          <w:color w:val="292425"/>
          <w:w w:val="105"/>
          <w:sz w:val="16"/>
        </w:rPr>
        <w:t>the</w:t>
      </w:r>
      <w:r>
        <w:rPr>
          <w:color w:val="292425"/>
          <w:spacing w:val="14"/>
          <w:w w:val="105"/>
          <w:sz w:val="16"/>
        </w:rPr>
        <w:t> </w:t>
      </w:r>
      <w:r>
        <w:rPr>
          <w:color w:val="292425"/>
          <w:w w:val="105"/>
          <w:sz w:val="16"/>
        </w:rPr>
        <w:t>Southwest</w:t>
      </w:r>
      <w:r>
        <w:rPr>
          <w:color w:val="292425"/>
          <w:spacing w:val="14"/>
          <w:w w:val="105"/>
          <w:sz w:val="16"/>
        </w:rPr>
        <w:t> </w:t>
      </w:r>
      <w:r>
        <w:rPr>
          <w:color w:val="292425"/>
          <w:w w:val="105"/>
          <w:sz w:val="16"/>
        </w:rPr>
        <w:t>Airlines</w:t>
      </w:r>
      <w:r>
        <w:rPr>
          <w:color w:val="292425"/>
          <w:spacing w:val="14"/>
          <w:w w:val="105"/>
          <w:sz w:val="16"/>
        </w:rPr>
        <w:t> </w:t>
      </w:r>
      <w:r>
        <w:rPr>
          <w:color w:val="292425"/>
          <w:w w:val="105"/>
          <w:sz w:val="16"/>
        </w:rPr>
        <w:t>Rapid</w:t>
      </w:r>
      <w:r>
        <w:rPr>
          <w:color w:val="292425"/>
          <w:spacing w:val="14"/>
          <w:w w:val="105"/>
          <w:sz w:val="16"/>
        </w:rPr>
        <w:t> </w:t>
      </w:r>
      <w:r>
        <w:rPr>
          <w:color w:val="292425"/>
          <w:w w:val="105"/>
          <w:sz w:val="16"/>
        </w:rPr>
        <w:t>Rewards</w:t>
      </w:r>
      <w:r>
        <w:rPr>
          <w:color w:val="292425"/>
          <w:spacing w:val="14"/>
          <w:w w:val="105"/>
          <w:sz w:val="16"/>
        </w:rPr>
        <w:t> </w:t>
      </w:r>
      <w:r>
        <w:rPr>
          <w:color w:val="292425"/>
          <w:w w:val="105"/>
          <w:sz w:val="16"/>
        </w:rPr>
        <w:t>Visa</w:t>
      </w:r>
      <w:r>
        <w:rPr>
          <w:color w:val="292425"/>
          <w:spacing w:val="14"/>
          <w:w w:val="105"/>
          <w:sz w:val="16"/>
        </w:rPr>
        <w:t> </w:t>
      </w:r>
      <w:r>
        <w:rPr>
          <w:color w:val="292425"/>
          <w:w w:val="105"/>
          <w:sz w:val="16"/>
        </w:rPr>
        <w:t>card.</w:t>
      </w:r>
    </w:p>
    <w:p>
      <w:pPr>
        <w:pStyle w:val="BodyText"/>
        <w:rPr>
          <w:sz w:val="18"/>
        </w:rPr>
      </w:pPr>
    </w:p>
    <w:p>
      <w:pPr>
        <w:spacing w:before="140"/>
        <w:ind w:left="1100" w:right="0" w:firstLine="0"/>
        <w:jc w:val="left"/>
        <w:rPr>
          <w:i/>
          <w:sz w:val="16"/>
        </w:rPr>
      </w:pPr>
      <w:r>
        <w:rPr>
          <w:i/>
          <w:color w:val="292425"/>
          <w:w w:val="105"/>
          <w:sz w:val="16"/>
        </w:rPr>
        <w:t>Cautious Growth</w:t>
      </w:r>
    </w:p>
    <w:p>
      <w:pPr>
        <w:pStyle w:val="BodyText"/>
        <w:rPr>
          <w:i/>
          <w:sz w:val="18"/>
        </w:rPr>
      </w:pPr>
    </w:p>
    <w:p>
      <w:pPr>
        <w:pStyle w:val="BodyText"/>
        <w:spacing w:before="11"/>
        <w:rPr>
          <w:i/>
          <w:sz w:val="24"/>
        </w:rPr>
      </w:pPr>
    </w:p>
    <w:p>
      <w:pPr>
        <w:spacing w:line="441" w:lineRule="auto" w:before="0"/>
        <w:ind w:left="1099" w:right="735" w:firstLine="360"/>
        <w:jc w:val="both"/>
        <w:rPr>
          <w:sz w:val="16"/>
        </w:rPr>
      </w:pPr>
      <w:r>
        <w:rPr>
          <w:color w:val="292425"/>
          <w:w w:val="105"/>
          <w:sz w:val="16"/>
        </w:rPr>
        <w:t>Steady, manageable growth has enabled Southwest to keep its debt under control and profits intact while still allowing the doubling of </w:t>
      </w:r>
      <w:r>
        <w:rPr>
          <w:color w:val="292425"/>
          <w:spacing w:val="2"/>
          <w:w w:val="105"/>
          <w:sz w:val="16"/>
        </w:rPr>
        <w:t>our   aircraft fleet </w:t>
      </w:r>
      <w:r>
        <w:rPr>
          <w:color w:val="292425"/>
          <w:w w:val="105"/>
          <w:sz w:val="16"/>
        </w:rPr>
        <w:t>in </w:t>
      </w:r>
      <w:r>
        <w:rPr>
          <w:color w:val="292425"/>
          <w:spacing w:val="2"/>
          <w:w w:val="105"/>
          <w:sz w:val="16"/>
        </w:rPr>
        <w:t>less than nine years. </w:t>
      </w:r>
      <w:r>
        <w:rPr>
          <w:color w:val="292425"/>
          <w:w w:val="105"/>
          <w:sz w:val="16"/>
        </w:rPr>
        <w:t>For the </w:t>
      </w:r>
      <w:r>
        <w:rPr>
          <w:color w:val="292425"/>
          <w:spacing w:val="2"/>
          <w:w w:val="105"/>
          <w:sz w:val="16"/>
        </w:rPr>
        <w:t>five years ended 2001, </w:t>
      </w:r>
      <w:r>
        <w:rPr>
          <w:color w:val="292425"/>
          <w:w w:val="105"/>
          <w:sz w:val="16"/>
        </w:rPr>
        <w:t>the average  </w:t>
      </w:r>
      <w:r>
        <w:rPr>
          <w:color w:val="292425"/>
          <w:spacing w:val="2"/>
          <w:w w:val="105"/>
          <w:sz w:val="16"/>
        </w:rPr>
        <w:t>annual capacity growth </w:t>
      </w:r>
      <w:r>
        <w:rPr>
          <w:color w:val="292425"/>
          <w:w w:val="105"/>
          <w:sz w:val="16"/>
        </w:rPr>
        <w:t>was  ten  </w:t>
      </w:r>
      <w:r>
        <w:rPr>
          <w:color w:val="292425"/>
          <w:spacing w:val="2"/>
          <w:w w:val="105"/>
          <w:sz w:val="16"/>
        </w:rPr>
        <w:t>percent. </w:t>
      </w:r>
      <w:r>
        <w:rPr>
          <w:color w:val="292425"/>
          <w:w w:val="105"/>
          <w:sz w:val="16"/>
        </w:rPr>
        <w:t>In  </w:t>
      </w:r>
      <w:r>
        <w:rPr>
          <w:color w:val="292425"/>
          <w:spacing w:val="2"/>
          <w:w w:val="105"/>
          <w:sz w:val="16"/>
        </w:rPr>
        <w:t>2002, given </w:t>
      </w:r>
      <w:r>
        <w:rPr>
          <w:color w:val="292425"/>
          <w:spacing w:val="3"/>
          <w:w w:val="105"/>
          <w:sz w:val="16"/>
        </w:rPr>
        <w:t>the</w:t>
      </w:r>
      <w:r>
        <w:rPr>
          <w:color w:val="292425"/>
          <w:spacing w:val="44"/>
          <w:w w:val="105"/>
          <w:sz w:val="16"/>
        </w:rPr>
        <w:t> </w:t>
      </w:r>
      <w:r>
        <w:rPr>
          <w:color w:val="292425"/>
          <w:w w:val="105"/>
          <w:sz w:val="16"/>
        </w:rPr>
        <w:t>massive uncertainties, the growth rate was slowed to just over five percent. Similar plans are currently in place for 2003, with estimated capacity  growth</w:t>
      </w:r>
      <w:r>
        <w:rPr>
          <w:color w:val="292425"/>
          <w:spacing w:val="25"/>
          <w:w w:val="105"/>
          <w:sz w:val="16"/>
        </w:rPr>
        <w:t> </w:t>
      </w:r>
      <w:r>
        <w:rPr>
          <w:color w:val="292425"/>
          <w:w w:val="105"/>
          <w:sz w:val="16"/>
        </w:rPr>
        <w:t>around</w:t>
      </w:r>
      <w:r>
        <w:rPr>
          <w:color w:val="292425"/>
          <w:spacing w:val="25"/>
          <w:w w:val="105"/>
          <w:sz w:val="16"/>
        </w:rPr>
        <w:t> </w:t>
      </w:r>
      <w:r>
        <w:rPr>
          <w:color w:val="292425"/>
          <w:w w:val="105"/>
          <w:sz w:val="16"/>
        </w:rPr>
        <w:t>four</w:t>
      </w:r>
      <w:r>
        <w:rPr>
          <w:color w:val="292425"/>
          <w:spacing w:val="25"/>
          <w:w w:val="105"/>
          <w:sz w:val="16"/>
        </w:rPr>
        <w:t> </w:t>
      </w:r>
      <w:r>
        <w:rPr>
          <w:color w:val="292425"/>
          <w:w w:val="105"/>
          <w:sz w:val="16"/>
        </w:rPr>
        <w:t>percent.</w:t>
      </w:r>
      <w:r>
        <w:rPr>
          <w:color w:val="292425"/>
          <w:spacing w:val="25"/>
          <w:w w:val="105"/>
          <w:sz w:val="16"/>
        </w:rPr>
        <w:t> </w:t>
      </w:r>
      <w:r>
        <w:rPr>
          <w:color w:val="292425"/>
          <w:w w:val="105"/>
          <w:sz w:val="16"/>
        </w:rPr>
        <w:t>Any</w:t>
      </w:r>
      <w:r>
        <w:rPr>
          <w:color w:val="292425"/>
          <w:spacing w:val="25"/>
          <w:w w:val="105"/>
          <w:sz w:val="16"/>
        </w:rPr>
        <w:t> </w:t>
      </w:r>
      <w:r>
        <w:rPr>
          <w:color w:val="292425"/>
          <w:w w:val="105"/>
          <w:sz w:val="16"/>
        </w:rPr>
        <w:t>growth</w:t>
      </w:r>
      <w:r>
        <w:rPr>
          <w:color w:val="292425"/>
          <w:spacing w:val="25"/>
          <w:w w:val="105"/>
          <w:sz w:val="16"/>
        </w:rPr>
        <w:t> </w:t>
      </w:r>
      <w:r>
        <w:rPr>
          <w:color w:val="292425"/>
          <w:w w:val="105"/>
          <w:sz w:val="16"/>
        </w:rPr>
        <w:t>in</w:t>
      </w:r>
      <w:r>
        <w:rPr>
          <w:color w:val="292425"/>
          <w:spacing w:val="25"/>
          <w:w w:val="105"/>
          <w:sz w:val="16"/>
        </w:rPr>
        <w:t> </w:t>
      </w:r>
      <w:r>
        <w:rPr>
          <w:color w:val="292425"/>
          <w:w w:val="105"/>
          <w:sz w:val="16"/>
        </w:rPr>
        <w:t>this</w:t>
      </w:r>
      <w:r>
        <w:rPr>
          <w:color w:val="292425"/>
          <w:spacing w:val="25"/>
          <w:w w:val="105"/>
          <w:sz w:val="16"/>
        </w:rPr>
        <w:t> </w:t>
      </w:r>
      <w:r>
        <w:rPr>
          <w:color w:val="292425"/>
          <w:w w:val="105"/>
          <w:sz w:val="16"/>
        </w:rPr>
        <w:t>treacherous</w:t>
      </w:r>
      <w:r>
        <w:rPr>
          <w:color w:val="292425"/>
          <w:spacing w:val="25"/>
          <w:w w:val="105"/>
          <w:sz w:val="16"/>
        </w:rPr>
        <w:t> </w:t>
      </w:r>
      <w:r>
        <w:rPr>
          <w:color w:val="292425"/>
          <w:w w:val="105"/>
          <w:sz w:val="16"/>
        </w:rPr>
        <w:t>environment</w:t>
      </w:r>
      <w:r>
        <w:rPr>
          <w:color w:val="292425"/>
          <w:spacing w:val="25"/>
          <w:w w:val="105"/>
          <w:sz w:val="16"/>
        </w:rPr>
        <w:t> </w:t>
      </w:r>
      <w:r>
        <w:rPr>
          <w:color w:val="292425"/>
          <w:w w:val="105"/>
          <w:sz w:val="16"/>
        </w:rPr>
        <w:t>is</w:t>
      </w:r>
      <w:r>
        <w:rPr>
          <w:color w:val="292425"/>
          <w:spacing w:val="25"/>
          <w:w w:val="105"/>
          <w:sz w:val="16"/>
        </w:rPr>
        <w:t> </w:t>
      </w:r>
      <w:r>
        <w:rPr>
          <w:color w:val="292425"/>
          <w:w w:val="105"/>
          <w:sz w:val="16"/>
        </w:rPr>
        <w:t>an</w:t>
      </w:r>
      <w:r>
        <w:rPr>
          <w:color w:val="292425"/>
          <w:spacing w:val="25"/>
          <w:w w:val="105"/>
          <w:sz w:val="16"/>
        </w:rPr>
        <w:t> </w:t>
      </w:r>
      <w:r>
        <w:rPr>
          <w:color w:val="292425"/>
          <w:w w:val="105"/>
          <w:sz w:val="16"/>
        </w:rPr>
        <w:t>accomplishment.</w:t>
      </w:r>
    </w:p>
    <w:p>
      <w:pPr>
        <w:spacing w:line="441" w:lineRule="auto" w:before="0"/>
        <w:ind w:left="1099" w:right="737" w:firstLine="360"/>
        <w:jc w:val="both"/>
        <w:rPr>
          <w:sz w:val="16"/>
        </w:rPr>
      </w:pPr>
      <w:r>
        <w:rPr/>
        <w:pict>
          <v:line style="position:absolute;mso-position-horizontal-relative:page;mso-position-vertical-relative:paragraph;z-index:-280000" from="0pt,196.40448pt" to="612pt,196.40448pt" stroked="true" strokeweight=".5pt" strokecolor="#292425">
            <v:stroke dashstyle="solid"/>
            <w10:wrap type="none"/>
          </v:line>
        </w:pict>
      </w:r>
      <w:r>
        <w:rPr>
          <w:color w:val="292425"/>
          <w:w w:val="105"/>
          <w:sz w:val="16"/>
        </w:rPr>
        <w:t>No new </w:t>
      </w:r>
      <w:r>
        <w:rPr>
          <w:color w:val="292425"/>
          <w:spacing w:val="2"/>
          <w:w w:val="105"/>
          <w:sz w:val="16"/>
        </w:rPr>
        <w:t>cities </w:t>
      </w:r>
      <w:r>
        <w:rPr>
          <w:color w:val="292425"/>
          <w:w w:val="105"/>
          <w:sz w:val="16"/>
        </w:rPr>
        <w:t>were </w:t>
      </w:r>
      <w:r>
        <w:rPr>
          <w:color w:val="292425"/>
          <w:spacing w:val="2"/>
          <w:w w:val="105"/>
          <w:sz w:val="16"/>
        </w:rPr>
        <w:t>added </w:t>
      </w:r>
      <w:r>
        <w:rPr>
          <w:color w:val="292425"/>
          <w:w w:val="105"/>
          <w:sz w:val="16"/>
        </w:rPr>
        <w:t>in </w:t>
      </w:r>
      <w:r>
        <w:rPr>
          <w:color w:val="292425"/>
          <w:spacing w:val="2"/>
          <w:w w:val="105"/>
          <w:sz w:val="16"/>
        </w:rPr>
        <w:t>2002 </w:t>
      </w:r>
      <w:r>
        <w:rPr>
          <w:color w:val="292425"/>
          <w:w w:val="105"/>
          <w:sz w:val="16"/>
        </w:rPr>
        <w:t>and </w:t>
      </w:r>
      <w:r>
        <w:rPr>
          <w:color w:val="292425"/>
          <w:spacing w:val="2"/>
          <w:w w:val="105"/>
          <w:sz w:val="16"/>
        </w:rPr>
        <w:t>none </w:t>
      </w:r>
      <w:r>
        <w:rPr>
          <w:color w:val="292425"/>
          <w:w w:val="105"/>
          <w:sz w:val="16"/>
        </w:rPr>
        <w:t>are </w:t>
      </w:r>
      <w:r>
        <w:rPr>
          <w:color w:val="292425"/>
          <w:spacing w:val="2"/>
          <w:w w:val="105"/>
          <w:sz w:val="16"/>
        </w:rPr>
        <w:t>currently planned </w:t>
      </w:r>
      <w:r>
        <w:rPr>
          <w:color w:val="292425"/>
          <w:w w:val="105"/>
          <w:sz w:val="16"/>
        </w:rPr>
        <w:t>for </w:t>
      </w:r>
      <w:r>
        <w:rPr>
          <w:color w:val="292425"/>
          <w:spacing w:val="2"/>
          <w:w w:val="105"/>
          <w:sz w:val="16"/>
        </w:rPr>
        <w:t>2003. </w:t>
      </w:r>
      <w:r>
        <w:rPr>
          <w:color w:val="292425"/>
          <w:w w:val="105"/>
          <w:sz w:val="16"/>
        </w:rPr>
        <w:t>However, new </w:t>
      </w:r>
      <w:r>
        <w:rPr>
          <w:color w:val="292425"/>
          <w:spacing w:val="2"/>
          <w:w w:val="105"/>
          <w:sz w:val="16"/>
        </w:rPr>
        <w:t>city-pairs </w:t>
      </w:r>
      <w:r>
        <w:rPr>
          <w:color w:val="292425"/>
          <w:w w:val="105"/>
          <w:sz w:val="16"/>
        </w:rPr>
        <w:t>were </w:t>
      </w:r>
      <w:r>
        <w:rPr>
          <w:color w:val="292425"/>
          <w:spacing w:val="2"/>
          <w:w w:val="105"/>
          <w:sz w:val="16"/>
        </w:rPr>
        <w:t>added, </w:t>
      </w:r>
      <w:r>
        <w:rPr>
          <w:color w:val="292425"/>
          <w:w w:val="105"/>
          <w:sz w:val="16"/>
        </w:rPr>
        <w:t>and </w:t>
      </w:r>
      <w:r>
        <w:rPr>
          <w:color w:val="292425"/>
          <w:spacing w:val="2"/>
          <w:w w:val="105"/>
          <w:sz w:val="16"/>
        </w:rPr>
        <w:t>existing </w:t>
      </w:r>
      <w:r>
        <w:rPr>
          <w:color w:val="292425"/>
          <w:spacing w:val="4"/>
          <w:w w:val="105"/>
          <w:sz w:val="16"/>
        </w:rPr>
        <w:t>service </w:t>
      </w:r>
      <w:r>
        <w:rPr>
          <w:color w:val="292425"/>
          <w:w w:val="105"/>
          <w:sz w:val="16"/>
        </w:rPr>
        <w:t>was </w:t>
      </w:r>
      <w:r>
        <w:rPr>
          <w:color w:val="292425"/>
          <w:spacing w:val="2"/>
          <w:w w:val="105"/>
          <w:sz w:val="16"/>
        </w:rPr>
        <w:t>boosted </w:t>
      </w:r>
      <w:r>
        <w:rPr>
          <w:color w:val="292425"/>
          <w:w w:val="105"/>
          <w:sz w:val="16"/>
        </w:rPr>
        <w:t>in many </w:t>
      </w:r>
      <w:r>
        <w:rPr>
          <w:color w:val="292425"/>
          <w:spacing w:val="2"/>
          <w:w w:val="105"/>
          <w:sz w:val="16"/>
        </w:rPr>
        <w:t>markets, Baltimore/Washington </w:t>
      </w:r>
      <w:r>
        <w:rPr>
          <w:color w:val="292425"/>
          <w:w w:val="105"/>
          <w:sz w:val="16"/>
        </w:rPr>
        <w:t>in particular. New nonstop service was  added  from  Chicago  </w:t>
      </w:r>
      <w:r>
        <w:rPr>
          <w:color w:val="292425"/>
          <w:spacing w:val="-3"/>
          <w:w w:val="105"/>
          <w:sz w:val="16"/>
        </w:rPr>
        <w:t>Midway  </w:t>
      </w:r>
      <w:r>
        <w:rPr>
          <w:color w:val="292425"/>
          <w:w w:val="105"/>
          <w:sz w:val="16"/>
        </w:rPr>
        <w:t>(to  Seattle, Oakland, San Diego, and Los Angeles), Baltimore/Washington (to Los Angeles and San Jose), and Sacramento to Orange </w:t>
      </w:r>
      <w:r>
        <w:rPr>
          <w:color w:val="292425"/>
          <w:spacing w:val="-3"/>
          <w:w w:val="105"/>
          <w:sz w:val="16"/>
        </w:rPr>
        <w:t>County. </w:t>
      </w:r>
      <w:r>
        <w:rPr>
          <w:color w:val="292425"/>
          <w:w w:val="105"/>
          <w:sz w:val="16"/>
        </w:rPr>
        <w:t>Our new markets have performed exceptionally well, considering the difficult environment. When our earnings gain momentum, so will our capacity growth. Given the financial condition of our competitors and the resultant downsizing, we are uniquely positioned to grow our route system. </w:t>
      </w:r>
      <w:r>
        <w:rPr>
          <w:color w:val="292425"/>
          <w:spacing w:val="-4"/>
          <w:w w:val="105"/>
          <w:sz w:val="16"/>
        </w:rPr>
        <w:t>We  </w:t>
      </w:r>
      <w:r>
        <w:rPr>
          <w:color w:val="292425"/>
          <w:w w:val="105"/>
          <w:sz w:val="16"/>
        </w:rPr>
        <w:t>have 413 Boeing 737 aircraft on either     firm </w:t>
      </w:r>
      <w:r>
        <w:rPr>
          <w:color w:val="292425"/>
          <w:spacing w:val="-4"/>
          <w:w w:val="105"/>
          <w:sz w:val="16"/>
        </w:rPr>
        <w:t>order, </w:t>
      </w:r>
      <w:r>
        <w:rPr>
          <w:color w:val="292425"/>
          <w:w w:val="105"/>
          <w:sz w:val="16"/>
        </w:rPr>
        <w:t>option, or purchase right with The Boeing Company from 2003 through 2012. That results in an annualized growth rate over the next ten years of roughly eight</w:t>
      </w:r>
      <w:r>
        <w:rPr>
          <w:color w:val="292425"/>
          <w:spacing w:val="17"/>
          <w:w w:val="105"/>
          <w:sz w:val="16"/>
        </w:rPr>
        <w:t> </w:t>
      </w:r>
      <w:r>
        <w:rPr>
          <w:color w:val="292425"/>
          <w:w w:val="105"/>
          <w:sz w:val="16"/>
        </w:rPr>
        <w:t>percent.</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8"/>
        <w:rPr>
          <w:sz w:val="23"/>
        </w:rPr>
      </w:pPr>
    </w:p>
    <w:p>
      <w:pPr>
        <w:pStyle w:val="BodyText"/>
        <w:tabs>
          <w:tab w:pos="4525" w:val="left" w:leader="none"/>
          <w:tab w:pos="7884" w:val="left" w:leader="none"/>
        </w:tabs>
        <w:ind w:left="1118"/>
      </w:pPr>
      <w:r>
        <w:rPr/>
        <w:pict>
          <v:rect style="position:absolute;margin-left:420.863007pt;margin-top:47.742886pt;width:7.282pt;height:29.823pt;mso-position-horizontal-relative:page;mso-position-vertical-relative:paragraph;z-index:-280192" filled="true" fillcolor="#4d82c2" stroked="false">
            <v:fill type="solid"/>
            <w10:wrap type="none"/>
          </v:rect>
        </w:pict>
      </w:r>
      <w:r>
        <w:rPr/>
        <w:pict>
          <v:rect style="position:absolute;margin-left:438.571991pt;margin-top:40.483887pt;width:7.282pt;height:37.082pt;mso-position-horizontal-relative:page;mso-position-vertical-relative:paragraph;z-index:-280168" filled="true" fillcolor="#4d82c2" stroked="false">
            <v:fill type="solid"/>
            <w10:wrap type="none"/>
          </v:rect>
        </w:pict>
      </w:r>
      <w:r>
        <w:rPr/>
        <w:pict>
          <v:shape style="width:124.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25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line="112" w:lineRule="exact"/>
                          <w:ind w:left="56"/>
                          <w:rPr>
                            <w:rFonts w:ascii="Arial"/>
                            <w:sz w:val="10"/>
                          </w:rPr>
                        </w:pPr>
                        <w:r>
                          <w:rPr>
                            <w:rFonts w:ascii="Arial"/>
                            <w:color w:val="292425"/>
                            <w:sz w:val="12"/>
                          </w:rPr>
                          <w:t>$625</w:t>
                        </w:r>
                        <w:r>
                          <w:rPr>
                            <w:rFonts w:ascii="Arial"/>
                            <w:color w:val="292425"/>
                            <w:position w:val="2"/>
                            <w:sz w:val="10"/>
                          </w:rPr>
                          <w:t>*</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09"/>
                          <w:ind w:right="-2"/>
                          <w:jc w:val="right"/>
                          <w:rPr>
                            <w:rFonts w:ascii="Arial"/>
                            <w:sz w:val="12"/>
                          </w:rPr>
                        </w:pPr>
                        <w:r>
                          <w:rPr>
                            <w:rFonts w:ascii="Arial"/>
                            <w:color w:val="292425"/>
                            <w:w w:val="95"/>
                            <w:sz w:val="12"/>
                          </w:rPr>
                          <w:t>$600</w:t>
                        </w:r>
                      </w:p>
                    </w:tc>
                  </w:tr>
                  <w:tr>
                    <w:trPr>
                      <w:trHeight w:val="517" w:hRule="exact"/>
                    </w:trPr>
                    <w:tc>
                      <w:tcPr>
                        <w:tcW w:w="461" w:type="dxa"/>
                        <w:tcBorders>
                          <w:right w:val="single" w:sz="4" w:space="0" w:color="C9CBCC"/>
                        </w:tcBorders>
                      </w:tcPr>
                      <w:p>
                        <w:pPr>
                          <w:pStyle w:val="TableParagraph"/>
                          <w:rPr>
                            <w:sz w:val="14"/>
                          </w:rPr>
                        </w:pPr>
                      </w:p>
                      <w:p>
                        <w:pPr>
                          <w:pStyle w:val="TableParagraph"/>
                          <w:spacing w:before="90"/>
                          <w:ind w:left="110"/>
                          <w:rPr>
                            <w:rFonts w:ascii="Arial"/>
                            <w:sz w:val="12"/>
                          </w:rPr>
                        </w:pPr>
                        <w:r>
                          <w:rPr>
                            <w:rFonts w:ascii="Arial"/>
                            <w:color w:val="292425"/>
                            <w:sz w:val="12"/>
                          </w:rPr>
                          <w:t>$433</w:t>
                        </w:r>
                      </w:p>
                    </w:tc>
                    <w:tc>
                      <w:tcPr>
                        <w:tcW w:w="420" w:type="dxa"/>
                        <w:tcBorders>
                          <w:left w:val="single" w:sz="4" w:space="0" w:color="C9CBCC"/>
                          <w:right w:val="single" w:sz="4" w:space="0" w:color="C9CBCC"/>
                        </w:tcBorders>
                      </w:tcPr>
                      <w:p>
                        <w:pPr>
                          <w:pStyle w:val="TableParagraph"/>
                          <w:spacing w:before="10"/>
                          <w:rPr>
                            <w:sz w:val="10"/>
                          </w:rPr>
                        </w:pPr>
                      </w:p>
                      <w:p>
                        <w:pPr>
                          <w:pStyle w:val="TableParagraph"/>
                          <w:ind w:left="85"/>
                          <w:rPr>
                            <w:rFonts w:ascii="Arial"/>
                            <w:sz w:val="12"/>
                          </w:rPr>
                        </w:pPr>
                        <w:r>
                          <w:rPr>
                            <w:rFonts w:ascii="Arial"/>
                            <w:color w:val="292425"/>
                            <w:sz w:val="12"/>
                          </w:rPr>
                          <w:t>$474</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5"/>
                          <w:ind w:left="80"/>
                          <w:rPr>
                            <w:rFonts w:ascii="Arial"/>
                            <w:sz w:val="12"/>
                          </w:rPr>
                        </w:pPr>
                        <w:r>
                          <w:rPr>
                            <w:rFonts w:ascii="Arial"/>
                            <w:color w:val="292425"/>
                            <w:sz w:val="12"/>
                          </w:rPr>
                          <w:t>$511</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94"/>
                          <w:ind w:left="77" w:right="-2"/>
                          <w:rPr>
                            <w:rFonts w:ascii="Arial"/>
                            <w:sz w:val="12"/>
                          </w:rPr>
                        </w:pPr>
                        <w:r>
                          <w:rPr>
                            <w:rFonts w:ascii="Arial"/>
                            <w:color w:val="292425"/>
                            <w:sz w:val="12"/>
                          </w:rPr>
                          <w:t>$500</w:t>
                        </w:r>
                      </w:p>
                      <w:p>
                        <w:pPr>
                          <w:pStyle w:val="TableParagraph"/>
                          <w:spacing w:before="99"/>
                          <w:ind w:left="77" w:right="-2"/>
                          <w:rPr>
                            <w:rFonts w:ascii="Arial"/>
                            <w:sz w:val="12"/>
                          </w:rPr>
                        </w:pPr>
                        <w:r>
                          <w:rPr>
                            <w:rFonts w:ascii="Arial"/>
                            <w:color w:val="292425"/>
                            <w:sz w:val="12"/>
                          </w:rPr>
                          <w:t>$400</w:t>
                        </w:r>
                      </w:p>
                    </w:tc>
                  </w:tr>
                  <w:tr>
                    <w:trPr>
                      <w:trHeight w:val="24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77"/>
                          <w:ind w:left="71"/>
                          <w:rPr>
                            <w:rFonts w:ascii="Arial"/>
                            <w:sz w:val="12"/>
                          </w:rPr>
                        </w:pPr>
                        <w:r>
                          <w:rPr>
                            <w:rFonts w:ascii="Arial"/>
                            <w:color w:val="292425"/>
                            <w:sz w:val="12"/>
                          </w:rPr>
                          <w:t>$241</w:t>
                        </w:r>
                      </w:p>
                    </w:tc>
                    <w:tc>
                      <w:tcPr>
                        <w:tcW w:w="349" w:type="dxa"/>
                        <w:tcBorders>
                          <w:left w:val="single" w:sz="4" w:space="0" w:color="292425"/>
                        </w:tcBorders>
                      </w:tcPr>
                      <w:p>
                        <w:pPr>
                          <w:pStyle w:val="TableParagraph"/>
                          <w:spacing w:before="51"/>
                          <w:ind w:right="-2"/>
                          <w:jc w:val="right"/>
                          <w:rPr>
                            <w:rFonts w:ascii="Arial"/>
                            <w:sz w:val="12"/>
                          </w:rPr>
                        </w:pPr>
                        <w:r>
                          <w:rPr>
                            <w:rFonts w:ascii="Arial"/>
                            <w:color w:val="292425"/>
                            <w:w w:val="95"/>
                            <w:sz w:val="12"/>
                          </w:rPr>
                          <w:t>$300</w:t>
                        </w:r>
                      </w:p>
                    </w:tc>
                  </w:tr>
                  <w:tr>
                    <w:trPr>
                      <w:trHeight w:val="22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39"/>
                          <w:ind w:right="-2"/>
                          <w:jc w:val="right"/>
                          <w:rPr>
                            <w:rFonts w:ascii="Arial"/>
                            <w:sz w:val="12"/>
                          </w:rPr>
                        </w:pPr>
                        <w:r>
                          <w:rPr>
                            <w:rFonts w:ascii="Arial"/>
                            <w:color w:val="292425"/>
                            <w:w w:val="95"/>
                            <w:sz w:val="12"/>
                          </w:rPr>
                          <w:t>$200</w:t>
                        </w:r>
                      </w:p>
                    </w:tc>
                  </w:tr>
                  <w:tr>
                    <w:trPr>
                      <w:trHeight w:val="306"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51"/>
                          <w:ind w:right="-2"/>
                          <w:jc w:val="right"/>
                          <w:rPr>
                            <w:rFonts w:ascii="Arial"/>
                            <w:sz w:val="12"/>
                          </w:rPr>
                        </w:pPr>
                        <w:r>
                          <w:rPr>
                            <w:rFonts w:ascii="Arial"/>
                            <w:color w:val="292425"/>
                            <w:w w:val="95"/>
                            <w:sz w:val="12"/>
                          </w:rPr>
                          <w:t>$100</w:t>
                        </w:r>
                      </w:p>
                    </w:tc>
                  </w:tr>
                </w:tbl>
                <w:p>
                  <w:pPr>
                    <w:pStyle w:val="BodyText"/>
                  </w:pPr>
                </w:p>
              </w:txbxContent>
            </v:textbox>
          </v:shape>
        </w:pict>
      </w:r>
      <w:r>
        <w:rPr/>
      </w:r>
      <w:r>
        <w:rPr/>
        <w:tab/>
      </w:r>
      <w:r>
        <w:rPr/>
        <w:pict>
          <v:shape style="width:124.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23"/>
                          <w:ind w:left="71"/>
                          <w:rPr>
                            <w:rFonts w:ascii="Arial"/>
                            <w:sz w:val="12"/>
                          </w:rPr>
                        </w:pPr>
                        <w:r>
                          <w:rPr>
                            <w:rFonts w:ascii="Arial"/>
                            <w:color w:val="292425"/>
                            <w:sz w:val="12"/>
                          </w:rPr>
                          <w:t>2,700</w:t>
                        </w:r>
                      </w:p>
                    </w:tc>
                    <w:tc>
                      <w:tcPr>
                        <w:tcW w:w="420" w:type="dxa"/>
                        <w:tcBorders>
                          <w:left w:val="single" w:sz="4" w:space="0" w:color="C9CBCC"/>
                          <w:right w:val="single" w:sz="4" w:space="0" w:color="C9CBCC"/>
                        </w:tcBorders>
                      </w:tcPr>
                      <w:p>
                        <w:pPr>
                          <w:pStyle w:val="TableParagraph"/>
                          <w:spacing w:line="132" w:lineRule="exact"/>
                          <w:ind w:left="69"/>
                          <w:rPr>
                            <w:rFonts w:ascii="Arial"/>
                            <w:sz w:val="12"/>
                          </w:rPr>
                        </w:pPr>
                        <w:r>
                          <w:rPr>
                            <w:rFonts w:ascii="Arial"/>
                            <w:color w:val="292425"/>
                            <w:sz w:val="12"/>
                          </w:rPr>
                          <w:t>2,800</w:t>
                        </w:r>
                      </w:p>
                    </w:tc>
                    <w:tc>
                      <w:tcPr>
                        <w:tcW w:w="420" w:type="dxa"/>
                        <w:tcBorders>
                          <w:left w:val="single" w:sz="4" w:space="0" w:color="C9CBCC"/>
                          <w:right w:val="single" w:sz="4" w:space="0" w:color="292425"/>
                        </w:tcBorders>
                      </w:tcPr>
                      <w:p>
                        <w:pPr>
                          <w:pStyle w:val="TableParagraph"/>
                          <w:spacing w:line="128" w:lineRule="exact"/>
                          <w:ind w:left="60"/>
                          <w:rPr>
                            <w:rFonts w:ascii="Arial"/>
                            <w:sz w:val="12"/>
                          </w:rPr>
                        </w:pPr>
                        <w:r>
                          <w:rPr>
                            <w:rFonts w:ascii="Arial"/>
                            <w:color w:val="292425"/>
                            <w:sz w:val="12"/>
                          </w:rPr>
                          <w:t>2,800</w:t>
                        </w:r>
                      </w:p>
                    </w:tc>
                    <w:tc>
                      <w:tcPr>
                        <w:tcW w:w="349" w:type="dxa"/>
                        <w:tcBorders>
                          <w:left w:val="single" w:sz="4" w:space="0" w:color="292425"/>
                        </w:tcBorders>
                      </w:tcPr>
                      <w:p>
                        <w:pPr>
                          <w:pStyle w:val="TableParagraph"/>
                          <w:spacing w:before="35"/>
                          <w:ind w:right="-18"/>
                          <w:jc w:val="right"/>
                          <w:rPr>
                            <w:rFonts w:ascii="Arial"/>
                            <w:sz w:val="12"/>
                          </w:rPr>
                        </w:pPr>
                        <w:r>
                          <w:rPr>
                            <w:rFonts w:ascii="Arial"/>
                            <w:color w:val="292425"/>
                            <w:w w:val="95"/>
                            <w:sz w:val="12"/>
                          </w:rPr>
                          <w:t>2,800</w:t>
                        </w:r>
                      </w:p>
                    </w:tc>
                  </w:tr>
                  <w:tr>
                    <w:trPr>
                      <w:trHeight w:val="30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Style w:val="TableParagraph"/>
                          <w:spacing w:before="114"/>
                          <w:ind w:left="75"/>
                          <w:rPr>
                            <w:rFonts w:ascii="Arial"/>
                            <w:sz w:val="12"/>
                          </w:rPr>
                        </w:pPr>
                        <w:r>
                          <w:rPr>
                            <w:rFonts w:ascii="Arial"/>
                            <w:color w:val="292425"/>
                            <w:sz w:val="12"/>
                          </w:rPr>
                          <w:t>2,550</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2"/>
                          <w:ind w:right="-18"/>
                          <w:jc w:val="right"/>
                          <w:rPr>
                            <w:rFonts w:ascii="Arial"/>
                            <w:sz w:val="12"/>
                          </w:rPr>
                        </w:pPr>
                        <w:r>
                          <w:rPr>
                            <w:rFonts w:ascii="Arial"/>
                            <w:color w:val="292425"/>
                            <w:w w:val="95"/>
                            <w:sz w:val="12"/>
                          </w:rPr>
                          <w:t>2,600</w:t>
                        </w:r>
                      </w:p>
                    </w:tc>
                  </w:tr>
                  <w:tr>
                    <w:trPr>
                      <w:trHeight w:val="330" w:hRule="exact"/>
                    </w:trPr>
                    <w:tc>
                      <w:tcPr>
                        <w:tcW w:w="461" w:type="dxa"/>
                        <w:tcBorders>
                          <w:right w:val="single" w:sz="4" w:space="0" w:color="C9CBCC"/>
                        </w:tcBorders>
                      </w:tcPr>
                      <w:p>
                        <w:pPr>
                          <w:pStyle w:val="TableParagraph"/>
                          <w:spacing w:before="6"/>
                          <w:rPr>
                            <w:sz w:val="13"/>
                          </w:rPr>
                        </w:pPr>
                      </w:p>
                      <w:p>
                        <w:pPr>
                          <w:pStyle w:val="TableParagraph"/>
                          <w:ind w:left="99"/>
                          <w:rPr>
                            <w:rFonts w:ascii="Arial"/>
                            <w:sz w:val="12"/>
                          </w:rPr>
                        </w:pPr>
                        <w:r>
                          <w:rPr>
                            <w:rFonts w:ascii="Arial"/>
                            <w:color w:val="292425"/>
                            <w:sz w:val="12"/>
                          </w:rPr>
                          <w:t>2,334</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9"/>
                          <w:ind w:right="-18"/>
                          <w:jc w:val="right"/>
                          <w:rPr>
                            <w:rFonts w:ascii="Arial"/>
                            <w:sz w:val="12"/>
                          </w:rPr>
                        </w:pPr>
                        <w:r>
                          <w:rPr>
                            <w:rFonts w:ascii="Arial"/>
                            <w:color w:val="292425"/>
                            <w:w w:val="95"/>
                            <w:sz w:val="12"/>
                          </w:rPr>
                          <w:t>2,400</w:t>
                        </w:r>
                      </w:p>
                    </w:tc>
                  </w:tr>
                  <w:tr>
                    <w:trPr>
                      <w:trHeight w:val="252"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8"/>
                          <w:ind w:right="-18"/>
                          <w:jc w:val="right"/>
                          <w:rPr>
                            <w:rFonts w:ascii="Arial"/>
                            <w:sz w:val="12"/>
                          </w:rPr>
                        </w:pPr>
                        <w:r>
                          <w:rPr>
                            <w:rFonts w:ascii="Arial"/>
                            <w:color w:val="292425"/>
                            <w:w w:val="95"/>
                            <w:sz w:val="12"/>
                          </w:rPr>
                          <w:t>2,200</w:t>
                        </w:r>
                      </w:p>
                    </w:tc>
                  </w:tr>
                  <w:tr>
                    <w:trPr>
                      <w:trHeight w:val="363"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85"/>
                          <w:ind w:right="-18"/>
                          <w:jc w:val="right"/>
                          <w:rPr>
                            <w:rFonts w:ascii="Arial"/>
                            <w:sz w:val="12"/>
                          </w:rPr>
                        </w:pPr>
                        <w:r>
                          <w:rPr>
                            <w:rFonts w:ascii="Arial"/>
                            <w:color w:val="292425"/>
                            <w:w w:val="95"/>
                            <w:sz w:val="12"/>
                          </w:rPr>
                          <w:t>2,000</w:t>
                        </w:r>
                      </w:p>
                    </w:tc>
                  </w:tr>
                </w:tbl>
                <w:p>
                  <w:pPr>
                    <w:pStyle w:val="BodyText"/>
                  </w:pPr>
                </w:p>
              </w:txbxContent>
            </v:textbox>
          </v:shape>
        </w:pict>
      </w:r>
      <w:r>
        <w:rPr/>
      </w:r>
      <w:r>
        <w:rPr/>
        <w:tab/>
      </w:r>
      <w:r>
        <w:rPr/>
        <w:pict>
          <v:shape style="width:182.1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0"/>
                    <w:gridCol w:w="354"/>
                    <w:gridCol w:w="354"/>
                    <w:gridCol w:w="354"/>
                    <w:gridCol w:w="354"/>
                    <w:gridCol w:w="354"/>
                    <w:gridCol w:w="348"/>
                    <w:gridCol w:w="348"/>
                    <w:gridCol w:w="389"/>
                    <w:gridCol w:w="349"/>
                  </w:tblGrid>
                  <w:tr>
                    <w:trPr>
                      <w:trHeight w:val="369"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Style w:val="TableParagraph"/>
                          <w:spacing w:before="11"/>
                          <w:rPr>
                            <w:sz w:val="18"/>
                          </w:rPr>
                        </w:pPr>
                      </w:p>
                      <w:p>
                        <w:pPr>
                          <w:pStyle w:val="TableParagraph"/>
                          <w:ind w:left="52"/>
                          <w:rPr>
                            <w:rFonts w:ascii="Arial"/>
                            <w:sz w:val="12"/>
                          </w:rPr>
                        </w:pPr>
                        <w:r>
                          <w:rPr>
                            <w:rFonts w:ascii="Arial"/>
                            <w:color w:val="292425"/>
                            <w:sz w:val="12"/>
                          </w:rPr>
                          <w:t>1.63</w:t>
                        </w:r>
                      </w:p>
                    </w:tc>
                    <w:tc>
                      <w:tcPr>
                        <w:tcW w:w="389" w:type="dxa"/>
                        <w:tcBorders>
                          <w:left w:val="single" w:sz="4" w:space="0" w:color="C9CBCC"/>
                          <w:right w:val="single" w:sz="4" w:space="0" w:color="292425"/>
                        </w:tcBorders>
                      </w:tcPr>
                      <w:p>
                        <w:pPr>
                          <w:pStyle w:val="TableParagraph"/>
                          <w:spacing w:before="11"/>
                          <w:rPr>
                            <w:sz w:val="10"/>
                          </w:rPr>
                        </w:pPr>
                      </w:p>
                      <w:p>
                        <w:pPr>
                          <w:pStyle w:val="TableParagraph"/>
                          <w:ind w:left="65"/>
                          <w:rPr>
                            <w:rFonts w:ascii="Arial"/>
                            <w:sz w:val="12"/>
                          </w:rPr>
                        </w:pPr>
                        <w:r>
                          <w:rPr>
                            <w:rFonts w:ascii="Arial"/>
                            <w:color w:val="292425"/>
                            <w:sz w:val="12"/>
                          </w:rPr>
                          <w:t>1.71</w:t>
                        </w:r>
                      </w:p>
                    </w:tc>
                    <w:tc>
                      <w:tcPr>
                        <w:tcW w:w="349" w:type="dxa"/>
                        <w:tcBorders>
                          <w:left w:val="single" w:sz="4" w:space="0" w:color="292425"/>
                        </w:tcBorders>
                      </w:tcPr>
                      <w:p>
                        <w:pPr>
                          <w:pStyle w:val="TableParagraph"/>
                          <w:spacing w:before="23"/>
                          <w:ind w:left="85" w:right="50"/>
                          <w:jc w:val="center"/>
                          <w:rPr>
                            <w:rFonts w:ascii="Arial"/>
                            <w:sz w:val="12"/>
                          </w:rPr>
                        </w:pPr>
                        <w:r>
                          <w:rPr>
                            <w:rFonts w:ascii="Arial"/>
                            <w:color w:val="292425"/>
                            <w:sz w:val="12"/>
                          </w:rPr>
                          <w:t>2.0</w:t>
                        </w:r>
                      </w:p>
                    </w:tc>
                  </w:tr>
                  <w:tr>
                    <w:trPr>
                      <w:trHeight w:val="255"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Style w:val="TableParagraph"/>
                          <w:spacing w:before="109"/>
                          <w:ind w:left="67"/>
                          <w:rPr>
                            <w:rFonts w:ascii="Arial"/>
                            <w:sz w:val="12"/>
                          </w:rPr>
                        </w:pPr>
                        <w:r>
                          <w:rPr>
                            <w:rFonts w:ascii="Arial"/>
                            <w:color w:val="292425"/>
                            <w:sz w:val="12"/>
                          </w:rPr>
                          <w:t>1.29</w:t>
                        </w:r>
                      </w:p>
                    </w:tc>
                    <w:tc>
                      <w:tcPr>
                        <w:tcW w:w="354" w:type="dxa"/>
                        <w:tcBorders>
                          <w:left w:val="single" w:sz="4" w:space="0" w:color="C9CBCC"/>
                          <w:right w:val="single" w:sz="4" w:space="0" w:color="C9CBCC"/>
                        </w:tcBorders>
                      </w:tcPr>
                      <w:p>
                        <w:pPr>
                          <w:pStyle w:val="TableParagraph"/>
                          <w:spacing w:before="71"/>
                          <w:ind w:left="64"/>
                          <w:rPr>
                            <w:rFonts w:ascii="Arial"/>
                            <w:sz w:val="12"/>
                          </w:rPr>
                        </w:pPr>
                        <w:r>
                          <w:rPr>
                            <w:rFonts w:ascii="Arial"/>
                            <w:color w:val="292425"/>
                            <w:sz w:val="12"/>
                          </w:rPr>
                          <w:t>1.37</w:t>
                        </w:r>
                      </w:p>
                    </w:tc>
                    <w:tc>
                      <w:tcPr>
                        <w:tcW w:w="354" w:type="dxa"/>
                        <w:tcBorders>
                          <w:left w:val="single" w:sz="4" w:space="0" w:color="C9CBCC"/>
                          <w:right w:val="single" w:sz="4" w:space="0" w:color="C9CBCC"/>
                        </w:tcBorders>
                      </w:tcPr>
                      <w:p>
                        <w:pPr>
                          <w:pStyle w:val="TableParagraph"/>
                          <w:spacing w:before="27"/>
                          <w:ind w:left="64"/>
                          <w:rPr>
                            <w:rFonts w:ascii="Arial"/>
                            <w:sz w:val="12"/>
                          </w:rPr>
                        </w:pPr>
                        <w:r>
                          <w:rPr>
                            <w:rFonts w:ascii="Arial"/>
                            <w:color w:val="292425"/>
                            <w:sz w:val="12"/>
                          </w:rPr>
                          <w:t>1.41</w:t>
                        </w:r>
                      </w:p>
                    </w:tc>
                    <w:tc>
                      <w:tcPr>
                        <w:tcW w:w="348" w:type="dxa"/>
                        <w:tcBorders>
                          <w:left w:val="single" w:sz="4" w:space="0" w:color="C9CBCC"/>
                          <w:right w:val="single" w:sz="4" w:space="0" w:color="C9CBCC"/>
                        </w:tcBorders>
                      </w:tcPr>
                      <w:p>
                        <w:pPr>
                          <w:pStyle w:val="TableParagraph"/>
                          <w:spacing w:line="135" w:lineRule="exact"/>
                          <w:ind w:left="57"/>
                          <w:rPr>
                            <w:rFonts w:ascii="Arial"/>
                            <w:sz w:val="12"/>
                          </w:rPr>
                        </w:pPr>
                        <w:r>
                          <w:rPr>
                            <w:rFonts w:ascii="Arial"/>
                            <w:color w:val="292425"/>
                            <w:sz w:val="12"/>
                          </w:rPr>
                          <w:t>1.45</w:t>
                        </w: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39"/>
                          <w:ind w:left="85" w:right="50"/>
                          <w:jc w:val="center"/>
                          <w:rPr>
                            <w:rFonts w:ascii="Arial"/>
                            <w:sz w:val="12"/>
                          </w:rPr>
                        </w:pPr>
                        <w:r>
                          <w:rPr>
                            <w:rFonts w:ascii="Arial"/>
                            <w:color w:val="292425"/>
                            <w:sz w:val="12"/>
                          </w:rPr>
                          <w:t>1.5</w:t>
                        </w:r>
                      </w:p>
                    </w:tc>
                  </w:tr>
                  <w:tr>
                    <w:trPr>
                      <w:trHeight w:val="148"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Style w:val="TableParagraph"/>
                          <w:spacing w:before="5"/>
                          <w:ind w:left="65"/>
                          <w:rPr>
                            <w:rFonts w:ascii="Arial"/>
                            <w:sz w:val="12"/>
                          </w:rPr>
                        </w:pPr>
                        <w:r>
                          <w:rPr>
                            <w:rFonts w:ascii="Arial"/>
                            <w:color w:val="292425"/>
                            <w:sz w:val="12"/>
                          </w:rPr>
                          <w:t>1.13</w:t>
                        </w: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
                    </w:tc>
                  </w:tr>
                  <w:tr>
                    <w:trPr>
                      <w:trHeight w:val="283" w:hRule="exact"/>
                    </w:trPr>
                    <w:tc>
                      <w:tcPr>
                        <w:tcW w:w="420" w:type="dxa"/>
                        <w:tcBorders>
                          <w:right w:val="single" w:sz="4" w:space="0" w:color="C9CBCC"/>
                        </w:tcBorders>
                      </w:tcPr>
                      <w:p>
                        <w:pPr/>
                      </w:p>
                    </w:tc>
                    <w:tc>
                      <w:tcPr>
                        <w:tcW w:w="354" w:type="dxa"/>
                        <w:tcBorders>
                          <w:left w:val="single" w:sz="4" w:space="0" w:color="C9CBCC"/>
                          <w:right w:val="single" w:sz="4" w:space="0" w:color="C9CBCC"/>
                        </w:tcBorders>
                      </w:tcPr>
                      <w:p>
                        <w:pPr>
                          <w:pStyle w:val="TableParagraph"/>
                          <w:spacing w:before="2"/>
                          <w:ind w:left="96"/>
                          <w:rPr>
                            <w:rFonts w:ascii="Arial"/>
                            <w:sz w:val="12"/>
                          </w:rPr>
                        </w:pPr>
                        <w:r>
                          <w:rPr>
                            <w:rFonts w:ascii="Arial"/>
                            <w:color w:val="292425"/>
                            <w:sz w:val="12"/>
                          </w:rPr>
                          <w:t>.91</w:t>
                        </w: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54"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48" w:type="dxa"/>
                        <w:tcBorders>
                          <w:left w:val="single" w:sz="4" w:space="0" w:color="C9CBCC"/>
                          <w:right w:val="single" w:sz="4" w:space="0" w:color="C9CBCC"/>
                        </w:tcBorders>
                      </w:tcPr>
                      <w:p>
                        <w:pPr/>
                      </w:p>
                    </w:tc>
                    <w:tc>
                      <w:tcPr>
                        <w:tcW w:w="389"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1"/>
                          <w:ind w:left="85" w:right="50"/>
                          <w:jc w:val="center"/>
                          <w:rPr>
                            <w:rFonts w:ascii="Arial"/>
                            <w:sz w:val="12"/>
                          </w:rPr>
                        </w:pPr>
                        <w:r>
                          <w:rPr>
                            <w:rFonts w:ascii="Arial"/>
                            <w:color w:val="292425"/>
                            <w:sz w:val="12"/>
                          </w:rPr>
                          <w:t>1.0</w:t>
                        </w:r>
                      </w:p>
                    </w:tc>
                  </w:tr>
                  <w:tr>
                    <w:trPr>
                      <w:trHeight w:val="496" w:hRule="exact"/>
                    </w:trPr>
                    <w:tc>
                      <w:tcPr>
                        <w:tcW w:w="420" w:type="dxa"/>
                        <w:tcBorders>
                          <w:bottom w:val="single" w:sz="4" w:space="0" w:color="292425"/>
                          <w:right w:val="single" w:sz="4" w:space="0" w:color="C9CBCC"/>
                        </w:tcBorders>
                      </w:tcPr>
                      <w:p>
                        <w:pPr>
                          <w:pStyle w:val="TableParagraph"/>
                          <w:spacing w:before="5"/>
                          <w:rPr>
                            <w:sz w:val="10"/>
                          </w:rPr>
                        </w:pPr>
                      </w:p>
                      <w:p>
                        <w:pPr>
                          <w:pStyle w:val="TableParagraph"/>
                          <w:ind w:left="167"/>
                          <w:rPr>
                            <w:rFonts w:ascii="Arial"/>
                            <w:sz w:val="12"/>
                          </w:rPr>
                        </w:pPr>
                        <w:r>
                          <w:rPr>
                            <w:rFonts w:ascii="Arial"/>
                            <w:color w:val="292425"/>
                            <w:sz w:val="12"/>
                          </w:rPr>
                          <w:t>.33</w:t>
                        </w: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54" w:type="dxa"/>
                        <w:tcBorders>
                          <w:left w:val="single" w:sz="4" w:space="0" w:color="C9CBCC"/>
                          <w:bottom w:val="single" w:sz="4" w:space="0" w:color="292425"/>
                          <w:right w:val="single" w:sz="4" w:space="0" w:color="C9CBCC"/>
                        </w:tcBorders>
                      </w:tcPr>
                      <w:p>
                        <w:pPr/>
                      </w:p>
                    </w:tc>
                    <w:tc>
                      <w:tcPr>
                        <w:tcW w:w="348" w:type="dxa"/>
                        <w:tcBorders>
                          <w:left w:val="single" w:sz="4" w:space="0" w:color="C9CBCC"/>
                          <w:bottom w:val="single" w:sz="4" w:space="0" w:color="292425"/>
                          <w:right w:val="single" w:sz="4" w:space="0" w:color="C9CBCC"/>
                        </w:tcBorders>
                      </w:tcPr>
                      <w:p>
                        <w:pPr/>
                      </w:p>
                    </w:tc>
                    <w:tc>
                      <w:tcPr>
                        <w:tcW w:w="348" w:type="dxa"/>
                        <w:tcBorders>
                          <w:left w:val="single" w:sz="4" w:space="0" w:color="C9CBCC"/>
                          <w:bottom w:val="single" w:sz="4" w:space="0" w:color="292425"/>
                          <w:right w:val="single" w:sz="4" w:space="0" w:color="C9CBCC"/>
                        </w:tcBorders>
                      </w:tcPr>
                      <w:p>
                        <w:pPr/>
                      </w:p>
                    </w:tc>
                    <w:tc>
                      <w:tcPr>
                        <w:tcW w:w="389"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124"/>
                          <w:ind w:left="85" w:right="50"/>
                          <w:jc w:val="center"/>
                          <w:rPr>
                            <w:rFonts w:ascii="Arial"/>
                            <w:sz w:val="12"/>
                          </w:rPr>
                        </w:pPr>
                        <w:r>
                          <w:rPr>
                            <w:rFonts w:ascii="Arial"/>
                            <w:color w:val="292425"/>
                            <w:sz w:val="12"/>
                          </w:rPr>
                          <w:t>0.5</w:t>
                        </w:r>
                      </w:p>
                    </w:tc>
                  </w:tr>
                </w:tbl>
                <w:p>
                  <w:pPr>
                    <w:pStyle w:val="BodyText"/>
                  </w:pPr>
                </w:p>
              </w:txbxContent>
            </v:textbox>
          </v:shape>
        </w:pict>
      </w:r>
      <w:r>
        <w:rPr/>
      </w:r>
    </w:p>
    <w:p>
      <w:pPr>
        <w:spacing w:after="0"/>
        <w:sectPr>
          <w:headerReference w:type="even" r:id="rId29"/>
          <w:pgSz w:w="12240" w:h="15840"/>
          <w:pgMar w:header="0" w:footer="0" w:top="0" w:bottom="280" w:left="0" w:right="0"/>
        </w:sectPr>
      </w:pPr>
    </w:p>
    <w:p>
      <w:pPr>
        <w:spacing w:before="31"/>
        <w:ind w:left="1217" w:right="0" w:firstLine="0"/>
        <w:jc w:val="left"/>
        <w:rPr>
          <w:rFonts w:ascii="Arial"/>
          <w:sz w:val="12"/>
        </w:rPr>
      </w:pPr>
      <w:r>
        <w:rPr/>
        <w:pict>
          <v:rect style="position:absolute;margin-left:64.225998pt;margin-top:-44.36747pt;width:7.281pt;height:44.19pt;mso-position-horizontal-relative:page;mso-position-vertical-relative:paragraph;z-index:-280912" filled="true" fillcolor="#4d82c2" stroked="false">
            <v:fill type="solid"/>
            <w10:wrap type="none"/>
          </v:rect>
        </w:pict>
      </w:r>
      <w:r>
        <w:rPr/>
        <w:pict>
          <v:rect style="position:absolute;margin-left:86.291pt;margin-top:-50.39547pt;width:7.278pt;height:50.309pt;mso-position-horizontal-relative:page;mso-position-vertical-relative:paragraph;z-index:-280888" filled="true" fillcolor="#4d82c2" stroked="false">
            <v:fill type="solid"/>
            <w10:wrap type="none"/>
          </v:rect>
        </w:pict>
      </w:r>
      <w:r>
        <w:rPr/>
        <w:pict>
          <v:rect style="position:absolute;margin-left:106.948997pt;margin-top:-70.120468pt;width:7.277pt;height:70.016pt;mso-position-horizontal-relative:page;mso-position-vertical-relative:paragraph;z-index:-280864" filled="true" fillcolor="#4d82c2" stroked="false">
            <v:fill type="solid"/>
            <w10:wrap type="none"/>
          </v:rect>
        </w:pict>
      </w:r>
      <w:r>
        <w:rPr/>
        <w:pict>
          <v:rect style="position:absolute;margin-left:128.587006pt;margin-top:-56.361469pt;width:7.279pt;height:56.184pt;mso-position-horizontal-relative:page;mso-position-vertical-relative:paragraph;z-index:-280840" filled="true" fillcolor="#4d82c2" stroked="false">
            <v:fill type="solid"/>
            <w10:wrap type="none"/>
          </v:rect>
        </w:pict>
      </w:r>
      <w:r>
        <w:rPr/>
        <w:pict>
          <v:rect style="position:absolute;margin-left:148.679993pt;margin-top:-26.369469pt;width:7.28pt;height:26.191pt;mso-position-horizontal-relative:page;mso-position-vertical-relative:paragraph;z-index:-280816" filled="true" fillcolor="#4d82c2" stroked="false">
            <v:fill type="solid"/>
            <w10:wrap type="none"/>
          </v:rect>
        </w:pict>
      </w:r>
      <w:r>
        <w:rPr/>
        <w:pict>
          <v:line style="position:absolute;mso-position-horizontal-relative:page;mso-position-vertical-relative:paragraph;z-index:-280792" from="142.201004pt,7.900533pt" to="142.201004pt,-77.594467pt" stroked="true" strokeweight=".552pt" strokecolor="#c9cbcc">
            <v:stroke dashstyle="solid"/>
            <w10:wrap type="none"/>
          </v:line>
        </w:pict>
      </w:r>
      <w:r>
        <w:rPr/>
        <w:pict>
          <v:line style="position:absolute;mso-position-horizontal-relative:page;mso-position-vertical-relative:paragraph;z-index:-280768" from="121.210999pt,7.900533pt" to="121.210999pt,-77.594467pt" stroked="true" strokeweight=".552pt" strokecolor="#c9cbcc">
            <v:stroke dashstyle="solid"/>
            <w10:wrap type="none"/>
          </v:line>
        </w:pict>
      </w:r>
      <w:r>
        <w:rPr/>
        <w:pict>
          <v:line style="position:absolute;mso-position-horizontal-relative:page;mso-position-vertical-relative:paragraph;z-index:-280744" from="100.220001pt,7.900533pt" to="100.220001pt,-77.594467pt" stroked="true" strokeweight=".552pt" strokecolor="#c9cbcc">
            <v:stroke dashstyle="solid"/>
            <w10:wrap type="none"/>
          </v:line>
        </w:pict>
      </w:r>
      <w:r>
        <w:rPr/>
        <w:pict>
          <v:line style="position:absolute;mso-position-horizontal-relative:page;mso-position-vertical-relative:paragraph;z-index:-280720" from="79.230003pt,7.900533pt" to="79.230003pt,-77.594467pt" stroked="true" strokeweight=".552pt" strokecolor="#c9cbcc">
            <v:stroke dashstyle="solid"/>
            <w10:wrap type="none"/>
          </v:line>
        </w:pict>
      </w:r>
      <w:r>
        <w:rPr/>
        <w:pict>
          <v:group style="position:absolute;margin-left:162.891006pt;margin-top:-77.89447pt;width:.6pt;height:86.1pt;mso-position-horizontal-relative:page;mso-position-vertical-relative:paragraph;z-index:-280696" coordorigin="3258,-1558" coordsize="12,1722">
            <v:line style="position:absolute" from="3264,-1552" to="3264,158" stroked="true" strokeweight="0pt" strokecolor="#ffffff">
              <v:stroke dashstyle="solid"/>
            </v:line>
            <v:line style="position:absolute" from="3264,158" to="3264,-1552" stroked="true" strokeweight=".552pt" strokecolor="#292425">
              <v:stroke dashstyle="solid"/>
            </v:line>
            <w10:wrap type="none"/>
          </v:group>
        </w:pict>
      </w:r>
      <w:r>
        <w:rPr/>
        <w:pict>
          <v:rect style="position:absolute;margin-left:234.591995pt;margin-top:-31.628468pt;width:7.281pt;height:31.341pt;mso-position-horizontal-relative:page;mso-position-vertical-relative:paragraph;z-index:-280672" filled="true" fillcolor="#4d82c2" stroked="false">
            <v:fill type="solid"/>
            <w10:wrap type="none"/>
          </v:rect>
        </w:pict>
      </w:r>
      <w:r>
        <w:rPr/>
        <w:pict>
          <v:rect style="position:absolute;margin-left:256.657013pt;margin-top:-48.808468pt;width:7.279pt;height:48.605pt;mso-position-horizontal-relative:page;mso-position-vertical-relative:paragraph;z-index:-280648" filled="true" fillcolor="#4d82c2" stroked="false">
            <v:fill type="solid"/>
            <w10:wrap type="none"/>
          </v:rect>
        </w:pict>
      </w:r>
      <w:r>
        <w:rPr/>
        <w:pict>
          <v:rect style="position:absolute;margin-left:277.315002pt;margin-top:-62.64547pt;width:7.277pt;height:62.431pt;mso-position-horizontal-relative:page;mso-position-vertical-relative:paragraph;z-index:-280624" filled="true" fillcolor="#4d82c2" stroked="false">
            <v:fill type="solid"/>
            <w10:wrap type="none"/>
          </v:rect>
        </w:pict>
      </w:r>
      <w:r>
        <w:rPr/>
        <w:pict>
          <v:rect style="position:absolute;margin-left:298.95401pt;margin-top:-69.563469pt;width:7.279pt;height:69.275pt;mso-position-horizontal-relative:page;mso-position-vertical-relative:paragraph;z-index:-280600" filled="true" fillcolor="#4d82c2" stroked="false">
            <v:fill type="solid"/>
            <w10:wrap type="none"/>
          </v:rect>
        </w:pict>
      </w:r>
      <w:r>
        <w:rPr/>
        <w:pict>
          <v:rect style="position:absolute;margin-left:319.046997pt;margin-top:-70.115471pt;width:7.279pt;height:69.828pt;mso-position-horizontal-relative:page;mso-position-vertical-relative:paragraph;z-index:-280576" filled="true" fillcolor="#4d82c2" stroked="false">
            <v:fill type="solid"/>
            <w10:wrap type="none"/>
          </v:rect>
        </w:pict>
      </w:r>
      <w:r>
        <w:rPr/>
        <w:pict>
          <v:rect style="position:absolute;margin-left:403.153992pt;margin-top:-9.674468pt;width:7.282pt;height:9.407pt;mso-position-horizontal-relative:page;mso-position-vertical-relative:paragraph;z-index:-280264" filled="true" fillcolor="#4d82c2" stroked="false">
            <v:fill type="solid"/>
            <w10:wrap type="none"/>
          </v:rect>
        </w:pict>
      </w:r>
      <w:r>
        <w:rPr/>
        <w:pict>
          <v:rect style="position:absolute;margin-left:509.03299pt;margin-top:-50.47847pt;width:7.282pt;height:50.211pt;mso-position-horizontal-relative:page;mso-position-vertical-relative:paragraph;z-index:-280144" filled="true" fillcolor="#4d82c2" stroked="false">
            <v:fill type="solid"/>
            <w10:wrap type="none"/>
          </v:rect>
        </w:pict>
      </w:r>
      <w:r>
        <w:rPr/>
        <w:pict>
          <v:rect style="position:absolute;margin-left:473.98999pt;margin-top:-46.76347pt;width:7.282pt;height:46.496pt;mso-position-horizontal-relative:page;mso-position-vertical-relative:paragraph;z-index:-280120" filled="true" fillcolor="#4d82c2" stroked="false">
            <v:fill type="solid"/>
            <w10:wrap type="none"/>
          </v:rect>
        </w:pict>
      </w:r>
      <w:r>
        <w:rPr/>
        <w:pict>
          <v:rect style="position:absolute;margin-left:491.699005pt;margin-top:-49.001469pt;width:7.282pt;height:48.734pt;mso-position-horizontal-relative:page;mso-position-vertical-relative:paragraph;z-index:-280096" filled="true" fillcolor="#4d82c2" stroked="false">
            <v:fill type="solid"/>
            <w10:wrap type="none"/>
          </v:rect>
        </w:pict>
      </w:r>
      <w:r>
        <w:rPr/>
        <w:pict>
          <v:rect style="position:absolute;margin-left:456.299011pt;margin-top:-44.965469pt;width:7.278pt;height:44.985pt;mso-position-horizontal-relative:page;mso-position-vertical-relative:paragraph;z-index:-280072" filled="true" fillcolor="#4d82c2" stroked="false">
            <v:fill type="solid"/>
            <w10:wrap type="none"/>
          </v:rect>
        </w:pict>
      </w:r>
      <w:r>
        <w:rPr/>
        <w:pict>
          <v:rect style="position:absolute;margin-left:544.418030pt;margin-top:-62.33247pt;width:7.279pt;height:62.133pt;mso-position-horizontal-relative:page;mso-position-vertical-relative:paragraph;z-index:-280048" filled="true" fillcolor="#4d82c2" stroked="false">
            <v:fill type="solid"/>
            <w10:wrap type="none"/>
          </v:rect>
        </w:pict>
      </w:r>
      <w:r>
        <w:rPr/>
        <w:pict>
          <v:rect style="position:absolute;margin-left:526.043030pt;margin-top:-57.039467pt;width:7.278pt;height:56.839pt;mso-position-horizontal-relative:page;mso-position-vertical-relative:paragraph;z-index:-280024" filled="true" fillcolor="#4d82c2" stroked="false">
            <v:fill type="solid"/>
            <w10:wrap type="none"/>
          </v:rect>
        </w:pict>
      </w:r>
      <w:r>
        <w:rPr>
          <w:rFonts w:ascii="Arial"/>
          <w:color w:val="292425"/>
          <w:sz w:val="12"/>
        </w:rPr>
        <w:t>1998     1999    2000     2001    2002</w:t>
      </w:r>
    </w:p>
    <w:p>
      <w:pPr>
        <w:spacing w:before="29"/>
        <w:ind w:left="1217" w:right="0" w:firstLine="0"/>
        <w:jc w:val="left"/>
        <w:rPr>
          <w:rFonts w:ascii="Arial"/>
          <w:sz w:val="12"/>
        </w:rPr>
      </w:pPr>
      <w:r>
        <w:rPr/>
        <w:br w:type="column"/>
      </w:r>
      <w:r>
        <w:rPr>
          <w:rFonts w:ascii="Arial"/>
          <w:color w:val="292425"/>
          <w:sz w:val="12"/>
        </w:rPr>
        <w:t>1998     1999    2000     2001    2002</w:t>
      </w:r>
    </w:p>
    <w:p>
      <w:pPr>
        <w:spacing w:before="20"/>
        <w:ind w:left="0" w:right="0" w:firstLine="0"/>
        <w:jc w:val="right"/>
        <w:rPr>
          <w:rFonts w:ascii="Arial"/>
          <w:sz w:val="12"/>
        </w:rPr>
      </w:pPr>
      <w:r>
        <w:rPr/>
        <w:br w:type="column"/>
      </w:r>
      <w:r>
        <w:rPr>
          <w:rFonts w:ascii="Arial"/>
          <w:color w:val="292425"/>
          <w:w w:val="70"/>
          <w:sz w:val="12"/>
        </w:rPr>
        <w:t>LUV</w:t>
      </w:r>
    </w:p>
    <w:p>
      <w:pPr>
        <w:spacing w:before="20"/>
        <w:ind w:left="148" w:right="0" w:firstLine="0"/>
        <w:jc w:val="left"/>
        <w:rPr>
          <w:rFonts w:ascii="Arial"/>
          <w:sz w:val="12"/>
        </w:rPr>
      </w:pPr>
      <w:r>
        <w:rPr/>
        <w:br w:type="column"/>
      </w:r>
      <w:r>
        <w:rPr>
          <w:rFonts w:ascii="Arial"/>
          <w:color w:val="292425"/>
          <w:w w:val="75"/>
          <w:sz w:val="12"/>
        </w:rPr>
        <w:t>ALK</w:t>
      </w:r>
    </w:p>
    <w:p>
      <w:pPr>
        <w:tabs>
          <w:tab w:pos="462" w:val="left" w:leader="none"/>
        </w:tabs>
        <w:spacing w:line="158" w:lineRule="exact" w:before="0"/>
        <w:ind w:left="178" w:right="0" w:firstLine="0"/>
        <w:jc w:val="left"/>
        <w:rPr>
          <w:rFonts w:ascii="Arial"/>
          <w:sz w:val="10"/>
        </w:rPr>
      </w:pPr>
      <w:r>
        <w:rPr/>
        <w:br w:type="column"/>
      </w:r>
      <w:r>
        <w:rPr>
          <w:rFonts w:ascii="Arial"/>
          <w:color w:val="292425"/>
          <w:sz w:val="12"/>
        </w:rPr>
        <w:t>U</w:t>
        <w:tab/>
      </w:r>
      <w:r>
        <w:rPr>
          <w:rFonts w:ascii="Arial"/>
          <w:color w:val="292425"/>
          <w:spacing w:val="-2"/>
          <w:w w:val="90"/>
          <w:sz w:val="12"/>
        </w:rPr>
        <w:t>AMR</w:t>
      </w:r>
      <w:r>
        <w:rPr>
          <w:rFonts w:ascii="Arial"/>
          <w:color w:val="292425"/>
          <w:spacing w:val="-2"/>
          <w:w w:val="90"/>
          <w:position w:val="4"/>
          <w:sz w:val="10"/>
        </w:rPr>
        <w:t>*</w:t>
      </w:r>
    </w:p>
    <w:p>
      <w:pPr>
        <w:spacing w:before="20"/>
        <w:ind w:left="62" w:right="0" w:firstLine="0"/>
        <w:jc w:val="left"/>
        <w:rPr>
          <w:rFonts w:ascii="Arial"/>
          <w:sz w:val="12"/>
        </w:rPr>
      </w:pPr>
      <w:r>
        <w:rPr/>
        <w:br w:type="column"/>
      </w:r>
      <w:r>
        <w:rPr>
          <w:rFonts w:ascii="Arial"/>
          <w:color w:val="292425"/>
          <w:w w:val="75"/>
          <w:sz w:val="12"/>
        </w:rPr>
        <w:t>DAL</w:t>
      </w:r>
    </w:p>
    <w:p>
      <w:pPr>
        <w:spacing w:before="20"/>
        <w:ind w:left="121" w:right="0" w:firstLine="0"/>
        <w:jc w:val="left"/>
        <w:rPr>
          <w:rFonts w:ascii="Arial"/>
          <w:sz w:val="12"/>
        </w:rPr>
      </w:pPr>
      <w:r>
        <w:rPr/>
        <w:br w:type="column"/>
      </w:r>
      <w:r>
        <w:rPr>
          <w:rFonts w:ascii="Arial"/>
          <w:color w:val="292425"/>
          <w:w w:val="75"/>
          <w:sz w:val="12"/>
        </w:rPr>
        <w:t>CAL</w:t>
      </w:r>
    </w:p>
    <w:p>
      <w:pPr>
        <w:spacing w:before="15"/>
        <w:ind w:left="67" w:right="0" w:firstLine="0"/>
        <w:jc w:val="left"/>
        <w:rPr>
          <w:rFonts w:ascii="Arial"/>
          <w:sz w:val="12"/>
        </w:rPr>
      </w:pPr>
      <w:r>
        <w:rPr/>
        <w:br w:type="column"/>
      </w:r>
      <w:r>
        <w:rPr>
          <w:rFonts w:ascii="Arial"/>
          <w:color w:val="292425"/>
          <w:w w:val="80"/>
          <w:position w:val="1"/>
          <w:sz w:val="12"/>
        </w:rPr>
        <w:t>NWAC </w:t>
      </w:r>
      <w:r>
        <w:rPr>
          <w:rFonts w:ascii="Arial"/>
          <w:color w:val="292425"/>
          <w:w w:val="80"/>
          <w:sz w:val="12"/>
        </w:rPr>
        <w:t>AWA</w:t>
      </w:r>
    </w:p>
    <w:p>
      <w:pPr>
        <w:spacing w:before="25"/>
        <w:ind w:left="128" w:right="0" w:firstLine="0"/>
        <w:jc w:val="left"/>
        <w:rPr>
          <w:rFonts w:ascii="Arial"/>
          <w:sz w:val="12"/>
        </w:rPr>
      </w:pPr>
      <w:r>
        <w:rPr/>
        <w:br w:type="column"/>
      </w:r>
      <w:r>
        <w:rPr>
          <w:rFonts w:ascii="Arial"/>
          <w:color w:val="292425"/>
          <w:w w:val="85"/>
          <w:sz w:val="12"/>
        </w:rPr>
        <w:t>UAL</w:t>
      </w:r>
    </w:p>
    <w:p>
      <w:pPr>
        <w:spacing w:after="0"/>
        <w:jc w:val="left"/>
        <w:rPr>
          <w:rFonts w:ascii="Arial"/>
          <w:sz w:val="12"/>
        </w:rPr>
        <w:sectPr>
          <w:type w:val="continuous"/>
          <w:pgSz w:w="12240" w:h="15840"/>
          <w:pgMar w:top="0" w:bottom="280" w:left="0" w:right="0"/>
          <w:cols w:num="9" w:equalWidth="0">
            <w:col w:w="3181" w:space="227"/>
            <w:col w:w="3181" w:space="213"/>
            <w:col w:w="1404" w:space="40"/>
            <w:col w:w="335" w:space="40"/>
            <w:col w:w="738" w:space="40"/>
            <w:col w:w="255" w:space="40"/>
            <w:col w:w="310" w:space="40"/>
            <w:col w:w="667" w:space="40"/>
            <w:col w:w="1489"/>
          </w:cols>
        </w:sectPr>
      </w:pPr>
    </w:p>
    <w:p>
      <w:pPr>
        <w:spacing w:before="122"/>
        <w:ind w:left="1133" w:right="0" w:firstLine="0"/>
        <w:jc w:val="left"/>
        <w:rPr>
          <w:i/>
          <w:sz w:val="12"/>
        </w:rPr>
      </w:pPr>
      <w:r>
        <w:rPr/>
        <w:pict>
          <v:line style="position:absolute;mso-position-horizontal-relative:page;mso-position-vertical-relative:paragraph;z-index:-280528" from="291.576996pt,-.696467pt" to="291.576996pt,-86.191467pt" stroked="true" strokeweight=".552pt" strokecolor="#c9cbcc">
            <v:stroke dashstyle="solid"/>
            <w10:wrap type="none"/>
          </v:line>
        </w:pict>
      </w:r>
      <w:r>
        <w:rPr/>
        <w:pict>
          <v:line style="position:absolute;mso-position-horizontal-relative:page;mso-position-vertical-relative:paragraph;z-index:-280504" from="270.585999pt,-.696467pt" to="270.585999pt,-86.191467pt" stroked="true" strokeweight=".552pt" strokecolor="#c9cbcc">
            <v:stroke dashstyle="solid"/>
            <w10:wrap type="none"/>
          </v:line>
        </w:pict>
      </w:r>
      <w:r>
        <w:rPr/>
        <w:pict>
          <v:line style="position:absolute;mso-position-horizontal-relative:page;mso-position-vertical-relative:paragraph;z-index:-280480" from="249.595993pt,-.696467pt" to="249.595993pt,-86.191467pt" stroked="true" strokeweight=".552pt" strokecolor="#c9cbcc">
            <v:stroke dashstyle="solid"/>
            <w10:wrap type="none"/>
          </v:line>
        </w:pict>
      </w:r>
      <w:r>
        <w:rPr>
          <w:rFonts w:ascii="Franklin Gothic Medium"/>
          <w:color w:val="292425"/>
          <w:w w:val="105"/>
          <w:sz w:val="14"/>
        </w:rPr>
        <w:t>Net Income </w:t>
      </w:r>
      <w:r>
        <w:rPr>
          <w:i/>
          <w:color w:val="292425"/>
          <w:w w:val="105"/>
          <w:sz w:val="12"/>
        </w:rPr>
        <w:t>(in millions)</w:t>
      </w:r>
    </w:p>
    <w:p>
      <w:pPr>
        <w:spacing w:line="127" w:lineRule="exact" w:before="0"/>
        <w:ind w:left="1073" w:right="0" w:firstLine="0"/>
        <w:jc w:val="left"/>
        <w:rPr>
          <w:sz w:val="11"/>
        </w:rPr>
      </w:pPr>
      <w:r>
        <w:rPr>
          <w:rFonts w:ascii="Arial"/>
          <w:color w:val="292425"/>
          <w:w w:val="105"/>
          <w:position w:val="1"/>
          <w:sz w:val="10"/>
        </w:rPr>
        <w:t>*</w:t>
      </w:r>
      <w:r>
        <w:rPr>
          <w:color w:val="292425"/>
          <w:w w:val="105"/>
          <w:sz w:val="11"/>
        </w:rPr>
        <w:t>Excludes  cumulative  effect  of change</w:t>
      </w:r>
    </w:p>
    <w:p>
      <w:pPr>
        <w:spacing w:line="127" w:lineRule="exact" w:before="0"/>
        <w:ind w:left="1130" w:right="0" w:firstLine="0"/>
        <w:jc w:val="left"/>
        <w:rPr>
          <w:sz w:val="11"/>
        </w:rPr>
      </w:pPr>
      <w:r>
        <w:rPr>
          <w:color w:val="292425"/>
          <w:w w:val="105"/>
          <w:sz w:val="11"/>
        </w:rPr>
        <w:t>in  accounting  principle  of  $22.1 million</w:t>
      </w:r>
    </w:p>
    <w:p>
      <w:pPr>
        <w:spacing w:before="119"/>
        <w:ind w:left="1073" w:right="0" w:firstLine="0"/>
        <w:jc w:val="left"/>
        <w:rPr>
          <w:rFonts w:ascii="Franklin Gothic Medium"/>
          <w:sz w:val="14"/>
        </w:rPr>
      </w:pPr>
      <w:r>
        <w:rPr/>
        <w:br w:type="column"/>
      </w:r>
      <w:r>
        <w:rPr>
          <w:rFonts w:ascii="Franklin Gothic Medium"/>
          <w:color w:val="292425"/>
          <w:sz w:val="14"/>
        </w:rPr>
        <w:t>Average Daily Departures</w:t>
      </w:r>
    </w:p>
    <w:p>
      <w:pPr>
        <w:spacing w:before="113"/>
        <w:ind w:left="1129" w:right="0" w:firstLine="0"/>
        <w:jc w:val="left"/>
        <w:rPr>
          <w:rFonts w:ascii="Franklin Gothic Medium"/>
          <w:sz w:val="14"/>
        </w:rPr>
      </w:pPr>
      <w:r>
        <w:rPr/>
        <w:br w:type="column"/>
      </w:r>
      <w:r>
        <w:rPr>
          <w:rFonts w:ascii="Franklin Gothic Medium"/>
          <w:color w:val="292425"/>
          <w:sz w:val="14"/>
        </w:rPr>
        <w:t>Customer Service</w:t>
      </w:r>
    </w:p>
    <w:p>
      <w:pPr>
        <w:spacing w:line="120" w:lineRule="exact" w:before="21"/>
        <w:ind w:left="1129" w:right="1791" w:firstLine="0"/>
        <w:jc w:val="left"/>
        <w:rPr>
          <w:sz w:val="11"/>
        </w:rPr>
      </w:pPr>
      <w:r>
        <w:rPr/>
        <w:pict>
          <v:line style="position:absolute;mso-position-horizontal-relative:page;mso-position-vertical-relative:paragraph;z-index:-280552" from="312.566986pt,-14.364001pt" to="312.566986pt,-99.859001pt" stroked="true" strokeweight=".552pt" strokecolor="#c9cbcc">
            <v:stroke dashstyle="solid"/>
            <w10:wrap type="none"/>
          </v:line>
        </w:pict>
      </w:r>
      <w:r>
        <w:rPr/>
        <w:pict>
          <v:group style="position:absolute;margin-left:333.256989pt;margin-top:-100.159004pt;width:.6pt;height:86.1pt;mso-position-horizontal-relative:page;mso-position-vertical-relative:paragraph;z-index:-280456" coordorigin="6665,-2003" coordsize="12,1722">
            <v:line style="position:absolute" from="6671,-1997" to="6671,-287" stroked="true" strokeweight="0pt" strokecolor="#ffffff">
              <v:stroke dashstyle="solid"/>
            </v:line>
            <v:line style="position:absolute" from="6671,-287" to="6671,-1997" stroked="true" strokeweight=".552pt" strokecolor="#292425">
              <v:stroke dashstyle="solid"/>
            </v:line>
            <w10:wrap type="none"/>
          </v:group>
        </w:pict>
      </w:r>
      <w:r>
        <w:rPr/>
        <w:pict>
          <v:line style="position:absolute;mso-position-horizontal-relative:page;mso-position-vertical-relative:paragraph;z-index:-280432" from="538.783997pt,-14.344005pt" to="538.783997pt,-99.839005pt" stroked="true" strokeweight=".552pt" strokecolor="#c9cbcc">
            <v:stroke dashstyle="solid"/>
            <w10:wrap type="none"/>
          </v:line>
        </w:pict>
      </w:r>
      <w:r>
        <w:rPr/>
        <w:pict>
          <v:line style="position:absolute;mso-position-horizontal-relative:page;mso-position-vertical-relative:paragraph;z-index:-280408" from="521.393982pt,-14.344005pt" to="521.393982pt,-99.839005pt" stroked="true" strokeweight=".552pt" strokecolor="#c9cbcc">
            <v:stroke dashstyle="solid"/>
            <w10:wrap type="none"/>
          </v:line>
        </w:pict>
      </w:r>
      <w:r>
        <w:rPr/>
        <w:pict>
          <v:line style="position:absolute;mso-position-horizontal-relative:page;mso-position-vertical-relative:paragraph;z-index:-280384" from="504.003998pt,-14.344005pt" to="504.003998pt,-99.839005pt" stroked="true" strokeweight=".552pt" strokecolor="#c9cbcc">
            <v:stroke dashstyle="solid"/>
            <w10:wrap type="none"/>
          </v:line>
        </w:pict>
      </w:r>
      <w:r>
        <w:rPr/>
        <w:pict>
          <v:line style="position:absolute;mso-position-horizontal-relative:page;mso-position-vertical-relative:paragraph;z-index:-280360" from="486.295013pt,-14.344005pt" to="486.295013pt,-99.839005pt" stroked="true" strokeweight=".552pt" strokecolor="#c9cbcc">
            <v:stroke dashstyle="solid"/>
            <w10:wrap type="none"/>
          </v:line>
        </w:pict>
      </w:r>
      <w:r>
        <w:rPr/>
        <w:pict>
          <v:line style="position:absolute;mso-position-horizontal-relative:page;mso-position-vertical-relative:paragraph;z-index:-280336" from="468.585999pt,-14.344005pt" to="468.585999pt,-99.839005pt" stroked="true" strokeweight=".552pt" strokecolor="#c9cbcc">
            <v:stroke dashstyle="solid"/>
            <w10:wrap type="none"/>
          </v:line>
        </w:pict>
      </w:r>
      <w:r>
        <w:rPr/>
        <w:pict>
          <v:line style="position:absolute;mso-position-horizontal-relative:page;mso-position-vertical-relative:paragraph;z-index:-280312" from="450.876007pt,-14.344005pt" to="450.876007pt,-99.839005pt" stroked="true" strokeweight=".552pt" strokecolor="#c9cbcc">
            <v:stroke dashstyle="solid"/>
            <w10:wrap type="none"/>
          </v:line>
        </w:pict>
      </w:r>
      <w:r>
        <w:rPr/>
        <w:pict>
          <v:line style="position:absolute;mso-position-horizontal-relative:page;mso-position-vertical-relative:paragraph;z-index:-280288" from="433.166992pt,-14.344005pt" to="433.166992pt,-99.839005pt" stroked="true" strokeweight=".552pt" strokecolor="#c9cbcc">
            <v:stroke dashstyle="solid"/>
            <w10:wrap type="none"/>
          </v:line>
        </w:pict>
      </w:r>
      <w:r>
        <w:rPr/>
        <w:pict>
          <v:line style="position:absolute;mso-position-horizontal-relative:page;mso-position-vertical-relative:paragraph;z-index:-280240" from="415.458008pt,-14.344005pt" to="415.458008pt,-99.839005pt" stroked="true" strokeweight=".552pt" strokecolor="#c9cbcc">
            <v:stroke dashstyle="solid"/>
            <w10:wrap type="none"/>
          </v:line>
        </w:pict>
      </w:r>
      <w:r>
        <w:rPr/>
        <w:pict>
          <v:group style="position:absolute;margin-left:557.947021pt;margin-top:-100.139pt;width:.6pt;height:86.1pt;mso-position-horizontal-relative:page;mso-position-vertical-relative:paragraph;z-index:-280216" coordorigin="11159,-2003" coordsize="12,1722">
            <v:line style="position:absolute" from="11165,-1997" to="11165,-287" stroked="true" strokeweight="0pt" strokecolor="#ffffff">
              <v:stroke dashstyle="solid"/>
            </v:line>
            <v:line style="position:absolute" from="11165,-287" to="11165,-1997" stroked="true" strokeweight=".552pt" strokecolor="#292425">
              <v:stroke dashstyle="solid"/>
            </v:line>
            <w10:wrap type="none"/>
          </v:group>
        </w:pict>
      </w:r>
      <w:r>
        <w:rPr>
          <w:color w:val="292425"/>
          <w:w w:val="110"/>
          <w:sz w:val="11"/>
        </w:rPr>
        <w:t>(Complaints per 100,000 Customers boarded) For the year ending December 31,  2002</w:t>
      </w:r>
    </w:p>
    <w:p>
      <w:pPr>
        <w:spacing w:line="126" w:lineRule="exact" w:before="0"/>
        <w:ind w:left="1073" w:right="0" w:firstLine="0"/>
        <w:jc w:val="left"/>
        <w:rPr>
          <w:sz w:val="11"/>
        </w:rPr>
      </w:pPr>
      <w:r>
        <w:rPr>
          <w:rFonts w:ascii="Arial"/>
          <w:color w:val="292425"/>
          <w:w w:val="110"/>
          <w:position w:val="1"/>
          <w:sz w:val="10"/>
        </w:rPr>
        <w:t>*</w:t>
      </w:r>
      <w:r>
        <w:rPr>
          <w:color w:val="292425"/>
          <w:w w:val="110"/>
          <w:sz w:val="11"/>
        </w:rPr>
        <w:t>Excludes American Eagle Airlines</w:t>
      </w:r>
    </w:p>
    <w:p>
      <w:pPr>
        <w:spacing w:after="0" w:line="126" w:lineRule="exact"/>
        <w:jc w:val="left"/>
        <w:rPr>
          <w:sz w:val="11"/>
        </w:rPr>
        <w:sectPr>
          <w:type w:val="continuous"/>
          <w:pgSz w:w="12240" w:h="15840"/>
          <w:pgMar w:top="0" w:bottom="280" w:left="0" w:right="0"/>
          <w:cols w:num="3" w:equalWidth="0">
            <w:col w:w="3274" w:space="192"/>
            <w:col w:w="2742" w:space="537"/>
            <w:col w:w="5495"/>
          </w:cols>
        </w:sectPr>
      </w:pPr>
    </w:p>
    <w:p>
      <w:pPr>
        <w:pStyle w:val="BodyText"/>
      </w:pPr>
    </w:p>
    <w:p>
      <w:pPr>
        <w:pStyle w:val="BodyText"/>
      </w:pPr>
    </w:p>
    <w:p>
      <w:pPr>
        <w:pStyle w:val="BodyText"/>
      </w:pPr>
    </w:p>
    <w:p>
      <w:pPr>
        <w:pStyle w:val="BodyText"/>
        <w:spacing w:before="9"/>
        <w:rPr>
          <w:sz w:val="10"/>
        </w:rPr>
      </w:pPr>
    </w:p>
    <w:p>
      <w:pPr>
        <w:pStyle w:val="BodyText"/>
        <w:tabs>
          <w:tab w:pos="4846" w:val="left" w:leader="none"/>
          <w:tab w:pos="8451" w:val="left" w:leader="none"/>
        </w:tabs>
        <w:ind w:left="1267"/>
      </w:pPr>
      <w:r>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509" w:hRule="exact"/>
                    </w:trPr>
                    <w:tc>
                      <w:tcPr>
                        <w:tcW w:w="461" w:type="dxa"/>
                        <w:tcBorders>
                          <w:right w:val="single" w:sz="4" w:space="0" w:color="C9CBCC"/>
                        </w:tcBorders>
                      </w:tcPr>
                      <w:p>
                        <w:pPr>
                          <w:pStyle w:val="TableParagraph"/>
                          <w:spacing w:before="10"/>
                          <w:rPr>
                            <w:sz w:val="16"/>
                          </w:rPr>
                        </w:pPr>
                      </w:p>
                      <w:p>
                        <w:pPr>
                          <w:pStyle w:val="TableParagraph"/>
                          <w:ind w:left="90"/>
                          <w:rPr>
                            <w:sz w:val="12"/>
                          </w:rPr>
                        </w:pPr>
                        <w:r>
                          <w:rPr>
                            <w:color w:val="292425"/>
                            <w:sz w:val="12"/>
                          </w:rPr>
                          <w:t>10.4%</w:t>
                        </w:r>
                      </w:p>
                    </w:tc>
                    <w:tc>
                      <w:tcPr>
                        <w:tcW w:w="420" w:type="dxa"/>
                        <w:tcBorders>
                          <w:left w:val="single" w:sz="4" w:space="0" w:color="C9CBCC"/>
                          <w:right w:val="single" w:sz="4" w:space="0" w:color="C9CBCC"/>
                        </w:tcBorders>
                      </w:tcPr>
                      <w:p>
                        <w:pPr>
                          <w:pStyle w:val="TableParagraph"/>
                          <w:spacing w:before="5"/>
                          <w:rPr>
                            <w:sz w:val="19"/>
                          </w:rPr>
                        </w:pPr>
                      </w:p>
                      <w:p>
                        <w:pPr>
                          <w:pStyle w:val="TableParagraph"/>
                          <w:ind w:left="72"/>
                          <w:rPr>
                            <w:sz w:val="12"/>
                          </w:rPr>
                        </w:pPr>
                        <w:r>
                          <w:rPr>
                            <w:color w:val="292425"/>
                            <w:sz w:val="12"/>
                          </w:rPr>
                          <w:t>10.0%</w:t>
                        </w:r>
                      </w:p>
                    </w:tc>
                    <w:tc>
                      <w:tcPr>
                        <w:tcW w:w="420" w:type="dxa"/>
                        <w:tcBorders>
                          <w:left w:val="single" w:sz="4" w:space="0" w:color="C9CBCC"/>
                          <w:right w:val="single" w:sz="4" w:space="0" w:color="C9CBCC"/>
                        </w:tcBorders>
                      </w:tcPr>
                      <w:p>
                        <w:pPr>
                          <w:pStyle w:val="TableParagraph"/>
                          <w:spacing w:before="94"/>
                          <w:ind w:left="57"/>
                          <w:rPr>
                            <w:sz w:val="12"/>
                          </w:rPr>
                        </w:pPr>
                        <w:r>
                          <w:rPr>
                            <w:color w:val="292425"/>
                            <w:sz w:val="12"/>
                          </w:rPr>
                          <w:t>11.1%</w:t>
                        </w:r>
                      </w:p>
                    </w:tc>
                    <w:tc>
                      <w:tcPr>
                        <w:tcW w:w="420" w:type="dxa"/>
                        <w:tcBorders>
                          <w:left w:val="single" w:sz="4" w:space="0" w:color="C9CBCC"/>
                          <w:right w:val="single" w:sz="4" w:space="0" w:color="C9CBCC"/>
                        </w:tcBorders>
                      </w:tcPr>
                      <w:p>
                        <w:pPr>
                          <w:pStyle w:val="TableParagraph"/>
                          <w:rPr>
                            <w:sz w:val="14"/>
                          </w:rPr>
                        </w:pPr>
                      </w:p>
                      <w:p>
                        <w:pPr>
                          <w:pStyle w:val="TableParagraph"/>
                          <w:spacing w:before="11"/>
                          <w:rPr>
                            <w:sz w:val="12"/>
                          </w:rPr>
                        </w:pPr>
                      </w:p>
                      <w:p>
                        <w:pPr>
                          <w:pStyle w:val="TableParagraph"/>
                          <w:ind w:left="97"/>
                          <w:rPr>
                            <w:sz w:val="12"/>
                          </w:rPr>
                        </w:pPr>
                        <w:r>
                          <w:rPr>
                            <w:color w:val="292425"/>
                            <w:sz w:val="12"/>
                          </w:rPr>
                          <w:t>9.2%</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39"/>
                          <w:ind w:left="147"/>
                          <w:rPr>
                            <w:sz w:val="12"/>
                          </w:rPr>
                        </w:pPr>
                        <w:r>
                          <w:rPr>
                            <w:color w:val="292425"/>
                            <w:sz w:val="12"/>
                          </w:rPr>
                          <w:t>12%</w:t>
                        </w:r>
                      </w:p>
                      <w:p>
                        <w:pPr>
                          <w:pStyle w:val="TableParagraph"/>
                          <w:spacing w:before="103"/>
                          <w:ind w:left="147"/>
                          <w:rPr>
                            <w:sz w:val="12"/>
                          </w:rPr>
                        </w:pPr>
                        <w:r>
                          <w:rPr>
                            <w:color w:val="292425"/>
                            <w:sz w:val="12"/>
                          </w:rPr>
                          <w:t>10%</w:t>
                        </w:r>
                      </w:p>
                    </w:tc>
                  </w:tr>
                  <w:tr>
                    <w:trPr>
                      <w:trHeight w:val="23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9"/>
                          <w:ind w:left="147"/>
                          <w:rPr>
                            <w:sz w:val="12"/>
                          </w:rPr>
                        </w:pPr>
                        <w:r>
                          <w:rPr>
                            <w:color w:val="292425"/>
                            <w:sz w:val="12"/>
                          </w:rPr>
                          <w:t>8%</w:t>
                        </w:r>
                      </w:p>
                    </w:tc>
                  </w:tr>
                  <w:tr>
                    <w:trPr>
                      <w:trHeight w:val="303"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Style w:val="TableParagraph"/>
                          <w:spacing w:before="9"/>
                          <w:rPr>
                            <w:sz w:val="12"/>
                          </w:rPr>
                        </w:pPr>
                      </w:p>
                      <w:p>
                        <w:pPr>
                          <w:pStyle w:val="TableParagraph"/>
                          <w:spacing w:before="1"/>
                          <w:ind w:left="83"/>
                          <w:rPr>
                            <w:sz w:val="12"/>
                          </w:rPr>
                        </w:pPr>
                        <w:r>
                          <w:rPr>
                            <w:color w:val="292425"/>
                            <w:sz w:val="12"/>
                          </w:rPr>
                          <w:t>4.4%</w:t>
                        </w:r>
                      </w:p>
                    </w:tc>
                    <w:tc>
                      <w:tcPr>
                        <w:tcW w:w="469" w:type="dxa"/>
                        <w:tcBorders>
                          <w:left w:val="single" w:sz="4" w:space="0" w:color="292425"/>
                        </w:tcBorders>
                      </w:tcPr>
                      <w:p>
                        <w:pPr>
                          <w:pStyle w:val="TableParagraph"/>
                          <w:spacing w:before="49"/>
                          <w:ind w:left="147"/>
                          <w:rPr>
                            <w:sz w:val="12"/>
                          </w:rPr>
                        </w:pPr>
                        <w:r>
                          <w:rPr>
                            <w:color w:val="292425"/>
                            <w:sz w:val="12"/>
                          </w:rPr>
                          <w:t>6%</w:t>
                        </w:r>
                      </w:p>
                    </w:tc>
                  </w:tr>
                  <w:tr>
                    <w:trPr>
                      <w:trHeight w:val="19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line="143" w:lineRule="exact"/>
                          <w:ind w:left="147"/>
                          <w:rPr>
                            <w:sz w:val="12"/>
                          </w:rPr>
                        </w:pPr>
                        <w:r>
                          <w:rPr>
                            <w:color w:val="292425"/>
                            <w:sz w:val="12"/>
                          </w:rPr>
                          <w:t>4%</w:t>
                        </w:r>
                      </w:p>
                    </w:tc>
                  </w:tr>
                  <w:tr>
                    <w:trPr>
                      <w:trHeight w:val="31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49"/>
                          <w:ind w:left="147"/>
                          <w:rPr>
                            <w:sz w:val="12"/>
                          </w:rPr>
                        </w:pPr>
                        <w:r>
                          <w:rPr>
                            <w:color w:val="292425"/>
                            <w:sz w:val="12"/>
                          </w:rPr>
                          <w:t>2%</w:t>
                        </w:r>
                      </w:p>
                    </w:tc>
                  </w:tr>
                </w:tbl>
                <w:p>
                  <w:pPr>
                    <w:pStyle w:val="BodyText"/>
                  </w:pPr>
                </w:p>
              </w:txbxContent>
            </v:textbox>
          </v:shape>
        </w:pict>
      </w:r>
      <w:r>
        <w:rPr/>
      </w:r>
      <w:r>
        <w:rPr/>
        <w:tab/>
      </w:r>
      <w:r>
        <w:rPr/>
        <w:pict>
          <v:shape style="width:131.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22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30"/>
                          <w:ind w:left="41"/>
                          <w:rPr>
                            <w:sz w:val="12"/>
                          </w:rPr>
                        </w:pPr>
                        <w:r>
                          <w:rPr>
                            <w:color w:val="292425"/>
                            <w:sz w:val="12"/>
                          </w:rPr>
                          <w:t>$0.79*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27"/>
                          <w:ind w:right="85"/>
                          <w:jc w:val="right"/>
                          <w:rPr>
                            <w:sz w:val="12"/>
                          </w:rPr>
                        </w:pPr>
                        <w:r>
                          <w:rPr>
                            <w:color w:val="292425"/>
                            <w:sz w:val="12"/>
                          </w:rPr>
                          <w:t>$0.80</w:t>
                        </w:r>
                      </w:p>
                    </w:tc>
                  </w:tr>
                  <w:tr>
                    <w:trPr>
                      <w:trHeight w:val="199"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8"/>
                          <w:ind w:right="85"/>
                          <w:jc w:val="right"/>
                          <w:rPr>
                            <w:sz w:val="12"/>
                          </w:rPr>
                        </w:pPr>
                        <w:r>
                          <w:rPr>
                            <w:color w:val="292425"/>
                            <w:sz w:val="12"/>
                          </w:rPr>
                          <w:t>$0.70</w:t>
                        </w:r>
                      </w:p>
                    </w:tc>
                  </w:tr>
                  <w:tr>
                    <w:trPr>
                      <w:trHeight w:val="333" w:hRule="exact"/>
                    </w:trPr>
                    <w:tc>
                      <w:tcPr>
                        <w:tcW w:w="461" w:type="dxa"/>
                        <w:tcBorders>
                          <w:right w:val="single" w:sz="4" w:space="0" w:color="C9CBCC"/>
                        </w:tcBorders>
                      </w:tcPr>
                      <w:p>
                        <w:pPr>
                          <w:pStyle w:val="TableParagraph"/>
                          <w:spacing w:before="7"/>
                          <w:rPr>
                            <w:sz w:val="13"/>
                          </w:rPr>
                        </w:pPr>
                      </w:p>
                      <w:p>
                        <w:pPr>
                          <w:pStyle w:val="TableParagraph"/>
                          <w:ind w:left="94"/>
                          <w:rPr>
                            <w:sz w:val="12"/>
                          </w:rPr>
                        </w:pPr>
                        <w:r>
                          <w:rPr>
                            <w:color w:val="292425"/>
                            <w:sz w:val="12"/>
                          </w:rPr>
                          <w:t>$0.55</w:t>
                        </w:r>
                      </w:p>
                    </w:tc>
                    <w:tc>
                      <w:tcPr>
                        <w:tcW w:w="420" w:type="dxa"/>
                        <w:tcBorders>
                          <w:left w:val="single" w:sz="4" w:space="0" w:color="C9CBCC"/>
                          <w:right w:val="single" w:sz="4" w:space="0" w:color="C9CBCC"/>
                        </w:tcBorders>
                      </w:tcPr>
                      <w:p>
                        <w:pPr>
                          <w:pStyle w:val="TableParagraph"/>
                          <w:spacing w:before="81"/>
                          <w:ind w:left="66"/>
                          <w:rPr>
                            <w:sz w:val="12"/>
                          </w:rPr>
                        </w:pPr>
                        <w:r>
                          <w:rPr>
                            <w:color w:val="292425"/>
                            <w:sz w:val="12"/>
                          </w:rPr>
                          <w:t>$0.59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ind w:left="69"/>
                          <w:rPr>
                            <w:sz w:val="12"/>
                          </w:rPr>
                        </w:pPr>
                        <w:r>
                          <w:rPr>
                            <w:color w:val="292425"/>
                            <w:sz w:val="12"/>
                          </w:rPr>
                          <w:t>$0.63</w:t>
                        </w: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99"/>
                          <w:ind w:right="85"/>
                          <w:jc w:val="right"/>
                          <w:rPr>
                            <w:sz w:val="12"/>
                          </w:rPr>
                        </w:pPr>
                        <w:r>
                          <w:rPr>
                            <w:color w:val="292425"/>
                            <w:sz w:val="12"/>
                          </w:rPr>
                          <w:t>$0.60</w:t>
                        </w:r>
                      </w:p>
                    </w:tc>
                  </w:tr>
                  <w:tr>
                    <w:trPr>
                      <w:trHeight w:val="217"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6"/>
                          <w:ind w:right="85"/>
                          <w:jc w:val="right"/>
                          <w:rPr>
                            <w:sz w:val="12"/>
                          </w:rPr>
                        </w:pPr>
                        <w:r>
                          <w:rPr>
                            <w:color w:val="292425"/>
                            <w:sz w:val="12"/>
                          </w:rPr>
                          <w:t>$0.50</w:t>
                        </w:r>
                      </w:p>
                    </w:tc>
                  </w:tr>
                  <w:tr>
                    <w:trPr>
                      <w:trHeight w:val="231"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49"/>
                          <w:ind w:right="85"/>
                          <w:jc w:val="right"/>
                          <w:rPr>
                            <w:sz w:val="12"/>
                          </w:rPr>
                        </w:pPr>
                        <w:r>
                          <w:rPr>
                            <w:color w:val="292425"/>
                            <w:sz w:val="12"/>
                          </w:rPr>
                          <w:t>$0.40</w:t>
                        </w:r>
                      </w:p>
                    </w:tc>
                  </w:tr>
                  <w:tr>
                    <w:trPr>
                      <w:trHeight w:val="34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30"/>
                          <w:ind w:left="50"/>
                          <w:rPr>
                            <w:sz w:val="12"/>
                          </w:rPr>
                        </w:pPr>
                        <w:r>
                          <w:rPr>
                            <w:color w:val="292425"/>
                            <w:sz w:val="12"/>
                          </w:rPr>
                          <w:t>$0.30</w:t>
                        </w:r>
                      </w:p>
                    </w:tc>
                    <w:tc>
                      <w:tcPr>
                        <w:tcW w:w="469" w:type="dxa"/>
                        <w:tcBorders>
                          <w:left w:val="single" w:sz="4" w:space="0" w:color="292425"/>
                          <w:bottom w:val="single" w:sz="4" w:space="0" w:color="292425"/>
                        </w:tcBorders>
                      </w:tcPr>
                      <w:p>
                        <w:pPr>
                          <w:pStyle w:val="TableParagraph"/>
                          <w:spacing w:before="68"/>
                          <w:ind w:right="85"/>
                          <w:jc w:val="right"/>
                          <w:rPr>
                            <w:sz w:val="12"/>
                          </w:rPr>
                        </w:pPr>
                        <w:r>
                          <w:rPr>
                            <w:color w:val="292425"/>
                            <w:sz w:val="12"/>
                          </w:rPr>
                          <w:t>$0.30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33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
                          <w:rPr>
                            <w:sz w:val="12"/>
                          </w:rPr>
                        </w:pPr>
                      </w:p>
                      <w:p>
                        <w:pPr>
                          <w:pStyle w:val="TableParagraph"/>
                          <w:ind w:left="104"/>
                          <w:rPr>
                            <w:sz w:val="12"/>
                          </w:rPr>
                        </w:pPr>
                        <w:r>
                          <w:rPr>
                            <w:color w:val="292425"/>
                            <w:w w:val="105"/>
                            <w:sz w:val="12"/>
                          </w:rPr>
                          <w:t>25%</w:t>
                        </w:r>
                      </w:p>
                    </w:tc>
                  </w:tr>
                  <w:tr>
                    <w:trPr>
                      <w:trHeight w:val="309" w:hRule="exact"/>
                    </w:trPr>
                    <w:tc>
                      <w:tcPr>
                        <w:tcW w:w="461" w:type="dxa"/>
                        <w:tcBorders>
                          <w:right w:val="single" w:sz="4" w:space="0" w:color="C9CBCC"/>
                        </w:tcBorders>
                      </w:tcPr>
                      <w:p>
                        <w:pPr>
                          <w:pStyle w:val="TableParagraph"/>
                          <w:spacing w:before="101"/>
                          <w:ind w:left="94"/>
                          <w:rPr>
                            <w:sz w:val="12"/>
                          </w:rPr>
                        </w:pPr>
                        <w:r>
                          <w:rPr>
                            <w:color w:val="292425"/>
                            <w:sz w:val="12"/>
                          </w:rPr>
                          <w:t>19.7%</w:t>
                        </w:r>
                      </w:p>
                    </w:tc>
                    <w:tc>
                      <w:tcPr>
                        <w:tcW w:w="420" w:type="dxa"/>
                        <w:tcBorders>
                          <w:left w:val="single" w:sz="4" w:space="0" w:color="C9CBCC"/>
                          <w:right w:val="single" w:sz="4" w:space="0" w:color="C9CBCC"/>
                        </w:tcBorders>
                      </w:tcPr>
                      <w:p>
                        <w:pPr>
                          <w:pStyle w:val="TableParagraph"/>
                          <w:spacing w:before="6"/>
                          <w:rPr>
                            <w:sz w:val="11"/>
                          </w:rPr>
                        </w:pPr>
                      </w:p>
                      <w:p>
                        <w:pPr>
                          <w:pStyle w:val="TableParagraph"/>
                          <w:ind w:left="70"/>
                          <w:rPr>
                            <w:sz w:val="12"/>
                          </w:rPr>
                        </w:pPr>
                        <w:r>
                          <w:rPr>
                            <w:color w:val="292425"/>
                            <w:sz w:val="12"/>
                          </w:rPr>
                          <w:t>18.1%</w:t>
                        </w:r>
                      </w:p>
                    </w:tc>
                    <w:tc>
                      <w:tcPr>
                        <w:tcW w:w="420" w:type="dxa"/>
                        <w:tcBorders>
                          <w:left w:val="single" w:sz="4" w:space="0" w:color="C9CBCC"/>
                          <w:right w:val="single" w:sz="4" w:space="0" w:color="C9CBCC"/>
                        </w:tcBorders>
                      </w:tcPr>
                      <w:p>
                        <w:pPr>
                          <w:pStyle w:val="TableParagraph"/>
                          <w:spacing w:before="35"/>
                          <w:ind w:left="61"/>
                          <w:rPr>
                            <w:sz w:val="12"/>
                          </w:rPr>
                        </w:pPr>
                        <w:r>
                          <w:rPr>
                            <w:color w:val="292425"/>
                            <w:sz w:val="12"/>
                          </w:rPr>
                          <w:t>19.9%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2"/>
                          <w:ind w:left="104"/>
                          <w:rPr>
                            <w:sz w:val="12"/>
                          </w:rPr>
                        </w:pPr>
                        <w:r>
                          <w:rPr>
                            <w:color w:val="292425"/>
                            <w:w w:val="105"/>
                            <w:sz w:val="12"/>
                          </w:rPr>
                          <w:t>20%</w:t>
                        </w:r>
                      </w:p>
                    </w:tc>
                  </w:tr>
                  <w:tr>
                    <w:trPr>
                      <w:trHeight w:val="26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99"/>
                          <w:ind w:left="71"/>
                          <w:rPr>
                            <w:sz w:val="12"/>
                          </w:rPr>
                        </w:pPr>
                        <w:r>
                          <w:rPr>
                            <w:color w:val="292425"/>
                            <w:sz w:val="12"/>
                          </w:rPr>
                          <w:t>13.7%</w:t>
                        </w: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23"/>
                          <w:ind w:left="104"/>
                          <w:rPr>
                            <w:sz w:val="12"/>
                          </w:rPr>
                        </w:pPr>
                        <w:r>
                          <w:rPr>
                            <w:color w:val="292425"/>
                            <w:w w:val="105"/>
                            <w:sz w:val="12"/>
                          </w:rPr>
                          <w:t>15%</w:t>
                        </w:r>
                      </w:p>
                    </w:tc>
                  </w:tr>
                  <w:tr>
                    <w:trPr>
                      <w:trHeight w:val="18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19"/>
                          <w:ind w:left="104"/>
                          <w:rPr>
                            <w:sz w:val="12"/>
                          </w:rPr>
                        </w:pPr>
                        <w:r>
                          <w:rPr>
                            <w:color w:val="292425"/>
                            <w:w w:val="105"/>
                            <w:sz w:val="12"/>
                          </w:rPr>
                          <w:t>10%</w:t>
                        </w:r>
                      </w:p>
                    </w:tc>
                  </w:tr>
                  <w:tr>
                    <w:trPr>
                      <w:trHeight w:val="458"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Style w:val="TableParagraph"/>
                          <w:spacing w:before="12"/>
                          <w:ind w:left="85"/>
                          <w:rPr>
                            <w:sz w:val="12"/>
                          </w:rPr>
                        </w:pPr>
                        <w:r>
                          <w:rPr>
                            <w:color w:val="292425"/>
                            <w:sz w:val="12"/>
                          </w:rPr>
                          <w:t>5.7%</w:t>
                        </w:r>
                      </w:p>
                    </w:tc>
                    <w:tc>
                      <w:tcPr>
                        <w:tcW w:w="349" w:type="dxa"/>
                        <w:tcBorders>
                          <w:left w:val="single" w:sz="4" w:space="0" w:color="292425"/>
                          <w:bottom w:val="single" w:sz="4" w:space="0" w:color="292425"/>
                        </w:tcBorders>
                      </w:tcPr>
                      <w:p>
                        <w:pPr>
                          <w:pStyle w:val="TableParagraph"/>
                          <w:spacing w:before="95"/>
                          <w:ind w:left="104"/>
                          <w:rPr>
                            <w:sz w:val="12"/>
                          </w:rPr>
                        </w:pPr>
                        <w:r>
                          <w:rPr>
                            <w:color w:val="292425"/>
                            <w:sz w:val="12"/>
                          </w:rPr>
                          <w:t>5%</w:t>
                        </w:r>
                      </w:p>
                    </w:tc>
                  </w:tr>
                </w:tbl>
                <w:p>
                  <w:pPr>
                    <w:pStyle w:val="BodyText"/>
                  </w:pPr>
                </w:p>
              </w:txbxContent>
            </v:textbox>
          </v:shape>
        </w:pict>
      </w:r>
      <w:r>
        <w:rPr/>
      </w:r>
    </w:p>
    <w:p>
      <w:pPr>
        <w:spacing w:after="0"/>
        <w:sectPr>
          <w:headerReference w:type="default" r:id="rId30"/>
          <w:pgSz w:w="12240" w:h="15840"/>
          <w:pgMar w:header="0" w:footer="0" w:top="0" w:bottom="280" w:left="0" w:right="0"/>
        </w:sectPr>
      </w:pPr>
    </w:p>
    <w:p>
      <w:pPr>
        <w:spacing w:before="25"/>
        <w:ind w:left="1368" w:right="0" w:firstLine="0"/>
        <w:jc w:val="left"/>
        <w:rPr>
          <w:sz w:val="12"/>
        </w:rPr>
      </w:pPr>
      <w:r>
        <w:rPr/>
        <w:pict>
          <v:rect style="position:absolute;margin-left:71.692001pt;margin-top:-58.450726pt;width:7.281pt;height:58.152pt;mso-position-horizontal-relative:page;mso-position-vertical-relative:paragraph;z-index:-279976" filled="true" fillcolor="#4d82c2" stroked="false">
            <v:fill type="solid"/>
            <w10:wrap type="none"/>
          </v:rect>
        </w:pict>
      </w:r>
      <w:r>
        <w:rPr/>
        <w:pict>
          <v:rect style="position:absolute;margin-left:93.755997pt;margin-top:-57.402725pt;width:7.279pt;height:57.108pt;mso-position-horizontal-relative:page;mso-position-vertical-relative:paragraph;z-index:-279952" filled="true" fillcolor="#4d82c2" stroked="false">
            <v:fill type="solid"/>
            <w10:wrap type="none"/>
          </v:rect>
        </w:pict>
      </w:r>
      <w:r>
        <w:rPr/>
        <w:pict>
          <v:rect style="position:absolute;margin-left:114.414001pt;margin-top:-64.330727pt;width:7.277pt;height:64.0110pt;mso-position-horizontal-relative:page;mso-position-vertical-relative:paragraph;z-index:-279928" filled="true" fillcolor="#4d82c2" stroked="false">
            <v:fill type="solid"/>
            <w10:wrap type="none"/>
          </v:rect>
        </w:pict>
      </w:r>
      <w:r>
        <w:rPr/>
        <w:pict>
          <v:rect style="position:absolute;margin-left:136.052994pt;margin-top:-52.660725pt;width:7.279pt;height:52.362pt;mso-position-horizontal-relative:page;mso-position-vertical-relative:paragraph;z-index:-279904" filled="true" fillcolor="#4d82c2" stroked="false">
            <v:fill type="solid"/>
            <w10:wrap type="none"/>
          </v:rect>
        </w:pict>
      </w:r>
      <w:r>
        <w:rPr/>
        <w:pict>
          <v:rect style="position:absolute;margin-left:156.145996pt;margin-top:-25.124725pt;width:7.28pt;height:24.826pt;mso-position-horizontal-relative:page;mso-position-vertical-relative:paragraph;z-index:-279880" filled="true" fillcolor="#4d82c2" stroked="false">
            <v:fill type="solid"/>
            <w10:wrap type="none"/>
          </v:rect>
        </w:pict>
      </w:r>
      <w:r>
        <w:rPr/>
        <w:pict>
          <v:line style="position:absolute;mso-position-horizontal-relative:page;mso-position-vertical-relative:paragraph;z-index:-279856" from="149.666pt,7.685277pt" to="149.666pt,-77.809723pt" stroked="true" strokeweight=".552pt" strokecolor="#c9cbcc">
            <v:stroke dashstyle="solid"/>
            <w10:wrap type="none"/>
          </v:line>
        </w:pict>
      </w:r>
      <w:r>
        <w:rPr/>
        <w:pict>
          <v:line style="position:absolute;mso-position-horizontal-relative:page;mso-position-vertical-relative:paragraph;z-index:-279832" from="128.675995pt,7.685277pt" to="128.675995pt,-77.809723pt" stroked="true" strokeweight=".552pt" strokecolor="#c9cbcc">
            <v:stroke dashstyle="solid"/>
            <w10:wrap type="none"/>
          </v:line>
        </w:pict>
      </w:r>
      <w:r>
        <w:rPr/>
        <w:pict>
          <v:line style="position:absolute;mso-position-horizontal-relative:page;mso-position-vertical-relative:paragraph;z-index:-279808" from="107.685997pt,7.685277pt" to="107.685997pt,-77.809723pt" stroked="true" strokeweight=".552pt" strokecolor="#c9cbcc">
            <v:stroke dashstyle="solid"/>
            <w10:wrap type="none"/>
          </v:line>
        </w:pict>
      </w:r>
      <w:r>
        <w:rPr/>
        <w:pict>
          <v:line style="position:absolute;mso-position-horizontal-relative:page;mso-position-vertical-relative:paragraph;z-index:-279784" from="86.695999pt,7.685277pt" to="86.695999pt,-77.809723pt" stroked="true" strokeweight=".552pt" strokecolor="#c9cbcc">
            <v:stroke dashstyle="solid"/>
            <w10:wrap type="none"/>
          </v:line>
        </w:pict>
      </w:r>
      <w:r>
        <w:rPr/>
        <w:pict>
          <v:group style="position:absolute;margin-left:170.356003pt;margin-top:-78.109726pt;width:.6pt;height:86.1pt;mso-position-horizontal-relative:page;mso-position-vertical-relative:paragraph;z-index:-279760" coordorigin="3407,-1562" coordsize="12,1722">
            <v:line style="position:absolute" from="3413,-1556" to="3413,154" stroked="true" strokeweight="0pt" strokecolor="#ffffff">
              <v:stroke dashstyle="solid"/>
            </v:line>
            <v:line style="position:absolute" from="3413,154" to="3413,-1556" stroked="true" strokeweight=".552pt" strokecolor="#292425">
              <v:stroke dashstyle="solid"/>
            </v:line>
            <w10:wrap type="none"/>
          </v:group>
        </w:pict>
      </w:r>
      <w:r>
        <w:rPr/>
        <w:pict>
          <v:rect style="position:absolute;margin-left:250.649002pt;margin-top:-39.426727pt;width:7.281pt;height:38.844pt;mso-position-horizontal-relative:page;mso-position-vertical-relative:paragraph;z-index:-279712" filled="true" fillcolor="#4d82c2" stroked="false">
            <v:fill type="solid"/>
            <w10:wrap type="none"/>
          </v:rect>
        </w:pict>
      </w:r>
      <w:r>
        <w:rPr/>
        <w:pict>
          <v:rect style="position:absolute;margin-left:272.713013pt;margin-top:-43.715725pt;width:7.28pt;height:43.279pt;mso-position-horizontal-relative:page;mso-position-vertical-relative:paragraph;z-index:-279688" filled="true" fillcolor="#4d82c2" stroked="false">
            <v:fill type="solid"/>
            <w10:wrap type="none"/>
          </v:rect>
        </w:pict>
      </w:r>
      <w:r>
        <w:rPr/>
        <w:pict>
          <v:rect style="position:absolute;margin-left:293.371002pt;margin-top:-68.048729pt;width:7.278pt;height:67.539pt;mso-position-horizontal-relative:page;mso-position-vertical-relative:paragraph;z-index:-279664" filled="true" fillcolor="#4d82c2" stroked="false">
            <v:fill type="solid"/>
            <w10:wrap type="none"/>
          </v:rect>
        </w:pict>
      </w:r>
      <w:r>
        <w:rPr/>
        <w:pict>
          <v:rect style="position:absolute;margin-left:315.010010pt;margin-top:-48.046726pt;width:7.279pt;height:47.464pt;mso-position-horizontal-relative:page;mso-position-vertical-relative:paragraph;z-index:-279640" filled="true" fillcolor="#4d82c2" stroked="false">
            <v:fill type="solid"/>
            <w10:wrap type="none"/>
          </v:rect>
        </w:pict>
      </w:r>
      <w:r>
        <w:rPr/>
        <w:pict>
          <v:rect style="position:absolute;margin-left:335.104004pt;margin-top:-7.701726pt;width:7.279pt;height:7.119pt;mso-position-horizontal-relative:page;mso-position-vertical-relative:paragraph;z-index:-279616" filled="true" fillcolor="#4d82c2" stroked="false">
            <v:fill type="solid"/>
            <w10:wrap type="none"/>
          </v:rect>
        </w:pict>
      </w:r>
      <w:r>
        <w:rPr/>
        <w:pict>
          <v:rect style="position:absolute;margin-left:430.890991pt;margin-top:-47.081726pt;width:7.281pt;height:46.689pt;mso-position-horizontal-relative:page;mso-position-vertical-relative:paragraph;z-index:-279472" filled="true" fillcolor="#4d82c2" stroked="false">
            <v:fill type="solid"/>
            <w10:wrap type="none"/>
          </v:rect>
        </w:pict>
      </w:r>
      <w:r>
        <w:rPr/>
        <w:pict>
          <v:rect style="position:absolute;margin-left:452.954987pt;margin-top:-44.777725pt;width:7.28pt;height:44.507pt;mso-position-horizontal-relative:page;mso-position-vertical-relative:paragraph;z-index:-279448" filled="true" fillcolor="#4d82c2" stroked="false">
            <v:fill type="solid"/>
            <w10:wrap type="none"/>
          </v:rect>
        </w:pict>
      </w:r>
      <w:r>
        <w:rPr/>
        <w:pict>
          <v:rect style="position:absolute;margin-left:473.614014pt;margin-top:-50.668728pt;width:7.277pt;height:50.35pt;mso-position-horizontal-relative:page;mso-position-vertical-relative:paragraph;z-index:-279424" filled="true" fillcolor="#4d82c2" stroked="false">
            <v:fill type="solid"/>
            <w10:wrap type="none"/>
          </v:rect>
        </w:pict>
      </w:r>
      <w:r>
        <w:rPr/>
        <w:pict>
          <v:rect style="position:absolute;margin-left:495.252014pt;margin-top:-32.076725pt;width:7.28pt;height:31.684pt;mso-position-horizontal-relative:page;mso-position-vertical-relative:paragraph;z-index:-279400" filled="true" fillcolor="#4d82c2" stroked="false">
            <v:fill type="solid"/>
            <w10:wrap type="none"/>
          </v:rect>
        </w:pict>
      </w:r>
      <w:r>
        <w:rPr/>
        <w:pict>
          <v:rect style="position:absolute;margin-left:515.344971pt;margin-top:-13.916726pt;width:7.279pt;height:13.524pt;mso-position-horizontal-relative:page;mso-position-vertical-relative:paragraph;z-index:-279376" filled="true" fillcolor="#4d82c2" stroked="false">
            <v:fill type="solid"/>
            <w10:wrap type="none"/>
          </v:rect>
        </w:pict>
      </w:r>
      <w:r>
        <w:rPr>
          <w:color w:val="292425"/>
          <w:sz w:val="12"/>
        </w:rPr>
        <w:t>1998        1999      2000       2001      2002</w:t>
      </w:r>
    </w:p>
    <w:p>
      <w:pPr>
        <w:spacing w:before="111"/>
        <w:ind w:left="1291" w:right="1335" w:firstLine="0"/>
        <w:jc w:val="center"/>
        <w:rPr>
          <w:rFonts w:ascii="Franklin Gothic Medium"/>
          <w:sz w:val="14"/>
        </w:rPr>
      </w:pPr>
      <w:r>
        <w:rPr>
          <w:rFonts w:ascii="Franklin Gothic Medium"/>
          <w:color w:val="292425"/>
          <w:sz w:val="14"/>
        </w:rPr>
        <w:t>Net Margin</w:t>
      </w:r>
    </w:p>
    <w:p>
      <w:pPr>
        <w:spacing w:before="21"/>
        <w:ind w:left="1424" w:right="0" w:firstLine="0"/>
        <w:jc w:val="left"/>
        <w:rPr>
          <w:sz w:val="12"/>
        </w:rPr>
      </w:pPr>
      <w:r>
        <w:rPr/>
        <w:br w:type="column"/>
      </w:r>
      <w:r>
        <w:rPr>
          <w:color w:val="292425"/>
          <w:sz w:val="12"/>
        </w:rPr>
        <w:t>1998        1999      2000       2001      2002</w:t>
      </w:r>
    </w:p>
    <w:p>
      <w:pPr>
        <w:spacing w:before="110"/>
        <w:ind w:left="1335" w:right="0" w:firstLine="0"/>
        <w:jc w:val="left"/>
        <w:rPr>
          <w:rFonts w:ascii="Franklin Gothic Medium"/>
          <w:sz w:val="14"/>
        </w:rPr>
      </w:pPr>
      <w:r>
        <w:rPr/>
        <w:pict>
          <v:line style="position:absolute;mso-position-horizontal-relative:page;mso-position-vertical-relative:paragraph;z-index:-279592" from="328.622986pt,-.930262pt" to="328.622986pt,-86.425262pt" stroked="true" strokeweight=".552pt" strokecolor="#c9cbcc">
            <v:stroke dashstyle="solid"/>
            <w10:wrap type="none"/>
          </v:line>
        </w:pict>
      </w:r>
      <w:r>
        <w:rPr/>
        <w:pict>
          <v:line style="position:absolute;mso-position-horizontal-relative:page;mso-position-vertical-relative:paragraph;z-index:-279568" from="307.632996pt,-.930262pt" to="307.632996pt,-86.425262pt" stroked="true" strokeweight=".552pt" strokecolor="#c9cbcc">
            <v:stroke dashstyle="solid"/>
            <w10:wrap type="none"/>
          </v:line>
        </w:pict>
      </w:r>
      <w:r>
        <w:rPr/>
        <w:pict>
          <v:line style="position:absolute;mso-position-horizontal-relative:page;mso-position-vertical-relative:paragraph;z-index:-279544" from="286.643005pt,-.930262pt" to="286.643005pt,-86.425262pt" stroked="true" strokeweight=".552pt" strokecolor="#c9cbcc">
            <v:stroke dashstyle="solid"/>
            <w10:wrap type="none"/>
          </v:line>
        </w:pict>
      </w:r>
      <w:r>
        <w:rPr/>
        <w:pict>
          <v:line style="position:absolute;mso-position-horizontal-relative:page;mso-position-vertical-relative:paragraph;z-index:-279520" from="265.653015pt,-.930262pt" to="265.653015pt,-86.425262pt" stroked="true" strokeweight=".552pt" strokecolor="#c9cbcc">
            <v:stroke dashstyle="solid"/>
            <w10:wrap type="none"/>
          </v:line>
        </w:pict>
      </w:r>
      <w:r>
        <w:rPr>
          <w:rFonts w:ascii="Franklin Gothic Medium"/>
          <w:color w:val="292425"/>
          <w:sz w:val="14"/>
        </w:rPr>
        <w:t>Net Income Per Share,  Diluted</w:t>
      </w:r>
    </w:p>
    <w:p>
      <w:pPr>
        <w:spacing w:line="120" w:lineRule="exact" w:before="23"/>
        <w:ind w:left="1339" w:right="40" w:hanging="61"/>
        <w:jc w:val="left"/>
        <w:rPr>
          <w:sz w:val="11"/>
        </w:rPr>
      </w:pPr>
      <w:r>
        <w:rPr/>
        <w:pict>
          <v:line style="position:absolute;mso-position-horizontal-relative:page;mso-position-vertical-relative:paragraph;z-index:-279232" from="0pt,36.874989pt" to="612pt,36.874989pt" stroked="true" strokeweight=".5pt" strokecolor="#292425">
            <v:stroke dashstyle="solid"/>
            <w10:wrap type="none"/>
          </v:line>
        </w:pict>
      </w:r>
      <w:r>
        <w:rPr>
          <w:color w:val="292425"/>
          <w:spacing w:val="5"/>
          <w:w w:val="105"/>
          <w:position w:val="1"/>
          <w:sz w:val="10"/>
        </w:rPr>
        <w:t>*</w:t>
      </w:r>
      <w:r>
        <w:rPr>
          <w:color w:val="292425"/>
          <w:spacing w:val="5"/>
          <w:w w:val="105"/>
          <w:sz w:val="11"/>
        </w:rPr>
        <w:t>Excludes cumulative effect </w:t>
      </w:r>
      <w:r>
        <w:rPr>
          <w:color w:val="292425"/>
          <w:spacing w:val="3"/>
          <w:w w:val="105"/>
          <w:sz w:val="11"/>
        </w:rPr>
        <w:t>of </w:t>
      </w:r>
      <w:r>
        <w:rPr>
          <w:color w:val="292425"/>
          <w:spacing w:val="6"/>
          <w:w w:val="105"/>
          <w:sz w:val="11"/>
        </w:rPr>
        <w:t>change </w:t>
      </w:r>
      <w:r>
        <w:rPr>
          <w:color w:val="292425"/>
          <w:spacing w:val="3"/>
          <w:w w:val="105"/>
          <w:sz w:val="11"/>
        </w:rPr>
        <w:t>in  </w:t>
      </w:r>
      <w:r>
        <w:rPr>
          <w:color w:val="292425"/>
          <w:spacing w:val="5"/>
          <w:w w:val="105"/>
          <w:sz w:val="11"/>
        </w:rPr>
        <w:t>accounting  principle  </w:t>
      </w:r>
      <w:r>
        <w:rPr>
          <w:color w:val="292425"/>
          <w:spacing w:val="3"/>
          <w:w w:val="105"/>
          <w:sz w:val="11"/>
        </w:rPr>
        <w:t>of</w:t>
      </w:r>
      <w:r>
        <w:rPr>
          <w:color w:val="292425"/>
          <w:spacing w:val="13"/>
          <w:w w:val="105"/>
          <w:sz w:val="11"/>
        </w:rPr>
        <w:t> </w:t>
      </w:r>
      <w:r>
        <w:rPr>
          <w:color w:val="292425"/>
          <w:spacing w:val="6"/>
          <w:w w:val="105"/>
          <w:sz w:val="11"/>
        </w:rPr>
        <w:t>$0.03.</w:t>
      </w:r>
    </w:p>
    <w:p>
      <w:pPr>
        <w:spacing w:before="25"/>
        <w:ind w:left="1363" w:right="0" w:firstLine="0"/>
        <w:jc w:val="left"/>
        <w:rPr>
          <w:sz w:val="12"/>
        </w:rPr>
      </w:pPr>
      <w:r>
        <w:rPr/>
        <w:br w:type="column"/>
      </w:r>
      <w:r>
        <w:rPr>
          <w:color w:val="292425"/>
          <w:sz w:val="12"/>
        </w:rPr>
        <w:t>1998        1999      2000       2001      2002</w:t>
      </w:r>
    </w:p>
    <w:p>
      <w:pPr>
        <w:spacing w:before="111"/>
        <w:ind w:left="1279" w:right="0" w:firstLine="0"/>
        <w:jc w:val="left"/>
        <w:rPr>
          <w:rFonts w:ascii="Franklin Gothic Medium" w:hAnsi="Franklin Gothic Medium"/>
          <w:sz w:val="14"/>
        </w:rPr>
      </w:pPr>
      <w:r>
        <w:rPr/>
        <w:pict>
          <v:group style="position:absolute;margin-left:349.313995pt;margin-top:-86.870148pt;width:.6pt;height:86.1pt;mso-position-horizontal-relative:page;mso-position-vertical-relative:paragraph;z-index:-279496" coordorigin="6986,-1737" coordsize="12,1722">
            <v:line style="position:absolute" from="6992,-1731" to="6992,-22" stroked="true" strokeweight="0pt" strokecolor="#ffffff">
              <v:stroke dashstyle="solid"/>
            </v:line>
            <v:line style="position:absolute" from="6992,-22" to="6992,-1731" stroked="true" strokeweight=".552pt" strokecolor="#292425">
              <v:stroke dashstyle="solid"/>
            </v:line>
            <w10:wrap type="none"/>
          </v:group>
        </w:pict>
      </w:r>
      <w:r>
        <w:rPr/>
        <w:pict>
          <v:line style="position:absolute;mso-position-horizontal-relative:page;mso-position-vertical-relative:paragraph;z-index:-279352" from="508.865997pt,-.88515pt" to="508.865997pt,-86.38015pt" stroked="true" strokeweight=".552pt" strokecolor="#c9cbcc">
            <v:stroke dashstyle="solid"/>
            <w10:wrap type="none"/>
          </v:line>
        </w:pict>
      </w:r>
      <w:r>
        <w:rPr/>
        <w:pict>
          <v:line style="position:absolute;mso-position-horizontal-relative:page;mso-position-vertical-relative:paragraph;z-index:-279328" from="487.875pt,-.88515pt" to="487.875pt,-86.38015pt" stroked="true" strokeweight=".552pt" strokecolor="#c9cbcc">
            <v:stroke dashstyle="solid"/>
            <w10:wrap type="none"/>
          </v:line>
        </w:pict>
      </w:r>
      <w:r>
        <w:rPr/>
        <w:pict>
          <v:line style="position:absolute;mso-position-horizontal-relative:page;mso-position-vertical-relative:paragraph;z-index:-279304" from="466.88501pt,-.88515pt" to="466.88501pt,-86.38015pt" stroked="true" strokeweight=".552pt" strokecolor="#c9cbcc">
            <v:stroke dashstyle="solid"/>
            <w10:wrap type="none"/>
          </v:line>
        </w:pict>
      </w:r>
      <w:r>
        <w:rPr/>
        <w:pict>
          <v:line style="position:absolute;mso-position-horizontal-relative:page;mso-position-vertical-relative:paragraph;z-index:-279280" from="445.894989pt,-.88515pt" to="445.894989pt,-86.38015pt" stroked="true" strokeweight=".552pt" strokecolor="#c9cbcc">
            <v:stroke dashstyle="solid"/>
            <w10:wrap type="none"/>
          </v:line>
        </w:pict>
      </w:r>
      <w:r>
        <w:rPr/>
        <w:pict>
          <v:group style="position:absolute;margin-left:529.55603pt;margin-top:-86.680145pt;width:.6pt;height:86.1pt;mso-position-horizontal-relative:page;mso-position-vertical-relative:paragraph;z-index:-279256" coordorigin="10591,-1734" coordsize="12,1722">
            <v:line style="position:absolute" from="10597,-1728" to="10597,-18" stroked="true" strokeweight="0pt" strokecolor="#ffffff">
              <v:stroke dashstyle="solid"/>
            </v:line>
            <v:line style="position:absolute" from="10597,-18" to="10597,-1728" stroked="true" strokeweight=".552pt" strokecolor="#292425">
              <v:stroke dashstyle="solid"/>
            </v:line>
            <w10:wrap type="none"/>
          </v:group>
        </w:pict>
      </w:r>
      <w:r>
        <w:rPr>
          <w:rFonts w:ascii="Franklin Gothic Medium" w:hAnsi="Franklin Gothic Medium"/>
          <w:color w:val="292425"/>
          <w:sz w:val="14"/>
        </w:rPr>
        <w:t>Return On Stockholders’  Equity</w:t>
      </w:r>
    </w:p>
    <w:p>
      <w:pPr>
        <w:spacing w:after="0"/>
        <w:jc w:val="left"/>
        <w:rPr>
          <w:rFonts w:ascii="Franklin Gothic Medium" w:hAnsi="Franklin Gothic Medium"/>
          <w:sz w:val="14"/>
        </w:rPr>
        <w:sectPr>
          <w:type w:val="continuous"/>
          <w:pgSz w:w="12240" w:h="15840"/>
          <w:pgMar w:top="0" w:bottom="280" w:left="0" w:right="0"/>
          <w:cols w:num="3" w:equalWidth="0">
            <w:col w:w="3329" w:space="194"/>
            <w:col w:w="3385" w:space="279"/>
            <w:col w:w="5053"/>
          </w:cols>
        </w:sect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spacing w:before="9"/>
        <w:rPr>
          <w:rFonts w:ascii="Franklin Gothic Medium"/>
          <w:sz w:val="25"/>
        </w:rPr>
      </w:pPr>
    </w:p>
    <w:tbl>
      <w:tblPr>
        <w:tblW w:w="0" w:type="auto"/>
        <w:jc w:val="left"/>
        <w:tblInd w:w="152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294"/>
        <w:gridCol w:w="1738"/>
        <w:gridCol w:w="1836"/>
        <w:gridCol w:w="1282"/>
      </w:tblGrid>
      <w:tr>
        <w:trPr>
          <w:trHeight w:val="486" w:hRule="exact"/>
        </w:trPr>
        <w:tc>
          <w:tcPr>
            <w:tcW w:w="4294" w:type="dxa"/>
          </w:tcPr>
          <w:p>
            <w:pPr>
              <w:pStyle w:val="TableParagraph"/>
              <w:spacing w:line="186" w:lineRule="exact"/>
              <w:ind w:left="57"/>
              <w:rPr>
                <w:i/>
                <w:sz w:val="16"/>
              </w:rPr>
            </w:pPr>
            <w:r>
              <w:rPr>
                <w:i/>
                <w:color w:val="292425"/>
                <w:w w:val="105"/>
                <w:sz w:val="16"/>
              </w:rPr>
              <w:t>CONSOLIDATED HIGHLIGHTS</w:t>
            </w:r>
          </w:p>
          <w:p>
            <w:pPr>
              <w:pStyle w:val="TableParagraph"/>
              <w:spacing w:before="38"/>
              <w:ind w:left="34"/>
              <w:rPr>
                <w:i/>
                <w:sz w:val="14"/>
              </w:rPr>
            </w:pPr>
            <w:r>
              <w:rPr>
                <w:i/>
                <w:color w:val="292425"/>
                <w:w w:val="105"/>
                <w:sz w:val="14"/>
              </w:rPr>
              <w:t>(DOLLARS  IN  THOUSANDS, EXCEPT  PER  SHARE AMOUNTS)</w:t>
            </w:r>
          </w:p>
        </w:tc>
        <w:tc>
          <w:tcPr>
            <w:tcW w:w="1738" w:type="dxa"/>
            <w:shd w:val="clear" w:color="auto" w:fill="CECFD1"/>
          </w:tcPr>
          <w:p>
            <w:pPr>
              <w:pStyle w:val="TableParagraph"/>
              <w:spacing w:before="4"/>
              <w:rPr>
                <w:rFonts w:ascii="Franklin Gothic Medium"/>
                <w:sz w:val="17"/>
              </w:rPr>
            </w:pPr>
          </w:p>
          <w:p>
            <w:pPr>
              <w:pStyle w:val="TableParagraph"/>
              <w:ind w:left="671" w:right="652"/>
              <w:jc w:val="center"/>
              <w:rPr>
                <w:i/>
                <w:sz w:val="16"/>
              </w:rPr>
            </w:pPr>
            <w:r>
              <w:rPr>
                <w:i/>
                <w:color w:val="292425"/>
                <w:w w:val="115"/>
                <w:sz w:val="16"/>
              </w:rPr>
              <w:t>2002</w:t>
            </w:r>
          </w:p>
        </w:tc>
        <w:tc>
          <w:tcPr>
            <w:tcW w:w="1836" w:type="dxa"/>
          </w:tcPr>
          <w:p>
            <w:pPr>
              <w:pStyle w:val="TableParagraph"/>
              <w:spacing w:before="4"/>
              <w:rPr>
                <w:rFonts w:ascii="Franklin Gothic Medium"/>
                <w:sz w:val="17"/>
              </w:rPr>
            </w:pPr>
          </w:p>
          <w:p>
            <w:pPr>
              <w:pStyle w:val="TableParagraph"/>
              <w:ind w:left="713" w:right="710"/>
              <w:jc w:val="center"/>
              <w:rPr>
                <w:i/>
                <w:sz w:val="16"/>
              </w:rPr>
            </w:pPr>
            <w:r>
              <w:rPr>
                <w:i/>
                <w:color w:val="292425"/>
                <w:w w:val="115"/>
                <w:sz w:val="16"/>
              </w:rPr>
              <w:t>2001</w:t>
            </w:r>
          </w:p>
        </w:tc>
        <w:tc>
          <w:tcPr>
            <w:tcW w:w="1282" w:type="dxa"/>
            <w:shd w:val="clear" w:color="auto" w:fill="CECFD1"/>
          </w:tcPr>
          <w:p>
            <w:pPr>
              <w:pStyle w:val="TableParagraph"/>
              <w:spacing w:before="4"/>
              <w:rPr>
                <w:rFonts w:ascii="Franklin Gothic Medium"/>
                <w:sz w:val="17"/>
              </w:rPr>
            </w:pPr>
          </w:p>
          <w:p>
            <w:pPr>
              <w:pStyle w:val="TableParagraph"/>
              <w:ind w:left="480"/>
              <w:rPr>
                <w:i/>
                <w:sz w:val="16"/>
              </w:rPr>
            </w:pPr>
            <w:r>
              <w:rPr>
                <w:i/>
                <w:color w:val="292425"/>
                <w:w w:val="105"/>
                <w:sz w:val="16"/>
              </w:rPr>
              <w:t>CHANGE</w:t>
            </w:r>
          </w:p>
        </w:tc>
      </w:tr>
      <w:tr>
        <w:trPr>
          <w:trHeight w:val="340" w:hRule="exact"/>
        </w:trPr>
        <w:tc>
          <w:tcPr>
            <w:tcW w:w="4294" w:type="dxa"/>
            <w:shd w:val="clear" w:color="auto" w:fill="CECFD1"/>
          </w:tcPr>
          <w:p>
            <w:pPr>
              <w:pStyle w:val="TableParagraph"/>
              <w:spacing w:before="78"/>
              <w:ind w:left="36"/>
              <w:rPr>
                <w:i/>
                <w:sz w:val="16"/>
              </w:rPr>
            </w:pPr>
            <w:r>
              <w:rPr>
                <w:i/>
                <w:color w:val="292425"/>
                <w:w w:val="105"/>
                <w:sz w:val="16"/>
              </w:rPr>
              <w:t>Operating revenues</w:t>
            </w:r>
          </w:p>
        </w:tc>
        <w:tc>
          <w:tcPr>
            <w:tcW w:w="1738" w:type="dxa"/>
            <w:shd w:val="clear" w:color="auto" w:fill="AAADB0"/>
          </w:tcPr>
          <w:p>
            <w:pPr>
              <w:pStyle w:val="TableParagraph"/>
              <w:spacing w:before="93"/>
              <w:ind w:left="395"/>
              <w:rPr>
                <w:rFonts w:ascii="Franklin Gothic Medium"/>
                <w:sz w:val="16"/>
              </w:rPr>
            </w:pPr>
            <w:r>
              <w:rPr>
                <w:rFonts w:ascii="Franklin Gothic Medium"/>
                <w:color w:val="FFFFFF"/>
                <w:sz w:val="16"/>
              </w:rPr>
              <w:t>$5,521, 771 </w:t>
            </w:r>
          </w:p>
        </w:tc>
        <w:tc>
          <w:tcPr>
            <w:tcW w:w="1836" w:type="dxa"/>
            <w:shd w:val="clear" w:color="auto" w:fill="CECFD1"/>
          </w:tcPr>
          <w:p>
            <w:pPr>
              <w:pStyle w:val="TableParagraph"/>
              <w:spacing w:before="96"/>
              <w:ind w:left="464"/>
              <w:rPr>
                <w:rFonts w:ascii="Franklin Gothic Medium"/>
                <w:sz w:val="16"/>
              </w:rPr>
            </w:pPr>
            <w:r>
              <w:rPr>
                <w:rFonts w:ascii="Franklin Gothic Medium"/>
                <w:color w:val="292425"/>
                <w:sz w:val="16"/>
              </w:rPr>
              <w:t>$5,555,174 </w:t>
            </w:r>
          </w:p>
        </w:tc>
        <w:tc>
          <w:tcPr>
            <w:tcW w:w="1282" w:type="dxa"/>
            <w:shd w:val="clear" w:color="auto" w:fill="AAADB0"/>
          </w:tcPr>
          <w:p>
            <w:pPr>
              <w:pStyle w:val="TableParagraph"/>
              <w:spacing w:before="96"/>
              <w:ind w:left="633"/>
              <w:rPr>
                <w:rFonts w:ascii="Franklin Gothic Medium"/>
                <w:sz w:val="16"/>
              </w:rPr>
            </w:pPr>
            <w:r>
              <w:rPr>
                <w:rFonts w:ascii="Franklin Gothic Medium"/>
                <w:color w:val="FFFFFF"/>
                <w:sz w:val="16"/>
              </w:rPr>
              <w:t>(0.6)%</w:t>
            </w:r>
          </w:p>
        </w:tc>
      </w:tr>
      <w:tr>
        <w:trPr>
          <w:trHeight w:val="366" w:hRule="exact"/>
        </w:trPr>
        <w:tc>
          <w:tcPr>
            <w:tcW w:w="4294" w:type="dxa"/>
          </w:tcPr>
          <w:p>
            <w:pPr>
              <w:pStyle w:val="TableParagraph"/>
              <w:spacing w:before="80"/>
              <w:ind w:left="36"/>
              <w:rPr>
                <w:i/>
                <w:sz w:val="16"/>
              </w:rPr>
            </w:pPr>
            <w:r>
              <w:rPr>
                <w:i/>
                <w:color w:val="292425"/>
                <w:w w:val="105"/>
                <w:sz w:val="16"/>
              </w:rPr>
              <w:t>Operating expenses</w:t>
            </w:r>
          </w:p>
        </w:tc>
        <w:tc>
          <w:tcPr>
            <w:tcW w:w="1738" w:type="dxa"/>
            <w:shd w:val="clear" w:color="auto" w:fill="CECFD1"/>
          </w:tcPr>
          <w:p>
            <w:pPr>
              <w:pStyle w:val="TableParagraph"/>
              <w:spacing w:before="113"/>
              <w:ind w:left="382"/>
              <w:rPr>
                <w:rFonts w:ascii="Franklin Gothic Medium"/>
                <w:sz w:val="16"/>
              </w:rPr>
            </w:pPr>
            <w:r>
              <w:rPr>
                <w:rFonts w:ascii="Franklin Gothic Medium"/>
                <w:color w:val="292425"/>
                <w:sz w:val="16"/>
              </w:rPr>
              <w:t>$5,104, 433 </w:t>
            </w:r>
          </w:p>
        </w:tc>
        <w:tc>
          <w:tcPr>
            <w:tcW w:w="1836" w:type="dxa"/>
          </w:tcPr>
          <w:p>
            <w:pPr>
              <w:pStyle w:val="TableParagraph"/>
              <w:spacing w:before="118"/>
              <w:ind w:left="462"/>
              <w:rPr>
                <w:rFonts w:ascii="Franklin Gothic Medium"/>
                <w:sz w:val="16"/>
              </w:rPr>
            </w:pPr>
            <w:r>
              <w:rPr>
                <w:rFonts w:ascii="Franklin Gothic Medium"/>
                <w:color w:val="292425"/>
                <w:sz w:val="16"/>
              </w:rPr>
              <w:t>$4,924,052 </w:t>
            </w:r>
          </w:p>
        </w:tc>
        <w:tc>
          <w:tcPr>
            <w:tcW w:w="1282" w:type="dxa"/>
            <w:shd w:val="clear" w:color="auto" w:fill="CECFD1"/>
          </w:tcPr>
          <w:p>
            <w:pPr>
              <w:pStyle w:val="TableParagraph"/>
              <w:spacing w:before="117"/>
              <w:ind w:left="694"/>
              <w:rPr>
                <w:rFonts w:ascii="Franklin Gothic Medium"/>
                <w:sz w:val="16"/>
              </w:rPr>
            </w:pPr>
            <w:r>
              <w:rPr>
                <w:rFonts w:ascii="Franklin Gothic Medium"/>
                <w:color w:val="292425"/>
                <w:sz w:val="16"/>
              </w:rPr>
              <w:t>3.7%</w:t>
            </w:r>
          </w:p>
        </w:tc>
      </w:tr>
      <w:tr>
        <w:trPr>
          <w:trHeight w:val="340" w:hRule="exact"/>
        </w:trPr>
        <w:tc>
          <w:tcPr>
            <w:tcW w:w="4294" w:type="dxa"/>
            <w:shd w:val="clear" w:color="auto" w:fill="CECFD1"/>
          </w:tcPr>
          <w:p>
            <w:pPr>
              <w:pStyle w:val="TableParagraph"/>
              <w:spacing w:before="69"/>
              <w:ind w:left="36"/>
              <w:rPr>
                <w:i/>
                <w:sz w:val="16"/>
              </w:rPr>
            </w:pPr>
            <w:r>
              <w:rPr>
                <w:i/>
                <w:color w:val="292425"/>
                <w:w w:val="105"/>
                <w:sz w:val="16"/>
              </w:rPr>
              <w:t>Operating income</w:t>
            </w:r>
          </w:p>
        </w:tc>
        <w:tc>
          <w:tcPr>
            <w:tcW w:w="1738" w:type="dxa"/>
            <w:shd w:val="clear" w:color="auto" w:fill="AAADB0"/>
          </w:tcPr>
          <w:p>
            <w:pPr>
              <w:pStyle w:val="TableParagraph"/>
              <w:spacing w:before="95"/>
              <w:ind w:left="530"/>
              <w:rPr>
                <w:rFonts w:ascii="Franklin Gothic Medium"/>
                <w:sz w:val="16"/>
              </w:rPr>
            </w:pPr>
            <w:r>
              <w:rPr>
                <w:rFonts w:ascii="Franklin Gothic Medium"/>
                <w:color w:val="FFFFFF"/>
                <w:sz w:val="16"/>
              </w:rPr>
              <w:t>$417,338 </w:t>
            </w:r>
          </w:p>
        </w:tc>
        <w:tc>
          <w:tcPr>
            <w:tcW w:w="1836" w:type="dxa"/>
            <w:shd w:val="clear" w:color="auto" w:fill="CECFD1"/>
          </w:tcPr>
          <w:p>
            <w:pPr>
              <w:pStyle w:val="TableParagraph"/>
              <w:spacing w:before="90"/>
              <w:ind w:left="600"/>
              <w:rPr>
                <w:rFonts w:ascii="Franklin Gothic Medium"/>
                <w:sz w:val="16"/>
              </w:rPr>
            </w:pPr>
            <w:r>
              <w:rPr>
                <w:rFonts w:ascii="Franklin Gothic Medium"/>
                <w:color w:val="292425"/>
                <w:sz w:val="16"/>
              </w:rPr>
              <w:t>$ 631,122 </w:t>
            </w:r>
          </w:p>
        </w:tc>
        <w:tc>
          <w:tcPr>
            <w:tcW w:w="1282" w:type="dxa"/>
            <w:shd w:val="clear" w:color="auto" w:fill="AAADB0"/>
          </w:tcPr>
          <w:p>
            <w:pPr>
              <w:pStyle w:val="TableParagraph"/>
              <w:spacing w:before="86"/>
              <w:ind w:left="536"/>
              <w:rPr>
                <w:rFonts w:ascii="Franklin Gothic Medium"/>
                <w:sz w:val="16"/>
              </w:rPr>
            </w:pPr>
            <w:r>
              <w:rPr>
                <w:rFonts w:ascii="Franklin Gothic Medium"/>
                <w:color w:val="FFFFFF"/>
                <w:sz w:val="16"/>
              </w:rPr>
              <w:t>(33.9)%</w:t>
            </w:r>
          </w:p>
        </w:tc>
      </w:tr>
      <w:tr>
        <w:trPr>
          <w:trHeight w:val="366" w:hRule="exact"/>
        </w:trPr>
        <w:tc>
          <w:tcPr>
            <w:tcW w:w="4294" w:type="dxa"/>
          </w:tcPr>
          <w:p>
            <w:pPr>
              <w:pStyle w:val="TableParagraph"/>
              <w:spacing w:before="76"/>
              <w:ind w:left="36"/>
              <w:rPr>
                <w:i/>
                <w:sz w:val="16"/>
              </w:rPr>
            </w:pPr>
            <w:r>
              <w:rPr>
                <w:i/>
                <w:color w:val="292425"/>
                <w:sz w:val="16"/>
              </w:rPr>
              <w:t>Operating margin</w:t>
            </w:r>
          </w:p>
        </w:tc>
        <w:tc>
          <w:tcPr>
            <w:tcW w:w="1738" w:type="dxa"/>
            <w:shd w:val="clear" w:color="auto" w:fill="CECFD1"/>
          </w:tcPr>
          <w:p>
            <w:pPr>
              <w:pStyle w:val="TableParagraph"/>
              <w:spacing w:before="112"/>
              <w:ind w:right="216"/>
              <w:jc w:val="right"/>
              <w:rPr>
                <w:rFonts w:ascii="Franklin Gothic Medium"/>
                <w:sz w:val="16"/>
              </w:rPr>
            </w:pPr>
            <w:r>
              <w:rPr>
                <w:rFonts w:ascii="Franklin Gothic Medium"/>
                <w:color w:val="292425"/>
                <w:sz w:val="16"/>
              </w:rPr>
              <w:t>7. 6%</w:t>
            </w:r>
          </w:p>
        </w:tc>
        <w:tc>
          <w:tcPr>
            <w:tcW w:w="1836" w:type="dxa"/>
          </w:tcPr>
          <w:p>
            <w:pPr>
              <w:pStyle w:val="TableParagraph"/>
              <w:spacing w:before="111"/>
              <w:ind w:right="207"/>
              <w:jc w:val="right"/>
              <w:rPr>
                <w:rFonts w:ascii="Franklin Gothic Medium"/>
                <w:sz w:val="16"/>
              </w:rPr>
            </w:pPr>
            <w:r>
              <w:rPr>
                <w:rFonts w:ascii="Franklin Gothic Medium"/>
                <w:color w:val="292425"/>
                <w:sz w:val="16"/>
              </w:rPr>
              <w:t>11.4% </w:t>
            </w:r>
          </w:p>
        </w:tc>
        <w:tc>
          <w:tcPr>
            <w:tcW w:w="1282" w:type="dxa"/>
            <w:shd w:val="clear" w:color="auto" w:fill="CECFD1"/>
          </w:tcPr>
          <w:p>
            <w:pPr>
              <w:pStyle w:val="TableParagraph"/>
              <w:spacing w:before="113"/>
              <w:ind w:right="32"/>
              <w:jc w:val="right"/>
              <w:rPr>
                <w:rFonts w:ascii="Franklin Gothic Medium"/>
                <w:sz w:val="12"/>
              </w:rPr>
            </w:pPr>
            <w:r>
              <w:rPr>
                <w:rFonts w:ascii="Franklin Gothic Medium"/>
                <w:color w:val="292425"/>
                <w:sz w:val="16"/>
              </w:rPr>
              <w:t>(3.8) </w:t>
            </w:r>
            <w:r>
              <w:rPr>
                <w:rFonts w:ascii="Franklin Gothic Medium"/>
                <w:color w:val="292425"/>
                <w:sz w:val="12"/>
              </w:rPr>
              <w:t>pts.</w:t>
            </w:r>
          </w:p>
        </w:tc>
      </w:tr>
      <w:tr>
        <w:trPr>
          <w:trHeight w:val="340" w:hRule="exact"/>
        </w:trPr>
        <w:tc>
          <w:tcPr>
            <w:tcW w:w="4294" w:type="dxa"/>
            <w:shd w:val="clear" w:color="auto" w:fill="CECFD1"/>
          </w:tcPr>
          <w:p>
            <w:pPr>
              <w:pStyle w:val="TableParagraph"/>
              <w:spacing w:before="66"/>
              <w:ind w:left="36"/>
              <w:rPr>
                <w:i/>
                <w:sz w:val="16"/>
              </w:rPr>
            </w:pPr>
            <w:r>
              <w:rPr>
                <w:i/>
                <w:color w:val="292425"/>
                <w:w w:val="105"/>
                <w:sz w:val="16"/>
              </w:rPr>
              <w:t>Net income</w:t>
            </w:r>
          </w:p>
        </w:tc>
        <w:tc>
          <w:tcPr>
            <w:tcW w:w="1738" w:type="dxa"/>
            <w:shd w:val="clear" w:color="auto" w:fill="AAADB0"/>
          </w:tcPr>
          <w:p>
            <w:pPr>
              <w:pStyle w:val="TableParagraph"/>
              <w:spacing w:before="101"/>
              <w:ind w:left="527"/>
              <w:rPr>
                <w:rFonts w:ascii="Franklin Gothic Medium"/>
                <w:sz w:val="16"/>
              </w:rPr>
            </w:pPr>
            <w:r>
              <w:rPr>
                <w:rFonts w:ascii="Franklin Gothic Medium"/>
                <w:color w:val="FFFFFF"/>
                <w:sz w:val="16"/>
              </w:rPr>
              <w:t>$240,969 </w:t>
            </w:r>
          </w:p>
        </w:tc>
        <w:tc>
          <w:tcPr>
            <w:tcW w:w="1836" w:type="dxa"/>
            <w:shd w:val="clear" w:color="auto" w:fill="CECFD1"/>
          </w:tcPr>
          <w:p>
            <w:pPr>
              <w:pStyle w:val="TableParagraph"/>
              <w:spacing w:before="102"/>
              <w:ind w:left="633"/>
              <w:rPr>
                <w:rFonts w:ascii="Franklin Gothic Medium"/>
                <w:sz w:val="16"/>
              </w:rPr>
            </w:pPr>
            <w:r>
              <w:rPr>
                <w:rFonts w:ascii="Franklin Gothic Medium"/>
                <w:color w:val="292425"/>
                <w:sz w:val="16"/>
              </w:rPr>
              <w:t>$511,147 </w:t>
            </w:r>
          </w:p>
        </w:tc>
        <w:tc>
          <w:tcPr>
            <w:tcW w:w="1282" w:type="dxa"/>
            <w:shd w:val="clear" w:color="auto" w:fill="AAADB0"/>
          </w:tcPr>
          <w:p>
            <w:pPr>
              <w:pStyle w:val="TableParagraph"/>
              <w:spacing w:before="99"/>
              <w:ind w:left="528"/>
              <w:rPr>
                <w:rFonts w:ascii="Franklin Gothic Medium"/>
                <w:sz w:val="16"/>
              </w:rPr>
            </w:pPr>
            <w:r>
              <w:rPr>
                <w:rFonts w:ascii="Franklin Gothic Medium"/>
                <w:color w:val="FFFFFF"/>
                <w:sz w:val="16"/>
              </w:rPr>
              <w:t>(52. 9)%</w:t>
            </w:r>
          </w:p>
        </w:tc>
      </w:tr>
      <w:tr>
        <w:trPr>
          <w:trHeight w:val="366" w:hRule="exact"/>
        </w:trPr>
        <w:tc>
          <w:tcPr>
            <w:tcW w:w="4294" w:type="dxa"/>
          </w:tcPr>
          <w:p>
            <w:pPr>
              <w:pStyle w:val="TableParagraph"/>
              <w:spacing w:before="86"/>
              <w:ind w:left="36"/>
              <w:rPr>
                <w:i/>
                <w:sz w:val="16"/>
              </w:rPr>
            </w:pPr>
            <w:r>
              <w:rPr>
                <w:i/>
                <w:color w:val="292425"/>
                <w:sz w:val="16"/>
              </w:rPr>
              <w:t>Net margin</w:t>
            </w:r>
          </w:p>
        </w:tc>
        <w:tc>
          <w:tcPr>
            <w:tcW w:w="1738" w:type="dxa"/>
            <w:shd w:val="clear" w:color="auto" w:fill="CECFD1"/>
          </w:tcPr>
          <w:p>
            <w:pPr>
              <w:pStyle w:val="TableParagraph"/>
              <w:spacing w:before="116"/>
              <w:ind w:right="196"/>
              <w:jc w:val="right"/>
              <w:rPr>
                <w:rFonts w:ascii="Franklin Gothic Medium"/>
                <w:sz w:val="16"/>
              </w:rPr>
            </w:pPr>
            <w:r>
              <w:rPr>
                <w:rFonts w:ascii="Franklin Gothic Medium"/>
                <w:color w:val="292425"/>
                <w:sz w:val="16"/>
              </w:rPr>
              <w:t>4.4% </w:t>
            </w:r>
          </w:p>
        </w:tc>
        <w:tc>
          <w:tcPr>
            <w:tcW w:w="1836" w:type="dxa"/>
          </w:tcPr>
          <w:p>
            <w:pPr>
              <w:pStyle w:val="TableParagraph"/>
              <w:spacing w:before="113"/>
              <w:ind w:right="186"/>
              <w:jc w:val="right"/>
              <w:rPr>
                <w:rFonts w:ascii="Franklin Gothic Medium"/>
                <w:sz w:val="16"/>
              </w:rPr>
            </w:pPr>
            <w:r>
              <w:rPr>
                <w:rFonts w:ascii="Franklin Gothic Medium"/>
                <w:color w:val="292425"/>
                <w:sz w:val="16"/>
              </w:rPr>
              <w:t>9.2% </w:t>
            </w:r>
          </w:p>
        </w:tc>
        <w:tc>
          <w:tcPr>
            <w:tcW w:w="1282" w:type="dxa"/>
            <w:shd w:val="clear" w:color="auto" w:fill="CECFD1"/>
          </w:tcPr>
          <w:p>
            <w:pPr>
              <w:pStyle w:val="TableParagraph"/>
              <w:spacing w:before="116"/>
              <w:ind w:right="51"/>
              <w:jc w:val="right"/>
              <w:rPr>
                <w:rFonts w:ascii="Franklin Gothic Medium"/>
                <w:sz w:val="12"/>
              </w:rPr>
            </w:pPr>
            <w:r>
              <w:rPr>
                <w:rFonts w:ascii="Franklin Gothic Medium"/>
                <w:color w:val="292425"/>
                <w:sz w:val="16"/>
              </w:rPr>
              <w:t>(4.8)</w:t>
            </w:r>
            <w:r>
              <w:rPr>
                <w:rFonts w:ascii="Franklin Gothic Medium"/>
                <w:color w:val="292425"/>
                <w:sz w:val="12"/>
              </w:rPr>
              <w:t>pts.</w:t>
            </w:r>
          </w:p>
        </w:tc>
      </w:tr>
      <w:tr>
        <w:trPr>
          <w:trHeight w:val="340" w:hRule="exact"/>
        </w:trPr>
        <w:tc>
          <w:tcPr>
            <w:tcW w:w="4294" w:type="dxa"/>
            <w:shd w:val="clear" w:color="auto" w:fill="CECFD1"/>
          </w:tcPr>
          <w:p>
            <w:pPr>
              <w:pStyle w:val="TableParagraph"/>
              <w:spacing w:before="79"/>
              <w:ind w:left="36"/>
              <w:rPr>
                <w:i/>
                <w:sz w:val="16"/>
              </w:rPr>
            </w:pPr>
            <w:r>
              <w:rPr>
                <w:i/>
                <w:color w:val="292425"/>
                <w:w w:val="105"/>
                <w:sz w:val="16"/>
              </w:rPr>
              <w:t>Net income per share –    basic</w:t>
            </w:r>
          </w:p>
        </w:tc>
        <w:tc>
          <w:tcPr>
            <w:tcW w:w="1738" w:type="dxa"/>
            <w:shd w:val="clear" w:color="auto" w:fill="AAADB0"/>
          </w:tcPr>
          <w:p>
            <w:pPr>
              <w:pStyle w:val="TableParagraph"/>
              <w:spacing w:before="91"/>
              <w:ind w:left="899"/>
              <w:rPr>
                <w:rFonts w:ascii="Franklin Gothic Medium"/>
                <w:sz w:val="16"/>
              </w:rPr>
            </w:pPr>
            <w:r>
              <w:rPr>
                <w:rFonts w:ascii="Franklin Gothic Medium"/>
                <w:color w:val="FFFFFF"/>
                <w:sz w:val="16"/>
              </w:rPr>
              <w:t>$0.31 </w:t>
            </w:r>
          </w:p>
        </w:tc>
        <w:tc>
          <w:tcPr>
            <w:tcW w:w="1836" w:type="dxa"/>
            <w:shd w:val="clear" w:color="auto" w:fill="CECFD1"/>
          </w:tcPr>
          <w:p>
            <w:pPr>
              <w:pStyle w:val="TableParagraph"/>
              <w:spacing w:before="96"/>
              <w:ind w:left="965"/>
              <w:rPr>
                <w:rFonts w:ascii="Franklin Gothic Medium"/>
                <w:sz w:val="16"/>
              </w:rPr>
            </w:pPr>
            <w:r>
              <w:rPr>
                <w:rFonts w:ascii="Franklin Gothic Medium"/>
                <w:color w:val="292425"/>
                <w:sz w:val="16"/>
              </w:rPr>
              <w:t>$0.67 </w:t>
            </w:r>
          </w:p>
        </w:tc>
        <w:tc>
          <w:tcPr>
            <w:tcW w:w="1282" w:type="dxa"/>
            <w:shd w:val="clear" w:color="auto" w:fill="AAADB0"/>
          </w:tcPr>
          <w:p>
            <w:pPr>
              <w:pStyle w:val="TableParagraph"/>
              <w:spacing w:before="98"/>
              <w:ind w:left="535"/>
              <w:rPr>
                <w:rFonts w:ascii="Franklin Gothic Medium"/>
                <w:sz w:val="16"/>
              </w:rPr>
            </w:pPr>
            <w:r>
              <w:rPr>
                <w:rFonts w:ascii="Franklin Gothic Medium"/>
                <w:color w:val="FFFFFF"/>
                <w:sz w:val="16"/>
              </w:rPr>
              <w:t>(53. 7)%</w:t>
            </w:r>
          </w:p>
        </w:tc>
      </w:tr>
      <w:tr>
        <w:trPr>
          <w:trHeight w:val="366" w:hRule="exact"/>
        </w:trPr>
        <w:tc>
          <w:tcPr>
            <w:tcW w:w="4294" w:type="dxa"/>
          </w:tcPr>
          <w:p>
            <w:pPr>
              <w:pStyle w:val="TableParagraph"/>
              <w:spacing w:before="86"/>
              <w:ind w:left="36"/>
              <w:rPr>
                <w:i/>
                <w:sz w:val="16"/>
              </w:rPr>
            </w:pPr>
            <w:r>
              <w:rPr>
                <w:i/>
                <w:color w:val="292425"/>
                <w:w w:val="105"/>
                <w:sz w:val="16"/>
              </w:rPr>
              <w:t>Net income per share –   diluted</w:t>
            </w:r>
          </w:p>
        </w:tc>
        <w:tc>
          <w:tcPr>
            <w:tcW w:w="1738" w:type="dxa"/>
            <w:shd w:val="clear" w:color="auto" w:fill="CECFD1"/>
          </w:tcPr>
          <w:p>
            <w:pPr>
              <w:pStyle w:val="TableParagraph"/>
              <w:spacing w:before="127"/>
              <w:ind w:left="894"/>
              <w:rPr>
                <w:rFonts w:ascii="Franklin Gothic Medium"/>
                <w:sz w:val="16"/>
              </w:rPr>
            </w:pPr>
            <w:r>
              <w:rPr>
                <w:rFonts w:ascii="Franklin Gothic Medium"/>
                <w:color w:val="292425"/>
                <w:sz w:val="16"/>
              </w:rPr>
              <w:t>$0.30 </w:t>
            </w:r>
          </w:p>
        </w:tc>
        <w:tc>
          <w:tcPr>
            <w:tcW w:w="1836" w:type="dxa"/>
          </w:tcPr>
          <w:p>
            <w:pPr>
              <w:pStyle w:val="TableParagraph"/>
              <w:spacing w:before="127"/>
              <w:ind w:left="963"/>
              <w:rPr>
                <w:rFonts w:ascii="Franklin Gothic Medium"/>
                <w:sz w:val="16"/>
              </w:rPr>
            </w:pPr>
            <w:r>
              <w:rPr>
                <w:rFonts w:ascii="Franklin Gothic Medium"/>
                <w:color w:val="292425"/>
                <w:sz w:val="16"/>
              </w:rPr>
              <w:t>$0.63 </w:t>
            </w:r>
          </w:p>
        </w:tc>
        <w:tc>
          <w:tcPr>
            <w:tcW w:w="1282" w:type="dxa"/>
            <w:shd w:val="clear" w:color="auto" w:fill="CECFD1"/>
          </w:tcPr>
          <w:p>
            <w:pPr>
              <w:pStyle w:val="TableParagraph"/>
              <w:spacing w:before="126"/>
              <w:ind w:left="535"/>
              <w:rPr>
                <w:rFonts w:ascii="Franklin Gothic Medium"/>
                <w:sz w:val="16"/>
              </w:rPr>
            </w:pPr>
            <w:r>
              <w:rPr>
                <w:rFonts w:ascii="Franklin Gothic Medium"/>
                <w:color w:val="292425"/>
                <w:sz w:val="16"/>
              </w:rPr>
              <w:t>(52.4)%</w:t>
            </w:r>
          </w:p>
        </w:tc>
      </w:tr>
      <w:tr>
        <w:trPr>
          <w:trHeight w:val="340" w:hRule="exact"/>
        </w:trPr>
        <w:tc>
          <w:tcPr>
            <w:tcW w:w="4294" w:type="dxa"/>
            <w:shd w:val="clear" w:color="auto" w:fill="CECFD1"/>
          </w:tcPr>
          <w:p>
            <w:pPr>
              <w:pStyle w:val="TableParagraph"/>
              <w:spacing w:before="67"/>
              <w:ind w:left="36"/>
              <w:rPr>
                <w:i/>
                <w:sz w:val="16"/>
              </w:rPr>
            </w:pPr>
            <w:r>
              <w:rPr>
                <w:i/>
                <w:color w:val="292425"/>
                <w:w w:val="105"/>
                <w:sz w:val="16"/>
              </w:rPr>
              <w:t>Stockholders’ equity</w:t>
            </w:r>
          </w:p>
        </w:tc>
        <w:tc>
          <w:tcPr>
            <w:tcW w:w="1738" w:type="dxa"/>
            <w:shd w:val="clear" w:color="auto" w:fill="AAADB0"/>
          </w:tcPr>
          <w:p>
            <w:pPr>
              <w:pStyle w:val="TableParagraph"/>
              <w:spacing w:before="87"/>
              <w:ind w:left="376"/>
              <w:rPr>
                <w:rFonts w:ascii="Franklin Gothic Medium"/>
                <w:sz w:val="16"/>
              </w:rPr>
            </w:pPr>
            <w:r>
              <w:rPr>
                <w:rFonts w:ascii="Franklin Gothic Medium"/>
                <w:color w:val="FFFFFF"/>
                <w:sz w:val="16"/>
              </w:rPr>
              <w:t>$4 ,421,617 </w:t>
            </w:r>
          </w:p>
        </w:tc>
        <w:tc>
          <w:tcPr>
            <w:tcW w:w="1836" w:type="dxa"/>
            <w:shd w:val="clear" w:color="auto" w:fill="CECFD1"/>
          </w:tcPr>
          <w:p>
            <w:pPr>
              <w:pStyle w:val="TableParagraph"/>
              <w:spacing w:before="86"/>
              <w:ind w:left="467"/>
              <w:rPr>
                <w:rFonts w:ascii="Franklin Gothic Medium"/>
                <w:sz w:val="16"/>
              </w:rPr>
            </w:pPr>
            <w:r>
              <w:rPr>
                <w:rFonts w:ascii="Franklin Gothic Medium"/>
                <w:color w:val="292425"/>
                <w:sz w:val="16"/>
              </w:rPr>
              <w:t>$4, 014,053 </w:t>
            </w:r>
          </w:p>
        </w:tc>
        <w:tc>
          <w:tcPr>
            <w:tcW w:w="1282" w:type="dxa"/>
            <w:shd w:val="clear" w:color="auto" w:fill="AAADB0"/>
          </w:tcPr>
          <w:p>
            <w:pPr>
              <w:pStyle w:val="TableParagraph"/>
              <w:spacing w:before="87"/>
              <w:ind w:left="583"/>
              <w:rPr>
                <w:rFonts w:ascii="Franklin Gothic Medium"/>
                <w:sz w:val="16"/>
              </w:rPr>
            </w:pPr>
            <w:r>
              <w:rPr>
                <w:rFonts w:ascii="Franklin Gothic Medium"/>
                <w:color w:val="FFFFFF"/>
                <w:sz w:val="16"/>
              </w:rPr>
              <w:t>10.2%</w:t>
            </w:r>
          </w:p>
        </w:tc>
      </w:tr>
      <w:tr>
        <w:trPr>
          <w:trHeight w:val="366" w:hRule="exact"/>
        </w:trPr>
        <w:tc>
          <w:tcPr>
            <w:tcW w:w="4294" w:type="dxa"/>
          </w:tcPr>
          <w:p>
            <w:pPr>
              <w:pStyle w:val="TableParagraph"/>
              <w:spacing w:before="81"/>
              <w:ind w:left="36"/>
              <w:rPr>
                <w:i/>
                <w:sz w:val="16"/>
              </w:rPr>
            </w:pPr>
            <w:r>
              <w:rPr>
                <w:i/>
                <w:color w:val="292425"/>
                <w:w w:val="105"/>
                <w:sz w:val="16"/>
              </w:rPr>
              <w:t>Return on  average stockholders’ equity</w:t>
            </w:r>
          </w:p>
        </w:tc>
        <w:tc>
          <w:tcPr>
            <w:tcW w:w="1738" w:type="dxa"/>
            <w:shd w:val="clear" w:color="auto" w:fill="CECFD1"/>
          </w:tcPr>
          <w:p>
            <w:pPr>
              <w:pStyle w:val="TableParagraph"/>
              <w:spacing w:before="104"/>
              <w:ind w:right="187"/>
              <w:jc w:val="right"/>
              <w:rPr>
                <w:rFonts w:ascii="Franklin Gothic Medium"/>
                <w:sz w:val="16"/>
              </w:rPr>
            </w:pPr>
            <w:r>
              <w:rPr>
                <w:rFonts w:ascii="Franklin Gothic Medium"/>
                <w:color w:val="292425"/>
                <w:sz w:val="16"/>
              </w:rPr>
              <w:t>5.7% </w:t>
            </w:r>
          </w:p>
        </w:tc>
        <w:tc>
          <w:tcPr>
            <w:tcW w:w="1836" w:type="dxa"/>
          </w:tcPr>
          <w:p>
            <w:pPr>
              <w:pStyle w:val="TableParagraph"/>
              <w:spacing w:before="106"/>
              <w:ind w:right="206"/>
              <w:jc w:val="right"/>
              <w:rPr>
                <w:rFonts w:ascii="Franklin Gothic Medium"/>
                <w:sz w:val="16"/>
              </w:rPr>
            </w:pPr>
            <w:r>
              <w:rPr>
                <w:rFonts w:ascii="Franklin Gothic Medium"/>
                <w:color w:val="292425"/>
                <w:sz w:val="16"/>
              </w:rPr>
              <w:t>13.7% </w:t>
            </w:r>
          </w:p>
        </w:tc>
        <w:tc>
          <w:tcPr>
            <w:tcW w:w="1282" w:type="dxa"/>
            <w:shd w:val="clear" w:color="auto" w:fill="CECFD1"/>
          </w:tcPr>
          <w:p>
            <w:pPr>
              <w:pStyle w:val="TableParagraph"/>
              <w:spacing w:before="106"/>
              <w:ind w:right="41"/>
              <w:jc w:val="right"/>
              <w:rPr>
                <w:rFonts w:ascii="Franklin Gothic Medium"/>
                <w:sz w:val="12"/>
              </w:rPr>
            </w:pPr>
            <w:r>
              <w:rPr>
                <w:rFonts w:ascii="Franklin Gothic Medium"/>
                <w:color w:val="292425"/>
                <w:sz w:val="16"/>
              </w:rPr>
              <w:t>(8.0)</w:t>
            </w:r>
            <w:r>
              <w:rPr>
                <w:rFonts w:ascii="Franklin Gothic Medium"/>
                <w:color w:val="292425"/>
                <w:sz w:val="12"/>
              </w:rPr>
              <w:t>pts.</w:t>
            </w:r>
          </w:p>
        </w:tc>
      </w:tr>
      <w:tr>
        <w:trPr>
          <w:trHeight w:val="340" w:hRule="exact"/>
        </w:trPr>
        <w:tc>
          <w:tcPr>
            <w:tcW w:w="4294" w:type="dxa"/>
            <w:shd w:val="clear" w:color="auto" w:fill="CECFD1"/>
          </w:tcPr>
          <w:p>
            <w:pPr>
              <w:pStyle w:val="TableParagraph"/>
              <w:spacing w:before="63"/>
              <w:ind w:left="36"/>
              <w:rPr>
                <w:i/>
                <w:sz w:val="16"/>
              </w:rPr>
            </w:pPr>
            <w:r>
              <w:rPr>
                <w:i/>
                <w:color w:val="292425"/>
                <w:w w:val="105"/>
                <w:sz w:val="16"/>
              </w:rPr>
              <w:t>Stockholders’ equity per common share   outstanding</w:t>
            </w:r>
          </w:p>
        </w:tc>
        <w:tc>
          <w:tcPr>
            <w:tcW w:w="1738" w:type="dxa"/>
            <w:shd w:val="clear" w:color="auto" w:fill="AAADB0"/>
          </w:tcPr>
          <w:p>
            <w:pPr>
              <w:pStyle w:val="TableParagraph"/>
              <w:spacing w:before="91"/>
              <w:ind w:left="905"/>
              <w:rPr>
                <w:rFonts w:ascii="Franklin Gothic Medium"/>
                <w:sz w:val="16"/>
              </w:rPr>
            </w:pPr>
            <w:r>
              <w:rPr>
                <w:rFonts w:ascii="Franklin Gothic Medium"/>
                <w:color w:val="FFFFFF"/>
                <w:sz w:val="16"/>
              </w:rPr>
              <w:t>$5. 69</w:t>
            </w:r>
          </w:p>
        </w:tc>
        <w:tc>
          <w:tcPr>
            <w:tcW w:w="1836" w:type="dxa"/>
            <w:shd w:val="clear" w:color="auto" w:fill="CECFD1"/>
          </w:tcPr>
          <w:p>
            <w:pPr>
              <w:pStyle w:val="TableParagraph"/>
              <w:spacing w:before="93"/>
              <w:ind w:left="968"/>
              <w:rPr>
                <w:rFonts w:ascii="Franklin Gothic Medium"/>
                <w:sz w:val="16"/>
              </w:rPr>
            </w:pPr>
            <w:r>
              <w:rPr>
                <w:rFonts w:ascii="Franklin Gothic Medium"/>
                <w:color w:val="292425"/>
                <w:sz w:val="16"/>
              </w:rPr>
              <w:t>$5.24 </w:t>
            </w:r>
          </w:p>
        </w:tc>
        <w:tc>
          <w:tcPr>
            <w:tcW w:w="1282" w:type="dxa"/>
            <w:shd w:val="clear" w:color="auto" w:fill="AAADB0"/>
          </w:tcPr>
          <w:p>
            <w:pPr>
              <w:pStyle w:val="TableParagraph"/>
              <w:spacing w:before="91"/>
              <w:ind w:left="693"/>
              <w:rPr>
                <w:rFonts w:ascii="Franklin Gothic Medium"/>
                <w:sz w:val="16"/>
              </w:rPr>
            </w:pPr>
            <w:r>
              <w:rPr>
                <w:rFonts w:ascii="Franklin Gothic Medium"/>
                <w:color w:val="FFFFFF"/>
                <w:sz w:val="16"/>
              </w:rPr>
              <w:t>8.6%</w:t>
            </w:r>
          </w:p>
        </w:tc>
      </w:tr>
      <w:tr>
        <w:trPr>
          <w:trHeight w:val="366" w:hRule="exact"/>
        </w:trPr>
        <w:tc>
          <w:tcPr>
            <w:tcW w:w="4294" w:type="dxa"/>
          </w:tcPr>
          <w:p>
            <w:pPr>
              <w:pStyle w:val="TableParagraph"/>
              <w:spacing w:before="87"/>
              <w:ind w:left="36"/>
              <w:rPr>
                <w:i/>
                <w:sz w:val="16"/>
              </w:rPr>
            </w:pPr>
            <w:r>
              <w:rPr>
                <w:i/>
                <w:color w:val="292425"/>
                <w:w w:val="105"/>
                <w:sz w:val="16"/>
              </w:rPr>
              <w:t>Revenue  passengers  carried</w:t>
            </w:r>
          </w:p>
        </w:tc>
        <w:tc>
          <w:tcPr>
            <w:tcW w:w="1738" w:type="dxa"/>
            <w:shd w:val="clear" w:color="auto" w:fill="CECFD1"/>
          </w:tcPr>
          <w:p>
            <w:pPr>
              <w:pStyle w:val="TableParagraph"/>
              <w:spacing w:before="116"/>
              <w:ind w:left="372"/>
              <w:rPr>
                <w:rFonts w:ascii="Franklin Gothic Medium"/>
                <w:sz w:val="16"/>
              </w:rPr>
            </w:pPr>
            <w:r>
              <w:rPr>
                <w:rFonts w:ascii="Franklin Gothic Medium"/>
                <w:color w:val="292425"/>
                <w:sz w:val="16"/>
              </w:rPr>
              <w:t>63,045,988 </w:t>
            </w:r>
          </w:p>
        </w:tc>
        <w:tc>
          <w:tcPr>
            <w:tcW w:w="1836" w:type="dxa"/>
          </w:tcPr>
          <w:p>
            <w:pPr>
              <w:pStyle w:val="TableParagraph"/>
              <w:spacing w:before="111"/>
              <w:ind w:left="460"/>
              <w:rPr>
                <w:rFonts w:ascii="Franklin Gothic Medium"/>
                <w:sz w:val="16"/>
              </w:rPr>
            </w:pPr>
            <w:r>
              <w:rPr>
                <w:rFonts w:ascii="Franklin Gothic Medium"/>
                <w:color w:val="292425"/>
                <w:sz w:val="16"/>
              </w:rPr>
              <w:t>64, 446,773 </w:t>
            </w:r>
          </w:p>
        </w:tc>
        <w:tc>
          <w:tcPr>
            <w:tcW w:w="1282" w:type="dxa"/>
            <w:shd w:val="clear" w:color="auto" w:fill="CECFD1"/>
          </w:tcPr>
          <w:p>
            <w:pPr>
              <w:pStyle w:val="TableParagraph"/>
              <w:spacing w:before="110"/>
              <w:ind w:left="639"/>
              <w:rPr>
                <w:rFonts w:ascii="Franklin Gothic Medium"/>
                <w:sz w:val="16"/>
              </w:rPr>
            </w:pPr>
            <w:r>
              <w:rPr>
                <w:rFonts w:ascii="Franklin Gothic Medium"/>
                <w:color w:val="292425"/>
                <w:sz w:val="16"/>
              </w:rPr>
              <w:t>(2.2)%</w:t>
            </w:r>
          </w:p>
        </w:tc>
      </w:tr>
      <w:tr>
        <w:trPr>
          <w:trHeight w:val="340" w:hRule="exact"/>
        </w:trPr>
        <w:tc>
          <w:tcPr>
            <w:tcW w:w="4294" w:type="dxa"/>
            <w:shd w:val="clear" w:color="auto" w:fill="CECFD1"/>
          </w:tcPr>
          <w:p>
            <w:pPr>
              <w:pStyle w:val="TableParagraph"/>
              <w:spacing w:before="68"/>
              <w:ind w:left="36"/>
              <w:rPr>
                <w:i/>
                <w:sz w:val="16"/>
              </w:rPr>
            </w:pPr>
            <w:r>
              <w:rPr>
                <w:i/>
                <w:color w:val="292425"/>
                <w:w w:val="105"/>
                <w:sz w:val="16"/>
              </w:rPr>
              <w:t>Revenue  passenger  miles  {RPMs} (000s)</w:t>
            </w:r>
          </w:p>
        </w:tc>
        <w:tc>
          <w:tcPr>
            <w:tcW w:w="1738" w:type="dxa"/>
            <w:shd w:val="clear" w:color="auto" w:fill="AAADB0"/>
          </w:tcPr>
          <w:p>
            <w:pPr>
              <w:pStyle w:val="TableParagraph"/>
              <w:spacing w:before="82"/>
              <w:ind w:left="382"/>
              <w:rPr>
                <w:rFonts w:ascii="Franklin Gothic Medium"/>
                <w:sz w:val="16"/>
              </w:rPr>
            </w:pPr>
            <w:r>
              <w:rPr>
                <w:rFonts w:ascii="Franklin Gothic Medium"/>
                <w:color w:val="FFFFFF"/>
                <w:sz w:val="16"/>
              </w:rPr>
              <w:t>45,391, 903 </w:t>
            </w:r>
          </w:p>
        </w:tc>
        <w:tc>
          <w:tcPr>
            <w:tcW w:w="1836" w:type="dxa"/>
            <w:shd w:val="clear" w:color="auto" w:fill="CECFD1"/>
          </w:tcPr>
          <w:p>
            <w:pPr>
              <w:pStyle w:val="TableParagraph"/>
              <w:spacing w:before="87"/>
              <w:ind w:left="465"/>
              <w:rPr>
                <w:rFonts w:ascii="Franklin Gothic Medium"/>
                <w:sz w:val="16"/>
              </w:rPr>
            </w:pPr>
            <w:r>
              <w:rPr>
                <w:rFonts w:ascii="Franklin Gothic Medium"/>
                <w:color w:val="292425"/>
                <w:sz w:val="16"/>
              </w:rPr>
              <w:t>44,493, 916 </w:t>
            </w:r>
          </w:p>
        </w:tc>
        <w:tc>
          <w:tcPr>
            <w:tcW w:w="1282" w:type="dxa"/>
            <w:shd w:val="clear" w:color="auto" w:fill="AAADB0"/>
          </w:tcPr>
          <w:p>
            <w:pPr>
              <w:pStyle w:val="TableParagraph"/>
              <w:spacing w:before="83"/>
              <w:ind w:left="706"/>
              <w:rPr>
                <w:rFonts w:ascii="Franklin Gothic Medium"/>
                <w:sz w:val="16"/>
              </w:rPr>
            </w:pPr>
            <w:r>
              <w:rPr>
                <w:rFonts w:ascii="Franklin Gothic Medium"/>
                <w:color w:val="FFFFFF"/>
                <w:sz w:val="16"/>
              </w:rPr>
              <w:t>2.0%</w:t>
            </w:r>
          </w:p>
        </w:tc>
      </w:tr>
      <w:tr>
        <w:trPr>
          <w:trHeight w:val="366" w:hRule="exact"/>
        </w:trPr>
        <w:tc>
          <w:tcPr>
            <w:tcW w:w="4294" w:type="dxa"/>
          </w:tcPr>
          <w:p>
            <w:pPr>
              <w:pStyle w:val="TableParagraph"/>
              <w:spacing w:before="75"/>
              <w:ind w:left="36"/>
              <w:rPr>
                <w:i/>
                <w:sz w:val="16"/>
              </w:rPr>
            </w:pPr>
            <w:r>
              <w:rPr>
                <w:i/>
                <w:color w:val="292425"/>
                <w:w w:val="105"/>
                <w:sz w:val="16"/>
              </w:rPr>
              <w:t>Available seat miles {ASMs}   (000s)</w:t>
            </w:r>
          </w:p>
        </w:tc>
        <w:tc>
          <w:tcPr>
            <w:tcW w:w="1738" w:type="dxa"/>
            <w:shd w:val="clear" w:color="auto" w:fill="CECFD1"/>
          </w:tcPr>
          <w:p>
            <w:pPr>
              <w:pStyle w:val="TableParagraph"/>
              <w:spacing w:before="110"/>
              <w:ind w:left="372"/>
              <w:rPr>
                <w:rFonts w:ascii="Franklin Gothic Medium"/>
                <w:sz w:val="16"/>
              </w:rPr>
            </w:pPr>
            <w:r>
              <w:rPr>
                <w:rFonts w:ascii="Franklin Gothic Medium"/>
                <w:color w:val="292425"/>
                <w:sz w:val="16"/>
              </w:rPr>
              <w:t>68,886,546 </w:t>
            </w:r>
          </w:p>
        </w:tc>
        <w:tc>
          <w:tcPr>
            <w:tcW w:w="1836" w:type="dxa"/>
          </w:tcPr>
          <w:p>
            <w:pPr>
              <w:pStyle w:val="TableParagraph"/>
              <w:spacing w:before="113"/>
              <w:ind w:left="463"/>
              <w:rPr>
                <w:rFonts w:ascii="Franklin Gothic Medium"/>
                <w:sz w:val="16"/>
              </w:rPr>
            </w:pPr>
            <w:r>
              <w:rPr>
                <w:rFonts w:ascii="Franklin Gothic Medium"/>
                <w:color w:val="292425"/>
                <w:sz w:val="16"/>
              </w:rPr>
              <w:t>65,295,290 </w:t>
            </w:r>
          </w:p>
        </w:tc>
        <w:tc>
          <w:tcPr>
            <w:tcW w:w="1282" w:type="dxa"/>
            <w:shd w:val="clear" w:color="auto" w:fill="CECFD1"/>
          </w:tcPr>
          <w:p>
            <w:pPr>
              <w:pStyle w:val="TableParagraph"/>
              <w:spacing w:before="111"/>
              <w:ind w:left="702"/>
              <w:rPr>
                <w:rFonts w:ascii="Franklin Gothic Medium"/>
                <w:sz w:val="16"/>
              </w:rPr>
            </w:pPr>
            <w:r>
              <w:rPr>
                <w:rFonts w:ascii="Franklin Gothic Medium"/>
                <w:color w:val="292425"/>
                <w:sz w:val="16"/>
              </w:rPr>
              <w:t>5.5%</w:t>
            </w:r>
          </w:p>
        </w:tc>
      </w:tr>
      <w:tr>
        <w:trPr>
          <w:trHeight w:val="340" w:hRule="exact"/>
        </w:trPr>
        <w:tc>
          <w:tcPr>
            <w:tcW w:w="4294" w:type="dxa"/>
            <w:shd w:val="clear" w:color="auto" w:fill="CECFD1"/>
          </w:tcPr>
          <w:p>
            <w:pPr>
              <w:pStyle w:val="TableParagraph"/>
              <w:spacing w:before="56"/>
              <w:ind w:left="36"/>
              <w:rPr>
                <w:i/>
                <w:sz w:val="16"/>
              </w:rPr>
            </w:pPr>
            <w:r>
              <w:rPr>
                <w:i/>
                <w:color w:val="292425"/>
                <w:w w:val="105"/>
                <w:sz w:val="16"/>
              </w:rPr>
              <w:t>Passenger  load factor</w:t>
            </w:r>
          </w:p>
        </w:tc>
        <w:tc>
          <w:tcPr>
            <w:tcW w:w="1738" w:type="dxa"/>
            <w:shd w:val="clear" w:color="auto" w:fill="AAADB0"/>
          </w:tcPr>
          <w:p>
            <w:pPr>
              <w:pStyle w:val="TableParagraph"/>
              <w:spacing w:before="98"/>
              <w:ind w:right="199"/>
              <w:jc w:val="right"/>
              <w:rPr>
                <w:rFonts w:ascii="Franklin Gothic Medium"/>
                <w:sz w:val="16"/>
              </w:rPr>
            </w:pPr>
            <w:r>
              <w:rPr>
                <w:rFonts w:ascii="Franklin Gothic Medium"/>
                <w:color w:val="FFFFFF"/>
                <w:sz w:val="16"/>
              </w:rPr>
              <w:t>65.9% </w:t>
            </w:r>
          </w:p>
        </w:tc>
        <w:tc>
          <w:tcPr>
            <w:tcW w:w="1836" w:type="dxa"/>
            <w:shd w:val="clear" w:color="auto" w:fill="CECFD1"/>
          </w:tcPr>
          <w:p>
            <w:pPr>
              <w:pStyle w:val="TableParagraph"/>
              <w:spacing w:before="94"/>
              <w:ind w:right="215"/>
              <w:jc w:val="right"/>
              <w:rPr>
                <w:rFonts w:ascii="Franklin Gothic Medium"/>
                <w:sz w:val="16"/>
              </w:rPr>
            </w:pPr>
            <w:r>
              <w:rPr>
                <w:rFonts w:ascii="Franklin Gothic Medium"/>
                <w:color w:val="292425"/>
                <w:sz w:val="16"/>
              </w:rPr>
              <w:t>68.1% </w:t>
            </w:r>
          </w:p>
        </w:tc>
        <w:tc>
          <w:tcPr>
            <w:tcW w:w="1282" w:type="dxa"/>
            <w:shd w:val="clear" w:color="auto" w:fill="AAADB0"/>
          </w:tcPr>
          <w:p>
            <w:pPr>
              <w:pStyle w:val="TableParagraph"/>
              <w:spacing w:before="93"/>
              <w:ind w:right="38"/>
              <w:jc w:val="right"/>
              <w:rPr>
                <w:rFonts w:ascii="Franklin Gothic Medium"/>
                <w:sz w:val="12"/>
              </w:rPr>
            </w:pPr>
            <w:r>
              <w:rPr>
                <w:rFonts w:ascii="Franklin Gothic Medium"/>
                <w:color w:val="FFFFFF"/>
                <w:sz w:val="16"/>
              </w:rPr>
              <w:t>(2.2)</w:t>
            </w:r>
            <w:r>
              <w:rPr>
                <w:rFonts w:ascii="Franklin Gothic Medium"/>
                <w:color w:val="FFFFFF"/>
                <w:sz w:val="12"/>
              </w:rPr>
              <w:t>pts.</w:t>
            </w:r>
          </w:p>
        </w:tc>
      </w:tr>
      <w:tr>
        <w:trPr>
          <w:trHeight w:val="366" w:hRule="exact"/>
        </w:trPr>
        <w:tc>
          <w:tcPr>
            <w:tcW w:w="4294" w:type="dxa"/>
          </w:tcPr>
          <w:p>
            <w:pPr>
              <w:pStyle w:val="TableParagraph"/>
              <w:spacing w:before="63"/>
              <w:ind w:left="36"/>
              <w:rPr>
                <w:i/>
                <w:sz w:val="16"/>
              </w:rPr>
            </w:pPr>
            <w:r>
              <w:rPr>
                <w:i/>
                <w:color w:val="292425"/>
                <w:w w:val="105"/>
                <w:sz w:val="16"/>
              </w:rPr>
              <w:t>Passenger  revenue  yield per RPM</w:t>
            </w:r>
          </w:p>
        </w:tc>
        <w:tc>
          <w:tcPr>
            <w:tcW w:w="1738" w:type="dxa"/>
            <w:shd w:val="clear" w:color="auto" w:fill="CECFD1"/>
          </w:tcPr>
          <w:p>
            <w:pPr>
              <w:pStyle w:val="TableParagraph"/>
              <w:spacing w:before="121"/>
              <w:ind w:right="227"/>
              <w:jc w:val="right"/>
              <w:rPr>
                <w:rFonts w:ascii="Franklin Gothic Medium" w:hAnsi="Franklin Gothic Medium"/>
                <w:sz w:val="16"/>
              </w:rPr>
            </w:pPr>
            <w:r>
              <w:rPr>
                <w:rFonts w:ascii="Franklin Gothic Medium" w:hAnsi="Franklin Gothic Medium"/>
                <w:color w:val="292425"/>
                <w:sz w:val="16"/>
              </w:rPr>
              <w:t>11.77¢ </w:t>
            </w:r>
          </w:p>
        </w:tc>
        <w:tc>
          <w:tcPr>
            <w:tcW w:w="1836" w:type="dxa"/>
          </w:tcPr>
          <w:p>
            <w:pPr>
              <w:pStyle w:val="TableParagraph"/>
              <w:spacing w:before="121"/>
              <w:ind w:right="237"/>
              <w:jc w:val="right"/>
              <w:rPr>
                <w:rFonts w:ascii="Franklin Gothic Medium" w:hAnsi="Franklin Gothic Medium"/>
                <w:sz w:val="16"/>
              </w:rPr>
            </w:pPr>
            <w:r>
              <w:rPr>
                <w:rFonts w:ascii="Franklin Gothic Medium" w:hAnsi="Franklin Gothic Medium"/>
                <w:color w:val="292425"/>
                <w:sz w:val="16"/>
              </w:rPr>
              <w:t>12. 0 9¢ </w:t>
            </w:r>
          </w:p>
        </w:tc>
        <w:tc>
          <w:tcPr>
            <w:tcW w:w="1282" w:type="dxa"/>
            <w:shd w:val="clear" w:color="auto" w:fill="CECFD1"/>
          </w:tcPr>
          <w:p>
            <w:pPr>
              <w:pStyle w:val="TableParagraph"/>
              <w:spacing w:before="122"/>
              <w:ind w:left="633"/>
              <w:rPr>
                <w:rFonts w:ascii="Franklin Gothic Medium"/>
                <w:sz w:val="16"/>
              </w:rPr>
            </w:pPr>
            <w:r>
              <w:rPr>
                <w:rFonts w:ascii="Franklin Gothic Medium"/>
                <w:color w:val="292425"/>
                <w:sz w:val="16"/>
              </w:rPr>
              <w:t>(2.6)%</w:t>
            </w:r>
          </w:p>
        </w:tc>
      </w:tr>
      <w:tr>
        <w:trPr>
          <w:trHeight w:val="340" w:hRule="exact"/>
        </w:trPr>
        <w:tc>
          <w:tcPr>
            <w:tcW w:w="4294" w:type="dxa"/>
            <w:shd w:val="clear" w:color="auto" w:fill="CECFD1"/>
          </w:tcPr>
          <w:p>
            <w:pPr>
              <w:pStyle w:val="TableParagraph"/>
              <w:spacing w:before="57"/>
              <w:ind w:left="36"/>
              <w:rPr>
                <w:i/>
                <w:sz w:val="16"/>
              </w:rPr>
            </w:pPr>
            <w:r>
              <w:rPr>
                <w:i/>
                <w:color w:val="292425"/>
                <w:w w:val="105"/>
                <w:sz w:val="16"/>
              </w:rPr>
              <w:t>Operating revenue yield per  ASM</w:t>
            </w:r>
          </w:p>
        </w:tc>
        <w:tc>
          <w:tcPr>
            <w:tcW w:w="1738" w:type="dxa"/>
            <w:shd w:val="clear" w:color="auto" w:fill="AAADB0"/>
          </w:tcPr>
          <w:p>
            <w:pPr>
              <w:pStyle w:val="TableParagraph"/>
              <w:spacing w:before="95"/>
              <w:ind w:right="224"/>
              <w:jc w:val="right"/>
              <w:rPr>
                <w:rFonts w:ascii="Franklin Gothic Medium" w:hAnsi="Franklin Gothic Medium"/>
                <w:sz w:val="16"/>
              </w:rPr>
            </w:pPr>
            <w:r>
              <w:rPr>
                <w:rFonts w:ascii="Franklin Gothic Medium" w:hAnsi="Franklin Gothic Medium"/>
                <w:color w:val="FFFFFF"/>
                <w:sz w:val="16"/>
              </w:rPr>
              <w:t>8.0 2 ¢</w:t>
            </w:r>
          </w:p>
        </w:tc>
        <w:tc>
          <w:tcPr>
            <w:tcW w:w="1836" w:type="dxa"/>
            <w:shd w:val="clear" w:color="auto" w:fill="CECFD1"/>
          </w:tcPr>
          <w:p>
            <w:pPr>
              <w:pStyle w:val="TableParagraph"/>
              <w:spacing w:before="93"/>
              <w:ind w:right="240"/>
              <w:jc w:val="right"/>
              <w:rPr>
                <w:rFonts w:ascii="Franklin Gothic Medium" w:hAnsi="Franklin Gothic Medium"/>
                <w:sz w:val="16"/>
              </w:rPr>
            </w:pPr>
            <w:r>
              <w:rPr>
                <w:rFonts w:ascii="Franklin Gothic Medium" w:hAnsi="Franklin Gothic Medium"/>
                <w:color w:val="292425"/>
                <w:sz w:val="16"/>
              </w:rPr>
              <w:t>8. 51¢ </w:t>
            </w:r>
          </w:p>
        </w:tc>
        <w:tc>
          <w:tcPr>
            <w:tcW w:w="1282" w:type="dxa"/>
            <w:shd w:val="clear" w:color="auto" w:fill="AAADB0"/>
          </w:tcPr>
          <w:p>
            <w:pPr>
              <w:pStyle w:val="TableParagraph"/>
              <w:spacing w:before="94"/>
              <w:ind w:left="636"/>
              <w:rPr>
                <w:rFonts w:ascii="Franklin Gothic Medium"/>
                <w:sz w:val="16"/>
              </w:rPr>
            </w:pPr>
            <w:r>
              <w:rPr>
                <w:rFonts w:ascii="Franklin Gothic Medium"/>
                <w:color w:val="FFFFFF"/>
                <w:sz w:val="16"/>
              </w:rPr>
              <w:t>(5. 8)%</w:t>
            </w:r>
          </w:p>
        </w:tc>
      </w:tr>
      <w:tr>
        <w:trPr>
          <w:trHeight w:val="366" w:hRule="exact"/>
        </w:trPr>
        <w:tc>
          <w:tcPr>
            <w:tcW w:w="4294" w:type="dxa"/>
          </w:tcPr>
          <w:p>
            <w:pPr>
              <w:pStyle w:val="TableParagraph"/>
              <w:spacing w:before="76"/>
              <w:ind w:left="36"/>
              <w:rPr>
                <w:i/>
                <w:sz w:val="16"/>
              </w:rPr>
            </w:pPr>
            <w:r>
              <w:rPr>
                <w:i/>
                <w:color w:val="292425"/>
                <w:w w:val="105"/>
                <w:sz w:val="16"/>
              </w:rPr>
              <w:t>Operating expenses per  ASM</w:t>
            </w:r>
          </w:p>
        </w:tc>
        <w:tc>
          <w:tcPr>
            <w:tcW w:w="1738" w:type="dxa"/>
            <w:shd w:val="clear" w:color="auto" w:fill="CECFD1"/>
          </w:tcPr>
          <w:p>
            <w:pPr>
              <w:pStyle w:val="TableParagraph"/>
              <w:spacing w:before="115"/>
              <w:ind w:right="227"/>
              <w:jc w:val="right"/>
              <w:rPr>
                <w:rFonts w:ascii="Franklin Gothic Medium" w:hAnsi="Franklin Gothic Medium"/>
                <w:sz w:val="16"/>
              </w:rPr>
            </w:pPr>
            <w:r>
              <w:rPr>
                <w:rFonts w:ascii="Franklin Gothic Medium" w:hAnsi="Franklin Gothic Medium"/>
                <w:color w:val="292425"/>
                <w:sz w:val="16"/>
              </w:rPr>
              <w:t>7.41¢ </w:t>
            </w:r>
          </w:p>
        </w:tc>
        <w:tc>
          <w:tcPr>
            <w:tcW w:w="1836" w:type="dxa"/>
          </w:tcPr>
          <w:p>
            <w:pPr>
              <w:pStyle w:val="TableParagraph"/>
              <w:spacing w:before="116"/>
              <w:ind w:right="241"/>
              <w:jc w:val="right"/>
              <w:rPr>
                <w:rFonts w:ascii="Franklin Gothic Medium" w:hAnsi="Franklin Gothic Medium"/>
                <w:sz w:val="16"/>
              </w:rPr>
            </w:pPr>
            <w:r>
              <w:rPr>
                <w:rFonts w:ascii="Franklin Gothic Medium" w:hAnsi="Franklin Gothic Medium"/>
                <w:color w:val="292425"/>
                <w:sz w:val="16"/>
              </w:rPr>
              <w:t>7.54¢ </w:t>
            </w:r>
          </w:p>
        </w:tc>
        <w:tc>
          <w:tcPr>
            <w:tcW w:w="1282" w:type="dxa"/>
            <w:shd w:val="clear" w:color="auto" w:fill="CECFD1"/>
          </w:tcPr>
          <w:p>
            <w:pPr>
              <w:pStyle w:val="TableParagraph"/>
              <w:spacing w:before="115"/>
              <w:ind w:left="638"/>
              <w:rPr>
                <w:rFonts w:ascii="Franklin Gothic Medium"/>
                <w:sz w:val="16"/>
              </w:rPr>
            </w:pPr>
            <w:r>
              <w:rPr>
                <w:rFonts w:ascii="Franklin Gothic Medium"/>
                <w:color w:val="292425"/>
                <w:sz w:val="16"/>
              </w:rPr>
              <w:t>(1.7)%</w:t>
            </w:r>
          </w:p>
        </w:tc>
      </w:tr>
      <w:tr>
        <w:trPr>
          <w:trHeight w:val="340" w:hRule="exact"/>
        </w:trPr>
        <w:tc>
          <w:tcPr>
            <w:tcW w:w="4294" w:type="dxa"/>
            <w:shd w:val="clear" w:color="auto" w:fill="CECFD1"/>
          </w:tcPr>
          <w:p>
            <w:pPr>
              <w:pStyle w:val="TableParagraph"/>
              <w:spacing w:before="70"/>
              <w:ind w:left="36"/>
              <w:rPr>
                <w:i/>
                <w:sz w:val="16"/>
              </w:rPr>
            </w:pPr>
            <w:r>
              <w:rPr>
                <w:i/>
                <w:color w:val="292425"/>
                <w:w w:val="105"/>
                <w:sz w:val="16"/>
              </w:rPr>
              <w:t>Size  of  fleet at yearend</w:t>
            </w:r>
          </w:p>
        </w:tc>
        <w:tc>
          <w:tcPr>
            <w:tcW w:w="1738" w:type="dxa"/>
            <w:shd w:val="clear" w:color="auto" w:fill="AAADB0"/>
          </w:tcPr>
          <w:p>
            <w:pPr>
              <w:pStyle w:val="TableParagraph"/>
              <w:spacing w:before="98"/>
              <w:ind w:left="1077"/>
              <w:rPr>
                <w:rFonts w:ascii="Franklin Gothic Medium"/>
                <w:sz w:val="16"/>
              </w:rPr>
            </w:pPr>
            <w:r>
              <w:rPr>
                <w:rFonts w:ascii="Franklin Gothic Medium"/>
                <w:color w:val="FFFFFF"/>
                <w:sz w:val="16"/>
              </w:rPr>
              <w:t>375</w:t>
            </w:r>
          </w:p>
        </w:tc>
        <w:tc>
          <w:tcPr>
            <w:tcW w:w="1836" w:type="dxa"/>
            <w:shd w:val="clear" w:color="auto" w:fill="CECFD1"/>
          </w:tcPr>
          <w:p>
            <w:pPr>
              <w:pStyle w:val="TableParagraph"/>
              <w:spacing w:before="97"/>
              <w:ind w:left="1147"/>
              <w:rPr>
                <w:rFonts w:ascii="Franklin Gothic Medium"/>
                <w:sz w:val="16"/>
              </w:rPr>
            </w:pPr>
            <w:r>
              <w:rPr>
                <w:rFonts w:ascii="Franklin Gothic Medium"/>
                <w:color w:val="292425"/>
                <w:sz w:val="16"/>
              </w:rPr>
              <w:t>355 </w:t>
            </w:r>
          </w:p>
        </w:tc>
        <w:tc>
          <w:tcPr>
            <w:tcW w:w="1282" w:type="dxa"/>
            <w:shd w:val="clear" w:color="auto" w:fill="AAADB0"/>
          </w:tcPr>
          <w:p>
            <w:pPr>
              <w:pStyle w:val="TableParagraph"/>
              <w:spacing w:before="97"/>
              <w:ind w:left="706"/>
              <w:rPr>
                <w:rFonts w:ascii="Franklin Gothic Medium"/>
                <w:sz w:val="16"/>
              </w:rPr>
            </w:pPr>
            <w:r>
              <w:rPr>
                <w:rFonts w:ascii="Franklin Gothic Medium"/>
                <w:color w:val="FFFFFF"/>
                <w:sz w:val="16"/>
              </w:rPr>
              <w:t>5.6%</w:t>
            </w:r>
          </w:p>
        </w:tc>
      </w:tr>
      <w:tr>
        <w:trPr>
          <w:trHeight w:val="371" w:hRule="exact"/>
        </w:trPr>
        <w:tc>
          <w:tcPr>
            <w:tcW w:w="4294" w:type="dxa"/>
          </w:tcPr>
          <w:p>
            <w:pPr>
              <w:pStyle w:val="TableParagraph"/>
              <w:spacing w:before="82"/>
              <w:ind w:left="36"/>
              <w:rPr>
                <w:i/>
                <w:sz w:val="16"/>
              </w:rPr>
            </w:pPr>
            <w:r>
              <w:rPr>
                <w:i/>
                <w:color w:val="292425"/>
                <w:w w:val="105"/>
                <w:sz w:val="16"/>
              </w:rPr>
              <w:t>Number of  Employees at  yearend</w:t>
            </w:r>
          </w:p>
        </w:tc>
        <w:tc>
          <w:tcPr>
            <w:tcW w:w="1738" w:type="dxa"/>
            <w:shd w:val="clear" w:color="auto" w:fill="CECFD1"/>
          </w:tcPr>
          <w:p>
            <w:pPr>
              <w:pStyle w:val="TableParagraph"/>
              <w:spacing w:before="112"/>
              <w:ind w:left="763"/>
              <w:rPr>
                <w:rFonts w:ascii="Franklin Gothic Medium"/>
                <w:sz w:val="16"/>
              </w:rPr>
            </w:pPr>
            <w:r>
              <w:rPr>
                <w:rFonts w:ascii="Franklin Gothic Medium"/>
                <w:color w:val="292425"/>
                <w:sz w:val="16"/>
              </w:rPr>
              <w:t>33,705 </w:t>
            </w:r>
          </w:p>
        </w:tc>
        <w:tc>
          <w:tcPr>
            <w:tcW w:w="1836" w:type="dxa"/>
          </w:tcPr>
          <w:p>
            <w:pPr>
              <w:pStyle w:val="TableParagraph"/>
              <w:spacing w:before="114"/>
              <w:ind w:left="869"/>
              <w:rPr>
                <w:rFonts w:ascii="Franklin Gothic Medium"/>
                <w:sz w:val="16"/>
              </w:rPr>
            </w:pPr>
            <w:r>
              <w:rPr>
                <w:rFonts w:ascii="Franklin Gothic Medium"/>
                <w:color w:val="292425"/>
                <w:sz w:val="16"/>
              </w:rPr>
              <w:t>31, 580 </w:t>
            </w:r>
          </w:p>
        </w:tc>
        <w:tc>
          <w:tcPr>
            <w:tcW w:w="1282" w:type="dxa"/>
            <w:shd w:val="clear" w:color="auto" w:fill="CECFD1"/>
          </w:tcPr>
          <w:p>
            <w:pPr>
              <w:pStyle w:val="TableParagraph"/>
              <w:spacing w:before="112"/>
              <w:ind w:left="698"/>
              <w:rPr>
                <w:rFonts w:ascii="Franklin Gothic Medium"/>
                <w:sz w:val="16"/>
              </w:rPr>
            </w:pPr>
            <w:r>
              <w:rPr>
                <w:rFonts w:ascii="Franklin Gothic Medium"/>
                <w:color w:val="292425"/>
                <w:sz w:val="16"/>
              </w:rPr>
              <w:t>6.7%</w:t>
            </w:r>
          </w:p>
        </w:tc>
      </w:tr>
    </w:tbl>
    <w:p>
      <w:pPr>
        <w:pStyle w:val="BodyText"/>
        <w:rPr>
          <w:rFonts w:ascii="Franklin Gothic Medium"/>
        </w:rPr>
      </w:pPr>
    </w:p>
    <w:p>
      <w:pPr>
        <w:pStyle w:val="BodyText"/>
        <w:rPr>
          <w:rFonts w:ascii="Franklin Gothic Medium"/>
        </w:rPr>
      </w:pPr>
    </w:p>
    <w:p>
      <w:pPr>
        <w:pStyle w:val="BodyText"/>
        <w:spacing w:before="4"/>
        <w:rPr>
          <w:rFonts w:ascii="Franklin Gothic Medium"/>
        </w:rPr>
      </w:pPr>
    </w:p>
    <w:p>
      <w:pPr>
        <w:spacing w:line="441" w:lineRule="auto" w:before="0"/>
        <w:ind w:left="1281" w:right="1272" w:firstLine="0"/>
        <w:jc w:val="both"/>
        <w:rPr>
          <w:sz w:val="16"/>
        </w:rPr>
      </w:pPr>
      <w:r>
        <w:rPr/>
        <w:pict>
          <v:group style="position:absolute;margin-left:65pt;margin-top:-409.752197pt;width:482.75pt;height:378.4pt;mso-position-horizontal-relative:page;mso-position-vertical-relative:paragraph;z-index:-279736" coordorigin="1300,-8195" coordsize="9655,7568">
            <v:shape style="position:absolute;left:1300;top:-8195;width:9655;height:7568" coordorigin="1300,-8195" coordsize="9655,7568" path="m5819,-1396l1300,-1396,1300,-1056,5819,-1056,5819,-1396m5819,-2103l1300,-2103,1300,-1763,5819,-1763,5819,-2103m5819,-2809l1300,-2809,1300,-2469,5819,-2469,5819,-2809m5819,-3516l1300,-3516,1300,-3175,5819,-3175,5819,-3516m5819,-4222l1300,-4222,1300,-3882,5819,-3882,5819,-4222m5819,-4929l1300,-4929,1300,-4588,5819,-4588,5819,-4929m5819,-5635l1300,-5635,1300,-5295,5819,-5295,5819,-5635m5819,-6341l1300,-6341,1300,-6001,5819,-6001,5819,-6341m5819,-7048l1300,-7048,1300,-6708,5819,-6708,5819,-7048m5819,-7754l1300,-7754,1300,-7414,5819,-7414,5819,-7754m7556,-1056l5819,-1056,5819,-658,7556,-658,7556,-1056m7556,-1763l5819,-1763,5819,-1396,7556,-1396,7556,-1763m7556,-2469l5819,-2469,5819,-2103,7556,-2103,7556,-2469m7556,-3175l5819,-3175,5819,-2809,7556,-2809,7556,-3175m7556,-3882l5819,-3882,5819,-3516,7556,-3516,7556,-3882m7556,-4588l5819,-4588,5819,-4222,7556,-4222,7556,-4588m7556,-5295l5819,-5295,5819,-4929,7556,-4929,7556,-5295m7556,-6001l5819,-6001,5819,-5635,7556,-5635,7556,-6001m7556,-6708l5819,-6708,5819,-6341,7556,-6341,7556,-6708m7556,-7414l5819,-7414,5819,-7048,7556,-7048,7556,-7414m7556,-8195l5819,-8195,5819,-7754,7556,-7754,7556,-8195m9392,-1396l7556,-1396,7556,-1056,9392,-1056,9392,-1396m9392,-2103l7556,-2103,7556,-1763,9392,-1763,9392,-2103m9392,-2809l7556,-2809,7556,-2469,9392,-2469,9392,-2809m9392,-3516l7556,-3516,7556,-3175,9392,-3175,9392,-3516m9392,-4222l7556,-4222,7556,-3882,9392,-3882,9392,-4222m9392,-4929l7556,-4929,7556,-4588,9392,-4588,9392,-4929m9392,-5635l7556,-5635,7556,-5295,9392,-5295,9392,-5635m9392,-6341l7556,-6341,7556,-6001,9392,-6001,9392,-6341m9392,-7048l7556,-7048,7556,-6708,9392,-6708,9392,-7048m9392,-7754l7556,-7754,7556,-7414,9392,-7414,9392,-7754m10954,-1056l9392,-1056,9392,-627,10954,-627,10954,-1056m10954,-1763l9392,-1763,9392,-1396,10954,-1396,10954,-1763m10954,-2469l9392,-2469,9392,-2103,10954,-2103,10954,-2469m10954,-3175l9392,-3175,9392,-2809,10954,-2809,10954,-3175m10954,-3882l9392,-3882,9392,-3516,10954,-3516,10954,-3882m10954,-4588l9392,-4588,9392,-4222,10954,-4222,10954,-4588m10954,-5295l9392,-5295,9392,-4929,10954,-4929,10954,-5295m10954,-6001l9392,-6001,9392,-5635,10954,-5635,10954,-6001m10954,-6708l9392,-6708,9392,-6341,10954,-6341,10954,-6708m10954,-7414l9392,-7414,9392,-7048,10954,-7048,10954,-7414m10954,-8191l9392,-8191,9392,-7754,10954,-7754,10954,-8191e" filled="true" fillcolor="#cecfd1" stroked="false">
              <v:path arrowok="t"/>
              <v:fill type="solid"/>
            </v:shape>
            <v:shape style="position:absolute;left:5819;top:-7754;width:5135;height:6699" coordorigin="5819,-7754" coordsize="5135,6699" path="m7556,-1396l5819,-1396,5819,-1056,7556,-1056,7556,-1396m7556,-2103l5819,-2103,5819,-1763,7556,-1763,7556,-2103m7556,-2809l5819,-2809,5819,-2469,7556,-2469,7556,-2809m7556,-3516l5819,-3516,5819,-3175,7556,-3175,7556,-3516m7556,-4222l5819,-4222,5819,-3882,7556,-3882,7556,-4222m7556,-4929l5819,-4929,5819,-4588,7556,-4588,7556,-4929m7556,-5635l5819,-5635,5819,-5295,7556,-5295,7556,-5635m7556,-6341l5819,-6341,5819,-6001,7556,-6001,7556,-6341m7556,-7048l5819,-7048,5819,-6708,7556,-6708,7556,-7048m7556,-7754l5819,-7754,5819,-7414,7556,-7414,7556,-7754m10953,-1396l9392,-1396,9392,-1056,10953,-1056,10953,-1396m10953,-2103l9392,-2103,9392,-1763,10953,-1763,10953,-2103m10953,-2809l9392,-2809,9392,-2469,10953,-2469,10953,-2809m10953,-3516l9392,-3516,9392,-3175,10953,-3175,10953,-3516m10953,-4222l9392,-4222,9392,-3882,10953,-3882,10953,-4222m10953,-4929l9392,-4929,9392,-4588,10953,-4588,10953,-4929m10953,-5635l9392,-5635,9392,-5295,10953,-5295,10953,-5635m10953,-6341l9392,-6341,9392,-6001,10953,-6001,10953,-6341m10953,-7048l9392,-7048,9392,-6708,10953,-6708,10953,-7048m10953,-7754l9392,-7754,9392,-7414,10953,-7414,10953,-7754e" filled="true" fillcolor="#aaadb0" stroked="false">
              <v:path arrowok="t"/>
              <v:fill type="solid"/>
            </v:shape>
            <w10:wrap type="none"/>
          </v:group>
        </w:pict>
      </w:r>
      <w:r>
        <w:rPr>
          <w:color w:val="292425"/>
          <w:w w:val="110"/>
          <w:sz w:val="16"/>
        </w:rPr>
        <w:t>Southwest Airlines Co. is the nation’s low-fare, high Customer Satisfaction airline. We primarily serve shorthaul city pairs, providing single-class air transportation which targets the business commuter as well as leisure travelers. The Company, incorporated in Texas, commenced Customer Service on June 18, 1971, with three Boeing 737 aircraft serving three Texas cities – Dallas, Houston, and San Antonio. At yearend 2002, Southwest operated 375 Boeing 737 aircraft and provided service to 59 airports in 30 states throughout the United States. Southwest has one of the lowest operating cost structures in the domestic airline industry and consistently offers the lowest and simplest fares. Southwest also has one of the best overall Customer Service records. LUV is our stock exchange symbol, selected to represent our home at Dallas Love Field, as well as the theme of our Employee and Customer relationships.</w:t>
      </w:r>
    </w:p>
    <w:p>
      <w:pPr>
        <w:spacing w:after="0" w:line="441" w:lineRule="auto"/>
        <w:jc w:val="both"/>
        <w:rPr>
          <w:sz w:val="16"/>
        </w:rPr>
        <w:sectPr>
          <w:type w:val="continuous"/>
          <w:pgSz w:w="12240" w:h="15840"/>
          <w:pgMar w:top="0" w:bottom="280" w:left="0" w:right="0"/>
        </w:sectPr>
      </w:pPr>
    </w:p>
    <w:p>
      <w:pPr>
        <w:tabs>
          <w:tab w:pos="896" w:val="left" w:leader="none"/>
        </w:tabs>
        <w:spacing w:before="5"/>
        <w:ind w:left="474" w:right="0" w:firstLine="0"/>
        <w:jc w:val="left"/>
        <w:rPr>
          <w:sz w:val="12"/>
        </w:rPr>
      </w:pPr>
      <w:r>
        <w:rPr/>
        <w:pict>
          <v:group style="position:absolute;margin-left:-.25pt;margin-top:-.27pt;width:612.5pt;height:18.5pt;mso-position-horizontal-relative:page;mso-position-vertical-relative:paragraph;z-index:-279208" coordorigin="-5,-5" coordsize="12250,370">
            <v:line style="position:absolute" from="720,0" to="720,360" stroked="true" strokeweight=".5pt" strokecolor="#292425">
              <v:stroke dashstyle="solid"/>
            </v:line>
            <v:line style="position:absolute" from="0,360" to="12240,360" stroked="true" strokeweight=".5pt" strokecolor="#292425">
              <v:stroke dashstyle="solid"/>
            </v:line>
            <w10:wrap type="none"/>
          </v:group>
        </w:pict>
      </w:r>
      <w:bookmarkStart w:name="The Airport Experience" w:id="12"/>
      <w:bookmarkEnd w:id="12"/>
      <w:r>
        <w:rPr/>
      </w:r>
      <w:r>
        <w:rPr>
          <w:color w:val="292425"/>
          <w:spacing w:val="4"/>
          <w:w w:val="135"/>
          <w:sz w:val="14"/>
        </w:rPr>
        <w:t>10</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4"/>
          <w:w w:val="155"/>
          <w:sz w:val="12"/>
        </w:rPr>
        <w:t>report  </w:t>
      </w:r>
      <w:r>
        <w:rPr>
          <w:color w:val="292425"/>
          <w:spacing w:val="1"/>
          <w:position w:val="-1"/>
          <w:sz w:val="12"/>
        </w:rPr>
        <w:drawing>
          <wp:inline distT="0" distB="0" distL="0" distR="0">
            <wp:extent cx="374738" cy="153416"/>
            <wp:effectExtent l="0" t="0" r="0" b="0"/>
            <wp:docPr id="13" name="image1.png" descr=""/>
            <wp:cNvGraphicFramePr>
              <a:graphicFrameLocks noChangeAspect="1"/>
            </wp:cNvGraphicFramePr>
            <a:graphic>
              <a:graphicData uri="http://schemas.openxmlformats.org/drawingml/2006/picture">
                <pic:pic>
                  <pic:nvPicPr>
                    <pic:cNvPr id="14" name="image1.png"/>
                    <pic:cNvPicPr/>
                  </pic:nvPicPr>
                  <pic:blipFill>
                    <a:blip r:embed="rId8" cstate="print"/>
                    <a:stretch>
                      <a:fillRect/>
                    </a:stretch>
                  </pic:blipFill>
                  <pic:spPr>
                    <a:xfrm>
                      <a:off x="0" y="0"/>
                      <a:ext cx="374738" cy="153416"/>
                    </a:xfrm>
                    <a:prstGeom prst="rect">
                      <a:avLst/>
                    </a:prstGeom>
                  </pic:spPr>
                </pic:pic>
              </a:graphicData>
            </a:graphic>
          </wp:inline>
        </w:drawing>
      </w:r>
      <w:r>
        <w:rPr>
          <w:color w:val="292425"/>
          <w:spacing w:val="1"/>
          <w:position w:val="-1"/>
          <w:sz w:val="12"/>
        </w:rPr>
      </w:r>
    </w:p>
    <w:p>
      <w:pPr>
        <w:pStyle w:val="BodyText"/>
      </w:pPr>
    </w:p>
    <w:p>
      <w:pPr>
        <w:pStyle w:val="BodyText"/>
      </w:pPr>
    </w:p>
    <w:p>
      <w:pPr>
        <w:pStyle w:val="BodyText"/>
        <w:spacing w:before="6"/>
        <w:rPr>
          <w:sz w:val="17"/>
        </w:rPr>
      </w:pPr>
    </w:p>
    <w:p>
      <w:pPr>
        <w:spacing w:before="91"/>
        <w:ind w:left="760" w:right="0" w:firstLine="0"/>
        <w:jc w:val="left"/>
        <w:rPr>
          <w:i/>
          <w:sz w:val="16"/>
        </w:rPr>
      </w:pPr>
      <w:r>
        <w:rPr>
          <w:i/>
          <w:color w:val="292425"/>
          <w:w w:val="105"/>
          <w:sz w:val="16"/>
        </w:rPr>
        <w:t>The Airport Experience</w:t>
      </w:r>
    </w:p>
    <w:p>
      <w:pPr>
        <w:pStyle w:val="BodyText"/>
        <w:rPr>
          <w:i/>
          <w:sz w:val="18"/>
        </w:rPr>
      </w:pPr>
    </w:p>
    <w:p>
      <w:pPr>
        <w:pStyle w:val="BodyText"/>
        <w:spacing w:before="5"/>
        <w:rPr>
          <w:i/>
          <w:sz w:val="18"/>
        </w:rPr>
      </w:pPr>
    </w:p>
    <w:p>
      <w:pPr>
        <w:spacing w:line="441" w:lineRule="auto" w:before="0"/>
        <w:ind w:left="760" w:right="1077" w:firstLine="360"/>
        <w:jc w:val="both"/>
        <w:rPr>
          <w:sz w:val="16"/>
        </w:rPr>
      </w:pPr>
      <w:r>
        <w:rPr>
          <w:color w:val="292425"/>
          <w:w w:val="105"/>
          <w:sz w:val="16"/>
        </w:rPr>
        <w:t>For our industry and air travelers, 2002 was a year of dramatic change in airport </w:t>
      </w:r>
      <w:r>
        <w:rPr>
          <w:color w:val="292425"/>
          <w:spacing w:val="-3"/>
          <w:w w:val="105"/>
          <w:sz w:val="16"/>
        </w:rPr>
        <w:t>security, </w:t>
      </w:r>
      <w:r>
        <w:rPr>
          <w:color w:val="292425"/>
          <w:w w:val="105"/>
          <w:sz w:val="16"/>
        </w:rPr>
        <w:t>resulting from the terrorist attacks on America in 2001. First, the federal government, through the Transportation Security Administration (TSA), assumed full responsibility for airport security in February 2002. By November 2002, federal employees had replaced virtually all contract airport security-related personnel. Since September 11, 2001, new procedures have been instituted to screen checked bags for explosives; screen carryon bags for weapons and/or explosives; match  bags checked           to passengers onboard;  and  positively  identify  all  </w:t>
      </w:r>
      <w:r>
        <w:rPr>
          <w:color w:val="292425"/>
          <w:spacing w:val="2"/>
          <w:w w:val="105"/>
          <w:sz w:val="16"/>
        </w:rPr>
        <w:t>Customers.  </w:t>
      </w:r>
      <w:r>
        <w:rPr>
          <w:color w:val="292425"/>
          <w:w w:val="105"/>
          <w:sz w:val="16"/>
        </w:rPr>
        <w:t>Effective  December  31,  2002,  all  checked  bags  are  now  screened  for  explosives, as mandated by federal </w:t>
      </w:r>
      <w:r>
        <w:rPr>
          <w:color w:val="292425"/>
          <w:spacing w:val="18"/>
          <w:w w:val="105"/>
          <w:sz w:val="16"/>
        </w:rPr>
        <w:t> </w:t>
      </w:r>
      <w:r>
        <w:rPr>
          <w:color w:val="292425"/>
          <w:spacing w:val="-4"/>
          <w:w w:val="105"/>
          <w:sz w:val="16"/>
        </w:rPr>
        <w:t>law.</w:t>
      </w:r>
    </w:p>
    <w:p>
      <w:pPr>
        <w:spacing w:line="441" w:lineRule="auto" w:before="0"/>
        <w:ind w:left="760" w:right="1075" w:firstLine="360"/>
        <w:jc w:val="both"/>
        <w:rPr>
          <w:sz w:val="16"/>
        </w:rPr>
      </w:pPr>
      <w:r>
        <w:rPr>
          <w:color w:val="292425"/>
          <w:w w:val="105"/>
          <w:sz w:val="16"/>
        </w:rPr>
        <w:t>For the industry and our Customers, these changes initially presented challenges. Checkin times were longer and so  were  checkin  lines. Customers were forced to arrive </w:t>
      </w:r>
      <w:r>
        <w:rPr>
          <w:color w:val="292425"/>
          <w:spacing w:val="-3"/>
          <w:w w:val="105"/>
          <w:sz w:val="16"/>
        </w:rPr>
        <w:t>earlier, </w:t>
      </w:r>
      <w:r>
        <w:rPr>
          <w:color w:val="292425"/>
          <w:w w:val="105"/>
          <w:sz w:val="16"/>
        </w:rPr>
        <w:t>creating more airport congestion. Fortunately, these new processes have been streamlined, and checkin times are mostly back to normal. </w:t>
      </w:r>
      <w:r>
        <w:rPr>
          <w:color w:val="292425"/>
          <w:spacing w:val="-8"/>
          <w:w w:val="105"/>
          <w:sz w:val="16"/>
        </w:rPr>
        <w:t>To </w:t>
      </w:r>
      <w:r>
        <w:rPr>
          <w:color w:val="292425"/>
          <w:w w:val="105"/>
          <w:sz w:val="16"/>
        </w:rPr>
        <w:t>facilitate this, Southwest changed several longtime procedures with automation. </w:t>
      </w:r>
      <w:r>
        <w:rPr>
          <w:color w:val="292425"/>
          <w:spacing w:val="-4"/>
          <w:w w:val="105"/>
          <w:sz w:val="16"/>
        </w:rPr>
        <w:t>We </w:t>
      </w:r>
      <w:r>
        <w:rPr>
          <w:color w:val="292425"/>
          <w:w w:val="105"/>
          <w:sz w:val="16"/>
        </w:rPr>
        <w:t>implemented computer-generated baggage tags to electronically capture bags checked by Customers. </w:t>
      </w:r>
      <w:r>
        <w:rPr>
          <w:color w:val="292425"/>
          <w:spacing w:val="-4"/>
          <w:w w:val="105"/>
          <w:sz w:val="16"/>
        </w:rPr>
        <w:t>We  </w:t>
      </w:r>
      <w:r>
        <w:rPr>
          <w:color w:val="292425"/>
          <w:w w:val="105"/>
          <w:sz w:val="16"/>
        </w:rPr>
        <w:t>implemented computer-generated boarding passes from multiple points in      the airport. This allows us to identify the Customer by name for boarding purposes and allows the Customer a more convenient checkin through standing in </w:t>
      </w:r>
      <w:r>
        <w:rPr>
          <w:color w:val="292425"/>
          <w:spacing w:val="-4"/>
          <w:w w:val="105"/>
          <w:sz w:val="16"/>
        </w:rPr>
        <w:t>fewer </w:t>
      </w:r>
      <w:r>
        <w:rPr>
          <w:color w:val="292425"/>
          <w:spacing w:val="-3"/>
          <w:w w:val="105"/>
          <w:sz w:val="16"/>
        </w:rPr>
        <w:t>lines. </w:t>
      </w:r>
      <w:r>
        <w:rPr>
          <w:color w:val="292425"/>
          <w:spacing w:val="-5"/>
          <w:w w:val="105"/>
          <w:sz w:val="16"/>
        </w:rPr>
        <w:t>We </w:t>
      </w:r>
      <w:r>
        <w:rPr>
          <w:color w:val="292425"/>
          <w:spacing w:val="-3"/>
          <w:w w:val="105"/>
          <w:sz w:val="16"/>
        </w:rPr>
        <w:t>also implemented self-service boarding pass kiosks, </w:t>
      </w:r>
      <w:r>
        <w:rPr>
          <w:color w:val="292425"/>
          <w:w w:val="105"/>
          <w:sz w:val="16"/>
        </w:rPr>
        <w:t>or </w:t>
      </w:r>
      <w:r>
        <w:rPr>
          <w:color w:val="292425"/>
          <w:spacing w:val="-3"/>
          <w:w w:val="105"/>
          <w:sz w:val="16"/>
        </w:rPr>
        <w:t>RAPID CHECK-IN, </w:t>
      </w:r>
      <w:r>
        <w:rPr>
          <w:color w:val="292425"/>
          <w:w w:val="105"/>
          <w:sz w:val="16"/>
        </w:rPr>
        <w:t>to </w:t>
      </w:r>
      <w:r>
        <w:rPr>
          <w:color w:val="292425"/>
          <w:spacing w:val="-3"/>
          <w:w w:val="105"/>
          <w:sz w:val="16"/>
        </w:rPr>
        <w:t>allow </w:t>
      </w:r>
      <w:r>
        <w:rPr>
          <w:color w:val="292425"/>
          <w:w w:val="105"/>
          <w:sz w:val="16"/>
        </w:rPr>
        <w:t>our </w:t>
      </w:r>
      <w:r>
        <w:rPr>
          <w:color w:val="292425"/>
          <w:spacing w:val="-3"/>
          <w:w w:val="105"/>
          <w:sz w:val="16"/>
        </w:rPr>
        <w:t>Customers plenty </w:t>
      </w:r>
      <w:r>
        <w:rPr>
          <w:color w:val="292425"/>
          <w:w w:val="105"/>
          <w:sz w:val="16"/>
        </w:rPr>
        <w:t>of </w:t>
      </w:r>
      <w:r>
        <w:rPr>
          <w:color w:val="292425"/>
          <w:spacing w:val="-3"/>
          <w:w w:val="105"/>
          <w:sz w:val="16"/>
        </w:rPr>
        <w:t>options </w:t>
      </w:r>
      <w:r>
        <w:rPr>
          <w:color w:val="292425"/>
          <w:w w:val="105"/>
          <w:sz w:val="16"/>
        </w:rPr>
        <w:t>to </w:t>
      </w:r>
      <w:r>
        <w:rPr>
          <w:color w:val="292425"/>
          <w:spacing w:val="-3"/>
          <w:w w:val="105"/>
          <w:sz w:val="16"/>
        </w:rPr>
        <w:t>acquire boarding passes  </w:t>
      </w:r>
      <w:r>
        <w:rPr>
          <w:color w:val="292425"/>
          <w:w w:val="105"/>
          <w:sz w:val="16"/>
        </w:rPr>
        <w:t>and alleviate checkin lines at ticket and gate counters. And we eased the airport workload for our Employees and Customers by  </w:t>
      </w:r>
      <w:r>
        <w:rPr>
          <w:color w:val="292425"/>
          <w:spacing w:val="2"/>
          <w:w w:val="105"/>
          <w:sz w:val="16"/>
        </w:rPr>
        <w:t>allowing </w:t>
      </w:r>
      <w:r>
        <w:rPr>
          <w:color w:val="292425"/>
          <w:w w:val="105"/>
          <w:sz w:val="16"/>
        </w:rPr>
        <w:t>for </w:t>
      </w:r>
      <w:r>
        <w:rPr>
          <w:color w:val="292425"/>
          <w:spacing w:val="2"/>
          <w:w w:val="105"/>
          <w:sz w:val="16"/>
        </w:rPr>
        <w:t>Rapid </w:t>
      </w:r>
      <w:r>
        <w:rPr>
          <w:color w:val="292425"/>
          <w:w w:val="105"/>
          <w:sz w:val="16"/>
        </w:rPr>
        <w:t>Rewards </w:t>
      </w:r>
      <w:r>
        <w:rPr>
          <w:color w:val="292425"/>
          <w:spacing w:val="2"/>
          <w:w w:val="105"/>
          <w:sz w:val="16"/>
        </w:rPr>
        <w:t>credit </w:t>
      </w:r>
      <w:r>
        <w:rPr>
          <w:color w:val="292425"/>
          <w:w w:val="105"/>
          <w:sz w:val="16"/>
        </w:rPr>
        <w:t>at </w:t>
      </w:r>
      <w:r>
        <w:rPr>
          <w:color w:val="292425"/>
          <w:spacing w:val="2"/>
          <w:w w:val="105"/>
          <w:sz w:val="16"/>
        </w:rPr>
        <w:t>time </w:t>
      </w:r>
      <w:r>
        <w:rPr>
          <w:color w:val="292425"/>
          <w:w w:val="105"/>
          <w:sz w:val="16"/>
        </w:rPr>
        <w:t>of </w:t>
      </w:r>
      <w:r>
        <w:rPr>
          <w:color w:val="292425"/>
          <w:spacing w:val="3"/>
          <w:w w:val="105"/>
          <w:sz w:val="16"/>
        </w:rPr>
        <w:t>reservation </w:t>
      </w:r>
      <w:r>
        <w:rPr>
          <w:color w:val="292425"/>
          <w:spacing w:val="2"/>
          <w:w w:val="105"/>
          <w:sz w:val="16"/>
        </w:rPr>
        <w:t>rather than </w:t>
      </w:r>
      <w:r>
        <w:rPr>
          <w:color w:val="292425"/>
          <w:w w:val="105"/>
          <w:sz w:val="16"/>
        </w:rPr>
        <w:t>at the </w:t>
      </w:r>
      <w:r>
        <w:rPr>
          <w:color w:val="292425"/>
          <w:spacing w:val="3"/>
          <w:w w:val="105"/>
          <w:sz w:val="16"/>
        </w:rPr>
        <w:t>airport, </w:t>
      </w:r>
      <w:r>
        <w:rPr>
          <w:color w:val="292425"/>
          <w:spacing w:val="2"/>
          <w:w w:val="105"/>
          <w:sz w:val="16"/>
        </w:rPr>
        <w:t>which means </w:t>
      </w:r>
      <w:r>
        <w:rPr>
          <w:color w:val="292425"/>
          <w:w w:val="105"/>
          <w:sz w:val="16"/>
        </w:rPr>
        <w:t>one </w:t>
      </w:r>
      <w:r>
        <w:rPr>
          <w:color w:val="292425"/>
          <w:spacing w:val="2"/>
          <w:w w:val="105"/>
          <w:sz w:val="16"/>
        </w:rPr>
        <w:t>less step </w:t>
      </w:r>
      <w:r>
        <w:rPr>
          <w:color w:val="292425"/>
          <w:w w:val="105"/>
          <w:sz w:val="16"/>
        </w:rPr>
        <w:t>for our </w:t>
      </w:r>
      <w:r>
        <w:rPr>
          <w:color w:val="292425"/>
          <w:spacing w:val="2"/>
          <w:w w:val="105"/>
          <w:sz w:val="16"/>
        </w:rPr>
        <w:t>Employees </w:t>
      </w:r>
      <w:r>
        <w:rPr>
          <w:color w:val="292425"/>
          <w:w w:val="105"/>
          <w:sz w:val="16"/>
        </w:rPr>
        <w:t>and </w:t>
      </w:r>
      <w:r>
        <w:rPr>
          <w:color w:val="292425"/>
          <w:spacing w:val="3"/>
          <w:w w:val="105"/>
          <w:sz w:val="16"/>
        </w:rPr>
        <w:t>greater </w:t>
      </w:r>
      <w:r>
        <w:rPr>
          <w:color w:val="292425"/>
          <w:w w:val="105"/>
          <w:sz w:val="16"/>
        </w:rPr>
        <w:t>convenience</w:t>
      </w:r>
      <w:r>
        <w:rPr>
          <w:color w:val="292425"/>
          <w:spacing w:val="13"/>
          <w:w w:val="105"/>
          <w:sz w:val="16"/>
        </w:rPr>
        <w:t> </w:t>
      </w:r>
      <w:r>
        <w:rPr>
          <w:color w:val="292425"/>
          <w:w w:val="105"/>
          <w:sz w:val="16"/>
        </w:rPr>
        <w:t>for</w:t>
      </w:r>
      <w:r>
        <w:rPr>
          <w:color w:val="292425"/>
          <w:spacing w:val="13"/>
          <w:w w:val="105"/>
          <w:sz w:val="16"/>
        </w:rPr>
        <w:t> </w:t>
      </w:r>
      <w:r>
        <w:rPr>
          <w:color w:val="292425"/>
          <w:w w:val="105"/>
          <w:sz w:val="16"/>
        </w:rPr>
        <w:t>our</w:t>
      </w:r>
      <w:r>
        <w:rPr>
          <w:color w:val="292425"/>
          <w:spacing w:val="13"/>
          <w:w w:val="105"/>
          <w:sz w:val="16"/>
        </w:rPr>
        <w:t> </w:t>
      </w:r>
      <w:r>
        <w:rPr>
          <w:color w:val="292425"/>
          <w:w w:val="105"/>
          <w:sz w:val="16"/>
        </w:rPr>
        <w:t>Customers.</w:t>
      </w:r>
      <w:r>
        <w:rPr>
          <w:color w:val="292425"/>
          <w:spacing w:val="13"/>
          <w:w w:val="105"/>
          <w:sz w:val="16"/>
        </w:rPr>
        <w:t> </w:t>
      </w:r>
      <w:r>
        <w:rPr>
          <w:color w:val="292425"/>
          <w:w w:val="105"/>
          <w:sz w:val="16"/>
        </w:rPr>
        <w:t>Our</w:t>
      </w:r>
      <w:r>
        <w:rPr>
          <w:color w:val="292425"/>
          <w:spacing w:val="13"/>
          <w:w w:val="105"/>
          <w:sz w:val="16"/>
        </w:rPr>
        <w:t> </w:t>
      </w:r>
      <w:r>
        <w:rPr>
          <w:color w:val="292425"/>
          <w:w w:val="105"/>
          <w:sz w:val="16"/>
        </w:rPr>
        <w:t>Employees</w:t>
      </w:r>
      <w:r>
        <w:rPr>
          <w:color w:val="292425"/>
          <w:spacing w:val="13"/>
          <w:w w:val="105"/>
          <w:sz w:val="16"/>
        </w:rPr>
        <w:t> </w:t>
      </w:r>
      <w:r>
        <w:rPr>
          <w:color w:val="292425"/>
          <w:w w:val="105"/>
          <w:sz w:val="16"/>
        </w:rPr>
        <w:t>responded</w:t>
      </w:r>
      <w:r>
        <w:rPr>
          <w:color w:val="292425"/>
          <w:spacing w:val="13"/>
          <w:w w:val="105"/>
          <w:sz w:val="16"/>
        </w:rPr>
        <w:t> </w:t>
      </w:r>
      <w:r>
        <w:rPr>
          <w:color w:val="292425"/>
          <w:w w:val="105"/>
          <w:sz w:val="16"/>
        </w:rPr>
        <w:t>to</w:t>
      </w:r>
      <w:r>
        <w:rPr>
          <w:color w:val="292425"/>
          <w:spacing w:val="13"/>
          <w:w w:val="105"/>
          <w:sz w:val="16"/>
        </w:rPr>
        <w:t> </w:t>
      </w:r>
      <w:r>
        <w:rPr>
          <w:color w:val="292425"/>
          <w:w w:val="105"/>
          <w:sz w:val="16"/>
        </w:rPr>
        <w:t>dramatic</w:t>
      </w:r>
      <w:r>
        <w:rPr>
          <w:color w:val="292425"/>
          <w:spacing w:val="13"/>
          <w:w w:val="105"/>
          <w:sz w:val="16"/>
        </w:rPr>
        <w:t> </w:t>
      </w:r>
      <w:r>
        <w:rPr>
          <w:color w:val="292425"/>
          <w:w w:val="105"/>
          <w:sz w:val="16"/>
        </w:rPr>
        <w:t>changes</w:t>
      </w:r>
      <w:r>
        <w:rPr>
          <w:color w:val="292425"/>
          <w:spacing w:val="13"/>
          <w:w w:val="105"/>
          <w:sz w:val="16"/>
        </w:rPr>
        <w:t> </w:t>
      </w:r>
      <w:r>
        <w:rPr>
          <w:color w:val="292425"/>
          <w:w w:val="105"/>
          <w:sz w:val="16"/>
        </w:rPr>
        <w:t>at</w:t>
      </w:r>
      <w:r>
        <w:rPr>
          <w:color w:val="292425"/>
          <w:spacing w:val="13"/>
          <w:w w:val="105"/>
          <w:sz w:val="16"/>
        </w:rPr>
        <w:t> </w:t>
      </w:r>
      <w:r>
        <w:rPr>
          <w:color w:val="292425"/>
          <w:w w:val="105"/>
          <w:sz w:val="16"/>
        </w:rPr>
        <w:t>the</w:t>
      </w:r>
      <w:r>
        <w:rPr>
          <w:color w:val="292425"/>
          <w:spacing w:val="13"/>
          <w:w w:val="105"/>
          <w:sz w:val="16"/>
        </w:rPr>
        <w:t> </w:t>
      </w:r>
      <w:r>
        <w:rPr>
          <w:color w:val="292425"/>
          <w:w w:val="105"/>
          <w:sz w:val="16"/>
        </w:rPr>
        <w:t>airport</w:t>
      </w:r>
      <w:r>
        <w:rPr>
          <w:color w:val="292425"/>
          <w:spacing w:val="13"/>
          <w:w w:val="105"/>
          <w:sz w:val="16"/>
        </w:rPr>
        <w:t> </w:t>
      </w:r>
      <w:r>
        <w:rPr>
          <w:color w:val="292425"/>
          <w:w w:val="105"/>
          <w:sz w:val="16"/>
        </w:rPr>
        <w:t>in</w:t>
      </w:r>
      <w:r>
        <w:rPr>
          <w:color w:val="292425"/>
          <w:spacing w:val="13"/>
          <w:w w:val="105"/>
          <w:sz w:val="16"/>
        </w:rPr>
        <w:t> </w:t>
      </w:r>
      <w:r>
        <w:rPr>
          <w:color w:val="292425"/>
          <w:w w:val="105"/>
          <w:sz w:val="16"/>
        </w:rPr>
        <w:t>typical</w:t>
      </w:r>
      <w:r>
        <w:rPr>
          <w:color w:val="292425"/>
          <w:spacing w:val="13"/>
          <w:w w:val="105"/>
          <w:sz w:val="16"/>
        </w:rPr>
        <w:t> </w:t>
      </w:r>
      <w:r>
        <w:rPr>
          <w:color w:val="292425"/>
          <w:w w:val="105"/>
          <w:sz w:val="16"/>
        </w:rPr>
        <w:t>Southwest</w:t>
      </w:r>
      <w:r>
        <w:rPr>
          <w:color w:val="292425"/>
          <w:spacing w:val="13"/>
          <w:w w:val="105"/>
          <w:sz w:val="16"/>
        </w:rPr>
        <w:t> </w:t>
      </w:r>
      <w:r>
        <w:rPr>
          <w:color w:val="292425"/>
          <w:w w:val="105"/>
          <w:sz w:val="16"/>
        </w:rPr>
        <w:t>fashion.</w:t>
      </w:r>
      <w:r>
        <w:rPr>
          <w:color w:val="292425"/>
          <w:spacing w:val="13"/>
          <w:w w:val="105"/>
          <w:sz w:val="16"/>
        </w:rPr>
        <w:t> </w:t>
      </w:r>
      <w:r>
        <w:rPr>
          <w:color w:val="292425"/>
          <w:w w:val="105"/>
          <w:sz w:val="16"/>
        </w:rPr>
        <w:t>The</w:t>
      </w:r>
      <w:r>
        <w:rPr>
          <w:color w:val="292425"/>
          <w:spacing w:val="13"/>
          <w:w w:val="105"/>
          <w:sz w:val="16"/>
        </w:rPr>
        <w:t> </w:t>
      </w:r>
      <w:r>
        <w:rPr>
          <w:color w:val="292425"/>
          <w:w w:val="105"/>
          <w:sz w:val="16"/>
        </w:rPr>
        <w:t>results</w:t>
      </w:r>
      <w:r>
        <w:rPr>
          <w:color w:val="292425"/>
          <w:spacing w:val="13"/>
          <w:w w:val="105"/>
          <w:sz w:val="16"/>
        </w:rPr>
        <w:t> </w:t>
      </w:r>
      <w:r>
        <w:rPr>
          <w:color w:val="292425"/>
          <w:w w:val="105"/>
          <w:sz w:val="16"/>
        </w:rPr>
        <w:t>are</w:t>
      </w:r>
      <w:r>
        <w:rPr>
          <w:color w:val="292425"/>
          <w:spacing w:val="13"/>
          <w:w w:val="105"/>
          <w:sz w:val="16"/>
        </w:rPr>
        <w:t> </w:t>
      </w:r>
      <w:r>
        <w:rPr>
          <w:color w:val="292425"/>
          <w:w w:val="105"/>
          <w:sz w:val="16"/>
        </w:rPr>
        <w:t>superb.</w:t>
      </w:r>
    </w:p>
    <w:p>
      <w:pPr>
        <w:pStyle w:val="BodyText"/>
        <w:spacing w:before="11"/>
        <w:rPr>
          <w:sz w:val="22"/>
        </w:rPr>
      </w:pPr>
    </w:p>
    <w:p>
      <w:pPr>
        <w:spacing w:before="0"/>
        <w:ind w:left="760" w:right="0" w:firstLine="0"/>
        <w:jc w:val="left"/>
        <w:rPr>
          <w:i/>
          <w:sz w:val="16"/>
        </w:rPr>
      </w:pPr>
      <w:r>
        <w:rPr>
          <w:i/>
          <w:color w:val="292425"/>
          <w:w w:val="105"/>
          <w:sz w:val="16"/>
        </w:rPr>
        <w:t>Sales  and Distribution</w:t>
      </w:r>
    </w:p>
    <w:p>
      <w:pPr>
        <w:pStyle w:val="BodyText"/>
        <w:rPr>
          <w:i/>
          <w:sz w:val="18"/>
        </w:rPr>
      </w:pPr>
    </w:p>
    <w:p>
      <w:pPr>
        <w:pStyle w:val="BodyText"/>
        <w:spacing w:before="4"/>
        <w:rPr>
          <w:i/>
          <w:sz w:val="18"/>
        </w:rPr>
      </w:pPr>
    </w:p>
    <w:p>
      <w:pPr>
        <w:spacing w:line="441" w:lineRule="auto" w:before="0"/>
        <w:ind w:left="760" w:right="1079" w:firstLine="360"/>
        <w:jc w:val="both"/>
        <w:rPr>
          <w:sz w:val="16"/>
        </w:rPr>
      </w:pPr>
      <w:r>
        <w:rPr>
          <w:color w:val="292425"/>
          <w:w w:val="105"/>
          <w:sz w:val="16"/>
        </w:rPr>
        <w:t>Southwest leads the industry in Customer satisfaction, particularly the ease with which Customers can buy seats on  Southwest  Airlines. Southwest operates nine reservations centers with more than 4,000 Southwest Reservations Sales Agents, who handle  a  variety  of  different  Customer Service tasks. Thirty percent of </w:t>
      </w:r>
      <w:r>
        <w:rPr>
          <w:color w:val="292425"/>
          <w:spacing w:val="-3"/>
          <w:w w:val="105"/>
          <w:sz w:val="16"/>
        </w:rPr>
        <w:t>Southwest’s  </w:t>
      </w:r>
      <w:r>
        <w:rPr>
          <w:color w:val="292425"/>
          <w:w w:val="105"/>
          <w:sz w:val="16"/>
        </w:rPr>
        <w:t>sales are handled through Southwest reservations centers. </w:t>
      </w:r>
      <w:r>
        <w:rPr>
          <w:color w:val="292425"/>
          <w:spacing w:val="-4"/>
          <w:w w:val="105"/>
          <w:sz w:val="16"/>
        </w:rPr>
        <w:t>Travel  </w:t>
      </w:r>
      <w:r>
        <w:rPr>
          <w:color w:val="292425"/>
          <w:w w:val="105"/>
          <w:sz w:val="16"/>
        </w:rPr>
        <w:t>agents are valued partners       of Southwest and handle almost 20 percent of sales, earning a five-percent commission, the highest in the airline industry. </w:t>
      </w:r>
      <w:r>
        <w:rPr>
          <w:color w:val="292425"/>
          <w:spacing w:val="-3"/>
          <w:w w:val="105"/>
          <w:sz w:val="16"/>
        </w:rPr>
        <w:t>Southwest’s </w:t>
      </w:r>
      <w:r>
        <w:rPr>
          <w:color w:val="292425"/>
          <w:w w:val="105"/>
          <w:sz w:val="16"/>
        </w:rPr>
        <w:t>newest sales distribution avenue is the Internet, via southwest.com, which now accounts for almost 50 percent of Southwest sales. Customers find the low fares </w:t>
      </w:r>
      <w:r>
        <w:rPr>
          <w:color w:val="292425"/>
          <w:spacing w:val="38"/>
          <w:w w:val="105"/>
          <w:sz w:val="16"/>
        </w:rPr>
        <w:t> </w:t>
      </w:r>
      <w:r>
        <w:rPr>
          <w:color w:val="292425"/>
          <w:w w:val="105"/>
          <w:sz w:val="16"/>
        </w:rPr>
        <w:t>they desire in a user-friendly </w:t>
      </w:r>
      <w:r>
        <w:rPr>
          <w:color w:val="292425"/>
          <w:spacing w:val="-6"/>
          <w:w w:val="105"/>
          <w:sz w:val="16"/>
        </w:rPr>
        <w:t>way. </w:t>
      </w:r>
      <w:r>
        <w:rPr>
          <w:color w:val="292425"/>
          <w:w w:val="105"/>
          <w:sz w:val="16"/>
        </w:rPr>
        <w:t>And it is cost-effective for Southwest, as  </w:t>
      </w:r>
      <w:r>
        <w:rPr>
          <w:color w:val="292425"/>
          <w:spacing w:val="31"/>
          <w:w w:val="105"/>
          <w:sz w:val="16"/>
        </w:rPr>
        <w:t> </w:t>
      </w:r>
      <w:r>
        <w:rPr>
          <w:color w:val="292425"/>
          <w:w w:val="105"/>
          <w:sz w:val="16"/>
        </w:rPr>
        <w:t>well.</w:t>
      </w:r>
    </w:p>
    <w:p>
      <w:pPr>
        <w:pStyle w:val="BodyText"/>
        <w:spacing w:before="11"/>
        <w:rPr>
          <w:sz w:val="22"/>
        </w:rPr>
      </w:pPr>
    </w:p>
    <w:p>
      <w:pPr>
        <w:spacing w:before="0"/>
        <w:ind w:left="760" w:right="0" w:firstLine="0"/>
        <w:jc w:val="left"/>
        <w:rPr>
          <w:i/>
          <w:sz w:val="16"/>
        </w:rPr>
      </w:pPr>
      <w:r>
        <w:rPr>
          <w:i/>
          <w:color w:val="292425"/>
          <w:w w:val="105"/>
          <w:sz w:val="16"/>
        </w:rPr>
        <w:t>All-Jet Fleet</w:t>
      </w:r>
    </w:p>
    <w:p>
      <w:pPr>
        <w:pStyle w:val="BodyText"/>
        <w:rPr>
          <w:i/>
          <w:sz w:val="18"/>
        </w:rPr>
      </w:pPr>
    </w:p>
    <w:p>
      <w:pPr>
        <w:pStyle w:val="BodyText"/>
        <w:spacing w:before="4"/>
        <w:rPr>
          <w:i/>
          <w:sz w:val="18"/>
        </w:rPr>
      </w:pPr>
    </w:p>
    <w:p>
      <w:pPr>
        <w:spacing w:line="441" w:lineRule="auto" w:before="1"/>
        <w:ind w:left="760" w:right="1078" w:firstLine="360"/>
        <w:jc w:val="both"/>
        <w:rPr>
          <w:sz w:val="16"/>
        </w:rPr>
      </w:pPr>
      <w:r>
        <w:rPr>
          <w:color w:val="292425"/>
          <w:w w:val="105"/>
          <w:sz w:val="16"/>
        </w:rPr>
        <w:t>Southwest operates an all-coach, all-Boeing 737 fleet of 375 aircraft, as of the end of 2002. All 413 orders, options, and purchase  rights with       The Boeing Company for 2003 through 2012 are B737-700s. The average age of this young fleet is 9.2 years. As the -700 model is our future, we           are in the process of retiring our -200 fleet over the next three years. Since 2001, we have been renewing our fleet with fresh new interior </w:t>
      </w:r>
      <w:r>
        <w:rPr>
          <w:color w:val="292425"/>
          <w:spacing w:val="2"/>
          <w:w w:val="105"/>
          <w:sz w:val="16"/>
        </w:rPr>
        <w:t>and     </w:t>
      </w:r>
      <w:r>
        <w:rPr>
          <w:color w:val="292425"/>
          <w:w w:val="105"/>
          <w:sz w:val="16"/>
        </w:rPr>
        <w:t>exterior looks complemented </w:t>
      </w:r>
      <w:r>
        <w:rPr>
          <w:color w:val="292425"/>
          <w:spacing w:val="-3"/>
          <w:w w:val="105"/>
          <w:sz w:val="16"/>
        </w:rPr>
        <w:t>by </w:t>
      </w:r>
      <w:r>
        <w:rPr>
          <w:color w:val="292425"/>
          <w:w w:val="105"/>
          <w:sz w:val="16"/>
        </w:rPr>
        <w:t>comfortable leather-covered</w:t>
      </w:r>
      <w:r>
        <w:rPr>
          <w:color w:val="292425"/>
          <w:spacing w:val="15"/>
          <w:w w:val="105"/>
          <w:sz w:val="16"/>
        </w:rPr>
        <w:t> </w:t>
      </w:r>
      <w:r>
        <w:rPr>
          <w:color w:val="292425"/>
          <w:w w:val="105"/>
          <w:sz w:val="16"/>
        </w:rPr>
        <w:t>seats.</w:t>
      </w:r>
    </w:p>
    <w:p>
      <w:pPr>
        <w:spacing w:after="0" w:line="441" w:lineRule="auto"/>
        <w:jc w:val="both"/>
        <w:rPr>
          <w:sz w:val="16"/>
        </w:rPr>
        <w:sectPr>
          <w:headerReference w:type="even" r:id="rId31"/>
          <w:pgSz w:w="12240" w:h="15840"/>
          <w:pgMar w:header="0" w:footer="0" w:top="360" w:bottom="280" w:left="0" w:right="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
        <w:rPr>
          <w:sz w:val="16"/>
        </w:rPr>
      </w:pPr>
    </w:p>
    <w:p>
      <w:pPr>
        <w:pStyle w:val="BodyText"/>
        <w:ind w:left="4516"/>
      </w:pPr>
      <w:r>
        <w:rPr/>
        <w:pict>
          <v:shape style="width:162pt;height:36pt;mso-position-horizontal-relative:char;mso-position-vertical-relative:line" type="#_x0000_t202" filled="true" fillcolor="#febd15" stroked="false">
            <w10:anchorlock/>
            <v:textbox inset="0,0,0,0">
              <w:txbxContent>
                <w:p>
                  <w:pPr>
                    <w:spacing w:before="217"/>
                    <w:ind w:left="326" w:right="0" w:firstLine="0"/>
                    <w:jc w:val="left"/>
                    <w:rPr>
                      <w:sz w:val="22"/>
                    </w:rPr>
                  </w:pPr>
                  <w:r>
                    <w:rPr>
                      <w:color w:val="FFFFFF"/>
                      <w:w w:val="135"/>
                      <w:sz w:val="22"/>
                    </w:rPr>
                    <w:t>FOND F ARE WELL</w:t>
                  </w:r>
                  <w:r>
                    <w:rPr>
                      <w:color w:val="FFFFFF"/>
                      <w:sz w:val="22"/>
                    </w:rPr>
                    <w:t> </w:t>
                  </w:r>
                </w:p>
              </w:txbxContent>
            </v:textbox>
            <v:fill type="solid"/>
          </v:shape>
        </w:pict>
      </w:r>
      <w:r>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spacing w:after="0"/>
        <w:sectPr>
          <w:headerReference w:type="default" r:id="rId32"/>
          <w:pgSz w:w="12240" w:h="15840"/>
          <w:pgMar w:header="0" w:footer="0" w:top="0" w:bottom="0" w:left="0" w:right="0"/>
        </w:sectPr>
      </w:pPr>
    </w:p>
    <w:p>
      <w:pPr>
        <w:pStyle w:val="BodyText"/>
        <w:rPr>
          <w:sz w:val="14"/>
        </w:rPr>
      </w:pPr>
    </w:p>
    <w:p>
      <w:pPr>
        <w:spacing w:before="92"/>
        <w:ind w:left="0" w:right="0" w:firstLine="0"/>
        <w:jc w:val="right"/>
        <w:rPr>
          <w:sz w:val="12"/>
        </w:rPr>
      </w:pPr>
      <w:r>
        <w:rPr/>
        <w:pict>
          <v:group style="position:absolute;margin-left:-.25pt;margin-top:-461.104584pt;width:612.5pt;height:611.950pt;mso-position-horizontal-relative:page;mso-position-vertical-relative:paragraph;z-index:-279160" coordorigin="-5,-9222" coordsize="12250,12239">
            <v:rect style="position:absolute;left:0;top:-942;width:12240;height:3959" filled="true" fillcolor="#e2e3e3" stroked="false">
              <v:fill type="solid"/>
            </v:rect>
            <v:shape style="position:absolute;left:5;top:-9222;width:12235;height:8280" type="#_x0000_t75" stroked="false">
              <v:imagedata r:id="rId33" o:title=""/>
            </v:shape>
            <v:shape style="position:absolute;left:6932;top:150;width:4521;height:1337" coordorigin="6932,150" coordsize="4521,1337" path="m8094,1224l6932,1224,6932,1487,8094,1487,8094,1224m8094,690l6932,690,6932,953,8094,953,8094,690m8094,150l6932,150,6932,413,8094,413,8094,150m8519,1224l8104,1224,8104,1487,8519,1487,8519,1224m8519,690l8104,690,8104,953,8519,953,8519,690m8519,150l8104,150,8104,413,8519,413,8519,150m8945,1224l8529,1224,8529,1487,8945,1487,8945,1224m8945,690l8529,690,8529,953,8945,953,8945,690m8945,150l8529,150,8529,413,8945,413,8945,150m9371,1224l8955,1224,8955,1487,9371,1487,9371,1224m9371,690l8955,690,8955,953,9371,953,9371,690m9371,150l8955,150,8955,413,9371,413,9371,150m9796,1224l9381,1224,9381,1487,9796,1487,9796,1224m9796,690l9381,690,9381,953,9796,953,9796,690m9796,150l9381,150,9381,413,9796,413,9796,150m10222,1224l9806,1224,9806,1487,10222,1487,10222,1224m10222,690l9806,690,9806,953,10222,953,10222,690m10222,150l9806,150,9806,413,10222,413,10222,150m10648,1224l10232,1224,10232,1487,10648,1487,10648,1224m10648,690l10232,690,10232,953,10648,953,10648,690m10648,150l10232,150,10232,413,10648,413,10648,150m11079,1224l10658,1224,10658,1487,11079,1487,11079,1224m11079,690l10658,690,10658,953,11079,953,11079,690m11079,150l10658,150,10658,413,11079,413,11079,150m11452,1224l11089,1224,11089,1487,11452,1487,11452,1224m11452,690l11089,690,11089,953,11452,953,11452,690m11452,150l11089,150,11089,413,11452,413,11452,150e" filled="true" fillcolor="#cecfd1" stroked="false">
              <v:path arrowok="t"/>
              <v:fill type="solid"/>
            </v:shape>
            <v:shape style="position:absolute;left:1230;top:267;width:1835;height:1252" coordorigin="1230,267" coordsize="1835,1252" path="m1376,796l1230,796,1230,1513,1376,1513,1376,796m1817,745l1671,745,1671,1518,1817,1518,1817,745m2230,267l2085,267,2085,1514,2230,1514,2230,267m2663,747l2517,747,2517,1513,2663,1513,2663,747m3065,692l2919,692,2919,1513,3065,1513,3065,692e" filled="true" fillcolor="#4d82c2" stroked="false">
              <v:path arrowok="t"/>
              <v:fill type="solid"/>
            </v:shape>
            <v:shape style="position:absolute;left:1530;top:-36;width:1260;height:1710" coordorigin="1530,-36" coordsize="1260,1710" path="m2790,1674l2790,-36m2370,1674l2370,-36m1950,1674l1950,-36m1530,1674l1530,-36e" filled="false" stroked="true" strokeweight=".552pt" strokecolor="#c9cbcc">
              <v:path arrowok="t"/>
              <v:stroke dashstyle="solid"/>
            </v:shape>
            <v:line style="position:absolute" from="3209,-36" to="3209,1674" stroked="true" strokeweight="0pt" strokecolor="#ffffff">
              <v:stroke dashstyle="solid"/>
            </v:line>
            <v:line style="position:absolute" from="3209,1674" to="3209,-36" stroked="true" strokeweight=".552pt" strokecolor="#292425">
              <v:stroke dashstyle="solid"/>
            </v:line>
            <v:line style="position:absolute" from="1069,1514" to="3559,1514" stroked="true" strokeweight="0pt" strokecolor="#ffffff">
              <v:stroke dashstyle="solid"/>
            </v:line>
            <v:line style="position:absolute" from="1069,1514" to="3559,1514" stroked="true" strokeweight=".552pt" strokecolor="#292425">
              <v:stroke dashstyle="solid"/>
            </v:line>
            <v:shape style="position:absolute;left:4219;top:317;width:1835;height:1202" coordorigin="4219,317" coordsize="1835,1202" path="m4364,685l4219,685,4219,1513,4364,1513,4364,685m4805,514l4660,514,4660,1518,4805,1518,4805,514m5219,428l5073,428,5073,1514,5219,1514,5219,428m5651,367l5506,367,5506,1513,5651,1513,5651,367m6053,317l5908,317,5908,1513,6053,1513,6053,317e" filled="true" fillcolor="#4d82c2" stroked="false">
              <v:path arrowok="t"/>
              <v:fill type="solid"/>
            </v:shape>
            <v:shape style="position:absolute;left:4519;top:-36;width:1260;height:1710" coordorigin="4519,-36" coordsize="1260,1710" path="m5778,1674l5778,-36m5358,1674l5358,-36m4938,1674l4938,-36m4519,1674l4519,-36e" filled="false" stroked="true" strokeweight=".552pt" strokecolor="#c9cbcc">
              <v:path arrowok="t"/>
              <v:stroke dashstyle="solid"/>
            </v:shape>
            <v:line style="position:absolute" from="6198,-36" to="6198,1674" stroked="true" strokeweight="0pt" strokecolor="#ffffff">
              <v:stroke dashstyle="solid"/>
            </v:line>
            <v:line style="position:absolute" from="6198,1674" to="6198,-36" stroked="true" strokeweight=".552pt" strokecolor="#292425">
              <v:stroke dashstyle="solid"/>
            </v:line>
            <v:line style="position:absolute" from="4058,1514" to="6547,1514" stroked="true" strokeweight="0pt" strokecolor="#ffffff">
              <v:stroke dashstyle="solid"/>
            </v:line>
            <v:line style="position:absolute" from="4058,1514" to="6547,1514" stroked="true" strokeweight=".552pt" strokecolor="#292425">
              <v:stroke dashstyle="solid"/>
            </v:line>
            <v:line style="position:absolute" from="0,-942" to="12240,-942" stroked="true" strokeweight=".5pt" strokecolor="#292425">
              <v:stroke dashstyle="solid"/>
            </v:line>
            <w10:wrap type="none"/>
          </v:group>
        </w:pict>
      </w:r>
      <w:r>
        <w:rPr>
          <w:color w:val="292425"/>
          <w:sz w:val="12"/>
        </w:rPr>
        <w:t>11:18</w:t>
      </w:r>
    </w:p>
    <w:p>
      <w:pPr>
        <w:pStyle w:val="BodyText"/>
        <w:spacing w:before="5"/>
      </w:pPr>
      <w:r>
        <w:rPr/>
        <w:br w:type="column"/>
      </w:r>
      <w:r>
        <w:rPr/>
      </w:r>
    </w:p>
    <w:p>
      <w:pPr>
        <w:spacing w:before="0"/>
        <w:ind w:left="0" w:right="0" w:firstLine="0"/>
        <w:jc w:val="right"/>
        <w:rPr>
          <w:sz w:val="12"/>
        </w:rPr>
      </w:pPr>
      <w:r>
        <w:rPr>
          <w:color w:val="292425"/>
          <w:w w:val="105"/>
          <w:sz w:val="12"/>
        </w:rPr>
        <w:t>11:20</w:t>
      </w:r>
    </w:p>
    <w:p>
      <w:pPr>
        <w:pStyle w:val="BodyText"/>
        <w:spacing w:before="8"/>
        <w:rPr>
          <w:sz w:val="10"/>
        </w:rPr>
      </w:pPr>
    </w:p>
    <w:p>
      <w:pPr>
        <w:spacing w:line="95" w:lineRule="exact" w:before="0"/>
        <w:ind w:left="0" w:right="0" w:firstLine="0"/>
        <w:jc w:val="right"/>
        <w:rPr>
          <w:sz w:val="12"/>
        </w:rPr>
      </w:pPr>
      <w:r>
        <w:rPr>
          <w:color w:val="292425"/>
          <w:w w:val="105"/>
          <w:sz w:val="12"/>
        </w:rPr>
        <w:t>11:15</w:t>
      </w:r>
    </w:p>
    <w:p>
      <w:pPr>
        <w:pStyle w:val="BodyText"/>
        <w:rPr>
          <w:sz w:val="22"/>
        </w:rPr>
      </w:pPr>
      <w:r>
        <w:rPr/>
        <w:br w:type="column"/>
      </w:r>
      <w:r>
        <w:rPr>
          <w:sz w:val="22"/>
        </w:rPr>
      </w:r>
    </w:p>
    <w:p>
      <w:pPr>
        <w:tabs>
          <w:tab w:pos="1434" w:val="left" w:leader="none"/>
        </w:tabs>
        <w:spacing w:line="195" w:lineRule="exact" w:before="157"/>
        <w:ind w:left="1013" w:right="0" w:firstLine="0"/>
        <w:jc w:val="left"/>
        <w:rPr>
          <w:sz w:val="12"/>
        </w:rPr>
      </w:pPr>
      <w:r>
        <w:rPr>
          <w:color w:val="292425"/>
          <w:position w:val="-7"/>
          <w:sz w:val="12"/>
        </w:rPr>
        <w:t>312</w:t>
        <w:tab/>
      </w:r>
      <w:r>
        <w:rPr>
          <w:color w:val="292425"/>
          <w:spacing w:val="2"/>
          <w:sz w:val="12"/>
        </w:rPr>
        <w:t>344</w:t>
      </w:r>
    </w:p>
    <w:p>
      <w:pPr>
        <w:pStyle w:val="BodyText"/>
        <w:spacing w:before="9"/>
        <w:rPr>
          <w:sz w:val="24"/>
        </w:rPr>
      </w:pPr>
      <w:r>
        <w:rPr/>
        <w:br w:type="column"/>
      </w:r>
      <w:r>
        <w:rPr>
          <w:sz w:val="24"/>
        </w:rPr>
      </w:r>
    </w:p>
    <w:p>
      <w:pPr>
        <w:tabs>
          <w:tab w:pos="608" w:val="left" w:leader="none"/>
        </w:tabs>
        <w:spacing w:before="1"/>
        <w:ind w:left="189" w:right="0" w:firstLine="0"/>
        <w:jc w:val="left"/>
        <w:rPr>
          <w:sz w:val="12"/>
        </w:rPr>
      </w:pPr>
      <w:r>
        <w:rPr>
          <w:color w:val="292425"/>
          <w:position w:val="-4"/>
          <w:sz w:val="12"/>
        </w:rPr>
        <w:t>355</w:t>
        <w:tab/>
      </w:r>
      <w:r>
        <w:rPr>
          <w:color w:val="292425"/>
          <w:spacing w:val="2"/>
          <w:sz w:val="12"/>
        </w:rPr>
        <w:t>375</w:t>
      </w:r>
    </w:p>
    <w:p>
      <w:pPr>
        <w:pStyle w:val="BodyText"/>
        <w:rPr>
          <w:sz w:val="14"/>
        </w:rPr>
      </w:pPr>
      <w:r>
        <w:rPr/>
        <w:br w:type="column"/>
      </w:r>
      <w:r>
        <w:rPr>
          <w:sz w:val="14"/>
        </w:rPr>
      </w:r>
    </w:p>
    <w:p>
      <w:pPr>
        <w:spacing w:before="100"/>
        <w:ind w:left="125" w:right="0" w:firstLine="0"/>
        <w:jc w:val="left"/>
        <w:rPr>
          <w:sz w:val="12"/>
        </w:rPr>
      </w:pPr>
      <w:r>
        <w:rPr>
          <w:color w:val="292425"/>
          <w:w w:val="105"/>
          <w:sz w:val="12"/>
        </w:rPr>
        <w:t>400</w:t>
      </w:r>
    </w:p>
    <w:p>
      <w:pPr>
        <w:pStyle w:val="BodyText"/>
        <w:rPr>
          <w:sz w:val="14"/>
        </w:rPr>
      </w:pPr>
      <w:r>
        <w:rPr/>
        <w:br w:type="column"/>
      </w:r>
      <w:r>
        <w:rPr>
          <w:sz w:val="14"/>
        </w:rPr>
      </w:r>
    </w:p>
    <w:p>
      <w:pPr>
        <w:pStyle w:val="BodyText"/>
        <w:spacing w:before="6"/>
        <w:rPr>
          <w:sz w:val="16"/>
        </w:rPr>
      </w:pPr>
    </w:p>
    <w:p>
      <w:pPr>
        <w:spacing w:before="0"/>
        <w:ind w:left="0" w:right="0" w:firstLine="0"/>
        <w:jc w:val="right"/>
        <w:rPr>
          <w:sz w:val="12"/>
        </w:rPr>
      </w:pPr>
      <w:r>
        <w:rPr>
          <w:color w:val="292425"/>
          <w:w w:val="85"/>
          <w:sz w:val="12"/>
        </w:rPr>
        <w:t>Type</w:t>
      </w:r>
    </w:p>
    <w:p>
      <w:pPr>
        <w:pStyle w:val="BodyText"/>
        <w:rPr>
          <w:sz w:val="12"/>
        </w:rPr>
      </w:pPr>
      <w:r>
        <w:rPr/>
        <w:br w:type="column"/>
      </w:r>
      <w:r>
        <w:rPr>
          <w:sz w:val="12"/>
        </w:rPr>
      </w:r>
    </w:p>
    <w:p>
      <w:pPr>
        <w:pStyle w:val="BodyText"/>
        <w:rPr>
          <w:sz w:val="12"/>
        </w:rPr>
      </w:pPr>
    </w:p>
    <w:p>
      <w:pPr>
        <w:tabs>
          <w:tab w:pos="2617" w:val="left" w:leader="none"/>
        </w:tabs>
        <w:spacing w:before="89"/>
        <w:ind w:left="907" w:right="0" w:firstLine="0"/>
        <w:jc w:val="left"/>
        <w:rPr>
          <w:sz w:val="11"/>
        </w:rPr>
      </w:pPr>
      <w:r>
        <w:rPr>
          <w:color w:val="292425"/>
          <w:sz w:val="11"/>
        </w:rPr>
        <w:t>2003        2004       </w:t>
      </w:r>
      <w:r>
        <w:rPr>
          <w:color w:val="292425"/>
          <w:spacing w:val="7"/>
          <w:sz w:val="11"/>
        </w:rPr>
        <w:t> </w:t>
      </w:r>
      <w:r>
        <w:rPr>
          <w:color w:val="292425"/>
          <w:sz w:val="11"/>
        </w:rPr>
        <w:t>2005      </w:t>
      </w:r>
      <w:r>
        <w:rPr>
          <w:color w:val="292425"/>
          <w:spacing w:val="6"/>
          <w:sz w:val="11"/>
        </w:rPr>
        <w:t> </w:t>
      </w:r>
      <w:r>
        <w:rPr>
          <w:color w:val="292425"/>
          <w:sz w:val="11"/>
        </w:rPr>
        <w:t>2006</w:t>
        <w:tab/>
        <w:t>2007      </w:t>
      </w:r>
      <w:r>
        <w:rPr>
          <w:color w:val="292425"/>
          <w:spacing w:val="17"/>
          <w:sz w:val="11"/>
        </w:rPr>
        <w:t> </w:t>
      </w:r>
      <w:r>
        <w:rPr>
          <w:color w:val="292425"/>
          <w:sz w:val="11"/>
        </w:rPr>
        <w:t>2008</w:t>
      </w:r>
    </w:p>
    <w:p>
      <w:pPr>
        <w:pStyle w:val="BodyText"/>
        <w:rPr>
          <w:sz w:val="12"/>
        </w:rPr>
      </w:pPr>
      <w:r>
        <w:rPr/>
        <w:br w:type="column"/>
      </w:r>
      <w:r>
        <w:rPr>
          <w:sz w:val="12"/>
        </w:rPr>
      </w:r>
    </w:p>
    <w:p>
      <w:pPr>
        <w:pStyle w:val="BodyText"/>
        <w:rPr>
          <w:sz w:val="15"/>
        </w:rPr>
      </w:pPr>
    </w:p>
    <w:p>
      <w:pPr>
        <w:spacing w:line="131" w:lineRule="exact" w:before="0"/>
        <w:ind w:left="170" w:right="0" w:firstLine="0"/>
        <w:jc w:val="left"/>
        <w:rPr>
          <w:sz w:val="11"/>
        </w:rPr>
      </w:pPr>
      <w:r>
        <w:rPr>
          <w:color w:val="292425"/>
          <w:sz w:val="11"/>
        </w:rPr>
        <w:t>2009-</w:t>
      </w:r>
    </w:p>
    <w:p>
      <w:pPr>
        <w:spacing w:line="131" w:lineRule="exact" w:before="0"/>
        <w:ind w:left="170" w:right="0" w:firstLine="0"/>
        <w:jc w:val="left"/>
        <w:rPr>
          <w:sz w:val="11"/>
        </w:rPr>
      </w:pPr>
      <w:r>
        <w:rPr>
          <w:color w:val="292425"/>
          <w:sz w:val="11"/>
        </w:rPr>
        <w:t>2012</w:t>
      </w:r>
    </w:p>
    <w:p>
      <w:pPr>
        <w:pStyle w:val="BodyText"/>
        <w:rPr>
          <w:sz w:val="12"/>
        </w:rPr>
      </w:pPr>
      <w:r>
        <w:rPr/>
        <w:br w:type="column"/>
      </w:r>
      <w:r>
        <w:rPr>
          <w:sz w:val="12"/>
        </w:rPr>
      </w:r>
    </w:p>
    <w:p>
      <w:pPr>
        <w:pStyle w:val="BodyText"/>
        <w:rPr>
          <w:sz w:val="12"/>
        </w:rPr>
      </w:pPr>
    </w:p>
    <w:p>
      <w:pPr>
        <w:spacing w:before="88"/>
        <w:ind w:left="89" w:right="0" w:firstLine="0"/>
        <w:jc w:val="left"/>
        <w:rPr>
          <w:sz w:val="11"/>
        </w:rPr>
      </w:pPr>
      <w:r>
        <w:rPr>
          <w:color w:val="292425"/>
          <w:w w:val="95"/>
          <w:sz w:val="11"/>
        </w:rPr>
        <w:t>Total</w:t>
      </w:r>
    </w:p>
    <w:p>
      <w:pPr>
        <w:spacing w:after="0"/>
        <w:jc w:val="left"/>
        <w:rPr>
          <w:sz w:val="11"/>
        </w:rPr>
        <w:sectPr>
          <w:type w:val="continuous"/>
          <w:pgSz w:w="12240" w:h="15840"/>
          <w:pgMar w:top="0" w:bottom="280" w:left="0" w:right="0"/>
          <w:cols w:num="9" w:equalWidth="0">
            <w:col w:w="2300" w:space="40"/>
            <w:col w:w="1241" w:space="40"/>
            <w:col w:w="1626" w:space="40"/>
            <w:col w:w="801" w:space="40"/>
            <w:col w:w="326" w:space="40"/>
            <w:col w:w="756" w:space="40"/>
            <w:col w:w="3257" w:space="40"/>
            <w:col w:w="443" w:space="40"/>
            <w:col w:w="1170"/>
          </w:cols>
        </w:sectPr>
      </w:pPr>
    </w:p>
    <w:p>
      <w:pPr>
        <w:pStyle w:val="BodyText"/>
        <w:spacing w:before="11"/>
        <w:rPr>
          <w:sz w:val="13"/>
        </w:rPr>
      </w:pPr>
    </w:p>
    <w:p>
      <w:pPr>
        <w:spacing w:line="119" w:lineRule="exact" w:before="0"/>
        <w:ind w:left="0" w:right="0" w:firstLine="0"/>
        <w:jc w:val="right"/>
        <w:rPr>
          <w:sz w:val="12"/>
        </w:rPr>
      </w:pPr>
      <w:r>
        <w:rPr>
          <w:color w:val="292425"/>
          <w:sz w:val="12"/>
        </w:rPr>
        <w:t>11:09</w:t>
      </w:r>
    </w:p>
    <w:p>
      <w:pPr>
        <w:spacing w:before="117"/>
        <w:ind w:left="138" w:right="0" w:firstLine="0"/>
        <w:jc w:val="left"/>
        <w:rPr>
          <w:sz w:val="12"/>
        </w:rPr>
      </w:pPr>
      <w:r>
        <w:rPr/>
        <w:br w:type="column"/>
      </w:r>
      <w:r>
        <w:rPr>
          <w:color w:val="292425"/>
          <w:sz w:val="12"/>
        </w:rPr>
        <w:t>11:10</w:t>
      </w:r>
    </w:p>
    <w:p>
      <w:pPr>
        <w:tabs>
          <w:tab w:pos="2245" w:val="left" w:leader="none"/>
        </w:tabs>
        <w:spacing w:line="239" w:lineRule="exact" w:before="49"/>
        <w:ind w:left="506" w:right="0" w:firstLine="0"/>
        <w:jc w:val="left"/>
        <w:rPr>
          <w:sz w:val="12"/>
        </w:rPr>
      </w:pPr>
      <w:r>
        <w:rPr/>
        <w:br w:type="column"/>
      </w:r>
      <w:r>
        <w:rPr>
          <w:color w:val="292425"/>
          <w:position w:val="-5"/>
          <w:sz w:val="12"/>
        </w:rPr>
        <w:t>11:10   </w:t>
      </w:r>
      <w:r>
        <w:rPr>
          <w:color w:val="292425"/>
          <w:spacing w:val="20"/>
          <w:position w:val="-5"/>
          <w:sz w:val="12"/>
        </w:rPr>
        <w:t> </w:t>
      </w:r>
      <w:r>
        <w:rPr>
          <w:color w:val="292425"/>
          <w:sz w:val="12"/>
        </w:rPr>
        <w:t>11:12    </w:t>
      </w:r>
      <w:r>
        <w:rPr>
          <w:color w:val="292425"/>
          <w:spacing w:val="15"/>
          <w:sz w:val="12"/>
        </w:rPr>
        <w:t> </w:t>
      </w:r>
      <w:r>
        <w:rPr>
          <w:color w:val="292425"/>
          <w:position w:val="-11"/>
          <w:sz w:val="12"/>
        </w:rPr>
        <w:t>11:10</w:t>
        <w:tab/>
      </w:r>
      <w:r>
        <w:rPr>
          <w:color w:val="292425"/>
          <w:spacing w:val="2"/>
          <w:position w:val="1"/>
          <w:sz w:val="12"/>
        </w:rPr>
        <w:t>280</w:t>
      </w:r>
    </w:p>
    <w:p>
      <w:pPr>
        <w:spacing w:line="145" w:lineRule="exact" w:before="0"/>
        <w:ind w:left="0" w:right="0" w:firstLine="0"/>
        <w:jc w:val="right"/>
        <w:rPr>
          <w:sz w:val="12"/>
        </w:rPr>
      </w:pPr>
      <w:r>
        <w:rPr/>
        <w:br w:type="column"/>
      </w:r>
      <w:r>
        <w:rPr>
          <w:color w:val="292425"/>
          <w:w w:val="105"/>
          <w:sz w:val="12"/>
        </w:rPr>
        <w:t>300</w:t>
      </w:r>
    </w:p>
    <w:p>
      <w:pPr>
        <w:tabs>
          <w:tab w:pos="1758" w:val="left" w:leader="none"/>
          <w:tab w:pos="2194" w:val="left" w:leader="none"/>
          <w:tab w:pos="2724" w:val="right" w:leader="none"/>
        </w:tabs>
        <w:spacing w:before="15"/>
        <w:ind w:left="525" w:right="0" w:firstLine="0"/>
        <w:jc w:val="left"/>
        <w:rPr>
          <w:sz w:val="11"/>
        </w:rPr>
      </w:pPr>
      <w:r>
        <w:rPr/>
        <w:br w:type="column"/>
      </w:r>
      <w:r>
        <w:rPr>
          <w:color w:val="292425"/>
          <w:sz w:val="12"/>
        </w:rPr>
        <w:t>Firm</w:t>
      </w:r>
      <w:r>
        <w:rPr>
          <w:color w:val="292425"/>
          <w:spacing w:val="-8"/>
          <w:sz w:val="12"/>
        </w:rPr>
        <w:t> </w:t>
      </w:r>
      <w:r>
        <w:rPr>
          <w:color w:val="292425"/>
          <w:sz w:val="12"/>
        </w:rPr>
        <w:t>Orders</w:t>
        <w:tab/>
      </w:r>
      <w:r>
        <w:rPr>
          <w:color w:val="292425"/>
          <w:sz w:val="11"/>
        </w:rPr>
        <w:t>17</w:t>
        <w:tab/>
        <w:t>23</w:t>
        <w:tab/>
        <w:t>24</w:t>
      </w:r>
    </w:p>
    <w:p>
      <w:pPr>
        <w:tabs>
          <w:tab w:pos="693" w:val="left" w:leader="none"/>
          <w:tab w:pos="1150" w:val="left" w:leader="none"/>
        </w:tabs>
        <w:spacing w:before="23"/>
        <w:ind w:left="277" w:right="0" w:firstLine="0"/>
        <w:jc w:val="left"/>
        <w:rPr>
          <w:sz w:val="11"/>
        </w:rPr>
      </w:pPr>
      <w:r>
        <w:rPr/>
        <w:br w:type="column"/>
      </w:r>
      <w:r>
        <w:rPr>
          <w:color w:val="292425"/>
          <w:sz w:val="11"/>
        </w:rPr>
        <w:t>22</w:t>
        <w:tab/>
        <w:t>25</w:t>
        <w:tab/>
        <w:t>6</w:t>
      </w:r>
    </w:p>
    <w:p>
      <w:pPr>
        <w:tabs>
          <w:tab w:pos="668" w:val="left" w:leader="none"/>
        </w:tabs>
        <w:spacing w:before="24"/>
        <w:ind w:left="352" w:right="0" w:firstLine="0"/>
        <w:jc w:val="left"/>
        <w:rPr>
          <w:sz w:val="11"/>
        </w:rPr>
      </w:pPr>
      <w:r>
        <w:rPr/>
        <w:br w:type="column"/>
      </w:r>
      <w:r>
        <w:rPr>
          <w:color w:val="292425"/>
          <w:sz w:val="11"/>
        </w:rPr>
        <w:t>–</w:t>
        <w:tab/>
      </w:r>
      <w:r>
        <w:rPr>
          <w:color w:val="292425"/>
          <w:spacing w:val="2"/>
          <w:sz w:val="11"/>
        </w:rPr>
        <w:t>117</w:t>
      </w:r>
    </w:p>
    <w:p>
      <w:pPr>
        <w:spacing w:after="0"/>
        <w:jc w:val="left"/>
        <w:rPr>
          <w:sz w:val="11"/>
        </w:rPr>
        <w:sectPr>
          <w:type w:val="continuous"/>
          <w:pgSz w:w="12240" w:h="15840"/>
          <w:pgMar w:top="0" w:bottom="280" w:left="0" w:right="0"/>
          <w:cols w:num="7" w:equalWidth="0">
            <w:col w:w="1454" w:space="40"/>
            <w:col w:w="416" w:space="40"/>
            <w:col w:w="2437" w:space="688"/>
            <w:col w:w="1377" w:space="40"/>
            <w:col w:w="2725" w:space="40"/>
            <w:col w:w="1207" w:space="40"/>
            <w:col w:w="1736"/>
          </w:cols>
        </w:sectPr>
      </w:pPr>
    </w:p>
    <w:p>
      <w:pPr>
        <w:spacing w:line="100" w:lineRule="exact" w:before="170"/>
        <w:ind w:left="0" w:right="0" w:firstLine="0"/>
        <w:jc w:val="right"/>
        <w:rPr>
          <w:sz w:val="12"/>
        </w:rPr>
      </w:pPr>
      <w:r>
        <w:rPr>
          <w:color w:val="292425"/>
          <w:w w:val="105"/>
          <w:sz w:val="12"/>
        </w:rPr>
        <w:t>11:05</w:t>
      </w:r>
    </w:p>
    <w:p>
      <w:pPr>
        <w:spacing w:before="58"/>
        <w:ind w:left="0" w:right="0" w:firstLine="0"/>
        <w:jc w:val="right"/>
        <w:rPr>
          <w:sz w:val="12"/>
        </w:rPr>
      </w:pPr>
      <w:r>
        <w:rPr/>
        <w:br w:type="column"/>
      </w:r>
      <w:r>
        <w:rPr>
          <w:color w:val="292425"/>
          <w:w w:val="105"/>
          <w:sz w:val="12"/>
        </w:rPr>
        <w:t>200</w:t>
      </w:r>
    </w:p>
    <w:p>
      <w:pPr>
        <w:spacing w:line="141" w:lineRule="exact" w:before="0"/>
        <w:ind w:left="545" w:right="0" w:firstLine="0"/>
        <w:jc w:val="left"/>
        <w:rPr>
          <w:sz w:val="12"/>
        </w:rPr>
      </w:pPr>
      <w:r>
        <w:rPr/>
        <w:br w:type="column"/>
      </w:r>
      <w:r>
        <w:rPr>
          <w:color w:val="292425"/>
          <w:w w:val="90"/>
          <w:sz w:val="12"/>
        </w:rPr>
        <w:t>Options</w:t>
      </w:r>
    </w:p>
    <w:p>
      <w:pPr>
        <w:tabs>
          <w:tab w:pos="1245" w:val="left" w:leader="none"/>
        </w:tabs>
        <w:spacing w:before="3"/>
        <w:ind w:left="843" w:right="0" w:firstLine="0"/>
        <w:jc w:val="left"/>
        <w:rPr>
          <w:sz w:val="11"/>
        </w:rPr>
      </w:pPr>
      <w:r>
        <w:rPr/>
        <w:br w:type="column"/>
      </w:r>
      <w:r>
        <w:rPr>
          <w:color w:val="292425"/>
          <w:sz w:val="11"/>
        </w:rPr>
        <w:t>–</w:t>
        <w:tab/>
        <w:t>11</w:t>
      </w:r>
    </w:p>
    <w:p>
      <w:pPr>
        <w:tabs>
          <w:tab w:pos="685" w:val="left" w:leader="none"/>
          <w:tab w:pos="1141" w:val="left" w:leader="none"/>
          <w:tab w:pos="1537" w:val="left" w:leader="none"/>
        </w:tabs>
        <w:spacing w:before="3"/>
        <w:ind w:left="258" w:right="0" w:firstLine="0"/>
        <w:jc w:val="left"/>
        <w:rPr>
          <w:sz w:val="11"/>
        </w:rPr>
      </w:pPr>
      <w:r>
        <w:rPr/>
        <w:br w:type="column"/>
      </w:r>
      <w:r>
        <w:rPr>
          <w:color w:val="292425"/>
          <w:sz w:val="11"/>
        </w:rPr>
        <w:t>18</w:t>
        <w:tab/>
        <w:t>16</w:t>
        <w:tab/>
        <w:t>9</w:t>
        <w:tab/>
        <w:t>25</w:t>
      </w:r>
    </w:p>
    <w:p>
      <w:pPr>
        <w:tabs>
          <w:tab w:pos="665" w:val="left" w:leader="none"/>
        </w:tabs>
        <w:spacing w:before="4"/>
        <w:ind w:left="319" w:right="0" w:firstLine="0"/>
        <w:jc w:val="left"/>
        <w:rPr>
          <w:sz w:val="11"/>
        </w:rPr>
      </w:pPr>
      <w:r>
        <w:rPr/>
        <w:br w:type="column"/>
      </w:r>
      <w:r>
        <w:rPr>
          <w:color w:val="292425"/>
          <w:sz w:val="11"/>
        </w:rPr>
        <w:t>–</w:t>
        <w:tab/>
        <w:t>79</w:t>
      </w:r>
    </w:p>
    <w:p>
      <w:pPr>
        <w:spacing w:after="0"/>
        <w:jc w:val="left"/>
        <w:rPr>
          <w:sz w:val="11"/>
        </w:rPr>
        <w:sectPr>
          <w:type w:val="continuous"/>
          <w:pgSz w:w="12240" w:h="15840"/>
          <w:pgMar w:top="0" w:bottom="280" w:left="0" w:right="0"/>
          <w:cols w:num="6" w:equalWidth="0">
            <w:col w:w="3580" w:space="40"/>
            <w:col w:w="2832" w:space="40"/>
            <w:col w:w="908" w:space="40"/>
            <w:col w:w="1363" w:space="40"/>
            <w:col w:w="1655" w:space="40"/>
            <w:col w:w="1702"/>
          </w:cols>
        </w:sectPr>
      </w:pPr>
    </w:p>
    <w:p>
      <w:pPr>
        <w:spacing w:line="86" w:lineRule="exact" w:before="177"/>
        <w:ind w:left="0" w:right="0" w:firstLine="0"/>
        <w:jc w:val="right"/>
        <w:rPr>
          <w:sz w:val="12"/>
        </w:rPr>
      </w:pPr>
      <w:r>
        <w:rPr>
          <w:color w:val="292425"/>
          <w:w w:val="105"/>
          <w:sz w:val="12"/>
        </w:rPr>
        <w:t>11:00</w:t>
      </w:r>
    </w:p>
    <w:p>
      <w:pPr>
        <w:spacing w:line="126" w:lineRule="exact" w:before="137"/>
        <w:ind w:left="0" w:right="0" w:firstLine="0"/>
        <w:jc w:val="right"/>
        <w:rPr>
          <w:sz w:val="12"/>
        </w:rPr>
      </w:pPr>
      <w:r>
        <w:rPr/>
        <w:br w:type="column"/>
      </w:r>
      <w:r>
        <w:rPr>
          <w:color w:val="292425"/>
          <w:w w:val="105"/>
          <w:sz w:val="12"/>
        </w:rPr>
        <w:t>100</w:t>
      </w:r>
    </w:p>
    <w:p>
      <w:pPr>
        <w:spacing w:line="141" w:lineRule="exact" w:before="0"/>
        <w:ind w:left="525" w:right="0" w:firstLine="0"/>
        <w:jc w:val="left"/>
        <w:rPr>
          <w:sz w:val="12"/>
        </w:rPr>
      </w:pPr>
      <w:r>
        <w:rPr/>
        <w:br w:type="column"/>
      </w:r>
      <w:r>
        <w:rPr>
          <w:color w:val="292425"/>
          <w:w w:val="95"/>
          <w:sz w:val="12"/>
        </w:rPr>
        <w:t>Purchase Rights</w:t>
      </w:r>
    </w:p>
    <w:p>
      <w:pPr>
        <w:tabs>
          <w:tab w:pos="903" w:val="left" w:leader="none"/>
          <w:tab w:pos="1320" w:val="left" w:leader="none"/>
          <w:tab w:pos="1749" w:val="left" w:leader="none"/>
        </w:tabs>
        <w:spacing w:before="10"/>
        <w:ind w:left="470" w:right="0" w:firstLine="0"/>
        <w:jc w:val="left"/>
        <w:rPr>
          <w:sz w:val="11"/>
        </w:rPr>
      </w:pPr>
      <w:r>
        <w:rPr/>
        <w:br w:type="column"/>
      </w:r>
      <w:r>
        <w:rPr>
          <w:color w:val="292425"/>
          <w:w w:val="90"/>
          <w:sz w:val="11"/>
        </w:rPr>
        <w:t>–</w:t>
        <w:tab/>
        <w:t>–</w:t>
        <w:tab/>
        <w:t>–</w:t>
        <w:tab/>
      </w:r>
      <w:r>
        <w:rPr>
          <w:color w:val="292425"/>
          <w:w w:val="80"/>
          <w:sz w:val="11"/>
        </w:rPr>
        <w:t>–</w:t>
      </w:r>
    </w:p>
    <w:p>
      <w:pPr>
        <w:tabs>
          <w:tab w:pos="730" w:val="left" w:leader="none"/>
        </w:tabs>
        <w:spacing w:before="7"/>
        <w:ind w:left="301" w:right="0" w:firstLine="0"/>
        <w:jc w:val="left"/>
        <w:rPr>
          <w:sz w:val="11"/>
        </w:rPr>
      </w:pPr>
      <w:r>
        <w:rPr/>
        <w:br w:type="column"/>
      </w:r>
      <w:r>
        <w:rPr>
          <w:color w:val="292425"/>
          <w:sz w:val="11"/>
        </w:rPr>
        <w:t>20</w:t>
        <w:tab/>
        <w:t>20</w:t>
      </w:r>
    </w:p>
    <w:p>
      <w:pPr>
        <w:spacing w:before="7"/>
        <w:ind w:left="259" w:right="0" w:firstLine="0"/>
        <w:jc w:val="left"/>
        <w:rPr>
          <w:sz w:val="11"/>
        </w:rPr>
      </w:pPr>
      <w:r>
        <w:rPr/>
        <w:br w:type="column"/>
      </w:r>
      <w:r>
        <w:rPr>
          <w:color w:val="292425"/>
          <w:sz w:val="11"/>
        </w:rPr>
        <w:t>177</w:t>
      </w:r>
    </w:p>
    <w:p>
      <w:pPr>
        <w:spacing w:before="7"/>
        <w:ind w:left="158" w:right="0" w:firstLine="0"/>
        <w:jc w:val="left"/>
        <w:rPr>
          <w:sz w:val="11"/>
        </w:rPr>
      </w:pPr>
      <w:r>
        <w:rPr/>
        <w:br w:type="column"/>
      </w:r>
      <w:r>
        <w:rPr>
          <w:color w:val="292425"/>
          <w:sz w:val="11"/>
        </w:rPr>
        <w:t>217</w:t>
      </w:r>
    </w:p>
    <w:p>
      <w:pPr>
        <w:spacing w:after="0"/>
        <w:jc w:val="left"/>
        <w:rPr>
          <w:sz w:val="11"/>
        </w:rPr>
        <w:sectPr>
          <w:type w:val="continuous"/>
          <w:pgSz w:w="12240" w:h="15840"/>
          <w:pgMar w:top="0" w:bottom="280" w:left="0" w:right="0"/>
          <w:cols w:num="7" w:equalWidth="0">
            <w:col w:w="3580" w:space="40"/>
            <w:col w:w="2832" w:space="40"/>
            <w:col w:w="1285" w:space="40"/>
            <w:col w:w="1795" w:space="40"/>
            <w:col w:w="848" w:space="40"/>
            <w:col w:w="435" w:space="40"/>
            <w:col w:w="1225"/>
          </w:cols>
        </w:sectPr>
      </w:pPr>
    </w:p>
    <w:p>
      <w:pPr>
        <w:spacing w:before="272"/>
        <w:ind w:left="1163" w:right="0" w:firstLine="0"/>
        <w:jc w:val="left"/>
        <w:rPr>
          <w:sz w:val="12"/>
        </w:rPr>
      </w:pPr>
      <w:r>
        <w:rPr>
          <w:color w:val="292425"/>
          <w:sz w:val="12"/>
        </w:rPr>
        <w:t>1998        1999      2000       2001      2002</w:t>
      </w:r>
    </w:p>
    <w:p>
      <w:pPr>
        <w:spacing w:before="272"/>
        <w:ind w:left="985" w:right="0" w:firstLine="0"/>
        <w:jc w:val="left"/>
        <w:rPr>
          <w:sz w:val="12"/>
        </w:rPr>
      </w:pPr>
      <w:r>
        <w:rPr/>
        <w:br w:type="column"/>
      </w:r>
      <w:r>
        <w:rPr>
          <w:color w:val="292425"/>
          <w:sz w:val="12"/>
        </w:rPr>
        <w:t>1998        1999      2000       2001      2002</w:t>
      </w:r>
    </w:p>
    <w:p>
      <w:pPr>
        <w:spacing w:line="141" w:lineRule="exact" w:before="0"/>
        <w:ind w:left="0" w:right="0" w:firstLine="0"/>
        <w:jc w:val="right"/>
        <w:rPr>
          <w:sz w:val="12"/>
        </w:rPr>
      </w:pPr>
      <w:r>
        <w:rPr/>
        <w:br w:type="column"/>
      </w:r>
      <w:r>
        <w:rPr>
          <w:color w:val="292425"/>
          <w:w w:val="90"/>
          <w:sz w:val="12"/>
        </w:rPr>
        <w:t>Total</w:t>
      </w:r>
    </w:p>
    <w:p>
      <w:pPr>
        <w:tabs>
          <w:tab w:pos="1376" w:val="left" w:leader="none"/>
          <w:tab w:pos="1793" w:val="left" w:leader="none"/>
        </w:tabs>
        <w:spacing w:before="0"/>
        <w:ind w:left="950" w:right="0" w:firstLine="0"/>
        <w:jc w:val="left"/>
        <w:rPr>
          <w:sz w:val="11"/>
        </w:rPr>
      </w:pPr>
      <w:r>
        <w:rPr/>
        <w:br w:type="column"/>
      </w:r>
      <w:r>
        <w:rPr>
          <w:color w:val="292425"/>
          <w:position w:val="1"/>
          <w:sz w:val="11"/>
        </w:rPr>
        <w:t>17</w:t>
        <w:tab/>
        <w:t>34</w:t>
        <w:tab/>
      </w:r>
      <w:r>
        <w:rPr>
          <w:color w:val="292425"/>
          <w:sz w:val="11"/>
        </w:rPr>
        <w:t>42</w:t>
      </w:r>
    </w:p>
    <w:p>
      <w:pPr>
        <w:tabs>
          <w:tab w:pos="691" w:val="left" w:leader="none"/>
          <w:tab w:pos="1115" w:val="left" w:leader="none"/>
        </w:tabs>
        <w:spacing w:before="0"/>
        <w:ind w:left="272" w:right="0" w:firstLine="0"/>
        <w:jc w:val="left"/>
        <w:rPr>
          <w:sz w:val="11"/>
        </w:rPr>
      </w:pPr>
      <w:r>
        <w:rPr/>
        <w:br w:type="column"/>
      </w:r>
      <w:r>
        <w:rPr>
          <w:color w:val="292425"/>
          <w:sz w:val="11"/>
        </w:rPr>
        <w:t>38</w:t>
        <w:tab/>
        <w:t>54</w:t>
        <w:tab/>
        <w:t>51</w:t>
      </w:r>
    </w:p>
    <w:p>
      <w:pPr>
        <w:spacing w:before="0"/>
        <w:ind w:left="256" w:right="0" w:firstLine="0"/>
        <w:jc w:val="left"/>
        <w:rPr>
          <w:sz w:val="11"/>
        </w:rPr>
      </w:pPr>
      <w:r>
        <w:rPr/>
        <w:br w:type="column"/>
      </w:r>
      <w:r>
        <w:rPr>
          <w:color w:val="292425"/>
          <w:sz w:val="11"/>
        </w:rPr>
        <w:t>177</w:t>
      </w:r>
    </w:p>
    <w:p>
      <w:pPr>
        <w:spacing w:before="0"/>
        <w:ind w:left="159" w:right="0" w:firstLine="0"/>
        <w:jc w:val="left"/>
        <w:rPr>
          <w:sz w:val="11"/>
        </w:rPr>
      </w:pPr>
      <w:r>
        <w:rPr/>
        <w:br w:type="column"/>
      </w:r>
      <w:r>
        <w:rPr>
          <w:color w:val="292425"/>
          <w:sz w:val="11"/>
        </w:rPr>
        <w:t>413</w:t>
      </w:r>
    </w:p>
    <w:p>
      <w:pPr>
        <w:spacing w:after="0"/>
        <w:jc w:val="left"/>
        <w:rPr>
          <w:sz w:val="11"/>
        </w:rPr>
        <w:sectPr>
          <w:type w:val="continuous"/>
          <w:pgSz w:w="12240" w:h="15840"/>
          <w:pgMar w:top="0" w:bottom="280" w:left="0" w:right="0"/>
          <w:cols w:num="7" w:equalWidth="0">
            <w:col w:w="3126" w:space="40"/>
            <w:col w:w="2949" w:space="40"/>
            <w:col w:w="1116" w:space="40"/>
            <w:col w:w="1911" w:space="40"/>
            <w:col w:w="1232" w:space="40"/>
            <w:col w:w="433" w:space="40"/>
            <w:col w:w="1233"/>
          </w:cols>
        </w:sectPr>
      </w:pPr>
    </w:p>
    <w:p>
      <w:pPr>
        <w:spacing w:line="154" w:lineRule="exact" w:before="115"/>
        <w:ind w:left="1100" w:right="0" w:firstLine="0"/>
        <w:jc w:val="left"/>
        <w:rPr>
          <w:rFonts w:ascii="Franklin Gothic Medium"/>
          <w:sz w:val="14"/>
        </w:rPr>
      </w:pPr>
      <w:r>
        <w:rPr/>
        <w:pict>
          <v:shape style="position:absolute;margin-left:-.25pt;margin-top:18pt;width:612.75pt;height:162.25pt;mso-position-horizontal-relative:page;mso-position-vertical-relative:page;z-index:4264" type="#_x0000_t202" filled="false" stroked="false">
            <v:textbox inset="0,0,0,0">
              <w:txbxContent>
                <w:tbl>
                  <w:tblPr>
                    <w:tblW w:w="0" w:type="auto"/>
                    <w:jc w:val="left"/>
                    <w:tblBorders>
                      <w:top w:val="single" w:sz="4" w:space="0" w:color="292425"/>
                      <w:left w:val="single" w:sz="4" w:space="0" w:color="292425"/>
                      <w:bottom w:val="single" w:sz="4" w:space="0" w:color="292425"/>
                      <w:right w:val="single" w:sz="4" w:space="0" w:color="292425"/>
                      <w:insideH w:val="single" w:sz="4" w:space="0" w:color="292425"/>
                      <w:insideV w:val="single" w:sz="4" w:space="0" w:color="292425"/>
                    </w:tblBorders>
                    <w:tblLayout w:type="fixed"/>
                    <w:tblCellMar>
                      <w:top w:w="0" w:type="dxa"/>
                      <w:left w:w="0" w:type="dxa"/>
                      <w:bottom w:w="0" w:type="dxa"/>
                      <w:right w:w="0" w:type="dxa"/>
                    </w:tblCellMar>
                    <w:tblLook w:val="01E0"/>
                  </w:tblPr>
                  <w:tblGrid>
                    <w:gridCol w:w="4500"/>
                    <w:gridCol w:w="7020"/>
                    <w:gridCol w:w="720"/>
                  </w:tblGrid>
                  <w:tr>
                    <w:trPr>
                      <w:trHeight w:val="360" w:hRule="exact"/>
                    </w:trPr>
                    <w:tc>
                      <w:tcPr>
                        <w:tcW w:w="11520" w:type="dxa"/>
                        <w:gridSpan w:val="2"/>
                        <w:tcBorders>
                          <w:top w:val="nil"/>
                          <w:left w:val="nil"/>
                        </w:tcBorders>
                        <w:shd w:val="clear" w:color="auto" w:fill="E2E3E3"/>
                      </w:tcPr>
                      <w:p>
                        <w:pPr>
                          <w:pStyle w:val="TableParagraph"/>
                          <w:spacing w:before="113"/>
                          <w:ind w:right="184"/>
                          <w:jc w:val="right"/>
                          <w:rPr>
                            <w:sz w:val="12"/>
                          </w:rPr>
                        </w:pPr>
                        <w:r>
                          <w:rPr>
                            <w:color w:val="292425"/>
                            <w:w w:val="160"/>
                            <w:sz w:val="12"/>
                          </w:rPr>
                          <w:t>Southwest airlines co.  </w:t>
                        </w:r>
                        <w:r>
                          <w:rPr>
                            <w:color w:val="292425"/>
                            <w:w w:val="145"/>
                            <w:sz w:val="12"/>
                          </w:rPr>
                          <w:t>2002  </w:t>
                        </w:r>
                        <w:r>
                          <w:rPr>
                            <w:color w:val="292425"/>
                            <w:w w:val="160"/>
                            <w:sz w:val="12"/>
                          </w:rPr>
                          <w:t>annual report</w:t>
                        </w:r>
                      </w:p>
                    </w:tc>
                    <w:tc>
                      <w:tcPr>
                        <w:tcW w:w="720" w:type="dxa"/>
                        <w:tcBorders>
                          <w:top w:val="nil"/>
                          <w:right w:val="nil"/>
                        </w:tcBorders>
                        <w:shd w:val="clear" w:color="auto" w:fill="E2E3E3"/>
                      </w:tcPr>
                      <w:p>
                        <w:pPr>
                          <w:pStyle w:val="TableParagraph"/>
                          <w:spacing w:before="96"/>
                          <w:ind w:left="116"/>
                          <w:rPr>
                            <w:sz w:val="14"/>
                          </w:rPr>
                        </w:pPr>
                        <w:r>
                          <w:rPr>
                            <w:color w:val="292425"/>
                            <w:sz w:val="14"/>
                          </w:rPr>
                          <w:t>11</w:t>
                        </w:r>
                      </w:p>
                    </w:tc>
                  </w:tr>
                  <w:tr>
                    <w:trPr>
                      <w:trHeight w:val="2880" w:hRule="exact"/>
                    </w:trPr>
                    <w:tc>
                      <w:tcPr>
                        <w:tcW w:w="4500" w:type="dxa"/>
                        <w:tcBorders>
                          <w:left w:val="nil"/>
                        </w:tcBorders>
                        <w:shd w:val="clear" w:color="auto" w:fill="E2E3E3"/>
                      </w:tcPr>
                      <w:p>
                        <w:pPr/>
                      </w:p>
                    </w:tc>
                    <w:tc>
                      <w:tcPr>
                        <w:tcW w:w="7740" w:type="dxa"/>
                        <w:gridSpan w:val="2"/>
                        <w:tcBorders>
                          <w:right w:val="nil"/>
                        </w:tcBorders>
                        <w:shd w:val="clear" w:color="auto" w:fill="E2E3E3"/>
                      </w:tcPr>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rPr>
                            <w:rFonts w:ascii="Franklin Gothic Medium"/>
                            <w:sz w:val="16"/>
                          </w:rPr>
                        </w:pPr>
                      </w:p>
                      <w:p>
                        <w:pPr>
                          <w:pStyle w:val="TableParagraph"/>
                          <w:spacing w:line="393" w:lineRule="auto" w:before="115"/>
                          <w:ind w:left="375" w:right="3681"/>
                          <w:jc w:val="both"/>
                          <w:rPr>
                            <w:i/>
                            <w:sz w:val="14"/>
                          </w:rPr>
                        </w:pPr>
                        <w:r>
                          <w:rPr>
                            <w:i/>
                            <w:color w:val="292425"/>
                            <w:w w:val="105"/>
                            <w:sz w:val="14"/>
                          </w:rPr>
                          <w:t>This past year, Southwest Airlines retired our signature </w:t>
                        </w:r>
                        <w:r>
                          <w:rPr>
                            <w:i/>
                            <w:color w:val="292425"/>
                            <w:w w:val="105"/>
                            <w:sz w:val="14"/>
                          </w:rPr>
                          <w:t>plastic boarding pass, a symbol of simplicity for 31 years. Simplicity has served us and our Customers well. In an increasingly complex world, please join us in a fond farewell to an old friend.  Hats off to the past, coats off to the  future!</w:t>
                        </w:r>
                      </w:p>
                    </w:tc>
                  </w:tr>
                </w:tbl>
                <w:p>
                  <w:pPr>
                    <w:pStyle w:val="BodyText"/>
                  </w:pPr>
                </w:p>
              </w:txbxContent>
            </v:textbox>
            <w10:wrap type="none"/>
          </v:shape>
        </w:pict>
      </w:r>
      <w:r>
        <w:rPr>
          <w:rFonts w:ascii="Franklin Gothic Medium"/>
          <w:color w:val="292425"/>
          <w:sz w:val="14"/>
        </w:rPr>
        <w:t>Aircraft Utilization</w:t>
      </w:r>
    </w:p>
    <w:p>
      <w:pPr>
        <w:spacing w:line="142" w:lineRule="exact" w:before="0"/>
        <w:ind w:left="1100" w:right="0" w:firstLine="0"/>
        <w:jc w:val="left"/>
        <w:rPr>
          <w:i/>
          <w:sz w:val="12"/>
        </w:rPr>
      </w:pPr>
      <w:r>
        <w:rPr>
          <w:i/>
          <w:color w:val="292425"/>
          <w:w w:val="105"/>
          <w:sz w:val="12"/>
        </w:rPr>
        <w:t>(hours and  minutes per day)</w:t>
      </w:r>
    </w:p>
    <w:p>
      <w:pPr>
        <w:spacing w:before="115"/>
        <w:ind w:left="1100" w:right="0" w:firstLine="0"/>
        <w:jc w:val="left"/>
        <w:rPr>
          <w:i/>
          <w:sz w:val="12"/>
        </w:rPr>
      </w:pPr>
      <w:r>
        <w:rPr/>
        <w:br w:type="column"/>
      </w:r>
      <w:r>
        <w:rPr>
          <w:rFonts w:ascii="Franklin Gothic Medium"/>
          <w:color w:val="292425"/>
          <w:sz w:val="14"/>
        </w:rPr>
        <w:t>Fleet  Size </w:t>
      </w:r>
      <w:r>
        <w:rPr>
          <w:i/>
          <w:color w:val="292425"/>
          <w:sz w:val="12"/>
        </w:rPr>
        <w:t>(at yearend)</w:t>
      </w:r>
    </w:p>
    <w:p>
      <w:pPr>
        <w:spacing w:before="103"/>
        <w:ind w:left="1100" w:right="0" w:firstLine="0"/>
        <w:jc w:val="left"/>
        <w:rPr>
          <w:rFonts w:ascii="Franklin Gothic Medium"/>
          <w:sz w:val="14"/>
        </w:rPr>
      </w:pPr>
      <w:r>
        <w:rPr/>
        <w:br w:type="column"/>
      </w:r>
      <w:r>
        <w:rPr>
          <w:rFonts w:ascii="Franklin Gothic Medium"/>
          <w:color w:val="292425"/>
          <w:sz w:val="14"/>
        </w:rPr>
        <w:t>Boeing 737-700 Firm Orders and  Options</w:t>
      </w:r>
    </w:p>
    <w:p>
      <w:pPr>
        <w:spacing w:after="0"/>
        <w:jc w:val="left"/>
        <w:rPr>
          <w:rFonts w:ascii="Franklin Gothic Medium"/>
          <w:sz w:val="14"/>
        </w:rPr>
        <w:sectPr>
          <w:type w:val="continuous"/>
          <w:pgSz w:w="12240" w:h="15840"/>
          <w:pgMar w:top="0" w:bottom="280" w:left="0" w:right="0"/>
          <w:cols w:num="3" w:equalWidth="0">
            <w:col w:w="2695" w:space="271"/>
            <w:col w:w="2465" w:space="503"/>
            <w:col w:w="6306"/>
          </w:cols>
        </w:sectPr>
      </w:pPr>
    </w:p>
    <w:p>
      <w:pPr>
        <w:pStyle w:val="BodyText"/>
        <w:rPr>
          <w:rFonts w:ascii="Franklin Gothic Medium"/>
        </w:rPr>
      </w:pPr>
    </w:p>
    <w:p>
      <w:pPr>
        <w:tabs>
          <w:tab w:pos="896" w:val="left" w:leader="none"/>
        </w:tabs>
        <w:spacing w:before="133"/>
        <w:ind w:left="460" w:right="0" w:firstLine="0"/>
        <w:jc w:val="left"/>
        <w:rPr>
          <w:rFonts w:ascii="Book Antiqua"/>
          <w:sz w:val="12"/>
        </w:rPr>
      </w:pPr>
      <w:r>
        <w:rPr/>
        <w:pict>
          <v:group style="position:absolute;margin-left:-.25pt;margin-top:6.379pt;width:612.5pt;height:18.5pt;mso-position-horizontal-relative:page;mso-position-vertical-relative:paragraph;z-index:-278584" coordorigin="-5,128" coordsize="12250,370">
            <v:line style="position:absolute" from="12238,492" to="12240,492" stroked="true" strokeweight=".5pt" strokecolor="#231f20">
              <v:stroke dashstyle="solid"/>
            </v:line>
            <v:shape style="position:absolute;left:0;top:133;width:12240;height:360" coordorigin="0,133" coordsize="12240,360" path="m720,133l720,493m0,493l12240,493e" filled="false" stroked="true" strokeweight=".5pt" strokecolor="#231f20">
              <v:path arrowok="t"/>
              <v:stroke dashstyle="solid"/>
            </v:shape>
            <w10:wrap type="none"/>
          </v:group>
        </w:pict>
      </w:r>
      <w:bookmarkStart w:name="System Map/Market Share/Capacity by Regi" w:id="13"/>
      <w:bookmarkEnd w:id="13"/>
      <w:r>
        <w:rPr/>
      </w:r>
      <w:r>
        <w:rPr>
          <w:rFonts w:ascii="Book Antiqua"/>
          <w:color w:val="231F20"/>
          <w:spacing w:val="4"/>
          <w:w w:val="135"/>
          <w:sz w:val="14"/>
        </w:rPr>
        <w:t>12</w:t>
        <w:tab/>
      </w:r>
      <w:r>
        <w:rPr>
          <w:rFonts w:ascii="Book Antiqua"/>
          <w:color w:val="231F20"/>
          <w:spacing w:val="6"/>
          <w:w w:val="145"/>
          <w:sz w:val="12"/>
        </w:rPr>
        <w:t>Southwest airlines </w:t>
      </w:r>
      <w:r>
        <w:rPr>
          <w:rFonts w:ascii="Book Antiqua"/>
          <w:color w:val="231F20"/>
          <w:spacing w:val="4"/>
          <w:w w:val="145"/>
          <w:sz w:val="12"/>
        </w:rPr>
        <w:t>co.  </w:t>
      </w:r>
      <w:r>
        <w:rPr>
          <w:rFonts w:ascii="Book Antiqua"/>
          <w:color w:val="231F20"/>
          <w:spacing w:val="5"/>
          <w:w w:val="135"/>
          <w:sz w:val="12"/>
        </w:rPr>
        <w:t>2002  </w:t>
      </w:r>
      <w:r>
        <w:rPr>
          <w:rFonts w:ascii="Book Antiqua"/>
          <w:color w:val="231F20"/>
          <w:spacing w:val="5"/>
          <w:w w:val="145"/>
          <w:sz w:val="12"/>
        </w:rPr>
        <w:t>annual  </w:t>
      </w:r>
      <w:r>
        <w:rPr>
          <w:rFonts w:ascii="Book Antiqua"/>
          <w:color w:val="231F20"/>
          <w:spacing w:val="4"/>
          <w:w w:val="145"/>
          <w:sz w:val="12"/>
        </w:rPr>
        <w:t>report    </w:t>
      </w:r>
      <w:r>
        <w:rPr>
          <w:rFonts w:ascii="Book Antiqua"/>
          <w:color w:val="231F20"/>
          <w:spacing w:val="-2"/>
          <w:position w:val="-1"/>
          <w:sz w:val="12"/>
        </w:rPr>
        <w:drawing>
          <wp:inline distT="0" distB="0" distL="0" distR="0">
            <wp:extent cx="374738" cy="159753"/>
            <wp:effectExtent l="0" t="0" r="0" b="0"/>
            <wp:docPr id="15" name="image17.png" descr=""/>
            <wp:cNvGraphicFramePr>
              <a:graphicFrameLocks noChangeAspect="1"/>
            </wp:cNvGraphicFramePr>
            <a:graphic>
              <a:graphicData uri="http://schemas.openxmlformats.org/drawingml/2006/picture">
                <pic:pic>
                  <pic:nvPicPr>
                    <pic:cNvPr id="16" name="image17.png"/>
                    <pic:cNvPicPr/>
                  </pic:nvPicPr>
                  <pic:blipFill>
                    <a:blip r:embed="rId35" cstate="print"/>
                    <a:stretch>
                      <a:fillRect/>
                    </a:stretch>
                  </pic:blipFill>
                  <pic:spPr>
                    <a:xfrm>
                      <a:off x="0" y="0"/>
                      <a:ext cx="374738" cy="159753"/>
                    </a:xfrm>
                    <a:prstGeom prst="rect">
                      <a:avLst/>
                    </a:prstGeom>
                  </pic:spPr>
                </pic:pic>
              </a:graphicData>
            </a:graphic>
          </wp:inline>
        </w:drawing>
      </w:r>
      <w:r>
        <w:rPr>
          <w:rFonts w:ascii="Book Antiqua"/>
          <w:color w:val="231F20"/>
          <w:spacing w:val="-2"/>
          <w:position w:val="-1"/>
          <w:sz w:val="12"/>
        </w:rPr>
      </w:r>
    </w:p>
    <w:p>
      <w:pPr>
        <w:pStyle w:val="BodyText"/>
        <w:rPr>
          <w:rFonts w:ascii="Book Antiqua"/>
        </w:rPr>
      </w:pPr>
    </w:p>
    <w:p>
      <w:pPr>
        <w:pStyle w:val="BodyText"/>
        <w:spacing w:before="6"/>
        <w:rPr>
          <w:rFonts w:ascii="Book Antiqua"/>
        </w:rPr>
      </w:pPr>
    </w:p>
    <w:p>
      <w:pPr>
        <w:spacing w:line="405" w:lineRule="auto" w:before="97"/>
        <w:ind w:left="2597" w:right="9089" w:hanging="240"/>
        <w:jc w:val="left"/>
        <w:rPr>
          <w:rFonts w:ascii="Arial"/>
          <w:sz w:val="13"/>
        </w:rPr>
      </w:pPr>
      <w:r>
        <w:rPr/>
        <w:pict>
          <v:group style="position:absolute;margin-left:74.16819pt;margin-top:-7.409079pt;width:454.1pt;height:284.45pt;mso-position-horizontal-relative:page;mso-position-vertical-relative:paragraph;z-index:-278560" coordorigin="1483,-148" coordsize="9082,5689">
            <v:shape style="position:absolute;left:1483;top:-148;width:8342;height:4956" type="#_x0000_t75" stroked="false">
              <v:imagedata r:id="rId36" o:title=""/>
            </v:shape>
            <v:shape style="position:absolute;left:9817;top:1626;width:257;height:206" type="#_x0000_t75" stroked="false">
              <v:imagedata r:id="rId37" o:title=""/>
            </v:shape>
            <v:shape style="position:absolute;left:8750;top:83;width:1816;height:1673" type="#_x0000_t75" stroked="false">
              <v:imagedata r:id="rId38" o:title=""/>
            </v:shape>
            <v:shape style="position:absolute;left:9772;top:1401;width:430;height:377" type="#_x0000_t75" stroked="false">
              <v:imagedata r:id="rId39" o:title=""/>
            </v:shape>
            <v:shape style="position:absolute;left:4917;top:447;width:4853;height:5054" type="#_x0000_t75" stroked="false">
              <v:imagedata r:id="rId40" o:title=""/>
            </v:shape>
            <v:shape style="position:absolute;left:2723;top:2831;width:1170;height:1372" coordorigin="2723,2831" coordsize="1170,1372" path="m2894,3007l2883,3014,2879,3038,2878,3074,2879,3119,2879,3144,2879,3181,2877,3192,2842,3206,2826,3212,2825,3225,2835,3258,2842,3276,2844,3279,2844,3287,2844,3322,2845,3361,2848,3376,2855,3380,2865,3387,2876,3402,2879,3420,2876,3437,2864,3453,2843,3473,2823,3498,2808,3524,2801,3549,2800,3553,2796,3562,2786,3576,2768,3592,2761,3603,2764,3611,2770,3618,2773,3622,2766,3628,2755,3640,2751,3658,2766,3683,2779,3696,2787,3711,2783,3723,2760,3728,2735,3735,2728,3751,2729,3764,2727,3765,2731,3778,2729,3793,2725,3805,2723,3810,2820,3862,3375,4168,3527,4190,3555,4193,3590,4195,3733,4203,3751,4060,3766,3941,3779,3843,3790,3763,3799,3695,3807,3636,3815,3582,3822,3530,3829,3473,3836,3413,3843,3352,3848,3309,3853,3255,3856,3229,3860,3194,3867,3144,3878,3071,3879,3060,2965,3060,2957,3057,2954,3040,2950,3020,2913,3020,2894,3007xm3021,2831l3014,2881,3010,2911,3007,2938,3001,2979,3000,2990,2991,2990,2991,2990,2983,2999,2979,3008,2978,3021,2978,3038,2974,3052,2965,3060,3879,3060,3889,2990,3000,2990,3000,2982,3890,2982,3892,2969,3674,2938,3395,2894,3021,2831xm2935,3013l2921,3018,2913,3020,2950,3020,2949,3017,2935,3013xe" filled="true" fillcolor="#febe10" stroked="false">
              <v:path arrowok="t"/>
              <v:fill type="solid"/>
            </v:shape>
            <v:shape style="position:absolute;left:2723;top:2831;width:1170;height:1372" coordorigin="2723,2831" coordsize="1170,1372" path="m2723,3810l2725,3805,2729,3793,2731,3778,2727,3765,2729,3764,2728,3751,2735,3735,2760,3728,2783,3723,2787,3711,2779,3696,2766,3683,2751,3658,2755,3640,2766,3628,2773,3622,2770,3618,2764,3611,2761,3603,2768,3592,2786,3576,2796,3562,2800,3553,2801,3549,2808,3524,2823,3498,2843,3473,2864,3453,2876,3437,2855,3380,2848,3376,2845,3361,2844,3322,2844,3287,2844,3279,2842,3276,2835,3258,2825,3225,2826,3212,2842,3206,2877,3192,2879,3181,2879,3156,2879,3119,2878,3074,2879,3038,2883,3014,2894,3007,2913,3020,2921,3018,2935,3013,2949,3017,2954,3040,2957,3057,2965,3060,2974,3052,2978,3038,2978,3021,2979,3008,2983,2999,2991,2990,3000,2982,3000,2990,3001,2979,3007,2937,3010,2911,3014,2881,3021,2831,3130,2849,3214,2863,3281,2875,3339,2884,3395,2894,3457,2904,3526,2915,3599,2926,3674,2938,3750,2949,3823,2959,3892,2969,3878,3071,3867,3144,3856,3229,3848,3309,3843,3352,3836,3413,3829,3475,3815,3582,3799,3695,3790,3763,3779,3843,3766,3941,3751,4060,3733,4203,3645,4198,3555,4193,3449,4179,3375,4168,3299,4126,3217,4080,3132,4033,3047,3986,2965,3941,2888,3899,2820,3862,2764,3832,2723,3810e" filled="false" stroked="true" strokeweight=".827pt" strokecolor="#ffffff">
              <v:path arrowok="t"/>
              <v:stroke dashstyle="solid"/>
            </v:shape>
            <v:shape style="position:absolute;left:1623;top:415;width:1425;height:1236" coordorigin="1623,415" coordsize="1425,1236" path="m1703,1023l1701,1047,1692,1049,1670,1060,1663,1076,1662,1092,1657,1107,1648,1126,1645,1144,1645,1158,1642,1167,1627,1187,1623,1202,1627,1223,1636,1258,1640,1281,1642,1302,1644,1322,1647,1340,2142,1477,2279,1518,2460,1568,2775,1651,2791,1556,2808,1476,2824,1408,2839,1350,2851,1298,2865,1254,2879,1235,2892,1227,2903,1218,2917,1195,2918,1182,2908,1173,2887,1161,2860,1137,2857,1113,2871,1093,2909,1065,2917,1056,2921,1046,2923,1037,2924,1033,2926,1029,1720,1029,1703,1023xm1974,415l1969,425,1969,445,1970,456,1969,464,1965,473,1955,490,1948,514,1946,540,1944,570,1934,604,1922,631,1917,642,1911,649,1899,660,1876,689,1868,711,1863,736,1849,770,1835,805,1831,827,1828,842,1817,855,1779,889,1769,912,1774,928,1783,940,1790,952,1787,960,1767,962,1736,971,1715,986,1710,1002,1726,1019,1728,1019,1720,1029,2926,1029,2928,1026,2937,1016,2952,1004,2969,993,2979,985,2985,973,2992,949,2996,930,3002,912,3009,899,3022,890,3043,877,3048,860,3044,843,3034,829,3014,808,3014,789,3010,783,2999,777,2978,767,2943,752,2913,743,2846,727,2780,710,2724,697,2677,688,2653,686,2338,686,2327,680,2321,668,2314,657,2291,636,2268,622,2247,616,2131,616,2110,609,2107,591,2115,566,2128,544,2136,528,2138,518,2133,512,2123,507,2115,501,2110,493,2103,481,2090,465,2078,454,2076,453,2024,453,2011,448,1999,444,1990,438,1985,432,1980,416,1974,415xm2407,671l2381,673,2357,681,2338,686,2653,686,2641,685,2513,685,2485,685,2470,683,2436,675,2407,671xm2637,685l2513,685,2641,685,2637,685xm2210,612l2190,612,2174,613,2157,615,2131,616,2247,616,2242,615,2210,612xm2067,449l2051,449,2024,453,2076,453,2067,449xe" filled="true" fillcolor="#febe10" stroked="false">
              <v:path arrowok="t"/>
              <v:fill type="solid"/>
            </v:shape>
            <v:shape style="position:absolute;left:1623;top:415;width:1425;height:1236" coordorigin="1623,415" coordsize="1425,1236" path="m1969,445l1969,425,1974,415,1980,416,1985,432,1990,438,1999,444,2011,448,2024,453,2051,449,2067,449,2078,454,2090,465,2103,481,2110,493,2115,501,2123,507,2133,512,2138,518,2136,528,2128,544,2115,566,2107,591,2110,609,2131,616,2157,615,2174,613,2190,612,2268,622,2321,668,2327,680,2338,686,2357,681,2381,673,2407,671,2436,675,2470,683,2485,685,2513,685,2561,685,2637,685,2677,688,2724,697,2780,710,2846,727,2882,736,2943,752,2999,777,3014,803,3014,806,3014,808,3034,829,3044,843,3048,860,3043,877,3022,890,3009,899,3002,912,2996,930,2992,949,2985,973,2979,985,2969,993,2952,1004,2937,1016,2928,1026,2924,1033,2923,1037,2921,1046,2917,1056,2909,1065,2896,1075,2871,1093,2857,1113,2860,1137,2887,1161,2908,1173,2918,1182,2917,1195,2903,1218,2892,1227,2879,1235,2865,1254,2851,1298,2839,1350,2824,1408,2808,1476,2791,1556,2775,1651,2721,1637,2645,1617,2556,1594,2460,1568,2365,1543,2279,1518,2210,1497,2142,1477,2060,1453,1969,1428,1877,1403,1789,1379,1710,1357,1647,1340,1644,1322,1642,1302,1640,1281,1636,1258,1627,1223,1623,1202,1627,1187,1642,1167,1645,1158,1645,1144,1648,1126,1657,1107,1662,1092,1663,1076,1670,1060,1692,1049,1701,1047,1703,1023,1716,1027,1720,1029,1728,1019,1726,1019,1710,1002,1715,986,1736,971,1767,962,1787,960,1790,952,1783,940,1774,928,1769,912,1779,889,1817,855,1828,842,1831,827,1835,805,1849,770,1863,736,1868,711,1876,689,1899,660,1911,649,1917,642,1944,570,1948,514,1955,490,1965,473,1969,464,1970,456,1969,445xe" filled="false" stroked="true" strokeweight=".827pt" strokecolor="#ffffff">
              <v:path arrowok="t"/>
              <v:stroke dashstyle="solid"/>
            </v:shape>
            <v:shape style="position:absolute;left:7129;top:598;width:134;height:124" type="#_x0000_t75" stroked="false">
              <v:imagedata r:id="rId41" o:title=""/>
            </v:shape>
            <v:shape style="position:absolute;left:7518;top:1940;width:538;height:940" coordorigin="7518,1940" coordsize="538,940" path="m7989,1940l7954,1942,7680,1961,7658,1987,7629,2004,7594,2012,7553,2012,7557,2069,7563,2152,7571,2249,7577,2347,7582,2436,7583,2503,7576,2522,7576,2529,7583,2531,7596,2535,7601,2620,7590,2667,7575,2690,7566,2703,7566,2721,7567,2735,7566,2747,7562,2755,7549,2768,7549,2774,7553,2783,7552,2807,7549,2814,7544,2819,7537,2827,7527,2844,7518,2869,7523,2879,7539,2879,7561,2871,7578,2860,7580,2852,7582,2848,7608,2848,7616,2847,7618,2837,7618,2827,7628,2823,7648,2822,7663,2820,7728,2820,7730,2814,7738,2795,7752,2784,7807,2784,7816,2767,7827,2747,7839,2745,7908,2745,7922,2737,7931,2730,7944,2715,7956,2695,7960,2676,7959,2657,7959,2635,7967,2621,8010,2621,8012,2620,8017,2610,8019,2603,8051,2603,8055,2600,8055,2573,8056,2567,8056,2539,8055,2512,8054,2508,8050,2469,8031,2321,8019,2226,8007,2126,7997,2029,7996,2012,7594,2012,7553,2011,7995,2011,7989,1940xm7608,2848l7582,2848,7600,2849,7608,2848xm7728,2820l7663,2820,7676,2822,7691,2832,7705,2842,7717,2842,7725,2833,7728,2820xm7807,2784l7752,2784,7765,2784,7773,2799,7778,2809,7790,2805,7803,2791,7807,2784xm7908,2745l7839,2745,7849,2756,7859,2780,7870,2792,7882,2775,7898,2751,7908,2745xm8010,2621l7967,2621,7991,2625,8004,2626,8010,2621xm8051,2603l8019,2603,8031,2606,8045,2608,8051,2603xe" filled="true" fillcolor="#febe10" stroked="false">
              <v:path arrowok="t"/>
              <v:fill type="solid"/>
            </v:shape>
            <v:shape style="position:absolute;left:7518;top:1940;width:538;height:940" coordorigin="7518,1940" coordsize="538,940" path="m8054,2508l8055,2512,8056,2539,8056,2567,8055,2573,8055,2600,8045,2608,8031,2606,8019,2603,8017,2610,8012,2620,8004,2626,7991,2625,7967,2621,7959,2635,7959,2657,7960,2676,7956,2695,7944,2715,7931,2730,7922,2737,7898,2751,7882,2775,7870,2792,7859,2780,7849,2756,7839,2745,7827,2747,7816,2767,7803,2791,7790,2805,7778,2809,7773,2799,7765,2784,7752,2784,7738,2795,7730,2814,7725,2833,7717,2842,7705,2842,7691,2832,7676,2822,7663,2820,7648,2822,7628,2823,7618,2827,7618,2837,7616,2847,7600,2849,7582,2848,7580,2852,7578,2860,7561,2871,7539,2879,7523,2879,7518,2869,7527,2844,7537,2827,7544,2819,7549,2814,7552,2807,7553,2783,7549,2774,7549,2768,7562,2755,7566,2747,7567,2735,7566,2721,7566,2703,7575,2690,7590,2667,7601,2620,7596,2535,7583,2531,7576,2529,7576,2522,7583,2503,7582,2436,7577,2347,7571,2249,7563,2152,7557,2069,7553,2011,7594,2012,7629,2004,7658,1987,7680,1961,7795,1953,7888,1946,7954,1942,7989,1940,7997,2029,8007,2126,8019,2226,8031,2321,8041,2404,8050,2469,8054,2508xe" filled="false" stroked="true" strokeweight=".827pt" strokecolor="#ffffff">
              <v:path arrowok="t"/>
              <v:stroke dashstyle="solid"/>
            </v:shape>
            <v:shape style="position:absolute;left:3733;top:2969;width:1193;height:1243" coordorigin="3733,2969" coordsize="1193,1243" path="m3892,2969l3881,3052,3873,3117,3864,3184,3845,3344,3835,3424,3813,3599,3803,3686,3793,3768,3784,3840,3774,3923,3764,3991,3754,4054,3744,4121,3733,4203,3807,4207,3812,4207,3888,4211,3892,4184,3895,4162,3896,4147,3897,4138,4209,4138,4207,4132,4202,4115,4203,4106,4864,4106,4868,4038,4874,3956,4879,3876,4884,3798,4888,3722,4889,3648,4889,3587,4890,3540,4892,3493,4894,3432,4896,3341,4899,3206,4923,3206,4923,3197,4923,3174,4923,3132,4926,3071,4369,3023,4218,3007,3892,2969xm4209,4138l3897,4138,4044,4146,4111,4151,4218,4159,4214,4150,4209,4138xm4864,4106l4203,4106,4263,4108,4863,4123,4864,4106xm4923,3206l4899,3206,4923,3208,4923,3206xe" filled="true" fillcolor="#febe10" stroked="false">
              <v:path arrowok="t"/>
              <v:fill type="solid"/>
            </v:shape>
            <v:shape style="position:absolute;left:3733;top:2969;width:1193;height:1243" coordorigin="3733,2969" coordsize="1193,1243" path="m4923,3206l4923,3208,4899,3206,4896,3341,4894,3432,4892,3493,4890,3540,4889,3587,4889,3648,4888,3722,4884,3798,4879,3876,4874,3956,4868,4038,4863,4123,4742,4120,4637,4117,4545,4115,4463,4113,4391,4112,4325,4110,4263,4108,4203,4106,4202,4115,4207,4132,4214,4150,4218,4159,4111,4151,4044,4146,3983,4143,3897,4138,3896,4147,3895,4162,3892,4184,3888,4211,3829,4208,3812,4207,3807,4207,3790,4206,3733,4203,3744,4121,3754,4054,3764,3991,3774,3923,3784,3840,3793,3768,3803,3686,3813,3599,3824,3510,3835,3424,3845,3344,3853,3275,3864,3184,3873,3117,3881,3052,3892,2969,4001,2981,4081,2991,4149,2999,4218,3007,4302,3016,4369,3023,4450,3031,4541,3039,4634,3047,4725,3055,4807,3062,4876,3067,4926,3071,4923,3132,4923,3174,4923,3197,4923,3206xe" filled="false" stroked="true" strokeweight=".827pt" strokecolor="#ffffff">
              <v:path arrowok="t"/>
              <v:stroke dashstyle="solid"/>
            </v:shape>
            <v:shape style="position:absolute;left:3698;top:1200;width:1209;height:986" coordorigin="3698,1200" coordsize="1209,986" path="m3815,1200l3805,1287,3796,1359,3786,1431,3774,1515,3759,1625,3752,1668,3748,1696,3745,1713,3744,1722,3743,1729,3741,1737,3739,1751,3736,1776,3731,1815,3723,1873,3712,1954,3698,2063,4368,2147,4435,2154,4500,2160,4833,2186,4839,2115,4846,2045,4852,1975,4859,1901,4873,1760,4877,1706,4879,1678,4884,1616,4890,1539,4897,1444,4906,1329,4135,1233,3815,1200xm4879,1702l4878,1706,4877,1717,4875,1739,4873,1760,4871,1781,4871,1793,4871,1797,4871,1793,4872,1785,4873,1772,4874,1758,4877,1727,4878,1713,4879,1706,4879,1702xe" filled="true" fillcolor="#febe10" stroked="false">
              <v:path arrowok="t"/>
              <v:fill type="solid"/>
            </v:shape>
            <v:shape style="position:absolute;left:3698;top:1200;width:1209;height:986" coordorigin="3698,1200" coordsize="1209,986" path="m4906,1329l4846,1321,4772,1311,4688,1301,4600,1290,4510,1278,4423,1268,4343,1258,4266,1249,4199,1241,4135,1233,4070,1226,3999,1218,3915,1210,3815,1200,3805,1287,3796,1359,3786,1431,3774,1515,3759,1625,3748,1696,3743,1729,3741,1737,3731,1815,3712,1954,3698,2063,3742,2068,3803,2075,3876,2085,3958,2095,4045,2106,4133,2117,4217,2128,4294,2138,4368,2147,4435,2154,4500,2160,4567,2165,4642,2171,4729,2177,4833,2186,4839,2115,4846,2045,4852,1975,4859,1901,4867,1824,4875,1739,4879,1678,4884,1616,4890,1539,4897,1444,4906,1329xe" filled="false" stroked="true" strokeweight=".827pt" strokecolor="#ffffff">
              <v:path arrowok="t"/>
              <v:stroke dashstyle="solid"/>
            </v:shape>
            <v:shape style="position:absolute;left:2775;top:112;width:1033;height:1720" coordorigin="2775,112" coordsize="1033,1720" path="m3155,112l3141,169,3122,247,3099,338,3050,527,3029,608,3014,669,3008,708,3011,726,3017,740,3019,762,3015,778,3012,791,3015,805,3029,824,3045,846,3048,865,3040,880,3022,890,3010,898,3002,915,2994,938,2986,968,2981,982,2977,988,2971,991,2960,997,2928,1026,2923,1042,2917,1055,2887,1079,2857,1110,2860,1137,2880,1158,2901,1171,2912,1175,2919,1178,2919,1186,2913,1204,2908,1215,2907,1215,2888,1230,2871,1244,2864,1255,2859,1272,2852,1303,2844,1334,2833,1370,2819,1425,2800,1514,2775,1651,3219,1756,3278,1768,3363,1782,3566,1811,3728,1832,3736,1782,3744,1729,3753,1669,3763,1597,3775,1510,3790,1404,3807,1275,3787,1246,3656,1246,3639,1241,3630,1229,3626,1221,3597,1221,3589,1219,3583,1215,2908,1215,2908,1215,3583,1215,3579,1212,3568,1203,3556,1196,3548,1195,3504,1195,3482,1190,3473,1174,3473,1150,3474,1118,3475,1093,3476,1083,3474,1080,3465,1075,3452,1062,3440,1044,3434,1019,3437,984,3438,963,3431,950,3361,950,3345,937,3338,914,3349,887,3371,861,3382,851,3391,841,3405,816,3409,801,3408,786,3402,771,3390,760,3379,754,3369,749,3358,744,3344,738,3334,735,3334,733,3336,726,3336,708,3333,688,3333,676,3335,667,3340,654,3340,653,3344,622,3340,622,3323,617,3314,612,3309,606,3306,600,3283,555,3274,507,3271,467,3267,449,3240,433,3234,417,3240,400,3247,384,3248,380,3249,372,3250,360,3252,341,3250,337,3248,327,3247,312,3249,294,3252,282,3257,256,3265,212,3280,147,3238,137,3227,134,3225,132,3209,127,3155,112xm3700,1235l3690,1237,3675,1245,3656,1246,3787,1246,3787,1246,3726,1246,3713,1241,3700,1235xm3754,1223l3739,1239,3726,1246,3787,1246,3784,1241,3768,1224,3754,1223xm3612,1216l3601,1219,3597,1221,3626,1221,3623,1217,3612,1216xm3540,1194l3522,1195,3504,1195,3548,1195,3540,1194xm3410,941l3381,949,3361,950,3431,950,3429,947,3410,941xe" filled="true" fillcolor="#febe10" stroked="false">
              <v:path arrowok="t"/>
              <v:fill type="solid"/>
            </v:shape>
            <v:shape style="position:absolute;left:2775;top:112;width:1033;height:1720" coordorigin="2775,112" coordsize="1033,1720" path="m3728,1832l3744,1729,3753,1669,3763,1597,3775,1510,3790,1404,3807,1275,3784,1241,3768,1224,3754,1223,3739,1239,3726,1246,3713,1241,3700,1235,3690,1237,3675,1245,3656,1246,3639,1241,3630,1229,3623,1217,3612,1216,3601,1219,3597,1221,3589,1219,3579,1212,3570,1205,3568,1203,3556,1196,3540,1194,3522,1195,3504,1195,3482,1190,3473,1174,3473,1150,3474,1118,3475,1093,3476,1083,3474,1080,3465,1075,3452,1062,3440,1044,3434,1019,3437,984,3438,963,3429,947,3410,941,3381,949,3361,950,3345,937,3338,914,3349,887,3371,861,3382,851,3391,841,3405,816,3409,801,3408,786,3358,744,3334,735,3334,733,3336,726,3336,708,3333,688,3333,676,3335,667,3340,654,3340,653,3344,622,3283,555,3271,467,3267,449,3240,433,3234,417,3240,400,3247,384,3248,380,3249,372,3250,360,3252,341,3250,337,3248,327,3247,312,3249,294,3252,282,3257,256,3265,212,3280,147,3238,137,3227,134,3225,132,3209,127,3155,112,3141,169,3122,247,3099,338,3074,434,3050,527,3029,608,3014,669,3008,708,3011,726,3017,740,3019,762,3015,778,3012,791,3015,805,3029,824,3045,846,3048,865,3040,880,3022,890,3010,898,3002,915,2994,938,2986,968,2981,982,2977,988,2971,991,2960,997,2928,1026,2923,1042,2917,1055,2887,1079,2857,1110,2860,1137,2880,1158,2901,1171,2912,1175,2919,1178,2919,1186,2913,1204,2908,1215,2908,1215,2888,1230,2871,1244,2864,1255,2859,1272,2852,1303,2844,1334,2833,1370,2819,1425,2800,1514,2775,1651,2846,1667,2919,1684,2993,1702,3068,1720,3144,1738,3219,1756,3363,1782,3463,1796,3566,1811,3658,1823,3728,1832xe" filled="false" stroked="true" strokeweight=".827pt" strokecolor="#ffffff">
              <v:path arrowok="t"/>
              <v:stroke dashstyle="solid"/>
            </v:shape>
            <v:shape style="position:absolute;left:9530;top:2063;width:211;height:312" type="#_x0000_t75" stroked="false">
              <v:imagedata r:id="rId42" o:title=""/>
            </v:shape>
            <v:shape style="position:absolute;left:9331;top:2306;width:79;height:48" coordorigin="9331,2306" coordsize="79,48" path="m9360,2306l9350,2310,9341,2312,9331,2315,9353,2328,9365,2333,9372,2339,9380,2354,9392,2349,9397,2346,9401,2344,9410,2341,9397,2330,9390,2326,9381,2321,9360,2306xe" filled="true" fillcolor="#febe10" stroked="false">
              <v:path arrowok="t"/>
              <v:fill type="solid"/>
            </v:shape>
            <v:shape style="position:absolute;left:9331;top:2306;width:79;height:48" coordorigin="9331,2306" coordsize="79,48" path="m9331,2315l9341,2312,9346,2311,9350,2310,9360,2306,9381,2321,9390,2326,9397,2330,9410,2341,9401,2344,9397,2346,9392,2349,9380,2354,9372,2339,9365,2333,9353,2328,9331,2315xe" filled="false" stroked="true" strokeweight=".827pt" strokecolor="#ffffff">
              <v:path arrowok="t"/>
              <v:stroke dashstyle="solid"/>
            </v:shape>
            <v:shape style="position:absolute;left:4175;top:3197;width:2651;height:2343" type="#_x0000_t75" stroked="false">
              <v:imagedata r:id="rId43" o:title=""/>
            </v:shape>
            <v:shape style="position:absolute;left:1695;top:210;width:8435;height:5113" coordorigin="1695,210" coordsize="8435,5113" path="m1771,2475l1768,2460,1760,2448,1748,2440,1733,2437,1718,2440,1706,2448,1698,2460,1695,2475,1698,2490,1706,2502,1718,2510,1733,2513,1748,2510,1760,2502,1768,2490,1771,2475m1776,2365l1773,2350,1765,2338,1753,2330,1738,2327,1723,2330,1711,2338,1703,2350,1700,2365,1703,2379,1711,2391,1723,2400,1738,2403,1753,2400,1765,2391,1773,2379,1776,2365m1896,2227l1893,2212,1885,2200,1873,2192,1858,2189,1844,2192,1832,2200,1823,2212,1820,2227,1823,2242,1832,2254,1844,2262,1858,2265,1873,2262,1885,2254,1893,2242,1896,2227m2121,661l2118,646,2110,634,2098,626,2083,623,2068,626,2056,634,2048,646,2045,661,2048,676,2056,688,2068,696,2083,699,2098,696,2110,688,2118,676,2121,661m2283,2123l2280,2109,2272,2097,2260,2088,2245,2085,2230,2088,2218,2097,2210,2109,2207,2123,2210,2138,2218,2150,2230,2158,2245,2161,2260,2158,2272,2150,2280,2138,2283,2123m2295,3399l2292,3384,2284,3372,2272,3364,2257,3361,2242,3364,2230,3372,2222,3384,2219,3399,2222,3414,2230,3426,2242,3434,2257,3437,2272,3434,2284,3426,2292,3414,2295,3399m2352,3489l2349,3474,2341,3462,2329,3454,2314,3451,2299,3454,2287,3462,2279,3474,2276,3489,2279,3504,2287,3516,2299,3524,2314,3527,2329,3524,2341,3516,2349,3504,2352,3489m2389,248l2386,233,2378,221,2366,213,2351,210,2336,213,2324,221,2316,233,2313,248,2316,263,2324,275,2336,283,2351,286,2366,283,2378,275,2386,263,2389,248m2391,3334l2388,3319,2379,3307,2367,3299,2353,3296,2338,3299,2326,3307,2317,3319,2314,3334,2317,3349,2326,3361,2338,3369,2353,3372,2367,3369,2379,3361,2388,3349,2391,3334m2415,3676l2412,3662,2404,3649,2392,3641,2377,3638,2363,3641,2350,3649,2342,3662,2339,3676,2342,3691,2350,3703,2363,3711,2377,3714,2392,3711,2404,3703,2412,3691,2415,3676m2539,3411l2536,3396,2528,3384,2516,3376,2501,3373,2486,3376,2474,3384,2466,3396,2463,3411,2466,3426,2474,3438,2486,3446,2501,3449,2516,3446,2528,3438,2536,3426,2539,3411m2861,3043l2858,3028,2850,3016,2838,3008,2823,3005,2808,3008,2796,3016,2788,3028,2785,3043,2788,3058,2796,3070,2808,3078,2823,3081,2838,3078,2850,3070,2858,3058,2861,3043m3044,1376l3041,1361,3033,1349,3021,1341,3006,1338,2991,1341,2979,1349,2971,1361,2968,1376,2971,1390,2979,1402,2991,1411,3006,1413,3021,1411,3033,1402,3041,1390,3044,1376m3059,343l3056,328,3048,316,3036,308,3021,305,3006,308,2994,316,2986,328,2983,343,2986,358,2994,370,3006,378,3021,381,3036,378,3048,370,3056,358,3059,343m3262,3719l3259,3704,3251,3692,3239,3684,3224,3681,3209,3684,3197,3692,3189,3704,3186,3719,3189,3734,3197,3746,3209,3754,3224,3757,3239,3754,3251,3746,3259,3734,3262,3719m3351,4015l3348,4000,3340,3988,3328,3980,3313,3977,3298,3980,3286,3988,3278,4000,3275,4015,3278,4030,3286,4042,3298,4050,3313,4053,3328,4050,3340,4042,3348,4030,3351,4015m3556,2079l3553,2064,3545,2052,3533,2044,3518,2041,3503,2044,3491,2052,3483,2064,3480,2079,3483,2094,3491,2106,3503,2114,3518,2117,3533,2114,3545,2106,3553,2094,3556,2079m6133,2161l6130,2146,6122,2134,6110,2126,6095,2123,6081,2126,6069,2134,6060,2146,6057,2161,6060,2176,6069,2188,6081,2196,6095,2199,6110,2196,6122,2188,6130,2176,6133,2161m6465,2661l6462,2647,6454,2634,6442,2626,6427,2623,6412,2626,6400,2634,6392,2647,6389,2661,6392,2676,6400,2688,6412,2696,6427,2699,6442,2696,6454,2688,6462,2676,6465,2661m7144,2767l7141,2752,7133,2740,7121,2732,7106,2729,7091,2732,7079,2740,7071,2752,7068,2767,7071,2782,7079,2794,7091,2802,7106,2805,7121,2802,7133,2794,7141,2782,7144,2767m7384,4081l7381,4066,7373,4054,7360,4046,7346,4043,7331,4046,7319,4054,7311,4066,7308,4081,7311,4096,7319,4108,7331,4116,7346,4119,7360,4116,7373,4108,7381,4096,7384,4081m7414,4621l7411,4606,7403,4594,7391,4586,7376,4583,7362,4586,7349,4594,7341,4606,7338,4621,7341,4636,7349,4648,7362,4656,7376,4659,7391,4656,7403,4648,7411,4636,7414,4621m7531,1978l7528,1963,7520,1951,7507,1943,7493,1940,7478,1943,7466,1951,7458,1963,7455,1978,7458,1993,7466,2005,7478,2013,7493,2016,7507,2013,7520,2005,7528,1993,7531,1978m7816,2463l7813,2449,7805,2436,7793,2428,7778,2425,7763,2428,7751,2436,7743,2449,7740,2463,7743,2478,7751,2490,7763,2498,7778,2501,7793,2498,7805,2490,7813,2478,7816,2463m7857,3201l7854,3186,7846,3174,7833,3166,7819,3163,7804,3166,7792,3174,7784,3186,7781,3201,7784,3216,7792,3228,7804,3236,7819,3239,7833,3236,7846,3228,7854,3216,7857,3201m7863,2839l7860,2825,7852,2813,7840,2804,7825,2801,7811,2804,7798,2813,7790,2825,7787,2839,7790,2854,7798,2866,7811,2874,7825,2877,7840,2874,7852,2866,7860,2854,7863,2839m7890,3811l7887,3796,7879,3784,7867,3776,7852,3773,7837,3776,7825,3784,7817,3796,7814,3811,7817,3826,7825,3838,7837,3846,7852,3849,7867,3846,7879,3838,7887,3826,7890,3811m8258,1695l8255,1680,8247,1668,8234,1660,8220,1657,8205,1660,8193,1668,8185,1680,8182,1695,8185,1710,8193,1722,8205,1730,8220,1733,8234,1730,8247,1722,8255,1710,8258,1695m8394,2280l8391,2265,8383,2253,8371,2245,8356,2242,8341,2245,8329,2253,8321,2265,8318,2280,8321,2295,8329,2307,8341,2315,8356,2318,8371,2315,8383,2307,8391,2295,8394,2280m8556,1956l8553,1941,8545,1929,8533,1921,8518,1918,8503,1921,8491,1929,8483,1941,8480,1956,8483,1971,8491,1983,8503,1991,8518,1994,8533,1991,8545,1983,8553,1971,8556,1956m8902,4912l8899,4897,8891,4885,8879,4877,8864,4874,8850,4877,8837,4885,8829,4897,8826,4912,8829,4927,8837,4939,8850,4947,8864,4950,8879,4947,8891,4939,8899,4927,8902,4912m8937,4413l8934,4398,8925,4386,8913,4378,8899,4375,8884,4378,8872,4386,8864,4398,8861,4413,8864,4428,8872,4440,8884,4448,8899,4451,8913,4448,8925,4440,8934,4428,8937,4413m8957,1481l8954,1466,8945,1454,8933,1446,8919,1443,8904,1446,8892,1454,8884,1466,8881,1481,8884,1496,8892,1508,8904,1516,8919,1519,8933,1516,8945,1508,8954,1496,8957,1481m9081,4778l9078,4763,9070,4751,9058,4743,9043,4740,9028,4743,9016,4751,9008,4763,9005,4778,9008,4793,9016,4805,9028,4813,9043,4816,9058,4813,9070,4805,9078,4793,9081,4778m9245,5284l9242,5269,9234,5257,9221,5249,9207,5246,9192,5249,9180,5257,9172,5269,9169,5284,9172,5299,9180,5311,9192,5319,9207,5322,9221,5319,9234,5311,9242,5299,9245,5284m9249,3067l9246,3052,9238,3040,9226,3032,9211,3029,9196,3032,9184,3040,9176,3052,9173,3067,9176,3081,9184,3094,9196,3102,9211,3105,9226,3102,9238,3094,9246,3081,9249,3067m9282,5101l9279,5086,9271,5074,9259,5066,9244,5063,9230,5066,9218,5074,9209,5086,9206,5101,9209,5115,9218,5128,9230,5136,9244,5139,9259,5136,9271,5128,9279,5115,9282,5101m9430,2263l9427,2249,9418,2237,9406,2228,9392,2225,9377,2228,9365,2237,9356,2249,9354,2263,9356,2278,9365,2290,9377,2299,9392,2301,9406,2299,9418,2290,9427,2278,9430,2263m9583,2736l9580,2721,9571,2709,9559,2701,9545,2698,9530,2701,9518,2709,9509,2721,9506,2736,9509,2751,9518,2763,9530,2771,9545,2774,9559,2771,9571,2763,9580,2751,9583,2736m9647,1489l9644,1474,9635,1462,9623,1454,9609,1451,9594,1454,9582,1462,9574,1474,9571,1489,9574,1503,9582,1515,9594,1524,9609,1527,9623,1524,9635,1515,9644,1503,9647,1489m9941,1734l9938,1719,9930,1707,9918,1699,9903,1696,9888,1699,9876,1707,9868,1719,9865,1734,9868,1749,9876,1761,9888,1769,9903,1772,9918,1769,9930,1761,9938,1749,9941,1734m10023,1159l10020,1144,10012,1132,10000,1124,9985,1121,9970,1124,9958,1132,9950,1144,9947,1159,9950,1173,9958,1185,9970,1194,9985,1197,10000,1194,10012,1185,10020,1173,10023,1159m10027,1543l10024,1528,10016,1516,10004,1508,9989,1505,9975,1508,9962,1516,9954,1528,9951,1543,9954,1557,9962,1570,9975,1578,9989,1581,10004,1578,10016,1570,10024,1557,10027,1543m10130,1476l10127,1461,10119,1449,10107,1441,10092,1438,10077,1441,10065,1449,10057,1461,10054,1476,10057,1491,10065,1503,10077,1511,10092,1514,10107,1511,10119,1503,10127,1491,10130,1476e" filled="true" fillcolor="#999b9e" stroked="false">
              <v:path arrowok="t"/>
              <v:fill type="solid"/>
            </v:shape>
            <v:shape style="position:absolute;left:1899;top:1924;width:7826;height:2042" coordorigin="1899,1924" coordsize="7826,2042" path="m2606,2657l1899,2657,1899,2766,2606,2766,2606,2657m3117,2877l2833,2877,2833,2971,3117,2971,3117,2877m7243,1924l6963,1924,6963,2163,7243,2163,7243,1924m7701,3854l7462,3854,7462,3966,7701,3966,7701,3854m9459,2383l9432,2342,9429,2319,9294,2319,9293,2331,9290,2308,9063,2308,9063,2415,9288,2415,9287,2420,9321,2420,9395,2397,9428,2404,9448,2400,9450,2397,9459,2383m9725,2387l9714,2304,9566,2304,9566,2396,9725,2387e" filled="true" fillcolor="#febe10" stroked="false">
              <v:path arrowok="t"/>
              <v:fill type="solid"/>
            </v:shape>
            <w10:wrap type="none"/>
          </v:group>
        </w:pict>
      </w:r>
      <w:r>
        <w:rPr>
          <w:rFonts w:ascii="Arial"/>
          <w:color w:val="231F20"/>
          <w:w w:val="85"/>
          <w:sz w:val="13"/>
        </w:rPr>
        <w:t>Seattle/Tacoma </w:t>
      </w:r>
      <w:r>
        <w:rPr>
          <w:rFonts w:ascii="Arial"/>
          <w:color w:val="231F20"/>
          <w:w w:val="95"/>
          <w:sz w:val="13"/>
        </w:rPr>
        <w:t>Spokane</w:t>
      </w:r>
    </w:p>
    <w:p>
      <w:pPr>
        <w:spacing w:before="87"/>
        <w:ind w:left="1912" w:right="0" w:firstLine="0"/>
        <w:jc w:val="left"/>
        <w:rPr>
          <w:rFonts w:ascii="Arial"/>
          <w:sz w:val="13"/>
        </w:rPr>
      </w:pPr>
      <w:r>
        <w:rPr>
          <w:rFonts w:ascii="Arial"/>
          <w:color w:val="231F20"/>
          <w:w w:val="95"/>
          <w:sz w:val="13"/>
        </w:rPr>
        <w:t>Portland</w:t>
      </w:r>
    </w:p>
    <w:p>
      <w:pPr>
        <w:pStyle w:val="BodyText"/>
        <w:rPr>
          <w:rFonts w:ascii="Arial"/>
          <w:sz w:val="10"/>
        </w:rPr>
      </w:pPr>
    </w:p>
    <w:p>
      <w:pPr>
        <w:spacing w:after="0"/>
        <w:rPr>
          <w:rFonts w:ascii="Arial"/>
          <w:sz w:val="10"/>
        </w:rPr>
        <w:sectPr>
          <w:headerReference w:type="even" r:id="rId34"/>
          <w:pgSz w:w="12240" w:h="15840"/>
          <w:pgMar w:header="0" w:footer="0" w:top="0" w:bottom="280" w:left="0" w:right="0"/>
        </w:sect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spacing w:before="115"/>
        <w:ind w:left="0" w:right="0" w:firstLine="0"/>
        <w:jc w:val="right"/>
        <w:rPr>
          <w:rFonts w:ascii="Arial"/>
          <w:sz w:val="13"/>
        </w:rPr>
      </w:pPr>
      <w:r>
        <w:rPr>
          <w:rFonts w:ascii="Arial"/>
          <w:color w:val="231F20"/>
          <w:w w:val="85"/>
          <w:sz w:val="13"/>
        </w:rPr>
        <w:t>Sacramento</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3"/>
        <w:rPr>
          <w:rFonts w:ascii="Arial"/>
          <w:sz w:val="16"/>
        </w:rPr>
      </w:pPr>
    </w:p>
    <w:p>
      <w:pPr>
        <w:spacing w:before="0"/>
        <w:ind w:left="193" w:right="0" w:firstLine="0"/>
        <w:jc w:val="left"/>
        <w:rPr>
          <w:rFonts w:ascii="Arial"/>
          <w:sz w:val="13"/>
        </w:rPr>
      </w:pPr>
      <w:r>
        <w:rPr>
          <w:rFonts w:ascii="Arial"/>
          <w:color w:val="231F20"/>
          <w:spacing w:val="-6"/>
          <w:w w:val="77"/>
          <w:sz w:val="13"/>
        </w:rPr>
        <w:t>R</w:t>
      </w:r>
      <w:r>
        <w:rPr>
          <w:rFonts w:ascii="Arial"/>
          <w:color w:val="231F20"/>
          <w:w w:val="77"/>
          <w:sz w:val="13"/>
        </w:rPr>
        <w:t>e</w:t>
      </w:r>
      <w:r>
        <w:rPr>
          <w:rFonts w:ascii="Arial"/>
          <w:color w:val="231F20"/>
          <w:spacing w:val="-2"/>
          <w:w w:val="84"/>
          <w:sz w:val="13"/>
        </w:rPr>
        <w:t>n</w:t>
      </w:r>
      <w:r>
        <w:rPr>
          <w:rFonts w:ascii="Arial"/>
          <w:color w:val="231F20"/>
          <w:spacing w:val="7"/>
          <w:w w:val="84"/>
          <w:sz w:val="13"/>
        </w:rPr>
        <w:t>o</w:t>
      </w:r>
      <w:r>
        <w:rPr>
          <w:rFonts w:ascii="Arial"/>
          <w:color w:val="231F20"/>
          <w:spacing w:val="5"/>
          <w:w w:val="174"/>
          <w:sz w:val="13"/>
        </w:rPr>
        <w:t>/</w:t>
      </w:r>
      <w:r>
        <w:rPr>
          <w:rFonts w:ascii="Arial"/>
          <w:color w:val="231F20"/>
          <w:spacing w:val="-10"/>
          <w:w w:val="62"/>
          <w:sz w:val="13"/>
        </w:rPr>
        <w:t>T</w:t>
      </w:r>
      <w:r>
        <w:rPr>
          <w:rFonts w:ascii="Arial"/>
          <w:color w:val="231F20"/>
          <w:w w:val="84"/>
          <w:sz w:val="13"/>
        </w:rPr>
        <w:t>a</w:t>
      </w:r>
      <w:r>
        <w:rPr>
          <w:rFonts w:ascii="Arial"/>
          <w:color w:val="231F20"/>
          <w:spacing w:val="-6"/>
          <w:w w:val="84"/>
          <w:sz w:val="13"/>
        </w:rPr>
        <w:t>h</w:t>
      </w:r>
      <w:r>
        <w:rPr>
          <w:rFonts w:ascii="Arial"/>
          <w:color w:val="231F20"/>
          <w:spacing w:val="3"/>
          <w:w w:val="84"/>
          <w:sz w:val="13"/>
        </w:rPr>
        <w:t>o</w:t>
      </w:r>
      <w:r>
        <w:rPr>
          <w:rFonts w:ascii="Arial"/>
          <w:color w:val="231F20"/>
          <w:w w:val="81"/>
          <w:sz w:val="13"/>
        </w:rPr>
        <w:t>e</w:t>
      </w:r>
    </w:p>
    <w:p>
      <w:pPr>
        <w:pStyle w:val="BodyText"/>
        <w:rPr>
          <w:rFonts w:ascii="Arial"/>
          <w:sz w:val="14"/>
        </w:rPr>
      </w:pPr>
      <w:r>
        <w:rPr/>
        <w:br w:type="column"/>
      </w:r>
      <w:r>
        <w:rPr>
          <w:rFonts w:ascii="Arial"/>
          <w:sz w:val="14"/>
        </w:rPr>
      </w:r>
    </w:p>
    <w:p>
      <w:pPr>
        <w:pStyle w:val="BodyText"/>
        <w:spacing w:before="4"/>
        <w:rPr>
          <w:rFonts w:ascii="Arial"/>
          <w:sz w:val="15"/>
        </w:rPr>
      </w:pPr>
    </w:p>
    <w:p>
      <w:pPr>
        <w:spacing w:before="0"/>
        <w:ind w:left="268" w:right="0" w:firstLine="0"/>
        <w:jc w:val="left"/>
        <w:rPr>
          <w:rFonts w:ascii="Arial"/>
          <w:sz w:val="13"/>
        </w:rPr>
      </w:pPr>
      <w:r>
        <w:rPr>
          <w:rFonts w:ascii="Arial"/>
          <w:color w:val="231F20"/>
          <w:w w:val="95"/>
          <w:sz w:val="13"/>
        </w:rPr>
        <w:t>Boise</w:t>
      </w: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10"/>
        <w:rPr>
          <w:rFonts w:ascii="Arial"/>
          <w:sz w:val="15"/>
        </w:rPr>
      </w:pPr>
    </w:p>
    <w:p>
      <w:pPr>
        <w:spacing w:before="0"/>
        <w:ind w:left="406" w:right="0" w:firstLine="0"/>
        <w:jc w:val="left"/>
        <w:rPr>
          <w:rFonts w:ascii="Arial"/>
          <w:sz w:val="13"/>
        </w:rPr>
      </w:pPr>
      <w:r>
        <w:rPr>
          <w:rFonts w:ascii="Arial"/>
          <w:color w:val="231F20"/>
          <w:w w:val="85"/>
          <w:sz w:val="13"/>
        </w:rPr>
        <w:t>Salt Lake</w:t>
      </w:r>
      <w:r>
        <w:rPr>
          <w:rFonts w:ascii="Arial"/>
          <w:color w:val="231F20"/>
          <w:spacing w:val="-19"/>
          <w:w w:val="85"/>
          <w:sz w:val="13"/>
        </w:rPr>
        <w:t> </w:t>
      </w:r>
      <w:r>
        <w:rPr>
          <w:rFonts w:ascii="Arial"/>
          <w:color w:val="231F20"/>
          <w:w w:val="85"/>
          <w:sz w:val="13"/>
        </w:rPr>
        <w:t>City</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2"/>
        <w:rPr>
          <w:rFonts w:ascii="Arial"/>
          <w:sz w:val="13"/>
        </w:rPr>
      </w:pPr>
    </w:p>
    <w:p>
      <w:pPr>
        <w:spacing w:before="0"/>
        <w:ind w:left="0" w:right="0" w:firstLine="0"/>
        <w:jc w:val="right"/>
        <w:rPr>
          <w:rFonts w:ascii="Arial"/>
          <w:sz w:val="13"/>
        </w:rPr>
      </w:pPr>
      <w:r>
        <w:rPr>
          <w:rFonts w:ascii="Arial"/>
          <w:color w:val="231F20"/>
          <w:w w:val="80"/>
          <w:sz w:val="13"/>
        </w:rPr>
        <w:t>Omaha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rPr>
          <w:rFonts w:ascii="Arial"/>
          <w:sz w:val="14"/>
        </w:rPr>
      </w:pPr>
    </w:p>
    <w:p>
      <w:pPr>
        <w:pStyle w:val="BodyText"/>
        <w:rPr>
          <w:rFonts w:ascii="Arial"/>
          <w:sz w:val="14"/>
        </w:rPr>
      </w:pPr>
    </w:p>
    <w:p>
      <w:pPr>
        <w:pStyle w:val="BodyText"/>
        <w:spacing w:before="9"/>
        <w:rPr>
          <w:rFonts w:ascii="Arial"/>
          <w:sz w:val="14"/>
        </w:rPr>
      </w:pPr>
    </w:p>
    <w:p>
      <w:pPr>
        <w:spacing w:line="126" w:lineRule="exact" w:before="0"/>
        <w:ind w:left="939" w:right="-12" w:firstLine="0"/>
        <w:jc w:val="left"/>
        <w:rPr>
          <w:rFonts w:ascii="Arial"/>
          <w:sz w:val="13"/>
        </w:rPr>
      </w:pPr>
      <w:r>
        <w:rPr>
          <w:rFonts w:ascii="Arial"/>
          <w:color w:val="231F20"/>
          <w:w w:val="90"/>
          <w:sz w:val="13"/>
        </w:rPr>
        <w:t>Chicago </w:t>
      </w:r>
      <w:r>
        <w:rPr>
          <w:rFonts w:ascii="Arial"/>
          <w:color w:val="231F20"/>
          <w:w w:val="85"/>
          <w:sz w:val="13"/>
        </w:rPr>
        <w:t>(Midway)</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1"/>
        <w:rPr>
          <w:rFonts w:ascii="Arial"/>
          <w:sz w:val="15"/>
        </w:rPr>
      </w:pPr>
    </w:p>
    <w:p>
      <w:pPr>
        <w:spacing w:before="0"/>
        <w:ind w:left="291" w:right="0" w:firstLine="0"/>
        <w:jc w:val="left"/>
        <w:rPr>
          <w:rFonts w:ascii="Arial"/>
          <w:sz w:val="13"/>
        </w:rPr>
      </w:pPr>
      <w:r>
        <w:rPr>
          <w:rFonts w:ascii="Arial"/>
          <w:color w:val="231F20"/>
          <w:w w:val="85"/>
          <w:sz w:val="13"/>
        </w:rPr>
        <w:t>Detroit</w:t>
      </w:r>
    </w:p>
    <w:p>
      <w:pPr>
        <w:pStyle w:val="BodyText"/>
        <w:spacing w:before="7"/>
        <w:rPr>
          <w:rFonts w:ascii="Arial"/>
          <w:sz w:val="19"/>
        </w:rPr>
      </w:pPr>
      <w:r>
        <w:rPr/>
        <w:br w:type="column"/>
      </w:r>
      <w:r>
        <w:rPr>
          <w:rFonts w:ascii="Arial"/>
          <w:sz w:val="19"/>
        </w:rPr>
      </w:r>
    </w:p>
    <w:p>
      <w:pPr>
        <w:spacing w:line="189" w:lineRule="auto" w:before="0"/>
        <w:ind w:left="226" w:right="-18" w:firstLine="165"/>
        <w:jc w:val="left"/>
        <w:rPr>
          <w:rFonts w:ascii="Arial"/>
          <w:sz w:val="13"/>
        </w:rPr>
      </w:pPr>
      <w:r>
        <w:rPr>
          <w:rFonts w:ascii="Arial"/>
          <w:color w:val="231F20"/>
          <w:w w:val="95"/>
          <w:sz w:val="13"/>
        </w:rPr>
        <w:t>Buffalo/ </w:t>
      </w:r>
      <w:r>
        <w:rPr>
          <w:rFonts w:ascii="Arial"/>
          <w:color w:val="231F20"/>
          <w:w w:val="85"/>
          <w:sz w:val="13"/>
        </w:rPr>
        <w:t>Niagara</w:t>
      </w:r>
      <w:r>
        <w:rPr>
          <w:rFonts w:ascii="Arial"/>
          <w:color w:val="231F20"/>
          <w:spacing w:val="-10"/>
          <w:w w:val="85"/>
          <w:sz w:val="13"/>
        </w:rPr>
        <w:t> </w:t>
      </w:r>
      <w:r>
        <w:rPr>
          <w:rFonts w:ascii="Arial"/>
          <w:color w:val="231F20"/>
          <w:w w:val="85"/>
          <w:sz w:val="13"/>
        </w:rPr>
        <w:t>Falls</w:t>
      </w:r>
    </w:p>
    <w:p>
      <w:pPr>
        <w:pStyle w:val="BodyText"/>
        <w:rPr>
          <w:rFonts w:ascii="Arial"/>
          <w:sz w:val="14"/>
        </w:rPr>
      </w:pPr>
    </w:p>
    <w:p>
      <w:pPr>
        <w:pStyle w:val="BodyText"/>
        <w:rPr>
          <w:rFonts w:ascii="Arial"/>
          <w:sz w:val="14"/>
        </w:rPr>
      </w:pPr>
    </w:p>
    <w:p>
      <w:pPr>
        <w:pStyle w:val="BodyText"/>
        <w:spacing w:before="3"/>
        <w:rPr>
          <w:rFonts w:ascii="Arial"/>
        </w:rPr>
      </w:pPr>
    </w:p>
    <w:p>
      <w:pPr>
        <w:spacing w:before="0"/>
        <w:ind w:left="-18" w:right="0" w:firstLine="0"/>
        <w:jc w:val="left"/>
        <w:rPr>
          <w:rFonts w:ascii="Arial"/>
          <w:sz w:val="13"/>
        </w:rPr>
      </w:pPr>
      <w:r>
        <w:rPr>
          <w:rFonts w:ascii="Arial"/>
          <w:color w:val="231F20"/>
          <w:w w:val="95"/>
          <w:sz w:val="13"/>
        </w:rPr>
        <w:t>Cleveland</w:t>
      </w:r>
    </w:p>
    <w:p>
      <w:pPr>
        <w:pStyle w:val="BodyText"/>
        <w:rPr>
          <w:rFonts w:ascii="Arial"/>
          <w:sz w:val="14"/>
        </w:rPr>
      </w:pPr>
      <w:r>
        <w:rPr/>
        <w:br w:type="column"/>
      </w:r>
      <w:r>
        <w:rPr>
          <w:rFonts w:ascii="Arial"/>
          <w:sz w:val="14"/>
        </w:rPr>
      </w:r>
    </w:p>
    <w:p>
      <w:pPr>
        <w:pStyle w:val="BodyText"/>
        <w:rPr>
          <w:rFonts w:ascii="Arial"/>
          <w:sz w:val="14"/>
        </w:rPr>
      </w:pPr>
    </w:p>
    <w:p>
      <w:pPr>
        <w:spacing w:before="109"/>
        <w:ind w:left="148" w:right="0" w:firstLine="0"/>
        <w:jc w:val="left"/>
        <w:rPr>
          <w:rFonts w:ascii="Arial"/>
          <w:sz w:val="13"/>
        </w:rPr>
      </w:pPr>
      <w:r>
        <w:rPr>
          <w:rFonts w:ascii="Arial"/>
          <w:color w:val="231F20"/>
          <w:w w:val="80"/>
          <w:sz w:val="13"/>
        </w:rPr>
        <w:t>Albany</w:t>
      </w:r>
    </w:p>
    <w:p>
      <w:pPr>
        <w:spacing w:line="135" w:lineRule="exact" w:before="97"/>
        <w:ind w:left="559" w:right="0" w:firstLine="0"/>
        <w:jc w:val="left"/>
        <w:rPr>
          <w:rFonts w:ascii="Arial"/>
          <w:sz w:val="13"/>
        </w:rPr>
      </w:pPr>
      <w:r>
        <w:rPr/>
        <w:br w:type="column"/>
      </w:r>
      <w:r>
        <w:rPr>
          <w:rFonts w:ascii="Arial"/>
          <w:color w:val="231F20"/>
          <w:w w:val="95"/>
          <w:sz w:val="13"/>
        </w:rPr>
        <w:t>Manchester</w:t>
      </w:r>
    </w:p>
    <w:p>
      <w:pPr>
        <w:spacing w:line="87" w:lineRule="exact" w:before="0"/>
        <w:ind w:left="609" w:right="0" w:firstLine="0"/>
        <w:jc w:val="left"/>
        <w:rPr>
          <w:rFonts w:ascii="Franklin Gothic Medium"/>
          <w:sz w:val="9"/>
        </w:rPr>
      </w:pPr>
      <w:r>
        <w:rPr>
          <w:rFonts w:ascii="Franklin Gothic Medium"/>
          <w:color w:val="231F20"/>
          <w:sz w:val="9"/>
        </w:rPr>
        <w:t>(Boston Area)</w:t>
      </w:r>
    </w:p>
    <w:p>
      <w:pPr>
        <w:spacing w:line="130" w:lineRule="exact" w:before="69"/>
        <w:ind w:left="792" w:right="0" w:firstLine="0"/>
        <w:jc w:val="left"/>
        <w:rPr>
          <w:rFonts w:ascii="Arial"/>
          <w:sz w:val="13"/>
        </w:rPr>
      </w:pPr>
      <w:r>
        <w:rPr>
          <w:rFonts w:ascii="Arial"/>
          <w:color w:val="231F20"/>
          <w:w w:val="90"/>
          <w:sz w:val="13"/>
        </w:rPr>
        <w:t>Providence</w:t>
      </w:r>
    </w:p>
    <w:p>
      <w:pPr>
        <w:spacing w:line="83" w:lineRule="exact" w:before="0"/>
        <w:ind w:left="822" w:right="0" w:firstLine="0"/>
        <w:jc w:val="left"/>
        <w:rPr>
          <w:rFonts w:ascii="Franklin Gothic Medium"/>
          <w:sz w:val="9"/>
        </w:rPr>
      </w:pPr>
      <w:r>
        <w:rPr>
          <w:rFonts w:ascii="Franklin Gothic Medium"/>
          <w:color w:val="231F20"/>
          <w:sz w:val="9"/>
        </w:rPr>
        <w:t>(Boston Area)</w:t>
      </w:r>
    </w:p>
    <w:p>
      <w:pPr>
        <w:spacing w:line="309" w:lineRule="auto" w:before="5"/>
        <w:ind w:left="260" w:right="1165" w:firstLine="249"/>
        <w:jc w:val="left"/>
        <w:rPr>
          <w:rFonts w:ascii="Arial"/>
          <w:sz w:val="13"/>
        </w:rPr>
      </w:pPr>
      <w:r>
        <w:rPr>
          <w:rFonts w:ascii="Arial"/>
          <w:color w:val="231F20"/>
          <w:w w:val="88"/>
          <w:sz w:val="13"/>
        </w:rPr>
        <w:t>Hartford/Springfield </w:t>
      </w:r>
      <w:r>
        <w:rPr>
          <w:rFonts w:ascii="Arial"/>
          <w:color w:val="231F20"/>
          <w:w w:val="81"/>
          <w:sz w:val="13"/>
        </w:rPr>
        <w:t>Long</w:t>
      </w:r>
      <w:r>
        <w:rPr>
          <w:rFonts w:ascii="Arial"/>
          <w:color w:val="231F20"/>
          <w:spacing w:val="-4"/>
          <w:sz w:val="13"/>
        </w:rPr>
        <w:t> </w:t>
      </w:r>
      <w:r>
        <w:rPr>
          <w:rFonts w:ascii="Arial"/>
          <w:color w:val="231F20"/>
          <w:w w:val="92"/>
          <w:sz w:val="13"/>
        </w:rPr>
        <w:t>Island/Islip</w:t>
      </w:r>
    </w:p>
    <w:p>
      <w:pPr>
        <w:spacing w:after="0" w:line="309" w:lineRule="auto"/>
        <w:jc w:val="left"/>
        <w:rPr>
          <w:rFonts w:ascii="Arial"/>
          <w:sz w:val="13"/>
        </w:rPr>
        <w:sectPr>
          <w:type w:val="continuous"/>
          <w:pgSz w:w="12240" w:h="15840"/>
          <w:pgMar w:top="0" w:bottom="280" w:left="0" w:right="0"/>
          <w:cols w:num="9" w:equalWidth="0">
            <w:col w:w="1941" w:space="40"/>
            <w:col w:w="794" w:space="40"/>
            <w:col w:w="1071" w:space="445"/>
            <w:col w:w="1689" w:space="40"/>
            <w:col w:w="1396" w:space="40"/>
            <w:col w:w="627" w:space="40"/>
            <w:col w:w="869" w:space="40"/>
            <w:col w:w="476" w:space="40"/>
            <w:col w:w="2652"/>
          </w:cols>
        </w:sectPr>
      </w:pPr>
    </w:p>
    <w:p>
      <w:pPr>
        <w:spacing w:line="136" w:lineRule="exact" w:before="37"/>
        <w:ind w:left="0" w:right="0" w:firstLine="0"/>
        <w:jc w:val="right"/>
        <w:rPr>
          <w:rFonts w:ascii="Arial"/>
          <w:sz w:val="13"/>
        </w:rPr>
      </w:pPr>
      <w:r>
        <w:rPr>
          <w:rFonts w:ascii="Arial"/>
          <w:color w:val="231F20"/>
          <w:w w:val="85"/>
          <w:sz w:val="13"/>
        </w:rPr>
        <w:t>Oakland</w:t>
      </w:r>
    </w:p>
    <w:p>
      <w:pPr>
        <w:spacing w:line="89" w:lineRule="exact" w:before="0"/>
        <w:ind w:left="0" w:right="12" w:firstLine="0"/>
        <w:jc w:val="right"/>
        <w:rPr>
          <w:rFonts w:ascii="Franklin Gothic Medium"/>
          <w:sz w:val="9"/>
        </w:rPr>
      </w:pPr>
      <w:r>
        <w:rPr>
          <w:rFonts w:ascii="Franklin Gothic Medium"/>
          <w:color w:val="231F20"/>
          <w:sz w:val="9"/>
        </w:rPr>
        <w:t>(San Francisco Area)</w:t>
      </w:r>
    </w:p>
    <w:p>
      <w:pPr>
        <w:pStyle w:val="BodyText"/>
        <w:rPr>
          <w:rFonts w:ascii="Franklin Gothic Medium"/>
          <w:sz w:val="14"/>
        </w:rPr>
      </w:pPr>
      <w:r>
        <w:rPr/>
        <w:br w:type="column"/>
      </w:r>
      <w:r>
        <w:rPr>
          <w:rFonts w:ascii="Franklin Gothic Medium"/>
          <w:sz w:val="14"/>
        </w:rPr>
      </w:r>
    </w:p>
    <w:p>
      <w:pPr>
        <w:spacing w:line="147" w:lineRule="exact" w:before="85"/>
        <w:ind w:left="63" w:right="0" w:firstLine="0"/>
        <w:jc w:val="left"/>
        <w:rPr>
          <w:rFonts w:ascii="Arial"/>
          <w:sz w:val="13"/>
        </w:rPr>
      </w:pPr>
      <w:r>
        <w:rPr>
          <w:rFonts w:ascii="Arial"/>
          <w:color w:val="231F20"/>
          <w:w w:val="85"/>
          <w:sz w:val="13"/>
        </w:rPr>
        <w:t>San Jose</w:t>
      </w:r>
    </w:p>
    <w:p>
      <w:pPr>
        <w:spacing w:line="100" w:lineRule="exact" w:before="0"/>
        <w:ind w:left="83" w:right="0" w:firstLine="0"/>
        <w:jc w:val="left"/>
        <w:rPr>
          <w:rFonts w:ascii="Franklin Gothic Medium"/>
          <w:sz w:val="9"/>
        </w:rPr>
      </w:pPr>
      <w:r>
        <w:rPr>
          <w:rFonts w:ascii="Franklin Gothic Medium"/>
          <w:color w:val="231F20"/>
          <w:sz w:val="9"/>
        </w:rPr>
        <w:t>(San Francisco Area)</w:t>
      </w:r>
    </w:p>
    <w:p>
      <w:pPr>
        <w:pStyle w:val="BodyText"/>
        <w:spacing w:before="6"/>
        <w:rPr>
          <w:rFonts w:ascii="Franklin Gothic Medium"/>
          <w:sz w:val="16"/>
        </w:rPr>
      </w:pPr>
      <w:r>
        <w:rPr/>
        <w:br w:type="column"/>
      </w:r>
      <w:r>
        <w:rPr>
          <w:rFonts w:ascii="Franklin Gothic Medium"/>
          <w:sz w:val="16"/>
        </w:rPr>
      </w:r>
    </w:p>
    <w:p>
      <w:pPr>
        <w:spacing w:before="0"/>
        <w:ind w:left="819" w:right="0" w:firstLine="0"/>
        <w:jc w:val="left"/>
        <w:rPr>
          <w:rFonts w:ascii="Arial"/>
          <w:sz w:val="13"/>
        </w:rPr>
      </w:pPr>
      <w:r>
        <w:rPr>
          <w:rFonts w:ascii="Arial"/>
          <w:color w:val="231F20"/>
          <w:w w:val="85"/>
          <w:sz w:val="13"/>
        </w:rPr>
        <w:t>Kansas</w:t>
      </w:r>
      <w:r>
        <w:rPr>
          <w:rFonts w:ascii="Arial"/>
          <w:color w:val="231F20"/>
          <w:spacing w:val="-6"/>
          <w:w w:val="85"/>
          <w:sz w:val="13"/>
        </w:rPr>
        <w:t> </w:t>
      </w:r>
      <w:r>
        <w:rPr>
          <w:rFonts w:ascii="Arial"/>
          <w:color w:val="231F20"/>
          <w:w w:val="85"/>
          <w:sz w:val="13"/>
        </w:rPr>
        <w:t>City</w:t>
      </w:r>
    </w:p>
    <w:p>
      <w:pPr>
        <w:pStyle w:val="BodyText"/>
        <w:spacing w:before="4"/>
        <w:rPr>
          <w:rFonts w:ascii="Arial"/>
          <w:sz w:val="19"/>
        </w:rPr>
      </w:pPr>
      <w:r>
        <w:rPr/>
        <w:br w:type="column"/>
      </w:r>
      <w:r>
        <w:rPr>
          <w:rFonts w:ascii="Arial"/>
          <w:sz w:val="19"/>
        </w:rPr>
      </w:r>
    </w:p>
    <w:p>
      <w:pPr>
        <w:spacing w:before="0"/>
        <w:ind w:left="379" w:right="0" w:firstLine="0"/>
        <w:jc w:val="left"/>
        <w:rPr>
          <w:rFonts w:ascii="Arial"/>
          <w:sz w:val="13"/>
        </w:rPr>
      </w:pPr>
      <w:r>
        <w:rPr>
          <w:rFonts w:ascii="Arial"/>
          <w:color w:val="231F20"/>
          <w:w w:val="85"/>
          <w:sz w:val="13"/>
        </w:rPr>
        <w:t>In</w:t>
      </w:r>
      <w:r>
        <w:rPr>
          <w:rFonts w:ascii="Arial"/>
          <w:color w:val="231F20"/>
          <w:w w:val="85"/>
          <w:sz w:val="13"/>
          <w:shd w:fill="FEBE10" w:color="auto" w:val="clear"/>
        </w:rPr>
        <w:t>dia</w:t>
      </w:r>
      <w:r>
        <w:rPr>
          <w:rFonts w:ascii="Arial"/>
          <w:color w:val="231F20"/>
          <w:w w:val="85"/>
          <w:sz w:val="13"/>
        </w:rPr>
        <w:t>napolis</w:t>
      </w:r>
    </w:p>
    <w:p>
      <w:pPr>
        <w:spacing w:before="45"/>
        <w:ind w:left="38" w:right="0" w:firstLine="0"/>
        <w:jc w:val="left"/>
        <w:rPr>
          <w:rFonts w:ascii="Arial"/>
          <w:sz w:val="13"/>
        </w:rPr>
      </w:pPr>
      <w:r>
        <w:rPr/>
        <w:br w:type="column"/>
      </w:r>
      <w:r>
        <w:rPr>
          <w:rFonts w:ascii="Arial"/>
          <w:color w:val="231F20"/>
          <w:w w:val="80"/>
          <w:sz w:val="13"/>
        </w:rPr>
        <w:t>Columbus</w:t>
      </w:r>
    </w:p>
    <w:p>
      <w:pPr>
        <w:spacing w:line="142" w:lineRule="exact" w:before="27"/>
        <w:ind w:left="391" w:right="0" w:firstLine="0"/>
        <w:jc w:val="left"/>
        <w:rPr>
          <w:rFonts w:ascii="Arial"/>
          <w:sz w:val="13"/>
        </w:rPr>
      </w:pPr>
      <w:r>
        <w:rPr/>
        <w:br w:type="column"/>
      </w:r>
      <w:r>
        <w:rPr>
          <w:rFonts w:ascii="Arial"/>
          <w:color w:val="231F20"/>
          <w:w w:val="85"/>
          <w:sz w:val="13"/>
        </w:rPr>
        <w:t>Baltimore/ Washington (BWI)</w:t>
      </w:r>
    </w:p>
    <w:p>
      <w:pPr>
        <w:spacing w:line="95" w:lineRule="exact" w:before="0"/>
        <w:ind w:left="1283" w:right="1909" w:firstLine="0"/>
        <w:jc w:val="center"/>
        <w:rPr>
          <w:rFonts w:ascii="Franklin Gothic Medium"/>
          <w:sz w:val="9"/>
        </w:rPr>
      </w:pPr>
      <w:r>
        <w:rPr>
          <w:rFonts w:ascii="Franklin Gothic Medium"/>
          <w:color w:val="231F20"/>
          <w:sz w:val="9"/>
        </w:rPr>
        <w:t>(D.C. Area)</w:t>
      </w:r>
    </w:p>
    <w:p>
      <w:pPr>
        <w:pStyle w:val="BodyText"/>
        <w:spacing w:before="2"/>
        <w:rPr>
          <w:rFonts w:ascii="Franklin Gothic Medium"/>
          <w:sz w:val="9"/>
        </w:rPr>
      </w:pPr>
    </w:p>
    <w:p>
      <w:pPr>
        <w:spacing w:line="131" w:lineRule="exact" w:before="0"/>
        <w:ind w:left="1145" w:right="0" w:firstLine="0"/>
        <w:jc w:val="left"/>
        <w:rPr>
          <w:rFonts w:ascii="Arial"/>
          <w:sz w:val="13"/>
        </w:rPr>
      </w:pPr>
      <w:r>
        <w:rPr>
          <w:rFonts w:ascii="Arial"/>
          <w:color w:val="231F20"/>
          <w:w w:val="95"/>
          <w:sz w:val="13"/>
        </w:rPr>
        <w:t>Norfolk</w:t>
      </w:r>
    </w:p>
    <w:p>
      <w:pPr>
        <w:spacing w:after="0" w:line="131" w:lineRule="exact"/>
        <w:jc w:val="left"/>
        <w:rPr>
          <w:rFonts w:ascii="Arial"/>
          <w:sz w:val="13"/>
        </w:rPr>
        <w:sectPr>
          <w:type w:val="continuous"/>
          <w:pgSz w:w="12240" w:h="15840"/>
          <w:pgMar w:top="0" w:bottom="280" w:left="0" w:right="0"/>
          <w:cols w:num="6" w:equalWidth="0">
            <w:col w:w="1598" w:space="40"/>
            <w:col w:w="890" w:space="3012"/>
            <w:col w:w="1408" w:space="40"/>
            <w:col w:w="994" w:space="40"/>
            <w:col w:w="536" w:space="40"/>
            <w:col w:w="3642"/>
          </w:cols>
        </w:sectPr>
      </w:pPr>
    </w:p>
    <w:p>
      <w:pPr>
        <w:pStyle w:val="BodyText"/>
        <w:rPr>
          <w:rFonts w:ascii="Arial"/>
          <w:sz w:val="14"/>
        </w:rPr>
      </w:pPr>
    </w:p>
    <w:p>
      <w:pPr>
        <w:pStyle w:val="BodyText"/>
        <w:rPr>
          <w:rFonts w:ascii="Arial"/>
          <w:sz w:val="14"/>
        </w:rPr>
      </w:pPr>
    </w:p>
    <w:p>
      <w:pPr>
        <w:pStyle w:val="BodyText"/>
        <w:rPr>
          <w:rFonts w:ascii="Arial"/>
          <w:sz w:val="14"/>
        </w:rPr>
      </w:pPr>
    </w:p>
    <w:p>
      <w:pPr>
        <w:spacing w:line="148" w:lineRule="exact" w:before="89"/>
        <w:ind w:left="1266" w:right="0" w:firstLine="0"/>
        <w:jc w:val="left"/>
        <w:rPr>
          <w:rFonts w:ascii="Arial"/>
          <w:sz w:val="13"/>
        </w:rPr>
      </w:pPr>
      <w:r>
        <w:rPr>
          <w:rFonts w:ascii="Arial"/>
          <w:color w:val="231F20"/>
          <w:w w:val="80"/>
          <w:sz w:val="13"/>
        </w:rPr>
        <w:t>Los Angeles (LAX)</w:t>
      </w:r>
    </w:p>
    <w:p>
      <w:pPr>
        <w:spacing w:line="148" w:lineRule="exact" w:before="0"/>
        <w:ind w:left="0" w:right="0" w:firstLine="0"/>
        <w:jc w:val="right"/>
        <w:rPr>
          <w:rFonts w:ascii="Arial"/>
          <w:sz w:val="13"/>
        </w:rPr>
      </w:pPr>
      <w:r>
        <w:rPr>
          <w:rFonts w:ascii="Arial"/>
          <w:color w:val="231F20"/>
          <w:w w:val="80"/>
          <w:sz w:val="13"/>
        </w:rPr>
        <w:t>Orange County</w:t>
      </w:r>
    </w:p>
    <w:p>
      <w:pPr>
        <w:spacing w:before="77"/>
        <w:ind w:left="357" w:right="0" w:firstLine="0"/>
        <w:jc w:val="left"/>
        <w:rPr>
          <w:rFonts w:ascii="Arial"/>
          <w:sz w:val="13"/>
        </w:rPr>
      </w:pPr>
      <w:r>
        <w:rPr/>
        <w:br w:type="column"/>
      </w:r>
      <w:r>
        <w:rPr>
          <w:rFonts w:ascii="Arial"/>
          <w:color w:val="231F20"/>
          <w:w w:val="80"/>
          <w:sz w:val="13"/>
        </w:rPr>
        <w:t>Las Vegas</w:t>
      </w:r>
    </w:p>
    <w:p>
      <w:pPr>
        <w:pStyle w:val="BodyText"/>
        <w:spacing w:before="6"/>
        <w:rPr>
          <w:rFonts w:ascii="Arial"/>
          <w:sz w:val="14"/>
        </w:rPr>
      </w:pPr>
    </w:p>
    <w:p>
      <w:pPr>
        <w:spacing w:before="0"/>
        <w:ind w:left="-23" w:right="0" w:firstLine="0"/>
        <w:jc w:val="left"/>
        <w:rPr>
          <w:rFonts w:ascii="Arial"/>
          <w:sz w:val="13"/>
        </w:rPr>
      </w:pPr>
      <w:r>
        <w:rPr>
          <w:rFonts w:ascii="Arial"/>
          <w:color w:val="231F20"/>
          <w:w w:val="95"/>
          <w:sz w:val="13"/>
        </w:rPr>
        <w:t>Burbank</w:t>
      </w:r>
    </w:p>
    <w:p>
      <w:pPr>
        <w:spacing w:line="144" w:lineRule="exact" w:before="40"/>
        <w:ind w:left="241" w:right="0" w:firstLine="0"/>
        <w:jc w:val="left"/>
        <w:rPr>
          <w:rFonts w:ascii="Arial"/>
          <w:sz w:val="13"/>
        </w:rPr>
      </w:pPr>
      <w:r>
        <w:rPr>
          <w:rFonts w:ascii="Arial"/>
          <w:color w:val="231F20"/>
          <w:w w:val="95"/>
          <w:sz w:val="13"/>
        </w:rPr>
        <w:t>O</w:t>
      </w:r>
      <w:r>
        <w:rPr>
          <w:rFonts w:ascii="Arial"/>
          <w:color w:val="231F20"/>
          <w:w w:val="95"/>
          <w:sz w:val="13"/>
          <w:shd w:fill="FEBE10" w:color="auto" w:val="clear"/>
        </w:rPr>
        <w:t>ntario</w:t>
      </w:r>
      <w:r>
        <w:rPr>
          <w:rFonts w:ascii="Arial"/>
          <w:color w:val="231F20"/>
          <w:sz w:val="13"/>
          <w:shd w:fill="FEBE10" w:color="auto" w:val="clear"/>
        </w:rPr>
        <w:t> </w:t>
      </w:r>
    </w:p>
    <w:p>
      <w:pPr>
        <w:spacing w:line="96" w:lineRule="exact" w:before="0"/>
        <w:ind w:left="239" w:right="0" w:firstLine="0"/>
        <w:jc w:val="left"/>
        <w:rPr>
          <w:rFonts w:ascii="Franklin Gothic Medium"/>
          <w:sz w:val="9"/>
        </w:rPr>
      </w:pPr>
      <w:r>
        <w:rPr>
          <w:rFonts w:ascii="Franklin Gothic Medium"/>
          <w:color w:val="231F20"/>
          <w:sz w:val="9"/>
        </w:rPr>
        <w:t>(Palm Springs Area)</w:t>
      </w:r>
    </w:p>
    <w:p>
      <w:pPr>
        <w:pStyle w:val="BodyText"/>
        <w:rPr>
          <w:rFonts w:ascii="Franklin Gothic Medium"/>
          <w:sz w:val="14"/>
        </w:rPr>
      </w:pPr>
      <w:r>
        <w:rPr/>
        <w:br w:type="column"/>
      </w:r>
      <w:r>
        <w:rPr>
          <w:rFonts w:ascii="Franklin Gothic Medium"/>
          <w:sz w:val="14"/>
        </w:rPr>
      </w:r>
    </w:p>
    <w:p>
      <w:pPr>
        <w:pStyle w:val="BodyText"/>
        <w:spacing w:before="1"/>
        <w:rPr>
          <w:rFonts w:ascii="Franklin Gothic Medium"/>
        </w:rPr>
      </w:pPr>
    </w:p>
    <w:p>
      <w:pPr>
        <w:spacing w:line="147" w:lineRule="exact" w:before="0"/>
        <w:ind w:left="567" w:right="0" w:firstLine="0"/>
        <w:jc w:val="left"/>
        <w:rPr>
          <w:rFonts w:ascii="Arial"/>
          <w:sz w:val="13"/>
        </w:rPr>
      </w:pPr>
      <w:r>
        <w:rPr>
          <w:rFonts w:ascii="Arial"/>
          <w:color w:val="231F20"/>
          <w:w w:val="80"/>
          <w:sz w:val="13"/>
        </w:rPr>
        <w:t>Albuquerque</w:t>
      </w:r>
    </w:p>
    <w:p>
      <w:pPr>
        <w:spacing w:line="101" w:lineRule="exact" w:before="0"/>
        <w:ind w:left="611" w:right="0" w:firstLine="0"/>
        <w:jc w:val="left"/>
        <w:rPr>
          <w:rFonts w:ascii="Arial"/>
          <w:sz w:val="9"/>
        </w:rPr>
      </w:pPr>
      <w:r>
        <w:rPr>
          <w:rFonts w:ascii="Arial"/>
          <w:color w:val="231F20"/>
          <w:w w:val="85"/>
          <w:sz w:val="9"/>
        </w:rPr>
        <w:t>(Santa Fe Area)</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4"/>
        <w:rPr>
          <w:rFonts w:ascii="Arial"/>
          <w:sz w:val="12"/>
        </w:rPr>
      </w:pPr>
    </w:p>
    <w:p>
      <w:pPr>
        <w:spacing w:before="0"/>
        <w:ind w:left="391" w:right="0" w:firstLine="0"/>
        <w:jc w:val="left"/>
        <w:rPr>
          <w:rFonts w:ascii="Arial"/>
          <w:sz w:val="13"/>
        </w:rPr>
      </w:pPr>
      <w:r>
        <w:rPr>
          <w:rFonts w:ascii="Arial"/>
          <w:color w:val="231F20"/>
          <w:w w:val="90"/>
          <w:sz w:val="13"/>
        </w:rPr>
        <w:t>Amarillo</w:t>
      </w:r>
    </w:p>
    <w:p>
      <w:pPr>
        <w:spacing w:line="380" w:lineRule="atLeast" w:before="124"/>
        <w:ind w:left="160" w:right="-9" w:firstLine="554"/>
        <w:jc w:val="left"/>
        <w:rPr>
          <w:rFonts w:ascii="Arial"/>
          <w:sz w:val="13"/>
        </w:rPr>
      </w:pPr>
      <w:r>
        <w:rPr/>
        <w:br w:type="column"/>
      </w:r>
      <w:r>
        <w:rPr>
          <w:rFonts w:ascii="Arial"/>
          <w:color w:val="231F20"/>
          <w:spacing w:val="-4"/>
          <w:w w:val="80"/>
          <w:sz w:val="13"/>
        </w:rPr>
        <w:t>Tulsa </w:t>
      </w:r>
      <w:r>
        <w:rPr>
          <w:rFonts w:ascii="Arial"/>
          <w:color w:val="231F20"/>
          <w:spacing w:val="-1"/>
          <w:w w:val="80"/>
          <w:sz w:val="13"/>
        </w:rPr>
        <w:t>Oklahoma </w:t>
      </w:r>
      <w:r>
        <w:rPr>
          <w:rFonts w:ascii="Arial"/>
          <w:color w:val="231F20"/>
          <w:w w:val="80"/>
          <w:sz w:val="13"/>
        </w:rPr>
        <w:t>City</w:t>
      </w:r>
    </w:p>
    <w:p>
      <w:pPr>
        <w:spacing w:before="44"/>
        <w:ind w:left="298" w:right="0" w:firstLine="0"/>
        <w:jc w:val="left"/>
        <w:rPr>
          <w:rFonts w:ascii="Arial"/>
          <w:sz w:val="13"/>
        </w:rPr>
      </w:pPr>
      <w:r>
        <w:rPr/>
        <w:br w:type="column"/>
      </w:r>
      <w:r>
        <w:rPr>
          <w:rFonts w:ascii="Arial"/>
          <w:color w:val="231F20"/>
          <w:w w:val="85"/>
          <w:sz w:val="13"/>
        </w:rPr>
        <w:t>St.</w:t>
      </w:r>
      <w:r>
        <w:rPr>
          <w:rFonts w:ascii="Arial"/>
          <w:color w:val="231F20"/>
          <w:spacing w:val="-14"/>
          <w:w w:val="85"/>
          <w:sz w:val="13"/>
        </w:rPr>
        <w:t> </w:t>
      </w:r>
      <w:r>
        <w:rPr>
          <w:rFonts w:ascii="Arial"/>
          <w:color w:val="231F20"/>
          <w:w w:val="85"/>
          <w:sz w:val="13"/>
        </w:rPr>
        <w:t>Louis</w:t>
      </w:r>
    </w:p>
    <w:p>
      <w:pPr>
        <w:pStyle w:val="BodyText"/>
        <w:rPr>
          <w:rFonts w:ascii="Arial"/>
          <w:sz w:val="14"/>
        </w:rPr>
      </w:pPr>
    </w:p>
    <w:p>
      <w:pPr>
        <w:pStyle w:val="BodyText"/>
        <w:spacing w:before="5"/>
        <w:rPr>
          <w:rFonts w:ascii="Arial"/>
          <w:sz w:val="15"/>
        </w:rPr>
      </w:pPr>
    </w:p>
    <w:p>
      <w:pPr>
        <w:spacing w:before="0"/>
        <w:ind w:left="118" w:right="0" w:firstLine="0"/>
        <w:jc w:val="left"/>
        <w:rPr>
          <w:rFonts w:ascii="Arial"/>
          <w:sz w:val="13"/>
        </w:rPr>
      </w:pPr>
      <w:r>
        <w:rPr>
          <w:rFonts w:ascii="Arial"/>
          <w:color w:val="231F20"/>
          <w:w w:val="85"/>
          <w:sz w:val="13"/>
        </w:rPr>
        <w:t>Little Rock</w:t>
      </w:r>
    </w:p>
    <w:p>
      <w:pPr>
        <w:spacing w:line="549" w:lineRule="auto" w:before="20"/>
        <w:ind w:left="699" w:right="-15" w:firstLine="35"/>
        <w:jc w:val="left"/>
        <w:rPr>
          <w:rFonts w:ascii="Arial"/>
          <w:sz w:val="13"/>
        </w:rPr>
      </w:pPr>
      <w:r>
        <w:rPr/>
        <w:br w:type="column"/>
      </w:r>
      <w:r>
        <w:rPr>
          <w:rFonts w:ascii="Arial"/>
          <w:color w:val="231F20"/>
          <w:spacing w:val="-2"/>
          <w:w w:val="85"/>
          <w:sz w:val="13"/>
        </w:rPr>
        <w:t>Louisville </w:t>
      </w:r>
      <w:r>
        <w:rPr>
          <w:rFonts w:ascii="Arial"/>
          <w:color w:val="231F20"/>
          <w:w w:val="85"/>
          <w:sz w:val="13"/>
        </w:rPr>
        <w:t>Nashville</w:t>
      </w:r>
    </w:p>
    <w:p>
      <w:pPr>
        <w:pStyle w:val="BodyText"/>
        <w:rPr>
          <w:rFonts w:ascii="Arial"/>
          <w:sz w:val="14"/>
        </w:rPr>
      </w:pPr>
      <w:r>
        <w:rPr/>
        <w:br w:type="column"/>
      </w:r>
      <w:r>
        <w:rPr>
          <w:rFonts w:ascii="Arial"/>
          <w:sz w:val="14"/>
        </w:rPr>
      </w:r>
    </w:p>
    <w:p>
      <w:pPr>
        <w:pStyle w:val="BodyText"/>
        <w:spacing w:before="7"/>
        <w:rPr>
          <w:rFonts w:ascii="Arial"/>
          <w:sz w:val="13"/>
        </w:rPr>
      </w:pPr>
    </w:p>
    <w:p>
      <w:pPr>
        <w:spacing w:before="0"/>
        <w:ind w:left="294" w:right="0" w:firstLine="0"/>
        <w:jc w:val="left"/>
        <w:rPr>
          <w:rFonts w:ascii="Arial"/>
          <w:sz w:val="13"/>
        </w:rPr>
      </w:pPr>
      <w:r>
        <w:rPr>
          <w:rFonts w:ascii="Arial"/>
          <w:color w:val="231F20"/>
          <w:w w:val="80"/>
          <w:sz w:val="13"/>
        </w:rPr>
        <w:t>Raleigh-Durham</w:t>
      </w:r>
    </w:p>
    <w:p>
      <w:pPr>
        <w:spacing w:line="98" w:lineRule="exact" w:before="0"/>
        <w:ind w:left="205" w:right="0" w:firstLine="0"/>
        <w:jc w:val="left"/>
        <w:rPr>
          <w:rFonts w:ascii="Franklin Gothic Medium"/>
          <w:sz w:val="9"/>
        </w:rPr>
      </w:pPr>
      <w:r>
        <w:rPr/>
        <w:br w:type="column"/>
      </w:r>
      <w:r>
        <w:rPr>
          <w:rFonts w:ascii="Franklin Gothic Medium"/>
          <w:color w:val="231F20"/>
          <w:sz w:val="9"/>
        </w:rPr>
        <w:t>(Southern Virginia)</w:t>
      </w:r>
    </w:p>
    <w:p>
      <w:pPr>
        <w:spacing w:after="0" w:line="98" w:lineRule="exact"/>
        <w:jc w:val="left"/>
        <w:rPr>
          <w:rFonts w:ascii="Franklin Gothic Medium"/>
          <w:sz w:val="9"/>
        </w:rPr>
        <w:sectPr>
          <w:type w:val="continuous"/>
          <w:pgSz w:w="12240" w:h="15840"/>
          <w:pgMar w:top="0" w:bottom="280" w:left="0" w:right="0"/>
          <w:cols w:num="9" w:equalWidth="0">
            <w:col w:w="2275" w:space="40"/>
            <w:col w:w="1012" w:space="40"/>
            <w:col w:w="1169" w:space="40"/>
            <w:col w:w="815" w:space="40"/>
            <w:col w:w="960" w:space="40"/>
            <w:col w:w="719" w:space="40"/>
            <w:col w:w="1174" w:space="40"/>
            <w:col w:w="1087" w:space="40"/>
            <w:col w:w="2709"/>
          </w:cols>
        </w:sectPr>
      </w:pPr>
    </w:p>
    <w:p>
      <w:pPr>
        <w:tabs>
          <w:tab w:pos="1316" w:val="left" w:leader="none"/>
        </w:tabs>
        <w:spacing w:line="195" w:lineRule="exact" w:before="0"/>
        <w:ind w:left="0" w:right="0" w:firstLine="0"/>
        <w:jc w:val="right"/>
        <w:rPr>
          <w:rFonts w:ascii="Arial"/>
          <w:sz w:val="13"/>
        </w:rPr>
      </w:pPr>
      <w:r>
        <w:rPr>
          <w:rFonts w:ascii="Arial"/>
          <w:color w:val="231F20"/>
          <w:w w:val="95"/>
          <w:sz w:val="13"/>
        </w:rPr>
        <w:t>San</w:t>
      </w:r>
      <w:r>
        <w:rPr>
          <w:rFonts w:ascii="Arial"/>
          <w:color w:val="231F20"/>
          <w:spacing w:val="-21"/>
          <w:w w:val="95"/>
          <w:sz w:val="13"/>
        </w:rPr>
        <w:t> </w:t>
      </w:r>
      <w:r>
        <w:rPr>
          <w:rFonts w:ascii="Arial"/>
          <w:color w:val="231F20"/>
          <w:w w:val="95"/>
          <w:sz w:val="13"/>
        </w:rPr>
        <w:t>Diego</w:t>
        <w:tab/>
      </w:r>
      <w:r>
        <w:rPr>
          <w:rFonts w:ascii="Arial"/>
          <w:color w:val="231F20"/>
          <w:spacing w:val="-1"/>
          <w:w w:val="80"/>
          <w:position w:val="6"/>
          <w:sz w:val="13"/>
        </w:rPr>
        <w:t>Phoenix</w:t>
      </w:r>
    </w:p>
    <w:p>
      <w:pPr>
        <w:spacing w:before="88"/>
        <w:ind w:left="0" w:right="0" w:firstLine="0"/>
        <w:jc w:val="right"/>
        <w:rPr>
          <w:rFonts w:ascii="Arial"/>
          <w:sz w:val="13"/>
        </w:rPr>
      </w:pPr>
      <w:r>
        <w:rPr>
          <w:rFonts w:ascii="Arial"/>
          <w:color w:val="231F20"/>
          <w:w w:val="80"/>
          <w:sz w:val="13"/>
        </w:rPr>
        <w:t>Tucson</w:t>
      </w:r>
    </w:p>
    <w:p>
      <w:pPr>
        <w:pStyle w:val="BodyText"/>
        <w:rPr>
          <w:rFonts w:ascii="Arial"/>
          <w:sz w:val="14"/>
        </w:rPr>
      </w:pPr>
      <w:r>
        <w:rPr/>
        <w:br w:type="column"/>
      </w:r>
      <w:r>
        <w:rPr>
          <w:rFonts w:ascii="Arial"/>
          <w:sz w:val="14"/>
        </w:rPr>
      </w:r>
    </w:p>
    <w:p>
      <w:pPr>
        <w:pStyle w:val="BodyText"/>
        <w:rPr>
          <w:rFonts w:ascii="Arial"/>
          <w:sz w:val="14"/>
        </w:rPr>
      </w:pPr>
    </w:p>
    <w:p>
      <w:pPr>
        <w:pStyle w:val="BodyText"/>
        <w:spacing w:before="2"/>
        <w:rPr>
          <w:rFonts w:ascii="Arial"/>
          <w:sz w:val="14"/>
        </w:rPr>
      </w:pPr>
    </w:p>
    <w:p>
      <w:pPr>
        <w:spacing w:before="0"/>
        <w:ind w:left="613" w:right="0" w:firstLine="0"/>
        <w:jc w:val="left"/>
        <w:rPr>
          <w:rFonts w:ascii="Arial"/>
          <w:sz w:val="13"/>
        </w:rPr>
      </w:pPr>
      <w:r>
        <w:rPr>
          <w:rFonts w:ascii="Arial"/>
          <w:color w:val="231F20"/>
          <w:spacing w:val="2"/>
          <w:w w:val="85"/>
          <w:sz w:val="13"/>
        </w:rPr>
        <w:t>El</w:t>
      </w:r>
      <w:r>
        <w:rPr>
          <w:rFonts w:ascii="Arial"/>
          <w:color w:val="231F20"/>
          <w:spacing w:val="-17"/>
          <w:w w:val="85"/>
          <w:sz w:val="13"/>
        </w:rPr>
        <w:t> </w:t>
      </w:r>
      <w:r>
        <w:rPr>
          <w:rFonts w:ascii="Arial"/>
          <w:color w:val="231F20"/>
          <w:w w:val="85"/>
          <w:sz w:val="13"/>
        </w:rPr>
        <w:t>Paso</w:t>
      </w:r>
    </w:p>
    <w:p>
      <w:pPr>
        <w:spacing w:before="58"/>
        <w:ind w:left="242" w:right="0" w:hanging="2"/>
        <w:jc w:val="left"/>
        <w:rPr>
          <w:rFonts w:ascii="Arial"/>
          <w:sz w:val="13"/>
        </w:rPr>
      </w:pPr>
      <w:r>
        <w:rPr/>
        <w:br w:type="column"/>
      </w:r>
      <w:r>
        <w:rPr>
          <w:rFonts w:ascii="Arial"/>
          <w:color w:val="231F20"/>
          <w:w w:val="90"/>
          <w:sz w:val="13"/>
        </w:rPr>
        <w:t>Lubbock</w:t>
      </w:r>
    </w:p>
    <w:p>
      <w:pPr>
        <w:pStyle w:val="BodyText"/>
        <w:rPr>
          <w:rFonts w:ascii="Arial"/>
          <w:sz w:val="14"/>
        </w:rPr>
      </w:pPr>
    </w:p>
    <w:p>
      <w:pPr>
        <w:pStyle w:val="BodyText"/>
        <w:spacing w:before="5"/>
        <w:rPr>
          <w:rFonts w:ascii="Arial"/>
          <w:sz w:val="13"/>
        </w:rPr>
      </w:pPr>
    </w:p>
    <w:p>
      <w:pPr>
        <w:spacing w:line="172" w:lineRule="auto" w:before="0"/>
        <w:ind w:left="275" w:right="-5" w:hanging="34"/>
        <w:jc w:val="left"/>
        <w:rPr>
          <w:rFonts w:ascii="Arial"/>
          <w:sz w:val="13"/>
        </w:rPr>
      </w:pPr>
      <w:r>
        <w:rPr>
          <w:rFonts w:ascii="Arial"/>
          <w:color w:val="231F20"/>
          <w:w w:val="90"/>
          <w:sz w:val="13"/>
        </w:rPr>
        <w:t>Mi</w:t>
      </w:r>
      <w:r>
        <w:rPr>
          <w:rFonts w:ascii="Arial"/>
          <w:color w:val="231F20"/>
          <w:w w:val="87"/>
          <w:sz w:val="13"/>
        </w:rPr>
        <w:t>d</w:t>
      </w:r>
      <w:r>
        <w:rPr>
          <w:rFonts w:ascii="Arial"/>
          <w:color w:val="231F20"/>
          <w:w w:val="101"/>
          <w:sz w:val="13"/>
        </w:rPr>
        <w:t>l</w:t>
      </w:r>
      <w:r>
        <w:rPr>
          <w:rFonts w:ascii="Arial"/>
          <w:color w:val="231F20"/>
          <w:w w:val="85"/>
          <w:sz w:val="13"/>
        </w:rPr>
        <w:t>and</w:t>
      </w:r>
      <w:r>
        <w:rPr>
          <w:rFonts w:ascii="Arial"/>
          <w:color w:val="231F20"/>
          <w:w w:val="174"/>
          <w:sz w:val="13"/>
        </w:rPr>
        <w:t>/ </w:t>
      </w:r>
      <w:r>
        <w:rPr>
          <w:rFonts w:ascii="Arial"/>
          <w:color w:val="231F20"/>
          <w:w w:val="90"/>
          <w:sz w:val="13"/>
        </w:rPr>
        <w:t>Odessa</w:t>
      </w:r>
    </w:p>
    <w:p>
      <w:pPr>
        <w:pStyle w:val="BodyText"/>
        <w:rPr>
          <w:rFonts w:ascii="Arial"/>
          <w:sz w:val="14"/>
        </w:rPr>
      </w:pPr>
      <w:r>
        <w:rPr/>
        <w:br w:type="column"/>
      </w:r>
      <w:r>
        <w:rPr>
          <w:rFonts w:ascii="Arial"/>
          <w:sz w:val="14"/>
        </w:rPr>
      </w:r>
    </w:p>
    <w:p>
      <w:pPr>
        <w:pStyle w:val="BodyText"/>
        <w:rPr>
          <w:rFonts w:ascii="Arial"/>
          <w:sz w:val="14"/>
        </w:rPr>
      </w:pPr>
    </w:p>
    <w:p>
      <w:pPr>
        <w:spacing w:line="137" w:lineRule="exact" w:before="114"/>
        <w:ind w:left="449" w:right="0" w:firstLine="0"/>
        <w:jc w:val="left"/>
        <w:rPr>
          <w:rFonts w:ascii="Arial"/>
          <w:sz w:val="13"/>
        </w:rPr>
      </w:pPr>
      <w:r>
        <w:rPr>
          <w:rFonts w:ascii="Arial"/>
          <w:color w:val="231F20"/>
          <w:w w:val="95"/>
          <w:sz w:val="13"/>
        </w:rPr>
        <w:t>Dallas</w:t>
      </w:r>
    </w:p>
    <w:p>
      <w:pPr>
        <w:spacing w:line="114" w:lineRule="exact" w:before="0"/>
        <w:ind w:left="317" w:right="0" w:firstLine="0"/>
        <w:jc w:val="left"/>
        <w:rPr>
          <w:rFonts w:ascii="Arial"/>
          <w:sz w:val="11"/>
        </w:rPr>
      </w:pPr>
      <w:r>
        <w:rPr>
          <w:rFonts w:ascii="Arial"/>
          <w:color w:val="231F20"/>
          <w:w w:val="85"/>
          <w:sz w:val="11"/>
        </w:rPr>
        <w:t>(Love Field)</w:t>
      </w:r>
    </w:p>
    <w:p>
      <w:pPr>
        <w:spacing w:before="57"/>
        <w:ind w:left="13" w:right="0" w:firstLine="0"/>
        <w:jc w:val="left"/>
        <w:rPr>
          <w:rFonts w:ascii="Arial"/>
          <w:sz w:val="13"/>
        </w:rPr>
      </w:pPr>
      <w:r>
        <w:rPr>
          <w:rFonts w:ascii="Arial"/>
          <w:color w:val="231F20"/>
          <w:w w:val="95"/>
          <w:sz w:val="13"/>
        </w:rPr>
        <w:t>Austin</w:t>
      </w:r>
    </w:p>
    <w:p>
      <w:pPr>
        <w:pStyle w:val="BodyText"/>
        <w:spacing w:before="1"/>
        <w:rPr>
          <w:rFonts w:ascii="Arial"/>
          <w:sz w:val="16"/>
        </w:rPr>
      </w:pPr>
      <w:r>
        <w:rPr/>
        <w:br w:type="column"/>
      </w:r>
      <w:r>
        <w:rPr>
          <w:rFonts w:ascii="Arial"/>
          <w:sz w:val="16"/>
        </w:rPr>
      </w:r>
    </w:p>
    <w:p>
      <w:pPr>
        <w:spacing w:line="444" w:lineRule="auto" w:before="0"/>
        <w:ind w:left="788" w:right="0" w:firstLine="330"/>
        <w:jc w:val="left"/>
        <w:rPr>
          <w:rFonts w:ascii="Arial"/>
          <w:sz w:val="13"/>
        </w:rPr>
      </w:pPr>
      <w:r>
        <w:rPr>
          <w:rFonts w:ascii="Arial"/>
          <w:color w:val="231F20"/>
          <w:w w:val="85"/>
          <w:sz w:val="13"/>
        </w:rPr>
        <w:t>Birmingham </w:t>
      </w:r>
      <w:r>
        <w:rPr>
          <w:rFonts w:ascii="Arial"/>
          <w:color w:val="231F20"/>
          <w:w w:val="95"/>
          <w:sz w:val="13"/>
        </w:rPr>
        <w:t>Jackson</w:t>
      </w:r>
    </w:p>
    <w:p>
      <w:pPr>
        <w:pStyle w:val="BodyText"/>
        <w:rPr>
          <w:rFonts w:ascii="Arial"/>
          <w:sz w:val="14"/>
        </w:rPr>
      </w:pPr>
      <w:r>
        <w:rPr/>
        <w:br w:type="column"/>
      </w:r>
      <w:r>
        <w:rPr>
          <w:rFonts w:ascii="Arial"/>
          <w:sz w:val="14"/>
        </w:rPr>
      </w:r>
    </w:p>
    <w:p>
      <w:pPr>
        <w:pStyle w:val="BodyText"/>
        <w:rPr>
          <w:rFonts w:ascii="Arial"/>
          <w:sz w:val="14"/>
        </w:rPr>
      </w:pPr>
    </w:p>
    <w:p>
      <w:pPr>
        <w:pStyle w:val="BodyText"/>
        <w:rPr>
          <w:rFonts w:ascii="Arial"/>
          <w:sz w:val="14"/>
        </w:rPr>
      </w:pPr>
    </w:p>
    <w:p>
      <w:pPr>
        <w:pStyle w:val="BodyText"/>
        <w:spacing w:before="7"/>
        <w:rPr>
          <w:rFonts w:ascii="Arial"/>
          <w:sz w:val="14"/>
        </w:rPr>
      </w:pPr>
    </w:p>
    <w:p>
      <w:pPr>
        <w:spacing w:before="0"/>
        <w:ind w:left="798" w:right="0" w:firstLine="0"/>
        <w:jc w:val="left"/>
        <w:rPr>
          <w:rFonts w:ascii="Arial"/>
          <w:sz w:val="13"/>
        </w:rPr>
      </w:pPr>
      <w:r>
        <w:rPr>
          <w:rFonts w:ascii="Arial"/>
          <w:color w:val="231F20"/>
          <w:w w:val="95"/>
          <w:sz w:val="13"/>
        </w:rPr>
        <w:t>Jacksonville</w:t>
      </w:r>
    </w:p>
    <w:p>
      <w:pPr>
        <w:spacing w:after="0"/>
        <w:jc w:val="left"/>
        <w:rPr>
          <w:rFonts w:ascii="Arial"/>
          <w:sz w:val="13"/>
        </w:rPr>
        <w:sectPr>
          <w:type w:val="continuous"/>
          <w:pgSz w:w="12240" w:h="15840"/>
          <w:pgMar w:top="0" w:bottom="280" w:left="0" w:right="0"/>
          <w:cols w:num="6" w:equalWidth="0">
            <w:col w:w="3696" w:space="40"/>
            <w:col w:w="986" w:space="40"/>
            <w:col w:w="721" w:space="40"/>
            <w:col w:w="818" w:space="40"/>
            <w:col w:w="1738" w:space="40"/>
            <w:col w:w="4081"/>
          </w:cols>
        </w:sectPr>
      </w:pPr>
    </w:p>
    <w:p>
      <w:pPr>
        <w:spacing w:before="21"/>
        <w:ind w:left="0" w:right="0" w:firstLine="0"/>
        <w:jc w:val="right"/>
        <w:rPr>
          <w:rFonts w:ascii="Arial"/>
          <w:sz w:val="12"/>
        </w:rPr>
      </w:pPr>
      <w:r>
        <w:rPr>
          <w:rFonts w:ascii="Arial"/>
          <w:color w:val="231F20"/>
          <w:w w:val="85"/>
          <w:sz w:val="12"/>
        </w:rPr>
        <w:t>San Antonio</w:t>
      </w:r>
    </w:p>
    <w:p>
      <w:pPr>
        <w:pStyle w:val="BodyText"/>
        <w:spacing w:before="1"/>
        <w:rPr>
          <w:rFonts w:ascii="Arial"/>
          <w:sz w:val="18"/>
        </w:rPr>
      </w:pPr>
      <w:r>
        <w:rPr/>
        <w:br w:type="column"/>
      </w:r>
      <w:r>
        <w:rPr>
          <w:rFonts w:ascii="Arial"/>
          <w:sz w:val="18"/>
        </w:rPr>
      </w:r>
    </w:p>
    <w:p>
      <w:pPr>
        <w:spacing w:line="129" w:lineRule="exact" w:before="0"/>
        <w:ind w:left="546" w:right="0" w:firstLine="0"/>
        <w:jc w:val="left"/>
        <w:rPr>
          <w:rFonts w:ascii="Arial"/>
          <w:sz w:val="13"/>
        </w:rPr>
      </w:pPr>
      <w:r>
        <w:rPr>
          <w:rFonts w:ascii="Arial"/>
          <w:color w:val="231F20"/>
          <w:w w:val="80"/>
          <w:sz w:val="13"/>
        </w:rPr>
        <w:t>Houston</w:t>
      </w:r>
    </w:p>
    <w:p>
      <w:pPr>
        <w:spacing w:before="16"/>
        <w:ind w:left="640" w:right="0" w:firstLine="0"/>
        <w:jc w:val="left"/>
        <w:rPr>
          <w:rFonts w:ascii="Arial"/>
          <w:sz w:val="13"/>
        </w:rPr>
      </w:pPr>
      <w:r>
        <w:rPr/>
        <w:br w:type="column"/>
      </w:r>
      <w:r>
        <w:rPr>
          <w:rFonts w:ascii="Arial"/>
          <w:color w:val="231F20"/>
          <w:w w:val="80"/>
          <w:sz w:val="13"/>
        </w:rPr>
        <w:t>New Orleans</w:t>
      </w:r>
    </w:p>
    <w:p>
      <w:pPr>
        <w:spacing w:before="58"/>
        <w:ind w:left="614" w:right="0" w:firstLine="0"/>
        <w:jc w:val="left"/>
        <w:rPr>
          <w:rFonts w:ascii="Arial"/>
          <w:sz w:val="13"/>
        </w:rPr>
      </w:pPr>
      <w:r>
        <w:rPr/>
        <w:br w:type="column"/>
      </w:r>
      <w:r>
        <w:rPr>
          <w:rFonts w:ascii="Arial"/>
          <w:color w:val="231F20"/>
          <w:w w:val="95"/>
          <w:sz w:val="13"/>
        </w:rPr>
        <w:t>Orlando</w:t>
      </w:r>
    </w:p>
    <w:p>
      <w:pPr>
        <w:spacing w:line="42" w:lineRule="exact" w:before="86"/>
        <w:ind w:left="100" w:right="0" w:firstLine="0"/>
        <w:jc w:val="left"/>
        <w:rPr>
          <w:rFonts w:ascii="Arial"/>
          <w:sz w:val="13"/>
        </w:rPr>
      </w:pPr>
      <w:r>
        <w:rPr>
          <w:rFonts w:ascii="Arial"/>
          <w:color w:val="231F20"/>
          <w:w w:val="80"/>
          <w:sz w:val="13"/>
        </w:rPr>
        <w:t>Tampa Bay</w:t>
      </w:r>
    </w:p>
    <w:p>
      <w:pPr>
        <w:spacing w:after="0" w:line="42" w:lineRule="exact"/>
        <w:jc w:val="left"/>
        <w:rPr>
          <w:rFonts w:ascii="Arial"/>
          <w:sz w:val="13"/>
        </w:rPr>
        <w:sectPr>
          <w:type w:val="continuous"/>
          <w:pgSz w:w="12240" w:h="15840"/>
          <w:pgMar w:top="0" w:bottom="280" w:left="0" w:right="0"/>
          <w:cols w:num="4" w:equalWidth="0">
            <w:col w:w="5807" w:space="40"/>
            <w:col w:w="940" w:space="40"/>
            <w:col w:w="1251" w:space="40"/>
            <w:col w:w="4122"/>
          </w:cols>
        </w:sectPr>
      </w:pPr>
    </w:p>
    <w:p>
      <w:pPr>
        <w:pStyle w:val="BodyText"/>
        <w:rPr>
          <w:rFonts w:ascii="Arial"/>
          <w:sz w:val="16"/>
        </w:rPr>
      </w:pPr>
    </w:p>
    <w:p>
      <w:pPr>
        <w:pStyle w:val="BodyText"/>
        <w:rPr>
          <w:rFonts w:ascii="Arial"/>
          <w:sz w:val="16"/>
        </w:rPr>
      </w:pPr>
    </w:p>
    <w:p>
      <w:pPr>
        <w:pStyle w:val="BodyText"/>
        <w:rPr>
          <w:rFonts w:ascii="Arial"/>
          <w:sz w:val="16"/>
        </w:rPr>
      </w:pPr>
    </w:p>
    <w:p>
      <w:pPr>
        <w:pStyle w:val="BodyText"/>
        <w:spacing w:before="7"/>
        <w:rPr>
          <w:rFonts w:ascii="Arial"/>
          <w:sz w:val="17"/>
        </w:rPr>
      </w:pPr>
    </w:p>
    <w:p>
      <w:pPr>
        <w:spacing w:before="0"/>
        <w:ind w:left="740" w:right="0" w:firstLine="0"/>
        <w:jc w:val="left"/>
        <w:rPr>
          <w:rFonts w:ascii="Franklin Gothic Medium"/>
          <w:sz w:val="14"/>
        </w:rPr>
      </w:pPr>
      <w:r>
        <w:rPr>
          <w:rFonts w:ascii="Franklin Gothic Medium"/>
          <w:color w:val="231F20"/>
          <w:sz w:val="14"/>
        </w:rPr>
        <w:t>Southwest System Map</w:t>
      </w:r>
    </w:p>
    <w:p>
      <w:pPr>
        <w:spacing w:line="170" w:lineRule="auto" w:before="80"/>
        <w:ind w:left="450" w:right="0" w:firstLine="0"/>
        <w:jc w:val="right"/>
        <w:rPr>
          <w:rFonts w:ascii="Arial"/>
          <w:sz w:val="13"/>
        </w:rPr>
      </w:pPr>
      <w:r>
        <w:rPr/>
        <w:br w:type="column"/>
      </w:r>
      <w:r>
        <w:rPr>
          <w:rFonts w:ascii="Arial"/>
          <w:color w:val="231F20"/>
          <w:w w:val="80"/>
          <w:sz w:val="13"/>
        </w:rPr>
        <w:t>Corpus </w:t>
      </w:r>
      <w:r>
        <w:rPr>
          <w:rFonts w:ascii="Arial"/>
          <w:color w:val="231F20"/>
          <w:w w:val="85"/>
          <w:sz w:val="13"/>
        </w:rPr>
        <w:t>Christi</w:t>
      </w:r>
    </w:p>
    <w:p>
      <w:pPr>
        <w:spacing w:line="122" w:lineRule="exact" w:before="0"/>
        <w:ind w:left="84" w:right="0" w:firstLine="383"/>
        <w:jc w:val="left"/>
        <w:rPr>
          <w:rFonts w:ascii="Arial"/>
          <w:sz w:val="11"/>
        </w:rPr>
      </w:pPr>
      <w:r>
        <w:rPr/>
        <w:br w:type="column"/>
      </w:r>
      <w:r>
        <w:rPr>
          <w:rFonts w:ascii="Arial"/>
          <w:color w:val="231F20"/>
          <w:w w:val="85"/>
          <w:sz w:val="11"/>
        </w:rPr>
        <w:t>(Hobby &amp; Intercontinental)</w:t>
      </w:r>
    </w:p>
    <w:p>
      <w:pPr>
        <w:pStyle w:val="BodyText"/>
        <w:rPr>
          <w:rFonts w:ascii="Arial"/>
          <w:sz w:val="12"/>
        </w:rPr>
      </w:pPr>
    </w:p>
    <w:p>
      <w:pPr>
        <w:pStyle w:val="BodyText"/>
        <w:rPr>
          <w:rFonts w:ascii="Arial"/>
          <w:sz w:val="12"/>
        </w:rPr>
      </w:pPr>
    </w:p>
    <w:p>
      <w:pPr>
        <w:spacing w:before="78"/>
        <w:ind w:left="84" w:right="0" w:firstLine="0"/>
        <w:jc w:val="left"/>
        <w:rPr>
          <w:rFonts w:ascii="Arial"/>
          <w:sz w:val="13"/>
        </w:rPr>
      </w:pPr>
      <w:r>
        <w:rPr>
          <w:rFonts w:ascii="Arial"/>
          <w:color w:val="231F20"/>
          <w:spacing w:val="-4"/>
          <w:w w:val="80"/>
          <w:sz w:val="13"/>
        </w:rPr>
        <w:t>H</w:t>
      </w:r>
      <w:r>
        <w:rPr>
          <w:rFonts w:ascii="Arial"/>
          <w:color w:val="231F20"/>
          <w:spacing w:val="4"/>
          <w:w w:val="80"/>
          <w:sz w:val="13"/>
        </w:rPr>
        <w:t>a</w:t>
      </w:r>
      <w:r>
        <w:rPr>
          <w:rFonts w:ascii="Arial"/>
          <w:color w:val="231F20"/>
          <w:spacing w:val="5"/>
          <w:w w:val="83"/>
          <w:sz w:val="13"/>
        </w:rPr>
        <w:t>r</w:t>
      </w:r>
      <w:r>
        <w:rPr>
          <w:rFonts w:ascii="Arial"/>
          <w:color w:val="231F20"/>
          <w:spacing w:val="6"/>
          <w:w w:val="91"/>
          <w:sz w:val="13"/>
        </w:rPr>
        <w:t>li</w:t>
      </w:r>
      <w:r>
        <w:rPr>
          <w:rFonts w:ascii="Arial"/>
          <w:color w:val="231F20"/>
          <w:spacing w:val="-4"/>
          <w:w w:val="91"/>
          <w:sz w:val="13"/>
        </w:rPr>
        <w:t>n</w:t>
      </w:r>
      <w:r>
        <w:rPr>
          <w:rFonts w:ascii="Arial"/>
          <w:color w:val="231F20"/>
          <w:spacing w:val="-3"/>
          <w:w w:val="81"/>
          <w:sz w:val="13"/>
        </w:rPr>
        <w:t>g</w:t>
      </w:r>
      <w:r>
        <w:rPr>
          <w:rFonts w:ascii="Arial"/>
          <w:color w:val="231F20"/>
          <w:spacing w:val="2"/>
          <w:w w:val="81"/>
          <w:sz w:val="13"/>
        </w:rPr>
        <w:t>e</w:t>
      </w:r>
      <w:r>
        <w:rPr>
          <w:rFonts w:ascii="Arial"/>
          <w:color w:val="231F20"/>
          <w:w w:val="84"/>
          <w:sz w:val="13"/>
        </w:rPr>
        <w:t>n</w:t>
      </w:r>
      <w:r>
        <w:rPr>
          <w:rFonts w:ascii="Arial"/>
          <w:color w:val="231F20"/>
          <w:w w:val="174"/>
          <w:sz w:val="13"/>
        </w:rPr>
        <w:t>/</w:t>
      </w:r>
      <w:r>
        <w:rPr>
          <w:rFonts w:ascii="Arial"/>
          <w:color w:val="231F20"/>
          <w:spacing w:val="5"/>
          <w:w w:val="77"/>
          <w:sz w:val="13"/>
        </w:rPr>
        <w:t>S</w:t>
      </w:r>
      <w:r>
        <w:rPr>
          <w:rFonts w:ascii="Arial"/>
          <w:color w:val="231F20"/>
          <w:spacing w:val="2"/>
          <w:w w:val="84"/>
          <w:sz w:val="13"/>
        </w:rPr>
        <w:t>ou</w:t>
      </w:r>
      <w:r>
        <w:rPr>
          <w:rFonts w:ascii="Arial"/>
          <w:color w:val="231F20"/>
          <w:spacing w:val="-3"/>
          <w:w w:val="99"/>
          <w:sz w:val="13"/>
        </w:rPr>
        <w:t>t</w:t>
      </w:r>
      <w:r>
        <w:rPr>
          <w:rFonts w:ascii="Arial"/>
          <w:color w:val="231F20"/>
          <w:w w:val="84"/>
          <w:sz w:val="13"/>
        </w:rPr>
        <w:t>h</w:t>
      </w:r>
      <w:r>
        <w:rPr>
          <w:rFonts w:ascii="Arial"/>
          <w:color w:val="231F20"/>
          <w:spacing w:val="-4"/>
          <w:sz w:val="13"/>
        </w:rPr>
        <w:t> </w:t>
      </w:r>
      <w:r>
        <w:rPr>
          <w:rFonts w:ascii="Arial"/>
          <w:color w:val="231F20"/>
          <w:spacing w:val="-4"/>
          <w:w w:val="75"/>
          <w:sz w:val="13"/>
        </w:rPr>
        <w:t>P</w:t>
      </w:r>
      <w:r>
        <w:rPr>
          <w:rFonts w:ascii="Arial"/>
          <w:color w:val="231F20"/>
          <w:w w:val="85"/>
          <w:sz w:val="13"/>
        </w:rPr>
        <w:t>a</w:t>
      </w:r>
      <w:r>
        <w:rPr>
          <w:rFonts w:ascii="Arial"/>
          <w:color w:val="231F20"/>
          <w:spacing w:val="1"/>
          <w:w w:val="85"/>
          <w:sz w:val="13"/>
        </w:rPr>
        <w:t>d</w:t>
      </w:r>
      <w:r>
        <w:rPr>
          <w:rFonts w:ascii="Arial"/>
          <w:color w:val="231F20"/>
          <w:spacing w:val="-3"/>
          <w:w w:val="83"/>
          <w:sz w:val="13"/>
        </w:rPr>
        <w:t>r</w:t>
      </w:r>
      <w:r>
        <w:rPr>
          <w:rFonts w:ascii="Arial"/>
          <w:color w:val="231F20"/>
          <w:w w:val="81"/>
          <w:sz w:val="13"/>
        </w:rPr>
        <w:t>e</w:t>
      </w:r>
      <w:r>
        <w:rPr>
          <w:rFonts w:ascii="Arial"/>
          <w:color w:val="231F20"/>
          <w:spacing w:val="-4"/>
          <w:sz w:val="13"/>
        </w:rPr>
        <w:t> </w:t>
      </w:r>
      <w:r>
        <w:rPr>
          <w:rFonts w:ascii="Arial"/>
          <w:color w:val="231F20"/>
          <w:spacing w:val="2"/>
          <w:w w:val="87"/>
          <w:sz w:val="13"/>
        </w:rPr>
        <w:t>I</w:t>
      </w:r>
      <w:r>
        <w:rPr>
          <w:rFonts w:ascii="Arial"/>
          <w:color w:val="231F20"/>
          <w:spacing w:val="3"/>
          <w:w w:val="79"/>
          <w:sz w:val="13"/>
        </w:rPr>
        <w:t>s</w:t>
      </w:r>
      <w:r>
        <w:rPr>
          <w:rFonts w:ascii="Arial"/>
          <w:color w:val="231F20"/>
          <w:w w:val="89"/>
          <w:sz w:val="13"/>
        </w:rPr>
        <w:t>l</w:t>
      </w:r>
      <w:r>
        <w:rPr>
          <w:rFonts w:ascii="Arial"/>
          <w:color w:val="231F20"/>
          <w:spacing w:val="3"/>
          <w:w w:val="89"/>
          <w:sz w:val="13"/>
        </w:rPr>
        <w:t>a</w:t>
      </w:r>
      <w:r>
        <w:rPr>
          <w:rFonts w:ascii="Arial"/>
          <w:color w:val="231F20"/>
          <w:w w:val="85"/>
          <w:sz w:val="13"/>
        </w:rPr>
        <w:t>nd</w:t>
      </w:r>
    </w:p>
    <w:p>
      <w:pPr>
        <w:spacing w:line="190" w:lineRule="atLeast" w:before="95"/>
        <w:ind w:left="764" w:right="1928" w:hanging="25"/>
        <w:jc w:val="left"/>
        <w:rPr>
          <w:rFonts w:ascii="Arial"/>
          <w:sz w:val="13"/>
        </w:rPr>
      </w:pPr>
      <w:r>
        <w:rPr/>
        <w:br w:type="column"/>
      </w:r>
      <w:r>
        <w:rPr>
          <w:rFonts w:ascii="Arial"/>
          <w:color w:val="231F20"/>
          <w:w w:val="85"/>
          <w:sz w:val="13"/>
        </w:rPr>
        <w:t>West Palm Beach Ft. Lauderdale</w:t>
      </w:r>
    </w:p>
    <w:p>
      <w:pPr>
        <w:spacing w:line="77" w:lineRule="exact" w:before="0"/>
        <w:ind w:left="744" w:right="0" w:firstLine="0"/>
        <w:jc w:val="left"/>
        <w:rPr>
          <w:rFonts w:ascii="Franklin Gothic Medium"/>
          <w:sz w:val="9"/>
        </w:rPr>
      </w:pPr>
      <w:r>
        <w:rPr>
          <w:rFonts w:ascii="Franklin Gothic Medium"/>
          <w:color w:val="231F20"/>
          <w:sz w:val="9"/>
        </w:rPr>
        <w:t>(Miami Area)</w:t>
      </w:r>
    </w:p>
    <w:p>
      <w:pPr>
        <w:spacing w:after="0" w:line="77" w:lineRule="exact"/>
        <w:jc w:val="left"/>
        <w:rPr>
          <w:rFonts w:ascii="Franklin Gothic Medium"/>
          <w:sz w:val="9"/>
        </w:rPr>
        <w:sectPr>
          <w:type w:val="continuous"/>
          <w:pgSz w:w="12240" w:h="15840"/>
          <w:pgMar w:top="0" w:bottom="280" w:left="0" w:right="0"/>
          <w:cols w:num="4" w:equalWidth="0">
            <w:col w:w="2264" w:space="2543"/>
            <w:col w:w="1079" w:space="40"/>
            <w:col w:w="1577" w:space="1082"/>
            <w:col w:w="3655"/>
          </w:cols>
        </w:sect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rPr>
          <w:rFonts w:ascii="Franklin Gothic Medium"/>
          <w:sz w:val="16"/>
        </w:rPr>
      </w:pPr>
    </w:p>
    <w:p>
      <w:pPr>
        <w:spacing w:before="92"/>
        <w:ind w:left="740" w:right="0" w:firstLine="0"/>
        <w:jc w:val="left"/>
        <w:rPr>
          <w:rFonts w:ascii="Franklin Gothic Medium" w:hAnsi="Franklin Gothic Medium"/>
          <w:sz w:val="14"/>
        </w:rPr>
      </w:pPr>
      <w:r>
        <w:rPr/>
        <w:pict>
          <v:group style="position:absolute;margin-left:134.330002pt;margin-top:-126.660172pt;width:137.35pt;height:137pt;mso-position-horizontal-relative:page;mso-position-vertical-relative:paragraph;z-index:-278488" coordorigin="2687,-2533" coordsize="2747,2740">
            <v:shape style="position:absolute;left:2687;top:-2533;width:2747;height:2740" type="#_x0000_t75" stroked="false">
              <v:imagedata r:id="rId44" o:title=""/>
            </v:shape>
            <v:shape style="position:absolute;left:3020;top:-1682;width:678;height:333" type="#_x0000_t202" filled="false" stroked="false">
              <v:textbox inset="0,0,0,0">
                <w:txbxContent>
                  <w:p>
                    <w:pPr>
                      <w:spacing w:line="160" w:lineRule="exact" w:before="6"/>
                      <w:ind w:left="187" w:right="0" w:hanging="188"/>
                      <w:jc w:val="left"/>
                      <w:rPr>
                        <w:rFonts w:ascii="Arial"/>
                        <w:sz w:val="15"/>
                      </w:rPr>
                    </w:pPr>
                    <w:r>
                      <w:rPr>
                        <w:rFonts w:ascii="Arial"/>
                        <w:color w:val="FFFFFF"/>
                        <w:w w:val="80"/>
                        <w:sz w:val="15"/>
                      </w:rPr>
                      <w:t>Southwest </w:t>
                    </w:r>
                    <w:r>
                      <w:rPr>
                        <w:rFonts w:ascii="Arial"/>
                        <w:color w:val="FFFFFF"/>
                        <w:w w:val="95"/>
                        <w:sz w:val="15"/>
                      </w:rPr>
                      <w:t>69%</w:t>
                    </w:r>
                  </w:p>
                </w:txbxContent>
              </v:textbox>
              <w10:wrap type="none"/>
            </v:shape>
            <v:shape style="position:absolute;left:4220;top:-1683;width:897;height:333" type="#_x0000_t202" filled="false" stroked="false">
              <v:textbox inset="0,0,0,0">
                <w:txbxContent>
                  <w:p>
                    <w:pPr>
                      <w:spacing w:line="160" w:lineRule="exact" w:before="6"/>
                      <w:ind w:left="302" w:right="0" w:hanging="303"/>
                      <w:jc w:val="left"/>
                      <w:rPr>
                        <w:rFonts w:ascii="Arial"/>
                        <w:sz w:val="15"/>
                      </w:rPr>
                    </w:pPr>
                    <w:r>
                      <w:rPr>
                        <w:rFonts w:ascii="Arial"/>
                        <w:color w:val="FFFFFF"/>
                        <w:w w:val="85"/>
                        <w:sz w:val="15"/>
                      </w:rPr>
                      <w:t>Other Carriers </w:t>
                    </w:r>
                    <w:r>
                      <w:rPr>
                        <w:rFonts w:ascii="Arial"/>
                        <w:color w:val="FFFFFF"/>
                        <w:w w:val="90"/>
                        <w:sz w:val="15"/>
                      </w:rPr>
                      <w:t>31%</w:t>
                    </w:r>
                  </w:p>
                </w:txbxContent>
              </v:textbox>
              <w10:wrap type="none"/>
            </v:shape>
            <w10:wrap type="none"/>
          </v:group>
        </w:pict>
      </w:r>
      <w:r>
        <w:rPr/>
        <w:pict>
          <v:group style="position:absolute;margin-left:386.980988pt;margin-top:-127.480171pt;width:137.35pt;height:137pt;mso-position-horizontal-relative:page;mso-position-vertical-relative:paragraph;z-index:-278344" coordorigin="7740,-2550" coordsize="2747,2740">
            <v:shape style="position:absolute;left:7756;top:-2540;width:2715;height:2715" coordorigin="7756,-2540" coordsize="2715,2715" path="m9106,-1157l8695,109,8775,132,8857,150,8941,163,9026,171,9113,174,9199,172,9283,164,9366,151,9447,133,9526,110,9603,83,9678,51,9751,15,9106,-1157xm7879,-1749l7847,-1674,7820,-1597,7797,-1518,7779,-1436,7766,-1354,7758,-1269,7756,-1183,7758,-1103,7765,-1025,7776,-948,7792,-872,7811,-798,7835,-725,7862,-655,7894,-586,7929,-520,7967,-455,8009,-394,8054,-334,8102,-277,8153,-223,8209,-170,8268,-121,8330,-75,8394,-32,8461,7,8530,43,8601,74,8674,102,9091,-1179,7879,-1749xm9122,-1174l9770,5,9835,-34,9899,-76,9959,-122,10017,-171,10073,-223,10127,-281,10178,-342,10226,-406,10270,-473,10309,-542,10345,-614,10377,-688,10404,-764,10427,-843,10445,-923,10459,-1005,9122,-1174xm9114,-2540l9114,-1196,10461,-1026,10465,-1065,10468,-1104,10470,-1143,10470,-1183,10468,-1263,10461,-1341,10450,-1419,10434,-1494,10415,-1568,10391,-1641,10364,-1711,10332,-1780,10297,-1846,10259,-1911,10217,-1973,10172,-2032,10124,-2089,10073,-2143,10019,-2194,9962,-2242,9903,-2287,9841,-2329,9777,-2367,9710,-2402,9642,-2433,9571,-2461,9499,-2485,9425,-2504,9349,-2520,9272,-2531,9194,-2538,9114,-2540xm9092,-2540l9008,-2536,8926,-2528,8845,-2514,8766,-2495,8688,-2473,8613,-2445,8539,-2414,8468,-2378,8400,-2338,8334,-2295,8271,-2248,8210,-2197,8153,-2143,8101,-2087,8051,-2029,8005,-1967,7963,-1904,7923,-1837,7888,-1769,9092,-1202,9092,-2540xe" filled="true" fillcolor="#ea2d30" stroked="false">
              <v:path arrowok="t"/>
              <v:fill type="solid"/>
            </v:shape>
            <v:shape style="position:absolute;left:7740;top:-2550;width:2747;height:2740" coordorigin="7740,-2550" coordsize="2747,2740" path="m10486,-1170l10484,-1250,10478,-1330,10468,-1390,10455,-1470,10437,-1530,10416,-1610,10392,-1670,10364,-1750,10333,-1810,10299,-1870,10262,-1930,10221,-1990,10178,-2050,10133,-2090,10084,-2150,10033,-2190,9980,-2230,9924,-2290,9866,-2330,9806,-2350,9744,-2390,9680,-2430,9547,-2470,9336,-2530,9272,-2530,9499,-2470,9642,-2430,9710,-2390,9777,-2350,9841,-2310,9903,-2270,9962,-2230,10019,-2190,10073,-2130,10124,-2070,10172,-2030,10217,-1970,10259,-1910,10297,-1830,10332,-1770,10364,-1710,10391,-1630,10415,-1550,10434,-1490,10450,-1410,10461,-1330,10468,-1250,10470,-1170,10470,-1130,10468,-1090,10468,-1084,10468,-1010,10467,-990,10459,-990,10445,-910,10427,-830,10404,-750,10377,-670,10345,-610,10309,-530,10270,-470,10226,-390,10178,-330,10127,-270,10073,-210,10017,-170,9959,-110,9899,-70,9835,-30,9772,9,9122,-1174,10466,-1004,10467,-1010,10468,-1010,10468,-1084,10465,-1050,10463,-1026,9114,-1196,9114,-1197,9114,-2530,9263,-2530,9188,-2550,9113,-2550,9092,-2550,9092,-2530,9092,-1202,7895,-1765,7923,-1830,7963,-1890,8005,-1950,8051,-2010,8101,-2070,8153,-2130,8210,-2190,8271,-2230,8334,-2290,8400,-2330,8468,-2370,8539,-2410,8613,-2430,8688,-2470,8845,-2510,8926,-2510,9008,-2530,9092,-2530,9092,-2550,9038,-2550,8963,-2530,8890,-2530,8679,-2470,8546,-2430,8482,-2390,8420,-2350,8360,-2330,8302,-2290,8246,-2230,8193,-2190,8142,-2150,8093,-2090,8048,-2050,8005,-1990,7964,-1930,7927,-1870,7893,-1810,7862,-1750,7834,-1670,7810,-1610,7789,-1530,7771,-1470,7758,-1390,7748,-1330,7742,-1250,7740,-1170,7742,-1090,7748,-1030,7758,-950,7771,-870,7789,-810,7810,-730,7834,-670,7862,-610,7893,-550,7927,-490,7964,-430,8005,-370,8048,-310,8093,-250,8142,-210,8193,-150,8246,-110,8302,-70,8360,-30,8420,10,8482,50,8546,70,8611,110,8679,130,8890,190,9026,190,8857,150,8775,150,8735,130,8695,110,8692,130,8686,130,8672,110,8674,110,8601,90,8530,50,8461,10,8394,-30,8330,-70,8268,-110,8209,-170,8153,-210,8102,-270,8054,-330,8009,-390,7967,-450,7929,-510,7894,-570,7862,-650,7835,-710,7811,-790,7792,-870,7776,-930,7765,-1010,7758,-1090,7756,-1170,7758,-1250,7766,-1350,7779,-1430,7797,-1510,7820,-1590,7847,-1670,7879,-1730,7872,-1750,7878,-1750,9091,-1179,8672,109,8681,113,8693,116,9106,-1157,9754,22,9770,14,9773,30,9751,30,9678,70,9526,110,9447,150,9366,170,9283,170,9199,190,9336,190,9547,130,9614,110,9680,70,9744,50,9806,10,9866,-30,9924,-70,9980,-110,10033,-150,10084,-210,10133,-250,10178,-310,10221,-370,10262,-430,10299,-490,10333,-550,10364,-610,10392,-670,10416,-730,10437,-810,10455,-870,10468,-950,10478,-1030,10484,-1090,10486,-1170e" filled="true" fillcolor="#ffffff" stroked="false">
              <v:path arrowok="t"/>
              <v:fill type="solid"/>
            </v:shape>
            <v:shape style="position:absolute;left:8312;top:-2075;width:634;height:333" type="#_x0000_t202" filled="false" stroked="false">
              <v:textbox inset="0,0,0,0">
                <w:txbxContent>
                  <w:p>
                    <w:pPr>
                      <w:spacing w:line="160" w:lineRule="exact" w:before="6"/>
                      <w:ind w:left="167" w:right="0" w:hanging="168"/>
                      <w:jc w:val="left"/>
                      <w:rPr>
                        <w:rFonts w:ascii="Arial"/>
                        <w:sz w:val="15"/>
                      </w:rPr>
                    </w:pPr>
                    <w:r>
                      <w:rPr>
                        <w:rFonts w:ascii="Arial"/>
                        <w:color w:val="FFFFFF"/>
                        <w:w w:val="85"/>
                        <w:sz w:val="15"/>
                      </w:rPr>
                      <w:t>California </w:t>
                    </w:r>
                    <w:r>
                      <w:rPr>
                        <w:rFonts w:ascii="Arial"/>
                        <w:color w:val="FFFFFF"/>
                        <w:w w:val="95"/>
                        <w:sz w:val="15"/>
                      </w:rPr>
                      <w:t>18%</w:t>
                    </w:r>
                  </w:p>
                </w:txbxContent>
              </v:textbox>
              <w10:wrap type="none"/>
            </v:shape>
            <v:shape style="position:absolute;left:9559;top:-1874;width:299;height:333" type="#_x0000_t202" filled="false" stroked="false">
              <v:textbox inset="0,0,0,0">
                <w:txbxContent>
                  <w:p>
                    <w:pPr>
                      <w:spacing w:line="160" w:lineRule="exact" w:before="6"/>
                      <w:ind w:left="0" w:right="0" w:firstLine="5"/>
                      <w:jc w:val="left"/>
                      <w:rPr>
                        <w:rFonts w:ascii="Arial"/>
                        <w:sz w:val="15"/>
                      </w:rPr>
                    </w:pPr>
                    <w:r>
                      <w:rPr>
                        <w:rFonts w:ascii="Arial"/>
                        <w:color w:val="FFFFFF"/>
                        <w:w w:val="80"/>
                        <w:sz w:val="15"/>
                      </w:rPr>
                      <w:t>East </w:t>
                    </w:r>
                    <w:r>
                      <w:rPr>
                        <w:rFonts w:ascii="Arial"/>
                        <w:color w:val="FFFFFF"/>
                        <w:w w:val="85"/>
                        <w:sz w:val="15"/>
                      </w:rPr>
                      <w:t>28%</w:t>
                    </w:r>
                  </w:p>
                </w:txbxContent>
              </v:textbox>
              <w10:wrap type="none"/>
            </v:shape>
            <v:shape style="position:absolute;left:7902;top:-1132;width:1024;height:333" type="#_x0000_t202" filled="false" stroked="false">
              <v:textbox inset="0,0,0,0">
                <w:txbxContent>
                  <w:p>
                    <w:pPr>
                      <w:spacing w:line="160" w:lineRule="exact" w:before="6"/>
                      <w:ind w:left="362" w:right="0" w:hanging="363"/>
                      <w:jc w:val="left"/>
                      <w:rPr>
                        <w:rFonts w:ascii="Arial"/>
                        <w:sz w:val="15"/>
                      </w:rPr>
                    </w:pPr>
                    <w:r>
                      <w:rPr>
                        <w:rFonts w:ascii="Arial"/>
                        <w:color w:val="FFFFFF"/>
                        <w:w w:val="85"/>
                        <w:sz w:val="15"/>
                      </w:rPr>
                      <w:t>Remaining West </w:t>
                    </w:r>
                    <w:r>
                      <w:rPr>
                        <w:rFonts w:ascii="Arial"/>
                        <w:color w:val="FFFFFF"/>
                        <w:w w:val="95"/>
                        <w:sz w:val="15"/>
                      </w:rPr>
                      <w:t>26%</w:t>
                    </w:r>
                  </w:p>
                </w:txbxContent>
              </v:textbox>
              <w10:wrap type="none"/>
            </v:shape>
            <v:shape style="position:absolute;left:9612;top:-889;width:537;height:333" type="#_x0000_t202" filled="false" stroked="false">
              <v:textbox inset="0,0,0,0">
                <w:txbxContent>
                  <w:p>
                    <w:pPr>
                      <w:spacing w:line="160" w:lineRule="exact" w:before="6"/>
                      <w:ind w:left="118" w:right="0" w:hanging="119"/>
                      <w:jc w:val="left"/>
                      <w:rPr>
                        <w:rFonts w:ascii="Arial"/>
                        <w:sz w:val="15"/>
                      </w:rPr>
                    </w:pPr>
                    <w:r>
                      <w:rPr>
                        <w:rFonts w:ascii="Arial"/>
                        <w:color w:val="FFFFFF"/>
                        <w:w w:val="85"/>
                        <w:sz w:val="15"/>
                      </w:rPr>
                      <w:t>Midwest </w:t>
                    </w:r>
                    <w:r>
                      <w:rPr>
                        <w:rFonts w:ascii="Arial"/>
                        <w:color w:val="FFFFFF"/>
                        <w:w w:val="95"/>
                        <w:sz w:val="15"/>
                      </w:rPr>
                      <w:t>15%</w:t>
                    </w:r>
                  </w:p>
                </w:txbxContent>
              </v:textbox>
              <w10:wrap type="none"/>
            </v:shape>
            <v:shape style="position:absolute;left:8909;top:-332;width:625;height:333" type="#_x0000_t202" filled="false" stroked="false">
              <v:textbox inset="0,0,0,0">
                <w:txbxContent>
                  <w:p>
                    <w:pPr>
                      <w:spacing w:line="160" w:lineRule="exact" w:before="6"/>
                      <w:ind w:left="165" w:right="0" w:hanging="166"/>
                      <w:jc w:val="left"/>
                      <w:rPr>
                        <w:rFonts w:ascii="Arial"/>
                        <w:sz w:val="15"/>
                      </w:rPr>
                    </w:pPr>
                    <w:r>
                      <w:rPr>
                        <w:rFonts w:ascii="Arial"/>
                        <w:color w:val="FFFFFF"/>
                        <w:w w:val="80"/>
                        <w:sz w:val="15"/>
                      </w:rPr>
                      <w:t>Heartland </w:t>
                    </w:r>
                    <w:r>
                      <w:rPr>
                        <w:rFonts w:ascii="Arial"/>
                        <w:color w:val="FFFFFF"/>
                        <w:w w:val="95"/>
                        <w:sz w:val="15"/>
                      </w:rPr>
                      <w:t>13%</w:t>
                    </w:r>
                  </w:p>
                </w:txbxContent>
              </v:textbox>
              <w10:wrap type="none"/>
            </v:shape>
            <w10:wrap type="none"/>
          </v:group>
        </w:pict>
      </w:r>
      <w:r>
        <w:rPr/>
        <w:pict>
          <v:group style="position:absolute;margin-left:-.25pt;margin-top:-145.849167pt;width:612.5pt;height:186.1pt;mso-position-horizontal-relative:page;mso-position-vertical-relative:paragraph;z-index:-278320" coordorigin="-5,-2917" coordsize="12250,3722">
            <v:line style="position:absolute" from="0,-2912" to="12240,-2912" stroked="true" strokeweight=".5pt" strokecolor="#231f20">
              <v:stroke dashstyle="solid"/>
            </v:line>
            <v:line style="position:absolute" from="6131,-2910" to="6131,799" stroked="true" strokeweight=".5pt" strokecolor="#231f20">
              <v:stroke dashstyle="solid"/>
            </v:line>
            <v:line style="position:absolute" from="0,799" to="12240,799" stroked="true" strokeweight=".5pt" strokecolor="#231f20">
              <v:stroke dashstyle="solid"/>
            </v:line>
            <w10:wrap type="none"/>
          </v:group>
        </w:pict>
      </w:r>
      <w:r>
        <w:rPr>
          <w:rFonts w:ascii="Franklin Gothic Medium" w:hAnsi="Franklin Gothic Medium"/>
          <w:color w:val="231F20"/>
          <w:sz w:val="14"/>
        </w:rPr>
        <w:t>Southwest’s  Market Share</w:t>
      </w:r>
    </w:p>
    <w:p>
      <w:pPr>
        <w:spacing w:before="16"/>
        <w:ind w:left="740" w:right="0" w:firstLine="0"/>
        <w:jc w:val="left"/>
        <w:rPr>
          <w:rFonts w:ascii="Arial" w:hAnsi="Arial"/>
          <w:i/>
          <w:sz w:val="12"/>
        </w:rPr>
      </w:pPr>
      <w:r>
        <w:rPr>
          <w:rFonts w:ascii="Arial" w:hAnsi="Arial"/>
          <w:i/>
          <w:color w:val="231F20"/>
          <w:sz w:val="12"/>
        </w:rPr>
        <w:t>Southwest’s top 100 city-pair markets</w:t>
      </w:r>
    </w:p>
    <w:p>
      <w:pPr>
        <w:tabs>
          <w:tab w:pos="6365" w:val="left" w:leader="none"/>
        </w:tabs>
        <w:spacing w:before="20"/>
        <w:ind w:left="740" w:right="0" w:firstLine="0"/>
        <w:jc w:val="left"/>
        <w:rPr>
          <w:rFonts w:ascii="Franklin Gothic Medium" w:hAnsi="Franklin Gothic Medium"/>
          <w:sz w:val="14"/>
        </w:rPr>
      </w:pPr>
      <w:r>
        <w:rPr>
          <w:rFonts w:ascii="Arial" w:hAnsi="Arial"/>
          <w:i/>
          <w:color w:val="231F20"/>
          <w:spacing w:val="2"/>
          <w:position w:val="2"/>
          <w:sz w:val="12"/>
        </w:rPr>
        <w:t>based </w:t>
      </w:r>
      <w:r>
        <w:rPr>
          <w:rFonts w:ascii="Arial" w:hAnsi="Arial"/>
          <w:i/>
          <w:color w:val="231F20"/>
          <w:position w:val="2"/>
          <w:sz w:val="12"/>
        </w:rPr>
        <w:t>on</w:t>
      </w:r>
      <w:r>
        <w:rPr>
          <w:rFonts w:ascii="Arial" w:hAnsi="Arial"/>
          <w:i/>
          <w:color w:val="231F20"/>
          <w:spacing w:val="-1"/>
          <w:position w:val="2"/>
          <w:sz w:val="12"/>
        </w:rPr>
        <w:t> </w:t>
      </w:r>
      <w:r>
        <w:rPr>
          <w:rFonts w:ascii="Arial" w:hAnsi="Arial"/>
          <w:i/>
          <w:color w:val="231F20"/>
          <w:spacing w:val="2"/>
          <w:position w:val="2"/>
          <w:sz w:val="12"/>
        </w:rPr>
        <w:t>passengers</w:t>
      </w:r>
      <w:r>
        <w:rPr>
          <w:rFonts w:ascii="Arial" w:hAnsi="Arial"/>
          <w:i/>
          <w:color w:val="231F20"/>
          <w:position w:val="2"/>
          <w:sz w:val="12"/>
        </w:rPr>
        <w:t> </w:t>
      </w:r>
      <w:r>
        <w:rPr>
          <w:rFonts w:ascii="Arial" w:hAnsi="Arial"/>
          <w:i/>
          <w:color w:val="231F20"/>
          <w:spacing w:val="2"/>
          <w:position w:val="2"/>
          <w:sz w:val="12"/>
        </w:rPr>
        <w:t>carried</w:t>
        <w:tab/>
      </w:r>
      <w:r>
        <w:rPr>
          <w:rFonts w:ascii="Franklin Gothic Medium" w:hAnsi="Franklin Gothic Medium"/>
          <w:color w:val="231F20"/>
          <w:spacing w:val="2"/>
          <w:sz w:val="14"/>
        </w:rPr>
        <w:t>Southwest’s  </w:t>
      </w:r>
      <w:r>
        <w:rPr>
          <w:rFonts w:ascii="Franklin Gothic Medium" w:hAnsi="Franklin Gothic Medium"/>
          <w:color w:val="231F20"/>
          <w:spacing w:val="3"/>
          <w:sz w:val="14"/>
        </w:rPr>
        <w:t>Capacity  </w:t>
      </w:r>
      <w:r>
        <w:rPr>
          <w:rFonts w:ascii="Franklin Gothic Medium" w:hAnsi="Franklin Gothic Medium"/>
          <w:color w:val="231F20"/>
          <w:sz w:val="14"/>
        </w:rPr>
        <w:t>By</w:t>
      </w:r>
      <w:r>
        <w:rPr>
          <w:rFonts w:ascii="Franklin Gothic Medium" w:hAnsi="Franklin Gothic Medium"/>
          <w:color w:val="231F20"/>
          <w:spacing w:val="-12"/>
          <w:sz w:val="14"/>
        </w:rPr>
        <w:t> </w:t>
      </w:r>
      <w:r>
        <w:rPr>
          <w:rFonts w:ascii="Franklin Gothic Medium" w:hAnsi="Franklin Gothic Medium"/>
          <w:color w:val="231F20"/>
          <w:spacing w:val="4"/>
          <w:sz w:val="14"/>
        </w:rPr>
        <w:t>Region</w:t>
      </w:r>
    </w:p>
    <w:p>
      <w:pPr>
        <w:pStyle w:val="BodyText"/>
        <w:rPr>
          <w:rFonts w:ascii="Franklin Gothic Medium"/>
        </w:rPr>
      </w:pPr>
    </w:p>
    <w:p>
      <w:pPr>
        <w:pStyle w:val="BodyText"/>
        <w:rPr>
          <w:rFonts w:ascii="Franklin Gothic Medium"/>
        </w:rPr>
      </w:pPr>
    </w:p>
    <w:p>
      <w:pPr>
        <w:pStyle w:val="BodyText"/>
        <w:rPr>
          <w:rFonts w:ascii="Franklin Gothic Medium"/>
        </w:rPr>
      </w:pPr>
    </w:p>
    <w:p>
      <w:pPr>
        <w:pStyle w:val="BodyText"/>
        <w:spacing w:before="1"/>
        <w:rPr>
          <w:rFonts w:ascii="Franklin Gothic Medium"/>
          <w:sz w:val="14"/>
        </w:rPr>
      </w:pPr>
      <w:r>
        <w:rPr/>
        <w:pict>
          <v:group style="position:absolute;margin-left:92.790001pt;margin-top:9.958274pt;width:424.95pt;height:158.8pt;mso-position-horizontal-relative:page;mso-position-vertical-relative:paragraph;z-index:4792;mso-wrap-distance-left:0;mso-wrap-distance-right:0" coordorigin="1856,199" coordsize="8499,3176">
            <v:line style="position:absolute" from="9943,3007" to="9943,3364" stroked="true" strokeweight=".47pt" strokecolor="#231f20">
              <v:stroke dashstyle="solid"/>
            </v:line>
            <v:line style="position:absolute" from="9943,230" to="9943,2998" stroked="true" strokeweight=".47pt" strokecolor="#231f20">
              <v:stroke dashstyle="solid"/>
            </v:line>
            <v:line style="position:absolute" from="9086,3007" to="9086,3364" stroked="true" strokeweight=".479pt" strokecolor="#b1b7be">
              <v:stroke dashstyle="solid"/>
            </v:line>
            <v:line style="position:absolute" from="9086,230" to="9086,2998" stroked="true" strokeweight=".479pt" strokecolor="#b1b7be">
              <v:stroke dashstyle="solid"/>
            </v:line>
            <v:line style="position:absolute" from="8270,3007" to="8270,3364" stroked="true" strokeweight=".479pt" strokecolor="#b1b7be">
              <v:stroke dashstyle="solid"/>
            </v:line>
            <v:line style="position:absolute" from="8270,230" to="8270,2998" stroked="true" strokeweight=".479pt" strokecolor="#b1b7be">
              <v:stroke dashstyle="solid"/>
            </v:line>
            <v:line style="position:absolute" from="7453,3007" to="7453,3364" stroked="true" strokeweight=".479pt" strokecolor="#b1b7be">
              <v:stroke dashstyle="solid"/>
            </v:line>
            <v:line style="position:absolute" from="7453,230" to="7453,2998" stroked="true" strokeweight=".479pt" strokecolor="#b1b7be">
              <v:stroke dashstyle="solid"/>
            </v:line>
            <v:line style="position:absolute" from="6693,3007" to="6693,3364" stroked="true" strokeweight=".47pt" strokecolor="#b1b7be">
              <v:stroke dashstyle="solid"/>
            </v:line>
            <v:line style="position:absolute" from="6693,230" to="6693,2998" stroked="true" strokeweight=".47pt" strokecolor="#b1b7be">
              <v:stroke dashstyle="solid"/>
            </v:line>
            <v:line style="position:absolute" from="5906,3007" to="5906,3364" stroked="true" strokeweight=".479pt" strokecolor="#b1b7be">
              <v:stroke dashstyle="solid"/>
            </v:line>
            <v:line style="position:absolute" from="5906,230" to="5906,2998" stroked="true" strokeweight=".479pt" strokecolor="#b1b7be">
              <v:stroke dashstyle="solid"/>
            </v:line>
            <v:line style="position:absolute" from="5119,3007" to="5119,3364" stroked="true" strokeweight=".479pt" strokecolor="#b1b7be">
              <v:stroke dashstyle="solid"/>
            </v:line>
            <v:line style="position:absolute" from="5119,230" to="5119,2998" stroked="true" strokeweight=".479pt" strokecolor="#b1b7be">
              <v:stroke dashstyle="solid"/>
            </v:line>
            <v:line style="position:absolute" from="4312,3007" to="4312,3364" stroked="true" strokeweight=".47pt" strokecolor="#b1b7be">
              <v:stroke dashstyle="solid"/>
            </v:line>
            <v:line style="position:absolute" from="4312,230" to="4312,2998" stroked="true" strokeweight=".47pt" strokecolor="#b1b7be">
              <v:stroke dashstyle="solid"/>
            </v:line>
            <v:line style="position:absolute" from="3505,3007" to="3505,3364" stroked="true" strokeweight=".47pt" strokecolor="#b1b7be">
              <v:stroke dashstyle="solid"/>
            </v:line>
            <v:line style="position:absolute" from="3505,230" to="3505,2998" stroked="true" strokeweight=".47pt" strokecolor="#b1b7be">
              <v:stroke dashstyle="solid"/>
            </v:line>
            <v:line style="position:absolute" from="2748,3007" to="2748,3361" stroked="true" strokeweight=".479pt" strokecolor="#b1b7be">
              <v:stroke dashstyle="solid"/>
            </v:line>
            <v:line style="position:absolute" from="2748,230" to="2748,2998" stroked="true" strokeweight=".479pt" strokecolor="#b1b7be">
              <v:stroke dashstyle="solid"/>
            </v:line>
            <v:rect style="position:absolute;left:2194;top:2389;width:275;height:609" filled="true" fillcolor="#4b82c3" stroked="false">
              <v:fill type="solid"/>
            </v:rect>
            <v:rect style="position:absolute;left:2985;top:2281;width:275;height:717" filled="true" fillcolor="#4b82c3" stroked="false">
              <v:fill type="solid"/>
            </v:rect>
            <v:rect style="position:absolute;left:3777;top:1849;width:275;height:1149" filled="true" fillcolor="#4b82c3" stroked="false">
              <v:fill type="solid"/>
            </v:rect>
            <v:rect style="position:absolute;left:4569;top:1715;width:275;height:1283" filled="true" fillcolor="#4b82c3" stroked="false">
              <v:fill type="solid"/>
            </v:rect>
            <v:rect style="position:absolute;left:5361;top:1549;width:275;height:1449" filled="true" fillcolor="#4b82c3" stroked="false">
              <v:fill type="solid"/>
            </v:rect>
            <v:rect style="position:absolute;left:6169;top:1549;width:275;height:1449" filled="true" fillcolor="#4b82c3" stroked="false">
              <v:fill type="solid"/>
            </v:rect>
            <v:rect style="position:absolute;left:6944;top:1381;width:275;height:1617" filled="true" fillcolor="#4b82c3" stroked="false">
              <v:fill type="solid"/>
            </v:rect>
            <v:rect style="position:absolute;left:7736;top:1222;width:275;height:1776" filled="true" fillcolor="#4b82c3" stroked="false">
              <v:fill type="solid"/>
            </v:rect>
            <v:rect style="position:absolute;left:8528;top:902;width:275;height:2096" filled="true" fillcolor="#4b82c3" stroked="false">
              <v:fill type="solid"/>
            </v:rect>
            <v:rect style="position:absolute;left:9319;top:705;width:275;height:2292" filled="true" fillcolor="#4b82c3" stroked="false">
              <v:fill type="solid"/>
            </v:rect>
            <v:line style="position:absolute" from="1861,3003" to="10350,3003" stroked="true" strokeweight=".47pt" strokecolor="#231f20">
              <v:stroke dashstyle="solid"/>
            </v:line>
            <v:shape style="position:absolute;left:10019;top:199;width:294;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200</w:t>
                    </w:r>
                  </w:p>
                </w:txbxContent>
              </v:textbox>
              <w10:wrap type="none"/>
            </v:shape>
            <v:shape style="position:absolute;left:9337;top:468;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180</w:t>
                    </w:r>
                  </w:p>
                </w:txbxContent>
              </v:textbox>
              <w10:wrap type="none"/>
            </v:shape>
            <v:shape style="position:absolute;left:8621;top:655;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71</w:t>
                    </w:r>
                  </w:p>
                </w:txbxContent>
              </v:textbox>
              <w10:wrap type="none"/>
            </v:shape>
            <v:shape style="position:absolute;left:10028;top:617;width:290;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175</w:t>
                    </w:r>
                  </w:p>
                </w:txbxContent>
              </v:textbox>
              <w10:wrap type="none"/>
            </v:shape>
            <v:shape style="position:absolute;left:7744;top:988;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150</w:t>
                    </w:r>
                  </w:p>
                </w:txbxContent>
              </v:textbox>
              <w10:wrap type="none"/>
            </v:shape>
            <v:shape style="position:absolute;left:7048;top:1132;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41</w:t>
                    </w:r>
                  </w:p>
                </w:txbxContent>
              </v:textbox>
              <w10:wrap type="none"/>
            </v:shape>
            <v:shape style="position:absolute;left:10028;top:1024;width:294;height:197" type="#_x0000_t202" filled="false" stroked="false">
              <v:textbox inset="0,0,0,0">
                <w:txbxContent>
                  <w:p>
                    <w:pPr>
                      <w:spacing w:line="190" w:lineRule="exact" w:before="0"/>
                      <w:ind w:left="0" w:right="0" w:firstLine="0"/>
                      <w:jc w:val="left"/>
                      <w:rPr>
                        <w:rFonts w:ascii="Arial"/>
                        <w:sz w:val="17"/>
                      </w:rPr>
                    </w:pPr>
                    <w:r>
                      <w:rPr>
                        <w:rFonts w:ascii="Arial"/>
                        <w:color w:val="231F20"/>
                        <w:w w:val="95"/>
                        <w:sz w:val="17"/>
                      </w:rPr>
                      <w:t>150</w:t>
                    </w:r>
                  </w:p>
                </w:txbxContent>
              </v:textbox>
              <w10:wrap type="none"/>
            </v:shape>
            <v:shape style="position:absolute;left:5384;top:1324;width:26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130</w:t>
                    </w:r>
                  </w:p>
                </w:txbxContent>
              </v:textbox>
              <w10:wrap type="none"/>
            </v:shape>
            <v:shape style="position:absolute;left:6180;top:1294;width:25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130</w:t>
                    </w:r>
                  </w:p>
                </w:txbxContent>
              </v:textbox>
              <w10:wrap type="none"/>
            </v:shape>
            <v:shape style="position:absolute;left:3882;top:1620;width:17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17</w:t>
                    </w:r>
                  </w:p>
                </w:txbxContent>
              </v:textbox>
              <w10:wrap type="none"/>
            </v:shape>
            <v:shape style="position:absolute;left:4588;top:1501;width:255;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122</w:t>
                    </w:r>
                  </w:p>
                </w:txbxContent>
              </v:textbox>
              <w10:wrap type="none"/>
            </v:shape>
            <v:shape style="position:absolute;left:10028;top:1451;width:294;height:596" type="#_x0000_t202" filled="false" stroked="false">
              <v:textbox inset="0,0,0,0">
                <w:txbxContent>
                  <w:p>
                    <w:pPr>
                      <w:spacing w:line="190" w:lineRule="exact" w:before="0"/>
                      <w:ind w:left="0" w:right="0" w:firstLine="0"/>
                      <w:jc w:val="left"/>
                      <w:rPr>
                        <w:rFonts w:ascii="Arial"/>
                        <w:sz w:val="17"/>
                      </w:rPr>
                    </w:pPr>
                    <w:r>
                      <w:rPr>
                        <w:rFonts w:ascii="Arial"/>
                        <w:color w:val="231F20"/>
                        <w:sz w:val="17"/>
                      </w:rPr>
                      <w:t>125</w:t>
                    </w:r>
                  </w:p>
                  <w:p>
                    <w:pPr>
                      <w:spacing w:line="240" w:lineRule="auto" w:before="10"/>
                      <w:rPr>
                        <w:rFonts w:ascii="Franklin Gothic Medium"/>
                        <w:sz w:val="17"/>
                      </w:rPr>
                    </w:pPr>
                  </w:p>
                  <w:p>
                    <w:pPr>
                      <w:spacing w:before="0"/>
                      <w:ind w:left="0" w:right="0" w:firstLine="0"/>
                      <w:jc w:val="left"/>
                      <w:rPr>
                        <w:rFonts w:ascii="Arial"/>
                        <w:sz w:val="17"/>
                      </w:rPr>
                    </w:pPr>
                    <w:r>
                      <w:rPr>
                        <w:rFonts w:ascii="Arial"/>
                        <w:color w:val="231F20"/>
                        <w:w w:val="95"/>
                        <w:sz w:val="17"/>
                      </w:rPr>
                      <w:t>100</w:t>
                    </w:r>
                  </w:p>
                </w:txbxContent>
              </v:textbox>
              <w10:wrap type="none"/>
            </v:shape>
            <v:shape style="position:absolute;left:2261;top:2170;width:18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80</w:t>
                    </w:r>
                  </w:p>
                </w:txbxContent>
              </v:textbox>
              <w10:wrap type="none"/>
            </v:shape>
            <v:shape style="position:absolute;left:3054;top:2046;width:181;height:168" type="#_x0000_t202" filled="false" stroked="false">
              <v:textbox inset="0,0,0,0">
                <w:txbxContent>
                  <w:p>
                    <w:pPr>
                      <w:spacing w:line="160" w:lineRule="exact" w:before="0"/>
                      <w:ind w:left="0" w:right="0" w:firstLine="0"/>
                      <w:jc w:val="left"/>
                      <w:rPr>
                        <w:rFonts w:ascii="Arial"/>
                        <w:sz w:val="14"/>
                      </w:rPr>
                    </w:pPr>
                    <w:r>
                      <w:rPr>
                        <w:rFonts w:ascii="Arial"/>
                        <w:color w:val="231F20"/>
                        <w:sz w:val="14"/>
                      </w:rPr>
                      <w:t>86</w:t>
                    </w:r>
                  </w:p>
                </w:txbxContent>
              </v:textbox>
              <w10:wrap type="none"/>
            </v:shape>
            <v:shape style="position:absolute;left:10028;top:2267;width:203;height:619" type="#_x0000_t202" filled="false" stroked="false">
              <v:textbox inset="0,0,0,0">
                <w:txbxContent>
                  <w:p>
                    <w:pPr>
                      <w:spacing w:line="190" w:lineRule="exact" w:before="0"/>
                      <w:ind w:left="0" w:right="0" w:firstLine="0"/>
                      <w:jc w:val="left"/>
                      <w:rPr>
                        <w:rFonts w:ascii="Arial"/>
                        <w:sz w:val="17"/>
                      </w:rPr>
                    </w:pPr>
                    <w:r>
                      <w:rPr>
                        <w:rFonts w:ascii="Arial"/>
                        <w:color w:val="231F20"/>
                        <w:sz w:val="17"/>
                      </w:rPr>
                      <w:t>75</w:t>
                    </w:r>
                  </w:p>
                  <w:p>
                    <w:pPr>
                      <w:spacing w:line="240" w:lineRule="auto" w:before="10"/>
                      <w:rPr>
                        <w:rFonts w:ascii="Franklin Gothic Medium"/>
                        <w:sz w:val="19"/>
                      </w:rPr>
                    </w:pPr>
                  </w:p>
                  <w:p>
                    <w:pPr>
                      <w:spacing w:before="1"/>
                      <w:ind w:left="0" w:right="0" w:firstLine="0"/>
                      <w:jc w:val="left"/>
                      <w:rPr>
                        <w:rFonts w:ascii="Arial"/>
                        <w:sz w:val="17"/>
                      </w:rPr>
                    </w:pPr>
                    <w:r>
                      <w:rPr>
                        <w:rFonts w:ascii="Arial"/>
                        <w:color w:val="231F20"/>
                        <w:sz w:val="17"/>
                      </w:rPr>
                      <w:t>50</w:t>
                    </w:r>
                  </w:p>
                </w:txbxContent>
              </v:textbox>
              <w10:wrap type="none"/>
            </v:shape>
            <v:shape style="position:absolute;left:2038;top:3090;width:3822;height:175" type="#_x0000_t202" filled="false" stroked="false">
              <v:textbox inset="0,0,0,0">
                <w:txbxContent>
                  <w:p>
                    <w:pPr>
                      <w:tabs>
                        <w:tab w:pos="836" w:val="left" w:leader="none"/>
                        <w:tab w:pos="3126" w:val="left" w:leader="none"/>
                      </w:tabs>
                      <w:spacing w:line="168" w:lineRule="exact" w:before="0"/>
                      <w:ind w:left="0" w:right="0" w:firstLine="0"/>
                      <w:jc w:val="left"/>
                      <w:rPr>
                        <w:rFonts w:ascii="Arial"/>
                        <w:sz w:val="14"/>
                      </w:rPr>
                    </w:pPr>
                    <w:r>
                      <w:rPr>
                        <w:rFonts w:ascii="Arial"/>
                        <w:color w:val="231F20"/>
                        <w:spacing w:val="3"/>
                        <w:w w:val="95"/>
                        <w:position w:val="1"/>
                        <w:sz w:val="14"/>
                      </w:rPr>
                      <w:t>San</w:t>
                    </w:r>
                    <w:r>
                      <w:rPr>
                        <w:rFonts w:ascii="Arial"/>
                        <w:color w:val="231F20"/>
                        <w:spacing w:val="-13"/>
                        <w:w w:val="95"/>
                        <w:position w:val="1"/>
                        <w:sz w:val="14"/>
                      </w:rPr>
                      <w:t> </w:t>
                    </w:r>
                    <w:r>
                      <w:rPr>
                        <w:rFonts w:ascii="Arial"/>
                        <w:color w:val="231F20"/>
                        <w:spacing w:val="4"/>
                        <w:w w:val="95"/>
                        <w:position w:val="1"/>
                        <w:sz w:val="14"/>
                      </w:rPr>
                      <w:t>Diego</w:t>
                      <w:tab/>
                    </w:r>
                    <w:r>
                      <w:rPr>
                        <w:rFonts w:ascii="Arial"/>
                        <w:color w:val="231F20"/>
                        <w:spacing w:val="4"/>
                        <w:w w:val="95"/>
                        <w:sz w:val="14"/>
                      </w:rPr>
                      <w:t>Nashville  </w:t>
                    </w:r>
                    <w:r>
                      <w:rPr>
                        <w:rFonts w:ascii="Arial"/>
                        <w:color w:val="231F20"/>
                        <w:spacing w:val="3"/>
                        <w:w w:val="95"/>
                        <w:sz w:val="14"/>
                      </w:rPr>
                      <w:t>Los</w:t>
                    </w:r>
                    <w:r>
                      <w:rPr>
                        <w:rFonts w:ascii="Arial"/>
                        <w:color w:val="231F20"/>
                        <w:spacing w:val="11"/>
                        <w:w w:val="95"/>
                        <w:sz w:val="14"/>
                      </w:rPr>
                      <w:t> </w:t>
                    </w:r>
                    <w:r>
                      <w:rPr>
                        <w:rFonts w:ascii="Arial"/>
                        <w:color w:val="231F20"/>
                        <w:spacing w:val="4"/>
                        <w:w w:val="95"/>
                        <w:sz w:val="14"/>
                      </w:rPr>
                      <w:t>Angeles </w:t>
                    </w:r>
                    <w:r>
                      <w:rPr>
                        <w:rFonts w:ascii="Arial"/>
                        <w:color w:val="231F20"/>
                        <w:spacing w:val="44"/>
                        <w:w w:val="95"/>
                        <w:sz w:val="14"/>
                      </w:rPr>
                      <w:t> </w:t>
                    </w:r>
                    <w:r>
                      <w:rPr>
                        <w:rFonts w:ascii="Arial"/>
                        <w:color w:val="231F20"/>
                        <w:spacing w:val="4"/>
                        <w:w w:val="95"/>
                        <w:sz w:val="14"/>
                      </w:rPr>
                      <w:t>Oakland</w:t>
                      <w:tab/>
                    </w:r>
                    <w:r>
                      <w:rPr>
                        <w:rFonts w:ascii="Arial"/>
                        <w:color w:val="231F20"/>
                        <w:spacing w:val="4"/>
                        <w:w w:val="85"/>
                        <w:position w:val="1"/>
                        <w:sz w:val="14"/>
                      </w:rPr>
                      <w:t>Dallas</w:t>
                    </w:r>
                    <w:r>
                      <w:rPr>
                        <w:rFonts w:ascii="Arial"/>
                        <w:color w:val="231F20"/>
                        <w:spacing w:val="10"/>
                        <w:w w:val="85"/>
                        <w:position w:val="1"/>
                        <w:sz w:val="14"/>
                      </w:rPr>
                      <w:t> </w:t>
                    </w:r>
                    <w:r>
                      <w:rPr>
                        <w:rFonts w:ascii="Arial"/>
                        <w:color w:val="231F20"/>
                        <w:spacing w:val="3"/>
                        <w:w w:val="85"/>
                        <w:position w:val="1"/>
                        <w:sz w:val="14"/>
                      </w:rPr>
                      <w:t>Love</w:t>
                    </w:r>
                  </w:p>
                </w:txbxContent>
              </v:textbox>
              <w10:wrap type="none"/>
            </v:shape>
            <v:shape style="position:absolute;left:6063;top:3052;width:495;height:323" type="#_x0000_t202" filled="false" stroked="false">
              <v:textbox inset="0,0,0,0">
                <w:txbxContent>
                  <w:p>
                    <w:pPr>
                      <w:spacing w:line="156" w:lineRule="exact" w:before="6"/>
                      <w:ind w:left="16" w:right="0" w:hanging="17"/>
                      <w:jc w:val="left"/>
                      <w:rPr>
                        <w:rFonts w:ascii="Arial"/>
                        <w:sz w:val="14"/>
                      </w:rPr>
                    </w:pPr>
                    <w:r>
                      <w:rPr>
                        <w:rFonts w:ascii="Arial"/>
                        <w:color w:val="231F20"/>
                        <w:w w:val="85"/>
                        <w:sz w:val="14"/>
                      </w:rPr>
                      <w:t>Chicago </w:t>
                    </w:r>
                    <w:r>
                      <w:rPr>
                        <w:rFonts w:ascii="Arial"/>
                        <w:color w:val="231F20"/>
                        <w:w w:val="90"/>
                        <w:sz w:val="14"/>
                      </w:rPr>
                      <w:t>Midway</w:t>
                    </w:r>
                  </w:p>
                </w:txbxContent>
              </v:textbox>
              <w10:wrap type="none"/>
            </v:shape>
            <v:shape style="position:absolute;left:6845;top:3039;width:499;height:323" type="#_x0000_t202" filled="false" stroked="false">
              <v:textbox inset="0,0,0,0">
                <w:txbxContent>
                  <w:p>
                    <w:pPr>
                      <w:spacing w:line="156" w:lineRule="exact" w:before="6"/>
                      <w:ind w:left="59" w:right="0" w:hanging="60"/>
                      <w:jc w:val="left"/>
                      <w:rPr>
                        <w:rFonts w:ascii="Arial"/>
                        <w:sz w:val="14"/>
                      </w:rPr>
                    </w:pPr>
                    <w:r>
                      <w:rPr>
                        <w:rFonts w:ascii="Arial"/>
                        <w:color w:val="231F20"/>
                        <w:w w:val="85"/>
                        <w:sz w:val="14"/>
                      </w:rPr>
                      <w:t>Houston </w:t>
                    </w:r>
                    <w:r>
                      <w:rPr>
                        <w:rFonts w:ascii="Arial"/>
                        <w:color w:val="231F20"/>
                        <w:w w:val="90"/>
                        <w:sz w:val="14"/>
                      </w:rPr>
                      <w:t>Hobby</w:t>
                    </w:r>
                  </w:p>
                </w:txbxContent>
              </v:textbox>
              <w10:wrap type="none"/>
            </v:shape>
            <v:shape style="position:absolute;left:7524;top:3025;width:696;height:323" type="#_x0000_t202" filled="false" stroked="false">
              <v:textbox inset="0,0,0,0">
                <w:txbxContent>
                  <w:p>
                    <w:pPr>
                      <w:spacing w:line="156" w:lineRule="exact" w:before="6"/>
                      <w:ind w:left="0" w:right="0" w:firstLine="18"/>
                      <w:jc w:val="left"/>
                      <w:rPr>
                        <w:rFonts w:ascii="Arial"/>
                        <w:sz w:val="14"/>
                      </w:rPr>
                    </w:pPr>
                    <w:r>
                      <w:rPr>
                        <w:rFonts w:ascii="Arial"/>
                        <w:color w:val="231F20"/>
                        <w:w w:val="88"/>
                        <w:sz w:val="14"/>
                      </w:rPr>
                      <w:t>Baltimore</w:t>
                    </w:r>
                    <w:r>
                      <w:rPr>
                        <w:rFonts w:ascii="Arial"/>
                        <w:color w:val="231F20"/>
                        <w:w w:val="178"/>
                        <w:sz w:val="14"/>
                      </w:rPr>
                      <w:t>/ </w:t>
                    </w:r>
                    <w:r>
                      <w:rPr>
                        <w:rFonts w:ascii="Arial"/>
                        <w:color w:val="231F20"/>
                        <w:w w:val="85"/>
                        <w:sz w:val="14"/>
                      </w:rPr>
                      <w:t>Washington</w:t>
                    </w:r>
                  </w:p>
                </w:txbxContent>
              </v:textbox>
              <w10:wrap type="none"/>
            </v:shape>
            <v:shape style="position:absolute;left:8365;top:3109;width:607;height:168" type="#_x0000_t202" filled="false" stroked="false">
              <v:textbox inset="0,0,0,0">
                <w:txbxContent>
                  <w:p>
                    <w:pPr>
                      <w:spacing w:line="160" w:lineRule="exact" w:before="0"/>
                      <w:ind w:left="0" w:right="0" w:firstLine="0"/>
                      <w:jc w:val="left"/>
                      <w:rPr>
                        <w:rFonts w:ascii="Arial"/>
                        <w:sz w:val="14"/>
                      </w:rPr>
                    </w:pPr>
                    <w:r>
                      <w:rPr>
                        <w:rFonts w:ascii="Arial"/>
                        <w:color w:val="231F20"/>
                        <w:w w:val="85"/>
                        <w:sz w:val="14"/>
                      </w:rPr>
                      <w:t>Las Vegas</w:t>
                    </w:r>
                  </w:p>
                </w:txbxContent>
              </v:textbox>
              <w10:wrap type="none"/>
            </v:shape>
            <v:shape style="position:absolute;left:9226;top:3092;width:477;height:168" type="#_x0000_t202" filled="false" stroked="false">
              <v:textbox inset="0,0,0,0">
                <w:txbxContent>
                  <w:p>
                    <w:pPr>
                      <w:spacing w:line="160" w:lineRule="exact" w:before="0"/>
                      <w:ind w:left="0" w:right="0" w:firstLine="0"/>
                      <w:jc w:val="left"/>
                      <w:rPr>
                        <w:rFonts w:ascii="Arial"/>
                        <w:sz w:val="14"/>
                      </w:rPr>
                    </w:pPr>
                    <w:r>
                      <w:rPr>
                        <w:rFonts w:ascii="Arial"/>
                        <w:color w:val="231F20"/>
                        <w:w w:val="85"/>
                        <w:sz w:val="14"/>
                      </w:rPr>
                      <w:t>Phoenix</w:t>
                    </w:r>
                  </w:p>
                </w:txbxContent>
              </v:textbox>
              <w10:wrap type="none"/>
            </v:shape>
            <w10:wrap type="topAndBottom"/>
          </v:group>
        </w:pict>
      </w:r>
    </w:p>
    <w:p>
      <w:pPr>
        <w:pStyle w:val="BodyText"/>
        <w:spacing w:before="4"/>
        <w:rPr>
          <w:rFonts w:ascii="Franklin Gothic Medium"/>
          <w:sz w:val="14"/>
        </w:rPr>
      </w:pPr>
    </w:p>
    <w:p>
      <w:pPr>
        <w:spacing w:before="96"/>
        <w:ind w:left="740" w:right="0" w:firstLine="0"/>
        <w:jc w:val="left"/>
        <w:rPr>
          <w:rFonts w:ascii="Franklin Gothic Medium" w:hAnsi="Franklin Gothic Medium"/>
          <w:sz w:val="14"/>
        </w:rPr>
      </w:pPr>
      <w:r>
        <w:rPr>
          <w:rFonts w:ascii="Franklin Gothic Medium" w:hAnsi="Franklin Gothic Medium"/>
          <w:color w:val="231F20"/>
          <w:w w:val="105"/>
          <w:sz w:val="14"/>
        </w:rPr>
        <w:t>Southwest’s Top Ten Airports </w:t>
      </w:r>
      <w:r>
        <w:rPr>
          <w:rFonts w:ascii="Franklin Gothic Medium" w:hAnsi="Franklin Gothic Medium"/>
          <w:color w:val="231F20"/>
          <w:w w:val="120"/>
          <w:sz w:val="14"/>
        </w:rPr>
        <w:t>— </w:t>
      </w:r>
      <w:r>
        <w:rPr>
          <w:rFonts w:ascii="Franklin Gothic Medium" w:hAnsi="Franklin Gothic Medium"/>
          <w:color w:val="231F20"/>
          <w:w w:val="105"/>
          <w:sz w:val="14"/>
        </w:rPr>
        <w:t>Daily Departures</w:t>
      </w:r>
    </w:p>
    <w:p>
      <w:pPr>
        <w:spacing w:after="0"/>
        <w:jc w:val="left"/>
        <w:rPr>
          <w:rFonts w:ascii="Franklin Gothic Medium" w:hAnsi="Franklin Gothic Medium"/>
          <w:sz w:val="14"/>
        </w:rPr>
        <w:sectPr>
          <w:type w:val="continuous"/>
          <w:pgSz w:w="12240" w:h="15840"/>
          <w:pgMar w:top="0" w:bottom="280" w:left="0" w:right="0"/>
        </w:sectPr>
      </w:pPr>
    </w:p>
    <w:p>
      <w:pPr>
        <w:tabs>
          <w:tab w:pos="11799" w:val="right" w:leader="none"/>
        </w:tabs>
        <w:spacing w:before="95"/>
        <w:ind w:left="7753" w:right="0" w:firstLine="0"/>
        <w:jc w:val="left"/>
        <w:rPr>
          <w:sz w:val="14"/>
        </w:rPr>
      </w:pPr>
      <w:r>
        <w:rPr/>
        <w:pict>
          <v:group style="position:absolute;margin-left:-.25pt;margin-top:-.275483pt;width:612.5pt;height:18.5pt;mso-position-horizontal-relative:page;mso-position-vertical-relative:paragraph;z-index:-278296" coordorigin="-5,-6" coordsize="12250,370">
            <v:line style="position:absolute" from="11520,-1" to="11520,359" stroked="true" strokeweight=".5pt" strokecolor="#292425">
              <v:stroke dashstyle="solid"/>
            </v:line>
            <v:line style="position:absolute" from="0,359" to="12240,359" stroked="true" strokeweight=".5pt" strokecolor="#292425">
              <v:stroke dashstyle="solid"/>
            </v:line>
            <w10:wrap type="none"/>
          </v:group>
        </w:pict>
      </w:r>
      <w:bookmarkStart w:name="Quarterly Financial Data/Stock Price and" w:id="14"/>
      <w:bookmarkEnd w:id="14"/>
      <w:r>
        <w:rPr/>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17"/>
          <w:w w:val="135"/>
          <w:sz w:val="12"/>
        </w:rPr>
        <w:t> </w:t>
      </w:r>
      <w:r>
        <w:rPr>
          <w:color w:val="292425"/>
          <w:spacing w:val="5"/>
          <w:w w:val="155"/>
          <w:sz w:val="12"/>
        </w:rPr>
        <w:t>annual</w:t>
      </w:r>
      <w:r>
        <w:rPr>
          <w:color w:val="292425"/>
          <w:spacing w:val="28"/>
          <w:w w:val="155"/>
          <w:sz w:val="12"/>
        </w:rPr>
        <w:t> </w:t>
      </w:r>
      <w:r>
        <w:rPr>
          <w:color w:val="292425"/>
          <w:spacing w:val="4"/>
          <w:w w:val="155"/>
          <w:sz w:val="12"/>
        </w:rPr>
        <w:t>report</w:t>
      </w:r>
      <w:r>
        <w:rPr>
          <w:color w:val="292425"/>
          <w:spacing w:val="4"/>
          <w:w w:val="155"/>
          <w:sz w:val="14"/>
        </w:rPr>
        <w:tab/>
      </w:r>
      <w:r>
        <w:rPr>
          <w:color w:val="292425"/>
          <w:spacing w:val="9"/>
          <w:w w:val="135"/>
          <w:sz w:val="14"/>
        </w:rPr>
        <w:t>13</w:t>
      </w:r>
    </w:p>
    <w:p>
      <w:pPr>
        <w:spacing w:before="330"/>
        <w:ind w:left="1127" w:right="0" w:firstLine="0"/>
        <w:jc w:val="left"/>
        <w:rPr>
          <w:i/>
          <w:sz w:val="16"/>
        </w:rPr>
      </w:pPr>
      <w:r>
        <w:rPr/>
        <w:pict>
          <v:line style="position:absolute;mso-position-horizontal-relative:page;mso-position-vertical-relative:paragraph;z-index:5152" from=".76pt,33.784061pt" to="612.0pt,33.784061pt" stroked="true" strokeweight=".5pt" strokecolor="#292425">
            <v:stroke dashstyle="solid"/>
            <w10:wrap type="none"/>
          </v:line>
        </w:pict>
      </w:r>
      <w:r>
        <w:rPr>
          <w:i/>
          <w:color w:val="292425"/>
          <w:w w:val="105"/>
          <w:sz w:val="16"/>
        </w:rPr>
        <w:t>QUARTERLY FINANCIAL DATA  (UNAUDITED)</w:t>
      </w:r>
    </w:p>
    <w:p>
      <w:pPr>
        <w:pStyle w:val="BodyText"/>
        <w:rPr>
          <w:i/>
          <w:sz w:val="18"/>
        </w:rPr>
      </w:pPr>
    </w:p>
    <w:p>
      <w:pPr>
        <w:pStyle w:val="BodyText"/>
        <w:spacing w:before="7"/>
        <w:rPr>
          <w:i/>
          <w:sz w:val="26"/>
        </w:rPr>
      </w:pPr>
    </w:p>
    <w:p>
      <w:pPr>
        <w:tabs>
          <w:tab w:pos="7430" w:val="left" w:leader="none"/>
          <w:tab w:pos="11527" w:val="left" w:leader="none"/>
        </w:tabs>
        <w:spacing w:before="0"/>
        <w:ind w:left="4367" w:right="0" w:firstLine="0"/>
        <w:jc w:val="left"/>
        <w:rPr>
          <w:i/>
          <w:sz w:val="16"/>
        </w:rPr>
      </w:pPr>
      <w:r>
        <w:rPr>
          <w:i/>
          <w:color w:val="292425"/>
          <w:w w:val="128"/>
          <w:sz w:val="16"/>
          <w:u w:val="single" w:color="292425"/>
        </w:rPr>
        <w:t> </w:t>
      </w:r>
      <w:r>
        <w:rPr>
          <w:i/>
          <w:color w:val="292425"/>
          <w:sz w:val="16"/>
          <w:u w:val="single" w:color="292425"/>
        </w:rPr>
        <w:tab/>
      </w:r>
      <w:r>
        <w:rPr>
          <w:i/>
          <w:color w:val="292425"/>
          <w:spacing w:val="7"/>
          <w:w w:val="105"/>
          <w:sz w:val="16"/>
          <w:u w:val="single" w:color="292425"/>
        </w:rPr>
        <w:t>THREE  MONTHS</w:t>
      </w:r>
      <w:r>
        <w:rPr>
          <w:i/>
          <w:color w:val="292425"/>
          <w:spacing w:val="37"/>
          <w:w w:val="105"/>
          <w:sz w:val="16"/>
          <w:u w:val="single" w:color="292425"/>
        </w:rPr>
        <w:t> </w:t>
      </w:r>
      <w:r>
        <w:rPr>
          <w:i/>
          <w:color w:val="292425"/>
          <w:spacing w:val="7"/>
          <w:w w:val="105"/>
          <w:sz w:val="16"/>
          <w:u w:val="single" w:color="292425"/>
        </w:rPr>
        <w:t>ENDED</w:t>
      </w:r>
      <w:r>
        <w:rPr>
          <w:i/>
          <w:color w:val="292425"/>
          <w:spacing w:val="7"/>
          <w:sz w:val="16"/>
          <w:u w:val="single" w:color="292425"/>
        </w:rPr>
        <w:tab/>
      </w:r>
    </w:p>
    <w:p>
      <w:pPr>
        <w:pStyle w:val="BodyText"/>
        <w:rPr>
          <w:i/>
          <w:sz w:val="6"/>
        </w:rPr>
      </w:pPr>
    </w:p>
    <w:tbl>
      <w:tblPr>
        <w:tblW w:w="0" w:type="auto"/>
        <w:jc w:val="left"/>
        <w:tblInd w:w="109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14"/>
        <w:gridCol w:w="1836"/>
        <w:gridCol w:w="1925"/>
        <w:gridCol w:w="2021"/>
        <w:gridCol w:w="1636"/>
      </w:tblGrid>
      <w:tr>
        <w:trPr>
          <w:trHeight w:val="184" w:hRule="exact"/>
        </w:trPr>
        <w:tc>
          <w:tcPr>
            <w:tcW w:w="3014" w:type="dxa"/>
            <w:tcBorders>
              <w:bottom w:val="single" w:sz="4" w:space="0" w:color="292425"/>
            </w:tcBorders>
          </w:tcPr>
          <w:p>
            <w:pPr>
              <w:pStyle w:val="TableParagraph"/>
              <w:spacing w:before="9"/>
              <w:ind w:left="32"/>
              <w:rPr>
                <w:sz w:val="14"/>
              </w:rPr>
            </w:pPr>
            <w:r>
              <w:rPr>
                <w:color w:val="292425"/>
                <w:w w:val="105"/>
                <w:sz w:val="14"/>
              </w:rPr>
              <w:t>(In thousands, except per share  amounts)</w:t>
            </w:r>
          </w:p>
        </w:tc>
        <w:tc>
          <w:tcPr>
            <w:tcW w:w="1836" w:type="dxa"/>
            <w:tcBorders>
              <w:bottom w:val="single" w:sz="4" w:space="0" w:color="292425"/>
            </w:tcBorders>
          </w:tcPr>
          <w:p>
            <w:pPr>
              <w:pStyle w:val="TableParagraph"/>
              <w:spacing w:line="177" w:lineRule="exact"/>
              <w:ind w:right="605"/>
              <w:jc w:val="right"/>
              <w:rPr>
                <w:rFonts w:ascii="Franklin Gothic Medium"/>
                <w:sz w:val="16"/>
              </w:rPr>
            </w:pPr>
            <w:r>
              <w:rPr>
                <w:rFonts w:ascii="Franklin Gothic Medium"/>
                <w:color w:val="292425"/>
                <w:sz w:val="16"/>
              </w:rPr>
              <w:t>MARCH 31</w:t>
            </w:r>
          </w:p>
        </w:tc>
        <w:tc>
          <w:tcPr>
            <w:tcW w:w="1925" w:type="dxa"/>
            <w:tcBorders>
              <w:bottom w:val="single" w:sz="4" w:space="0" w:color="292425"/>
            </w:tcBorders>
          </w:tcPr>
          <w:p>
            <w:pPr>
              <w:pStyle w:val="TableParagraph"/>
              <w:spacing w:line="177" w:lineRule="exact"/>
              <w:ind w:left="735"/>
              <w:rPr>
                <w:rFonts w:ascii="Franklin Gothic Medium"/>
                <w:sz w:val="16"/>
              </w:rPr>
            </w:pPr>
            <w:r>
              <w:rPr>
                <w:rFonts w:ascii="Franklin Gothic Medium"/>
                <w:color w:val="292425"/>
                <w:sz w:val="16"/>
              </w:rPr>
              <w:t>JUNE 30</w:t>
            </w:r>
          </w:p>
        </w:tc>
        <w:tc>
          <w:tcPr>
            <w:tcW w:w="2021" w:type="dxa"/>
            <w:tcBorders>
              <w:bottom w:val="single" w:sz="4" w:space="0" w:color="292425"/>
            </w:tcBorders>
          </w:tcPr>
          <w:p>
            <w:pPr>
              <w:pStyle w:val="TableParagraph"/>
              <w:spacing w:line="177" w:lineRule="exact"/>
              <w:ind w:left="487"/>
              <w:rPr>
                <w:rFonts w:ascii="Franklin Gothic Medium"/>
                <w:sz w:val="16"/>
              </w:rPr>
            </w:pPr>
            <w:r>
              <w:rPr>
                <w:rFonts w:ascii="Franklin Gothic Medium"/>
                <w:color w:val="292425"/>
                <w:sz w:val="16"/>
              </w:rPr>
              <w:t>SEPTEMBER 30</w:t>
            </w:r>
          </w:p>
        </w:tc>
        <w:tc>
          <w:tcPr>
            <w:tcW w:w="1636" w:type="dxa"/>
            <w:tcBorders>
              <w:bottom w:val="single" w:sz="4" w:space="0" w:color="292425"/>
            </w:tcBorders>
          </w:tcPr>
          <w:p>
            <w:pPr>
              <w:pStyle w:val="TableParagraph"/>
              <w:spacing w:line="177" w:lineRule="exact"/>
              <w:ind w:right="167"/>
              <w:jc w:val="right"/>
              <w:rPr>
                <w:rFonts w:ascii="Franklin Gothic Medium"/>
                <w:sz w:val="16"/>
              </w:rPr>
            </w:pPr>
            <w:r>
              <w:rPr>
                <w:rFonts w:ascii="Franklin Gothic Medium"/>
                <w:color w:val="292425"/>
                <w:sz w:val="16"/>
              </w:rPr>
              <w:t>DECEMBER 31</w:t>
            </w:r>
          </w:p>
        </w:tc>
      </w:tr>
      <w:tr>
        <w:trPr>
          <w:trHeight w:val="519" w:hRule="exact"/>
        </w:trPr>
        <w:tc>
          <w:tcPr>
            <w:tcW w:w="3014"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2002</w:t>
            </w:r>
          </w:p>
          <w:p>
            <w:pPr>
              <w:pStyle w:val="TableParagraph"/>
              <w:spacing w:before="72"/>
              <w:ind w:left="32"/>
              <w:rPr>
                <w:sz w:val="16"/>
              </w:rPr>
            </w:pPr>
            <w:r>
              <w:rPr>
                <w:color w:val="292425"/>
                <w:w w:val="105"/>
                <w:sz w:val="16"/>
              </w:rPr>
              <w:t>Operating revenues</w:t>
            </w:r>
          </w:p>
        </w:tc>
        <w:tc>
          <w:tcPr>
            <w:tcW w:w="1836" w:type="dxa"/>
            <w:tcBorders>
              <w:top w:val="single" w:sz="4" w:space="0" w:color="292425"/>
              <w:bottom w:val="single" w:sz="4" w:space="0" w:color="292425"/>
            </w:tcBorders>
          </w:tcPr>
          <w:p>
            <w:pPr>
              <w:pStyle w:val="TableParagraph"/>
              <w:spacing w:before="4"/>
              <w:rPr>
                <w:i/>
                <w:sz w:val="26"/>
              </w:rPr>
            </w:pPr>
          </w:p>
          <w:p>
            <w:pPr>
              <w:pStyle w:val="TableParagraph"/>
              <w:ind w:right="546"/>
              <w:jc w:val="right"/>
              <w:rPr>
                <w:sz w:val="16"/>
              </w:rPr>
            </w:pPr>
            <w:r>
              <w:rPr>
                <w:color w:val="292425"/>
                <w:w w:val="120"/>
                <w:sz w:val="16"/>
              </w:rPr>
              <w:t>$1,257,243</w:t>
            </w:r>
          </w:p>
        </w:tc>
        <w:tc>
          <w:tcPr>
            <w:tcW w:w="1925" w:type="dxa"/>
            <w:tcBorders>
              <w:top w:val="single" w:sz="4" w:space="0" w:color="292425"/>
              <w:bottom w:val="single" w:sz="4" w:space="0" w:color="292425"/>
            </w:tcBorders>
          </w:tcPr>
          <w:p>
            <w:pPr>
              <w:pStyle w:val="TableParagraph"/>
              <w:spacing w:before="4"/>
              <w:rPr>
                <w:i/>
                <w:sz w:val="26"/>
              </w:rPr>
            </w:pPr>
          </w:p>
          <w:p>
            <w:pPr>
              <w:pStyle w:val="TableParagraph"/>
              <w:ind w:right="488"/>
              <w:jc w:val="right"/>
              <w:rPr>
                <w:sz w:val="16"/>
              </w:rPr>
            </w:pPr>
            <w:r>
              <w:rPr>
                <w:color w:val="292425"/>
                <w:w w:val="120"/>
                <w:sz w:val="16"/>
              </w:rPr>
              <w:t>$1,472,798</w:t>
            </w:r>
          </w:p>
        </w:tc>
        <w:tc>
          <w:tcPr>
            <w:tcW w:w="2021" w:type="dxa"/>
            <w:tcBorders>
              <w:top w:val="single" w:sz="4" w:space="0" w:color="292425"/>
              <w:bottom w:val="single" w:sz="4" w:space="0" w:color="292425"/>
            </w:tcBorders>
          </w:tcPr>
          <w:p>
            <w:pPr>
              <w:pStyle w:val="TableParagraph"/>
              <w:spacing w:before="4"/>
              <w:rPr>
                <w:i/>
                <w:sz w:val="26"/>
              </w:rPr>
            </w:pPr>
          </w:p>
          <w:p>
            <w:pPr>
              <w:pStyle w:val="TableParagraph"/>
              <w:ind w:left="541"/>
              <w:rPr>
                <w:sz w:val="16"/>
              </w:rPr>
            </w:pPr>
            <w:r>
              <w:rPr>
                <w:color w:val="292425"/>
                <w:w w:val="120"/>
                <w:sz w:val="16"/>
              </w:rPr>
              <w:t>$1, 391,191</w:t>
            </w:r>
          </w:p>
        </w:tc>
        <w:tc>
          <w:tcPr>
            <w:tcW w:w="1636" w:type="dxa"/>
            <w:tcBorders>
              <w:top w:val="single" w:sz="4" w:space="0" w:color="292425"/>
              <w:bottom w:val="single" w:sz="4" w:space="0" w:color="292425"/>
            </w:tcBorders>
          </w:tcPr>
          <w:p>
            <w:pPr>
              <w:pStyle w:val="TableParagraph"/>
              <w:spacing w:before="4"/>
              <w:rPr>
                <w:i/>
                <w:sz w:val="26"/>
              </w:rPr>
            </w:pPr>
          </w:p>
          <w:p>
            <w:pPr>
              <w:pStyle w:val="TableParagraph"/>
              <w:ind w:left="473"/>
              <w:rPr>
                <w:sz w:val="16"/>
              </w:rPr>
            </w:pPr>
            <w:r>
              <w:rPr>
                <w:color w:val="292425"/>
                <w:w w:val="120"/>
                <w:sz w:val="16"/>
              </w:rPr>
              <w:t>$1,400,539</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Operating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49,365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188,999</w:t>
            </w:r>
          </w:p>
        </w:tc>
        <w:tc>
          <w:tcPr>
            <w:tcW w:w="2021" w:type="dxa"/>
            <w:tcBorders>
              <w:top w:val="single" w:sz="4" w:space="0" w:color="292425"/>
              <w:bottom w:val="single" w:sz="4" w:space="0" w:color="292425"/>
            </w:tcBorders>
          </w:tcPr>
          <w:p>
            <w:pPr>
              <w:pStyle w:val="TableParagraph"/>
              <w:spacing w:before="70"/>
              <w:ind w:left="892"/>
              <w:rPr>
                <w:sz w:val="16"/>
              </w:rPr>
            </w:pPr>
            <w:r>
              <w:rPr>
                <w:color w:val="292425"/>
                <w:w w:val="120"/>
                <w:sz w:val="16"/>
              </w:rPr>
              <w:t>91,141</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87 ,833</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Income before income taxes</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35,196</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169,238</w:t>
            </w:r>
          </w:p>
        </w:tc>
        <w:tc>
          <w:tcPr>
            <w:tcW w:w="2021" w:type="dxa"/>
            <w:tcBorders>
              <w:top w:val="single" w:sz="4" w:space="0" w:color="292425"/>
              <w:bottom w:val="single" w:sz="4" w:space="0" w:color="292425"/>
            </w:tcBorders>
          </w:tcPr>
          <w:p>
            <w:pPr>
              <w:pStyle w:val="TableParagraph"/>
              <w:spacing w:before="70"/>
              <w:ind w:left="804"/>
              <w:rPr>
                <w:sz w:val="16"/>
              </w:rPr>
            </w:pPr>
            <w:r>
              <w:rPr>
                <w:color w:val="292425"/>
                <w:w w:val="120"/>
                <w:sz w:val="16"/>
              </w:rPr>
              <w:t>124,324</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63 ,924</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21,385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102,298</w:t>
            </w:r>
          </w:p>
        </w:tc>
        <w:tc>
          <w:tcPr>
            <w:tcW w:w="2021" w:type="dxa"/>
            <w:tcBorders>
              <w:top w:val="single" w:sz="4" w:space="0" w:color="292425"/>
              <w:bottom w:val="single" w:sz="4" w:space="0" w:color="292425"/>
            </w:tcBorders>
          </w:tcPr>
          <w:p>
            <w:pPr>
              <w:pStyle w:val="TableParagraph"/>
              <w:spacing w:before="70"/>
              <w:ind w:left="898"/>
              <w:rPr>
                <w:sz w:val="16"/>
              </w:rPr>
            </w:pPr>
            <w:r>
              <w:rPr>
                <w:color w:val="292425"/>
                <w:w w:val="120"/>
                <w:sz w:val="16"/>
              </w:rPr>
              <w:t>74,887</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42,399</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basic</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.03</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.13</w:t>
            </w:r>
          </w:p>
        </w:tc>
        <w:tc>
          <w:tcPr>
            <w:tcW w:w="2021" w:type="dxa"/>
            <w:tcBorders>
              <w:top w:val="single" w:sz="4" w:space="0" w:color="292425"/>
              <w:bottom w:val="single" w:sz="4" w:space="0" w:color="292425"/>
            </w:tcBorders>
          </w:tcPr>
          <w:p>
            <w:pPr>
              <w:pStyle w:val="TableParagraph"/>
              <w:spacing w:before="70"/>
              <w:ind w:left="1193"/>
              <w:rPr>
                <w:sz w:val="16"/>
              </w:rPr>
            </w:pPr>
            <w:r>
              <w:rPr>
                <w:color w:val="292425"/>
                <w:w w:val="120"/>
                <w:sz w:val="16"/>
              </w:rPr>
              <w:t>.10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.05</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diluted</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.03</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.13</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.09</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.05</w:t>
            </w:r>
          </w:p>
        </w:tc>
      </w:tr>
      <w:tr>
        <w:trPr>
          <w:trHeight w:val="780" w:hRule="exact"/>
        </w:trPr>
        <w:tc>
          <w:tcPr>
            <w:tcW w:w="3014" w:type="dxa"/>
            <w:tcBorders>
              <w:top w:val="single" w:sz="4" w:space="0" w:color="292425"/>
              <w:bottom w:val="single" w:sz="4" w:space="0" w:color="292425"/>
            </w:tcBorders>
          </w:tcPr>
          <w:p>
            <w:pPr>
              <w:pStyle w:val="TableParagraph"/>
              <w:rPr>
                <w:i/>
                <w:sz w:val="18"/>
              </w:rPr>
            </w:pPr>
          </w:p>
          <w:p>
            <w:pPr>
              <w:pStyle w:val="TableParagraph"/>
              <w:spacing w:before="116"/>
              <w:ind w:left="32"/>
              <w:rPr>
                <w:rFonts w:ascii="Franklin Gothic Medium"/>
                <w:sz w:val="16"/>
              </w:rPr>
            </w:pPr>
            <w:r>
              <w:rPr>
                <w:rFonts w:ascii="Franklin Gothic Medium"/>
                <w:color w:val="292425"/>
                <w:sz w:val="16"/>
              </w:rPr>
              <w:t>2001</w:t>
            </w:r>
          </w:p>
          <w:p>
            <w:pPr>
              <w:pStyle w:val="TableParagraph"/>
              <w:spacing w:before="73"/>
              <w:ind w:left="32"/>
              <w:rPr>
                <w:sz w:val="16"/>
              </w:rPr>
            </w:pPr>
            <w:r>
              <w:rPr>
                <w:color w:val="292425"/>
                <w:w w:val="105"/>
                <w:sz w:val="16"/>
              </w:rPr>
              <w:t>Operating revenues</w:t>
            </w:r>
          </w:p>
        </w:tc>
        <w:tc>
          <w:tcPr>
            <w:tcW w:w="1836"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right="543"/>
              <w:jc w:val="right"/>
              <w:rPr>
                <w:sz w:val="16"/>
              </w:rPr>
            </w:pPr>
            <w:r>
              <w:rPr>
                <w:color w:val="292425"/>
                <w:w w:val="120"/>
                <w:sz w:val="16"/>
              </w:rPr>
              <w:t>$1,428, 617</w:t>
            </w:r>
          </w:p>
        </w:tc>
        <w:tc>
          <w:tcPr>
            <w:tcW w:w="1925"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right="485"/>
              <w:jc w:val="right"/>
              <w:rPr>
                <w:sz w:val="16"/>
              </w:rPr>
            </w:pPr>
            <w:r>
              <w:rPr>
                <w:color w:val="292425"/>
                <w:w w:val="120"/>
                <w:sz w:val="16"/>
              </w:rPr>
              <w:t>$1 ,553,785</w:t>
            </w:r>
          </w:p>
        </w:tc>
        <w:tc>
          <w:tcPr>
            <w:tcW w:w="2021"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left="541"/>
              <w:rPr>
                <w:sz w:val="16"/>
              </w:rPr>
            </w:pPr>
            <w:r>
              <w:rPr>
                <w:color w:val="292425"/>
                <w:w w:val="120"/>
                <w:sz w:val="16"/>
              </w:rPr>
              <w:t>$1, 335,125</w:t>
            </w:r>
          </w:p>
        </w:tc>
        <w:tc>
          <w:tcPr>
            <w:tcW w:w="1636" w:type="dxa"/>
            <w:tcBorders>
              <w:top w:val="single" w:sz="4" w:space="0" w:color="292425"/>
              <w:bottom w:val="single" w:sz="4" w:space="0" w:color="292425"/>
            </w:tcBorders>
          </w:tcPr>
          <w:p>
            <w:pPr>
              <w:pStyle w:val="TableParagraph"/>
              <w:rPr>
                <w:i/>
                <w:sz w:val="18"/>
              </w:rPr>
            </w:pPr>
          </w:p>
          <w:p>
            <w:pPr>
              <w:pStyle w:val="TableParagraph"/>
              <w:rPr>
                <w:i/>
                <w:sz w:val="18"/>
              </w:rPr>
            </w:pPr>
          </w:p>
          <w:p>
            <w:pPr>
              <w:pStyle w:val="TableParagraph"/>
              <w:spacing w:before="150"/>
              <w:ind w:left="472"/>
              <w:rPr>
                <w:sz w:val="16"/>
              </w:rPr>
            </w:pPr>
            <w:r>
              <w:rPr>
                <w:color w:val="292425"/>
                <w:w w:val="120"/>
                <w:sz w:val="16"/>
              </w:rPr>
              <w:t>$1,237,647</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Operating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210,157</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290,862</w:t>
            </w:r>
          </w:p>
        </w:tc>
        <w:tc>
          <w:tcPr>
            <w:tcW w:w="2021" w:type="dxa"/>
            <w:tcBorders>
              <w:top w:val="single" w:sz="4" w:space="0" w:color="292425"/>
              <w:bottom w:val="single" w:sz="4" w:space="0" w:color="292425"/>
            </w:tcBorders>
          </w:tcPr>
          <w:p>
            <w:pPr>
              <w:pStyle w:val="TableParagraph"/>
              <w:spacing w:before="70"/>
              <w:ind w:left="894"/>
              <w:rPr>
                <w:sz w:val="16"/>
              </w:rPr>
            </w:pPr>
            <w:r>
              <w:rPr>
                <w:color w:val="292425"/>
                <w:w w:val="120"/>
                <w:sz w:val="16"/>
              </w:rPr>
              <w:t>92,986</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37,117</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Income before income taxes</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196,502</w:t>
            </w:r>
          </w:p>
        </w:tc>
        <w:tc>
          <w:tcPr>
            <w:tcW w:w="1925" w:type="dxa"/>
            <w:tcBorders>
              <w:top w:val="single" w:sz="4" w:space="0" w:color="292425"/>
              <w:bottom w:val="single" w:sz="4" w:space="0" w:color="292425"/>
            </w:tcBorders>
          </w:tcPr>
          <w:p>
            <w:pPr>
              <w:pStyle w:val="TableParagraph"/>
              <w:spacing w:before="70"/>
              <w:ind w:right="488"/>
              <w:jc w:val="right"/>
              <w:rPr>
                <w:sz w:val="16"/>
              </w:rPr>
            </w:pPr>
            <w:r>
              <w:rPr>
                <w:color w:val="292425"/>
                <w:w w:val="120"/>
                <w:sz w:val="16"/>
              </w:rPr>
              <w:t>287, 451</w:t>
            </w:r>
          </w:p>
        </w:tc>
        <w:tc>
          <w:tcPr>
            <w:tcW w:w="2021" w:type="dxa"/>
            <w:tcBorders>
              <w:top w:val="single" w:sz="4" w:space="0" w:color="292425"/>
              <w:bottom w:val="single" w:sz="4" w:space="0" w:color="292425"/>
            </w:tcBorders>
          </w:tcPr>
          <w:p>
            <w:pPr>
              <w:pStyle w:val="TableParagraph"/>
              <w:spacing w:before="70"/>
              <w:ind w:left="819"/>
              <w:rPr>
                <w:sz w:val="16"/>
              </w:rPr>
            </w:pPr>
            <w:r>
              <w:rPr>
                <w:color w:val="292425"/>
                <w:w w:val="120"/>
                <w:sz w:val="16"/>
              </w:rPr>
              <w:t>245,870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97 ,836</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121,045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20"/>
                <w:sz w:val="16"/>
              </w:rPr>
              <w:t>175 ,633</w:t>
            </w:r>
          </w:p>
        </w:tc>
        <w:tc>
          <w:tcPr>
            <w:tcW w:w="2021" w:type="dxa"/>
            <w:tcBorders>
              <w:top w:val="single" w:sz="4" w:space="0" w:color="292425"/>
              <w:bottom w:val="single" w:sz="4" w:space="0" w:color="292425"/>
            </w:tcBorders>
          </w:tcPr>
          <w:p>
            <w:pPr>
              <w:pStyle w:val="TableParagraph"/>
              <w:spacing w:before="70"/>
              <w:ind w:left="806"/>
              <w:rPr>
                <w:sz w:val="16"/>
              </w:rPr>
            </w:pPr>
            <w:r>
              <w:rPr>
                <w:color w:val="292425"/>
                <w:w w:val="120"/>
                <w:sz w:val="16"/>
              </w:rPr>
              <w:t>150,964</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20"/>
                <w:sz w:val="16"/>
              </w:rPr>
              <w:t>63,505</w:t>
            </w:r>
          </w:p>
        </w:tc>
      </w:tr>
      <w:tr>
        <w:trPr>
          <w:trHeight w:val="260"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basic</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.16</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.23</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.20</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.08</w:t>
            </w:r>
          </w:p>
        </w:tc>
      </w:tr>
      <w:tr>
        <w:trPr>
          <w:trHeight w:val="253" w:hRule="exact"/>
        </w:trPr>
        <w:tc>
          <w:tcPr>
            <w:tcW w:w="3014" w:type="dxa"/>
            <w:tcBorders>
              <w:top w:val="single" w:sz="4" w:space="0" w:color="292425"/>
              <w:bottom w:val="single" w:sz="4" w:space="0" w:color="292425"/>
            </w:tcBorders>
          </w:tcPr>
          <w:p>
            <w:pPr>
              <w:pStyle w:val="TableParagraph"/>
              <w:spacing w:before="70"/>
              <w:ind w:left="32"/>
              <w:rPr>
                <w:sz w:val="16"/>
              </w:rPr>
            </w:pPr>
            <w:r>
              <w:rPr>
                <w:color w:val="292425"/>
                <w:w w:val="105"/>
                <w:sz w:val="16"/>
              </w:rPr>
              <w:t>Net income per share, diluted</w:t>
            </w:r>
          </w:p>
        </w:tc>
        <w:tc>
          <w:tcPr>
            <w:tcW w:w="1836" w:type="dxa"/>
            <w:tcBorders>
              <w:top w:val="single" w:sz="4" w:space="0" w:color="292425"/>
              <w:bottom w:val="single" w:sz="4" w:space="0" w:color="292425"/>
            </w:tcBorders>
          </w:tcPr>
          <w:p>
            <w:pPr>
              <w:pStyle w:val="TableParagraph"/>
              <w:spacing w:before="70"/>
              <w:ind w:right="551"/>
              <w:jc w:val="right"/>
              <w:rPr>
                <w:sz w:val="16"/>
              </w:rPr>
            </w:pPr>
            <w:r>
              <w:rPr>
                <w:color w:val="292425"/>
                <w:w w:val="115"/>
                <w:sz w:val="16"/>
              </w:rPr>
              <w:t>.15</w:t>
            </w:r>
          </w:p>
        </w:tc>
        <w:tc>
          <w:tcPr>
            <w:tcW w:w="1925" w:type="dxa"/>
            <w:tcBorders>
              <w:top w:val="single" w:sz="4" w:space="0" w:color="292425"/>
              <w:bottom w:val="single" w:sz="4" w:space="0" w:color="292425"/>
            </w:tcBorders>
          </w:tcPr>
          <w:p>
            <w:pPr>
              <w:pStyle w:val="TableParagraph"/>
              <w:spacing w:before="70"/>
              <w:ind w:right="485"/>
              <w:jc w:val="right"/>
              <w:rPr>
                <w:sz w:val="16"/>
              </w:rPr>
            </w:pPr>
            <w:r>
              <w:rPr>
                <w:color w:val="292425"/>
                <w:w w:val="115"/>
                <w:sz w:val="16"/>
              </w:rPr>
              <w:t>.22</w:t>
            </w:r>
          </w:p>
        </w:tc>
        <w:tc>
          <w:tcPr>
            <w:tcW w:w="2021" w:type="dxa"/>
            <w:tcBorders>
              <w:top w:val="single" w:sz="4" w:space="0" w:color="292425"/>
              <w:bottom w:val="single" w:sz="4" w:space="0" w:color="292425"/>
            </w:tcBorders>
          </w:tcPr>
          <w:p>
            <w:pPr>
              <w:pStyle w:val="TableParagraph"/>
              <w:spacing w:before="70"/>
              <w:ind w:left="1195"/>
              <w:rPr>
                <w:sz w:val="16"/>
              </w:rPr>
            </w:pPr>
            <w:r>
              <w:rPr>
                <w:color w:val="292425"/>
                <w:w w:val="120"/>
                <w:sz w:val="16"/>
              </w:rPr>
              <w:t>.19</w:t>
            </w:r>
          </w:p>
        </w:tc>
        <w:tc>
          <w:tcPr>
            <w:tcW w:w="1636" w:type="dxa"/>
            <w:tcBorders>
              <w:top w:val="single" w:sz="4" w:space="0" w:color="292425"/>
              <w:bottom w:val="single" w:sz="4" w:space="0" w:color="292425"/>
            </w:tcBorders>
          </w:tcPr>
          <w:p>
            <w:pPr>
              <w:pStyle w:val="TableParagraph"/>
              <w:spacing w:before="70"/>
              <w:ind w:right="262"/>
              <w:jc w:val="right"/>
              <w:rPr>
                <w:sz w:val="16"/>
              </w:rPr>
            </w:pPr>
            <w:r>
              <w:rPr>
                <w:color w:val="292425"/>
                <w:w w:val="115"/>
                <w:sz w:val="16"/>
              </w:rPr>
              <w:t>.08</w:t>
            </w:r>
          </w:p>
        </w:tc>
      </w:tr>
    </w:tbl>
    <w:p>
      <w:pPr>
        <w:pStyle w:val="BodyText"/>
        <w:rPr>
          <w:i/>
          <w:sz w:val="18"/>
        </w:rPr>
      </w:pPr>
    </w:p>
    <w:p>
      <w:pPr>
        <w:pStyle w:val="BodyText"/>
        <w:rPr>
          <w:i/>
          <w:sz w:val="18"/>
        </w:rPr>
      </w:pPr>
    </w:p>
    <w:p>
      <w:pPr>
        <w:pStyle w:val="BodyText"/>
        <w:spacing w:before="1"/>
        <w:rPr>
          <w:i/>
          <w:sz w:val="22"/>
        </w:rPr>
      </w:pPr>
    </w:p>
    <w:p>
      <w:pPr>
        <w:spacing w:before="0"/>
        <w:ind w:left="1127" w:right="0" w:firstLine="0"/>
        <w:jc w:val="left"/>
        <w:rPr>
          <w:i/>
          <w:sz w:val="16"/>
        </w:rPr>
      </w:pPr>
      <w:r>
        <w:rPr/>
        <w:pict>
          <v:line style="position:absolute;mso-position-horizontal-relative:page;mso-position-vertical-relative:paragraph;z-index:5128" from=".76pt,19.1147pt" to="612.0pt,19.1147pt" stroked="true" strokeweight=".5pt" strokecolor="#292425">
            <v:stroke dashstyle="solid"/>
            <w10:wrap type="none"/>
          </v:line>
        </w:pict>
      </w:r>
      <w:r>
        <w:rPr>
          <w:i/>
          <w:color w:val="292425"/>
          <w:w w:val="105"/>
          <w:sz w:val="16"/>
        </w:rPr>
        <w:t>COMMON  STOCK  PRICE  RANGES AND DIVIDENDS</w:t>
      </w:r>
    </w:p>
    <w:p>
      <w:pPr>
        <w:pStyle w:val="BodyText"/>
        <w:rPr>
          <w:i/>
          <w:sz w:val="18"/>
        </w:rPr>
      </w:pPr>
    </w:p>
    <w:p>
      <w:pPr>
        <w:pStyle w:val="BodyText"/>
        <w:rPr>
          <w:i/>
          <w:sz w:val="18"/>
        </w:rPr>
      </w:pPr>
    </w:p>
    <w:p>
      <w:pPr>
        <w:pStyle w:val="BodyText"/>
        <w:spacing w:before="3"/>
        <w:rPr>
          <w:i/>
          <w:sz w:val="19"/>
        </w:rPr>
      </w:pPr>
    </w:p>
    <w:p>
      <w:pPr>
        <w:spacing w:line="319" w:lineRule="auto" w:before="0"/>
        <w:ind w:left="1127" w:right="1131" w:firstLine="0"/>
        <w:jc w:val="left"/>
        <w:rPr>
          <w:sz w:val="16"/>
        </w:rPr>
      </w:pPr>
      <w:r>
        <w:rPr>
          <w:color w:val="292425"/>
          <w:w w:val="105"/>
          <w:sz w:val="16"/>
        </w:rPr>
        <w:t>Southwest’s common stock is listed on the New York Stock Exchange and is traded under the symbol LUV. The high and low sales prices of the common stock on the Composite Tape and the quarterly dividends per share, as adjusted for the February 2001 three-for-two stock split, were:</w:t>
      </w:r>
    </w:p>
    <w:p>
      <w:pPr>
        <w:pStyle w:val="BodyText"/>
        <w:spacing w:before="1"/>
        <w:rPr>
          <w:sz w:val="22"/>
        </w:rPr>
      </w:pPr>
    </w:p>
    <w:tbl>
      <w:tblPr>
        <w:tblW w:w="0" w:type="auto"/>
        <w:jc w:val="left"/>
        <w:tblInd w:w="1094"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775"/>
        <w:gridCol w:w="3427"/>
        <w:gridCol w:w="2088"/>
        <w:gridCol w:w="2125"/>
      </w:tblGrid>
      <w:tr>
        <w:trPr>
          <w:trHeight w:val="184" w:hRule="exact"/>
        </w:trPr>
        <w:tc>
          <w:tcPr>
            <w:tcW w:w="2775" w:type="dxa"/>
            <w:tcBorders>
              <w:bottom w:val="single" w:sz="4" w:space="0" w:color="292425"/>
            </w:tcBorders>
          </w:tcPr>
          <w:p>
            <w:pPr>
              <w:pStyle w:val="TableParagraph"/>
              <w:spacing w:line="177" w:lineRule="exact"/>
              <w:ind w:left="32"/>
              <w:rPr>
                <w:rFonts w:ascii="Franklin Gothic Medium"/>
                <w:sz w:val="16"/>
              </w:rPr>
            </w:pPr>
            <w:r>
              <w:rPr>
                <w:rFonts w:ascii="Franklin Gothic Medium"/>
                <w:color w:val="292425"/>
                <w:sz w:val="16"/>
              </w:rPr>
              <w:t>PERIOD</w:t>
            </w:r>
          </w:p>
        </w:tc>
        <w:tc>
          <w:tcPr>
            <w:tcW w:w="3427" w:type="dxa"/>
            <w:tcBorders>
              <w:bottom w:val="single" w:sz="4" w:space="0" w:color="292425"/>
            </w:tcBorders>
          </w:tcPr>
          <w:p>
            <w:pPr>
              <w:pStyle w:val="TableParagraph"/>
              <w:spacing w:line="177" w:lineRule="exact"/>
              <w:ind w:right="757"/>
              <w:jc w:val="right"/>
              <w:rPr>
                <w:rFonts w:ascii="Franklin Gothic Medium"/>
                <w:sz w:val="16"/>
              </w:rPr>
            </w:pPr>
            <w:r>
              <w:rPr>
                <w:rFonts w:ascii="Franklin Gothic Medium"/>
                <w:color w:val="292425"/>
                <w:sz w:val="16"/>
              </w:rPr>
              <w:t>DIVIDENDS</w:t>
            </w:r>
          </w:p>
        </w:tc>
        <w:tc>
          <w:tcPr>
            <w:tcW w:w="2088" w:type="dxa"/>
            <w:tcBorders>
              <w:bottom w:val="single" w:sz="4" w:space="0" w:color="292425"/>
            </w:tcBorders>
          </w:tcPr>
          <w:p>
            <w:pPr>
              <w:pStyle w:val="TableParagraph"/>
              <w:spacing w:line="177" w:lineRule="exact"/>
              <w:ind w:left="736" w:right="774"/>
              <w:jc w:val="center"/>
              <w:rPr>
                <w:rFonts w:ascii="Franklin Gothic Medium"/>
                <w:sz w:val="16"/>
              </w:rPr>
            </w:pPr>
            <w:r>
              <w:rPr>
                <w:rFonts w:ascii="Franklin Gothic Medium"/>
                <w:color w:val="292425"/>
                <w:sz w:val="16"/>
              </w:rPr>
              <w:t>HIGH</w:t>
            </w:r>
          </w:p>
        </w:tc>
        <w:tc>
          <w:tcPr>
            <w:tcW w:w="2125" w:type="dxa"/>
            <w:tcBorders>
              <w:bottom w:val="single" w:sz="4" w:space="0" w:color="292425"/>
            </w:tcBorders>
          </w:tcPr>
          <w:p>
            <w:pPr>
              <w:pStyle w:val="TableParagraph"/>
              <w:spacing w:line="177" w:lineRule="exact"/>
              <w:ind w:left="776" w:right="717"/>
              <w:jc w:val="center"/>
              <w:rPr>
                <w:rFonts w:ascii="Franklin Gothic Medium"/>
                <w:sz w:val="16"/>
              </w:rPr>
            </w:pPr>
            <w:r>
              <w:rPr>
                <w:rFonts w:ascii="Franklin Gothic Medium"/>
                <w:color w:val="292425"/>
                <w:sz w:val="16"/>
              </w:rPr>
              <w:t>LOW</w:t>
            </w:r>
          </w:p>
        </w:tc>
      </w:tr>
      <w:tr>
        <w:trPr>
          <w:trHeight w:val="520" w:hRule="exact"/>
        </w:trPr>
        <w:tc>
          <w:tcPr>
            <w:tcW w:w="2775" w:type="dxa"/>
            <w:tcBorders>
              <w:top w:val="single" w:sz="4" w:space="0" w:color="292425"/>
              <w:bottom w:val="single" w:sz="4" w:space="0" w:color="292425"/>
            </w:tcBorders>
          </w:tcPr>
          <w:p>
            <w:pPr>
              <w:pStyle w:val="TableParagraph"/>
              <w:spacing w:before="80"/>
              <w:ind w:left="32"/>
              <w:rPr>
                <w:rFonts w:ascii="Courier New"/>
                <w:b/>
                <w:sz w:val="16"/>
              </w:rPr>
            </w:pPr>
            <w:r>
              <w:rPr>
                <w:rFonts w:ascii="Courier New"/>
                <w:b/>
                <w:color w:val="292425"/>
                <w:sz w:val="16"/>
              </w:rPr>
              <w:t>2002</w:t>
            </w:r>
          </w:p>
          <w:p>
            <w:pPr>
              <w:pStyle w:val="TableParagraph"/>
              <w:spacing w:before="64"/>
              <w:ind w:left="32"/>
              <w:rPr>
                <w:rFonts w:ascii="Franklin Gothic Medium"/>
                <w:sz w:val="16"/>
              </w:rPr>
            </w:pPr>
            <w:r>
              <w:rPr>
                <w:rFonts w:ascii="Franklin Gothic Medium"/>
                <w:color w:val="292425"/>
                <w:sz w:val="16"/>
              </w:rPr>
              <w:t>1st Quarter</w:t>
            </w:r>
          </w:p>
        </w:tc>
        <w:tc>
          <w:tcPr>
            <w:tcW w:w="3427" w:type="dxa"/>
            <w:tcBorders>
              <w:top w:val="single" w:sz="4" w:space="0" w:color="292425"/>
              <w:bottom w:val="single" w:sz="4" w:space="0" w:color="292425"/>
            </w:tcBorders>
          </w:tcPr>
          <w:p>
            <w:pPr>
              <w:pStyle w:val="TableParagraph"/>
              <w:spacing w:before="4"/>
              <w:rPr>
                <w:sz w:val="26"/>
              </w:rPr>
            </w:pPr>
          </w:p>
          <w:p>
            <w:pPr>
              <w:pStyle w:val="TableParagraph"/>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4"/>
              <w:rPr>
                <w:sz w:val="26"/>
              </w:rPr>
            </w:pPr>
          </w:p>
          <w:p>
            <w:pPr>
              <w:pStyle w:val="TableParagraph"/>
              <w:ind w:left="736" w:right="775"/>
              <w:jc w:val="center"/>
              <w:rPr>
                <w:sz w:val="16"/>
              </w:rPr>
            </w:pPr>
            <w:r>
              <w:rPr>
                <w:color w:val="292425"/>
                <w:w w:val="120"/>
                <w:sz w:val="16"/>
              </w:rPr>
              <w:t>$22.00</w:t>
            </w:r>
          </w:p>
        </w:tc>
        <w:tc>
          <w:tcPr>
            <w:tcW w:w="2125" w:type="dxa"/>
            <w:tcBorders>
              <w:top w:val="single" w:sz="4" w:space="0" w:color="292425"/>
              <w:bottom w:val="single" w:sz="4" w:space="0" w:color="292425"/>
            </w:tcBorders>
          </w:tcPr>
          <w:p>
            <w:pPr>
              <w:pStyle w:val="TableParagraph"/>
              <w:spacing w:before="4"/>
              <w:rPr>
                <w:sz w:val="26"/>
              </w:rPr>
            </w:pPr>
          </w:p>
          <w:p>
            <w:pPr>
              <w:pStyle w:val="TableParagraph"/>
              <w:ind w:left="776" w:right="772"/>
              <w:jc w:val="center"/>
              <w:rPr>
                <w:sz w:val="16"/>
              </w:rPr>
            </w:pPr>
            <w:r>
              <w:rPr>
                <w:color w:val="292425"/>
                <w:w w:val="120"/>
                <w:sz w:val="16"/>
              </w:rPr>
              <w:t>$17.17</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2nd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19.35</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14.85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3rd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16.08</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10.90</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4th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16.70</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11.23</w:t>
            </w:r>
          </w:p>
        </w:tc>
      </w:tr>
      <w:tr>
        <w:trPr>
          <w:trHeight w:val="780" w:hRule="exact"/>
        </w:trPr>
        <w:tc>
          <w:tcPr>
            <w:tcW w:w="2775" w:type="dxa"/>
            <w:tcBorders>
              <w:top w:val="single" w:sz="4" w:space="0" w:color="292425"/>
              <w:bottom w:val="single" w:sz="4" w:space="0" w:color="292425"/>
            </w:tcBorders>
          </w:tcPr>
          <w:p>
            <w:pPr>
              <w:pStyle w:val="TableParagraph"/>
              <w:rPr>
                <w:sz w:val="18"/>
              </w:rPr>
            </w:pPr>
          </w:p>
          <w:p>
            <w:pPr>
              <w:pStyle w:val="TableParagraph"/>
              <w:spacing w:before="121"/>
              <w:ind w:left="32"/>
              <w:rPr>
                <w:rFonts w:ascii="Courier New"/>
                <w:b/>
                <w:sz w:val="16"/>
              </w:rPr>
            </w:pPr>
            <w:r>
              <w:rPr>
                <w:rFonts w:ascii="Courier New"/>
                <w:b/>
                <w:color w:val="292425"/>
                <w:sz w:val="16"/>
              </w:rPr>
              <w:t>2001</w:t>
            </w:r>
          </w:p>
          <w:p>
            <w:pPr>
              <w:pStyle w:val="TableParagraph"/>
              <w:spacing w:before="65"/>
              <w:ind w:left="32"/>
              <w:rPr>
                <w:rFonts w:ascii="Franklin Gothic Medium"/>
                <w:sz w:val="16"/>
              </w:rPr>
            </w:pPr>
            <w:r>
              <w:rPr>
                <w:rFonts w:ascii="Franklin Gothic Medium"/>
                <w:color w:val="292425"/>
                <w:sz w:val="16"/>
              </w:rPr>
              <w:t>1st Quarter</w:t>
            </w:r>
          </w:p>
        </w:tc>
        <w:tc>
          <w:tcPr>
            <w:tcW w:w="3427"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left="736" w:right="775"/>
              <w:jc w:val="center"/>
              <w:rPr>
                <w:sz w:val="16"/>
              </w:rPr>
            </w:pPr>
            <w:r>
              <w:rPr>
                <w:color w:val="292425"/>
                <w:w w:val="120"/>
                <w:sz w:val="16"/>
              </w:rPr>
              <w:t>$23.27</w:t>
            </w:r>
          </w:p>
        </w:tc>
        <w:tc>
          <w:tcPr>
            <w:tcW w:w="2125" w:type="dxa"/>
            <w:tcBorders>
              <w:top w:val="single" w:sz="4" w:space="0" w:color="292425"/>
              <w:bottom w:val="single" w:sz="4" w:space="0" w:color="292425"/>
            </w:tcBorders>
          </w:tcPr>
          <w:p>
            <w:pPr>
              <w:pStyle w:val="TableParagraph"/>
              <w:rPr>
                <w:sz w:val="18"/>
              </w:rPr>
            </w:pPr>
          </w:p>
          <w:p>
            <w:pPr>
              <w:pStyle w:val="TableParagraph"/>
              <w:rPr>
                <w:sz w:val="18"/>
              </w:rPr>
            </w:pPr>
          </w:p>
          <w:p>
            <w:pPr>
              <w:pStyle w:val="TableParagraph"/>
              <w:spacing w:before="142"/>
              <w:ind w:left="776" w:right="772"/>
              <w:jc w:val="center"/>
              <w:rPr>
                <w:sz w:val="16"/>
              </w:rPr>
            </w:pPr>
            <w:r>
              <w:rPr>
                <w:color w:val="292425"/>
                <w:w w:val="120"/>
                <w:sz w:val="16"/>
              </w:rPr>
              <w:t>$16.00</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2nd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20.03</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16.55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3rd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20.23</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11.25</w:t>
            </w:r>
          </w:p>
        </w:tc>
      </w:tr>
      <w:tr>
        <w:trPr>
          <w:trHeight w:val="260" w:hRule="exact"/>
        </w:trPr>
        <w:tc>
          <w:tcPr>
            <w:tcW w:w="2775" w:type="dxa"/>
            <w:tcBorders>
              <w:top w:val="single" w:sz="4" w:space="0" w:color="292425"/>
              <w:bottom w:val="single" w:sz="4" w:space="0" w:color="292425"/>
            </w:tcBorders>
          </w:tcPr>
          <w:p>
            <w:pPr>
              <w:pStyle w:val="TableParagraph"/>
              <w:spacing w:before="67"/>
              <w:ind w:left="32"/>
              <w:rPr>
                <w:rFonts w:ascii="Franklin Gothic Medium"/>
                <w:sz w:val="16"/>
              </w:rPr>
            </w:pPr>
            <w:r>
              <w:rPr>
                <w:rFonts w:ascii="Franklin Gothic Medium"/>
                <w:color w:val="292425"/>
                <w:sz w:val="16"/>
              </w:rPr>
              <w:t>4th Quarter</w:t>
            </w:r>
          </w:p>
        </w:tc>
        <w:tc>
          <w:tcPr>
            <w:tcW w:w="3427" w:type="dxa"/>
            <w:tcBorders>
              <w:top w:val="single" w:sz="4" w:space="0" w:color="292425"/>
              <w:bottom w:val="single" w:sz="4" w:space="0" w:color="292425"/>
            </w:tcBorders>
          </w:tcPr>
          <w:p>
            <w:pPr>
              <w:pStyle w:val="TableParagraph"/>
              <w:spacing w:before="61"/>
              <w:ind w:right="822"/>
              <w:jc w:val="right"/>
              <w:rPr>
                <w:sz w:val="16"/>
              </w:rPr>
            </w:pPr>
            <w:r>
              <w:rPr>
                <w:color w:val="292425"/>
                <w:w w:val="115"/>
                <w:sz w:val="16"/>
              </w:rPr>
              <w:t>0.0045</w:t>
            </w:r>
          </w:p>
        </w:tc>
        <w:tc>
          <w:tcPr>
            <w:tcW w:w="2088" w:type="dxa"/>
            <w:tcBorders>
              <w:top w:val="single" w:sz="4" w:space="0" w:color="292425"/>
              <w:bottom w:val="single" w:sz="4" w:space="0" w:color="292425"/>
            </w:tcBorders>
          </w:tcPr>
          <w:p>
            <w:pPr>
              <w:pStyle w:val="TableParagraph"/>
              <w:spacing w:before="61"/>
              <w:ind w:left="736" w:right="682"/>
              <w:jc w:val="center"/>
              <w:rPr>
                <w:sz w:val="16"/>
              </w:rPr>
            </w:pPr>
            <w:r>
              <w:rPr>
                <w:color w:val="292425"/>
                <w:w w:val="120"/>
                <w:sz w:val="16"/>
              </w:rPr>
              <w:t>20.00</w:t>
            </w:r>
          </w:p>
        </w:tc>
        <w:tc>
          <w:tcPr>
            <w:tcW w:w="2125" w:type="dxa"/>
            <w:tcBorders>
              <w:top w:val="single" w:sz="4" w:space="0" w:color="292425"/>
              <w:bottom w:val="single" w:sz="4" w:space="0" w:color="292425"/>
            </w:tcBorders>
          </w:tcPr>
          <w:p>
            <w:pPr>
              <w:pStyle w:val="TableParagraph"/>
              <w:spacing w:before="61"/>
              <w:ind w:left="776" w:right="676"/>
              <w:jc w:val="center"/>
              <w:rPr>
                <w:sz w:val="16"/>
              </w:rPr>
            </w:pPr>
            <w:r>
              <w:rPr>
                <w:color w:val="292425"/>
                <w:w w:val="120"/>
                <w:sz w:val="16"/>
              </w:rPr>
              <w:t>14.52</w:t>
            </w:r>
          </w:p>
        </w:tc>
      </w:tr>
    </w:tbl>
    <w:p>
      <w:pPr>
        <w:pStyle w:val="BodyText"/>
      </w:pPr>
    </w:p>
    <w:p>
      <w:pPr>
        <w:pStyle w:val="BodyText"/>
      </w:pPr>
    </w:p>
    <w:p>
      <w:pPr>
        <w:pStyle w:val="BodyText"/>
      </w:pPr>
    </w:p>
    <w:p>
      <w:pPr>
        <w:pStyle w:val="BodyText"/>
      </w:pPr>
    </w:p>
    <w:p>
      <w:pPr>
        <w:pStyle w:val="BodyText"/>
        <w:spacing w:before="6"/>
        <w:rPr>
          <w:sz w:val="23"/>
        </w:rPr>
      </w:pPr>
    </w:p>
    <w:p>
      <w:pPr>
        <w:pStyle w:val="BodyText"/>
        <w:tabs>
          <w:tab w:pos="5067" w:val="left" w:leader="none"/>
          <w:tab w:pos="8910" w:val="left" w:leader="none"/>
        </w:tabs>
        <w:ind w:left="1125"/>
      </w:pPr>
      <w:r>
        <w:rPr/>
        <w:pict>
          <v:shape style="width:130.75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469"/>
                  </w:tblGrid>
                  <w:tr>
                    <w:trPr>
                      <w:trHeight w:val="30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Style w:val="TableParagraph"/>
                          <w:spacing w:before="106"/>
                          <w:ind w:left="42"/>
                          <w:rPr>
                            <w:rFonts w:ascii="Arial"/>
                            <w:sz w:val="11"/>
                          </w:rPr>
                        </w:pPr>
                        <w:r>
                          <w:rPr>
                            <w:rFonts w:ascii="Arial"/>
                            <w:color w:val="292425"/>
                            <w:sz w:val="11"/>
                          </w:rPr>
                          <w:t>$5,650</w:t>
                        </w:r>
                      </w:p>
                    </w:tc>
                    <w:tc>
                      <w:tcPr>
                        <w:tcW w:w="420" w:type="dxa"/>
                        <w:tcBorders>
                          <w:left w:val="single" w:sz="4" w:space="0" w:color="C9CBCC"/>
                          <w:right w:val="single" w:sz="4" w:space="0" w:color="C9CBCC"/>
                        </w:tcBorders>
                      </w:tcPr>
                      <w:p>
                        <w:pPr>
                          <w:pStyle w:val="TableParagraph"/>
                          <w:spacing w:before="1"/>
                          <w:rPr>
                            <w:sz w:val="11"/>
                          </w:rPr>
                        </w:pPr>
                      </w:p>
                      <w:p>
                        <w:pPr>
                          <w:pStyle w:val="TableParagraph"/>
                          <w:spacing w:before="1"/>
                          <w:ind w:left="40"/>
                          <w:rPr>
                            <w:rFonts w:ascii="Arial"/>
                            <w:sz w:val="11"/>
                          </w:rPr>
                        </w:pPr>
                        <w:r>
                          <w:rPr>
                            <w:rFonts w:ascii="Arial"/>
                            <w:color w:val="292425"/>
                            <w:sz w:val="11"/>
                          </w:rPr>
                          <w:t>$5,555</w:t>
                        </w:r>
                      </w:p>
                    </w:tc>
                    <w:tc>
                      <w:tcPr>
                        <w:tcW w:w="420" w:type="dxa"/>
                        <w:tcBorders>
                          <w:left w:val="single" w:sz="4" w:space="0" w:color="C9CBCC"/>
                          <w:right w:val="single" w:sz="4" w:space="0" w:color="292425"/>
                        </w:tcBorders>
                      </w:tcPr>
                      <w:p>
                        <w:pPr>
                          <w:pStyle w:val="TableParagraph"/>
                          <w:spacing w:before="10"/>
                          <w:rPr>
                            <w:sz w:val="12"/>
                          </w:rPr>
                        </w:pPr>
                      </w:p>
                      <w:p>
                        <w:pPr>
                          <w:pStyle w:val="TableParagraph"/>
                          <w:ind w:left="33"/>
                          <w:rPr>
                            <w:rFonts w:ascii="Arial"/>
                            <w:sz w:val="11"/>
                          </w:rPr>
                        </w:pPr>
                        <w:r>
                          <w:rPr>
                            <w:rFonts w:ascii="Arial"/>
                            <w:color w:val="292425"/>
                            <w:sz w:val="11"/>
                          </w:rPr>
                          <w:t>$5,522</w:t>
                        </w:r>
                      </w:p>
                    </w:tc>
                    <w:tc>
                      <w:tcPr>
                        <w:tcW w:w="469" w:type="dxa"/>
                        <w:tcBorders>
                          <w:left w:val="single" w:sz="4" w:space="0" w:color="292425"/>
                        </w:tcBorders>
                      </w:tcPr>
                      <w:p>
                        <w:pPr>
                          <w:pStyle w:val="TableParagraph"/>
                          <w:spacing w:before="72"/>
                          <w:ind w:left="41" w:right="15"/>
                          <w:jc w:val="center"/>
                          <w:rPr>
                            <w:rFonts w:ascii="Arial"/>
                            <w:sz w:val="12"/>
                          </w:rPr>
                        </w:pPr>
                        <w:r>
                          <w:rPr>
                            <w:rFonts w:ascii="Arial"/>
                            <w:color w:val="292425"/>
                            <w:sz w:val="12"/>
                          </w:rPr>
                          <w:t>$6,000</w:t>
                        </w:r>
                      </w:p>
                    </w:tc>
                  </w:tr>
                  <w:tr>
                    <w:trPr>
                      <w:trHeight w:val="464" w:hRule="exact"/>
                    </w:trPr>
                    <w:tc>
                      <w:tcPr>
                        <w:tcW w:w="461" w:type="dxa"/>
                        <w:tcBorders>
                          <w:right w:val="single" w:sz="4" w:space="0" w:color="C9CBCC"/>
                        </w:tcBorders>
                      </w:tcPr>
                      <w:p>
                        <w:pPr>
                          <w:pStyle w:val="TableParagraph"/>
                          <w:spacing w:before="11"/>
                          <w:rPr>
                            <w:sz w:val="14"/>
                          </w:rPr>
                        </w:pPr>
                      </w:p>
                      <w:p>
                        <w:pPr>
                          <w:pStyle w:val="TableParagraph"/>
                          <w:spacing w:before="1"/>
                          <w:ind w:left="69"/>
                          <w:rPr>
                            <w:rFonts w:ascii="Arial"/>
                            <w:sz w:val="11"/>
                          </w:rPr>
                        </w:pPr>
                        <w:r>
                          <w:rPr>
                            <w:rFonts w:ascii="Arial"/>
                            <w:color w:val="292425"/>
                            <w:sz w:val="11"/>
                          </w:rPr>
                          <w:t>$4,164</w:t>
                        </w:r>
                      </w:p>
                    </w:tc>
                    <w:tc>
                      <w:tcPr>
                        <w:tcW w:w="420" w:type="dxa"/>
                        <w:tcBorders>
                          <w:left w:val="single" w:sz="4" w:space="0" w:color="C9CBCC"/>
                          <w:right w:val="single" w:sz="4" w:space="0" w:color="C9CBCC"/>
                        </w:tcBorders>
                      </w:tcPr>
                      <w:p>
                        <w:pPr>
                          <w:pStyle w:val="TableParagraph"/>
                          <w:spacing w:before="67"/>
                          <w:ind w:left="43"/>
                          <w:rPr>
                            <w:rFonts w:ascii="Arial"/>
                            <w:sz w:val="11"/>
                          </w:rPr>
                        </w:pPr>
                        <w:r>
                          <w:rPr>
                            <w:rFonts w:ascii="Arial"/>
                            <w:color w:val="292425"/>
                            <w:sz w:val="11"/>
                          </w:rPr>
                          <w:t>$4,736</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17"/>
                          <w:ind w:left="61"/>
                          <w:rPr>
                            <w:rFonts w:ascii="Arial"/>
                            <w:sz w:val="12"/>
                          </w:rPr>
                        </w:pPr>
                        <w:r>
                          <w:rPr>
                            <w:rFonts w:ascii="Arial"/>
                            <w:color w:val="292425"/>
                            <w:sz w:val="12"/>
                          </w:rPr>
                          <w:t>$5,000</w:t>
                        </w:r>
                      </w:p>
                      <w:p>
                        <w:pPr>
                          <w:pStyle w:val="TableParagraph"/>
                          <w:spacing w:before="111"/>
                          <w:ind w:left="61"/>
                          <w:rPr>
                            <w:rFonts w:ascii="Arial"/>
                            <w:sz w:val="12"/>
                          </w:rPr>
                        </w:pPr>
                        <w:r>
                          <w:rPr>
                            <w:rFonts w:ascii="Arial"/>
                            <w:color w:val="292425"/>
                            <w:sz w:val="12"/>
                          </w:rPr>
                          <w:t>$4,000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3"/>
                          <w:ind w:left="41" w:right="15"/>
                          <w:jc w:val="center"/>
                          <w:rPr>
                            <w:rFonts w:ascii="Arial"/>
                            <w:sz w:val="12"/>
                          </w:rPr>
                        </w:pPr>
                        <w:r>
                          <w:rPr>
                            <w:rFonts w:ascii="Arial"/>
                            <w:color w:val="292425"/>
                            <w:sz w:val="12"/>
                          </w:rPr>
                          <w:t>$3,000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469" w:type="dxa"/>
                        <w:tcBorders>
                          <w:left w:val="single" w:sz="4" w:space="0" w:color="292425"/>
                        </w:tcBorders>
                      </w:tcPr>
                      <w:p>
                        <w:pPr>
                          <w:pStyle w:val="TableParagraph"/>
                          <w:spacing w:before="53"/>
                          <w:ind w:left="41" w:right="15"/>
                          <w:jc w:val="center"/>
                          <w:rPr>
                            <w:rFonts w:ascii="Arial"/>
                            <w:sz w:val="12"/>
                          </w:rPr>
                        </w:pPr>
                        <w:r>
                          <w:rPr>
                            <w:rFonts w:ascii="Arial"/>
                            <w:color w:val="292425"/>
                            <w:sz w:val="12"/>
                          </w:rPr>
                          <w:t>$2,000</w:t>
                        </w:r>
                      </w:p>
                    </w:tc>
                  </w:tr>
                  <w:tr>
                    <w:trPr>
                      <w:trHeight w:val="281"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469" w:type="dxa"/>
                        <w:tcBorders>
                          <w:left w:val="single" w:sz="4" w:space="0" w:color="292425"/>
                          <w:bottom w:val="single" w:sz="4" w:space="0" w:color="292425"/>
                        </w:tcBorders>
                      </w:tcPr>
                      <w:p>
                        <w:pPr>
                          <w:pStyle w:val="TableParagraph"/>
                          <w:spacing w:before="53"/>
                          <w:ind w:left="41" w:right="15"/>
                          <w:jc w:val="center"/>
                          <w:rPr>
                            <w:rFonts w:ascii="Arial"/>
                            <w:sz w:val="12"/>
                          </w:rPr>
                        </w:pPr>
                        <w:r>
                          <w:rPr>
                            <w:rFonts w:ascii="Arial"/>
                            <w:color w:val="292425"/>
                            <w:sz w:val="12"/>
                          </w:rPr>
                          <w:t>$1,000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244"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6"/>
                          <w:ind w:left="42" w:right="21"/>
                          <w:jc w:val="center"/>
                          <w:rPr>
                            <w:rFonts w:ascii="Arial"/>
                            <w:sz w:val="12"/>
                          </w:rPr>
                        </w:pPr>
                        <w:r>
                          <w:rPr>
                            <w:rFonts w:ascii="Arial"/>
                            <w:color w:val="292425"/>
                            <w:sz w:val="12"/>
                          </w:rPr>
                          <w:t>75%</w:t>
                        </w:r>
                      </w:p>
                    </w:tc>
                  </w:tr>
                  <w:tr>
                    <w:trPr>
                      <w:trHeight w:val="529" w:hRule="exact"/>
                    </w:trPr>
                    <w:tc>
                      <w:tcPr>
                        <w:tcW w:w="461" w:type="dxa"/>
                        <w:tcBorders>
                          <w:right w:val="single" w:sz="4" w:space="0" w:color="C9CBCC"/>
                        </w:tcBorders>
                      </w:tcPr>
                      <w:p>
                        <w:pPr>
                          <w:pStyle w:val="TableParagraph"/>
                          <w:rPr>
                            <w:sz w:val="12"/>
                          </w:rPr>
                        </w:pPr>
                      </w:p>
                      <w:p>
                        <w:pPr>
                          <w:pStyle w:val="TableParagraph"/>
                          <w:spacing w:before="101"/>
                          <w:ind w:left="111"/>
                          <w:rPr>
                            <w:rFonts w:ascii="Arial"/>
                            <w:sz w:val="11"/>
                          </w:rPr>
                        </w:pPr>
                        <w:r>
                          <w:rPr>
                            <w:rFonts w:ascii="Arial"/>
                            <w:color w:val="292425"/>
                            <w:sz w:val="11"/>
                          </w:rPr>
                          <w:t>66.1%</w:t>
                        </w:r>
                      </w:p>
                    </w:tc>
                    <w:tc>
                      <w:tcPr>
                        <w:tcW w:w="420" w:type="dxa"/>
                        <w:tcBorders>
                          <w:left w:val="single" w:sz="4" w:space="0" w:color="C9CBCC"/>
                          <w:right w:val="single" w:sz="4" w:space="0" w:color="C9CBCC"/>
                        </w:tcBorders>
                      </w:tcPr>
                      <w:p>
                        <w:pPr>
                          <w:pStyle w:val="TableParagraph"/>
                          <w:spacing w:before="73"/>
                          <w:ind w:left="73"/>
                          <w:rPr>
                            <w:rFonts w:ascii="Arial"/>
                            <w:sz w:val="11"/>
                          </w:rPr>
                        </w:pPr>
                        <w:r>
                          <w:rPr>
                            <w:rFonts w:ascii="Arial"/>
                            <w:color w:val="292425"/>
                            <w:sz w:val="11"/>
                          </w:rPr>
                          <w:t>69.0%</w:t>
                        </w:r>
                      </w:p>
                    </w:tc>
                    <w:tc>
                      <w:tcPr>
                        <w:tcW w:w="420" w:type="dxa"/>
                        <w:tcBorders>
                          <w:left w:val="single" w:sz="4" w:space="0" w:color="C9CBCC"/>
                          <w:right w:val="single" w:sz="4" w:space="0" w:color="C9CBCC"/>
                        </w:tcBorders>
                      </w:tcPr>
                      <w:p>
                        <w:pPr>
                          <w:pStyle w:val="TableParagraph"/>
                          <w:spacing w:before="19"/>
                          <w:ind w:left="62"/>
                          <w:rPr>
                            <w:rFonts w:ascii="Arial"/>
                            <w:sz w:val="11"/>
                          </w:rPr>
                        </w:pPr>
                        <w:r>
                          <w:rPr>
                            <w:rFonts w:ascii="Arial"/>
                            <w:color w:val="292425"/>
                            <w:sz w:val="11"/>
                          </w:rPr>
                          <w:t>70.5%</w:t>
                        </w:r>
                      </w:p>
                    </w:tc>
                    <w:tc>
                      <w:tcPr>
                        <w:tcW w:w="420" w:type="dxa"/>
                        <w:tcBorders>
                          <w:left w:val="single" w:sz="4" w:space="0" w:color="C9CBCC"/>
                          <w:right w:val="single" w:sz="4" w:space="0" w:color="C9CBCC"/>
                        </w:tcBorders>
                      </w:tcPr>
                      <w:p>
                        <w:pPr>
                          <w:pStyle w:val="TableParagraph"/>
                          <w:spacing w:before="9"/>
                          <w:rPr>
                            <w:sz w:val="12"/>
                          </w:rPr>
                        </w:pPr>
                      </w:p>
                      <w:p>
                        <w:pPr>
                          <w:pStyle w:val="TableParagraph"/>
                          <w:spacing w:before="1"/>
                          <w:ind w:left="72"/>
                          <w:rPr>
                            <w:rFonts w:ascii="Arial"/>
                            <w:sz w:val="11"/>
                          </w:rPr>
                        </w:pPr>
                        <w:r>
                          <w:rPr>
                            <w:rFonts w:ascii="Arial"/>
                            <w:color w:val="292425"/>
                            <w:sz w:val="11"/>
                          </w:rPr>
                          <w:t>68.1%</w:t>
                        </w:r>
                      </w:p>
                    </w:tc>
                    <w:tc>
                      <w:tcPr>
                        <w:tcW w:w="420" w:type="dxa"/>
                        <w:tcBorders>
                          <w:left w:val="single" w:sz="4" w:space="0" w:color="C9CBCC"/>
                          <w:right w:val="single" w:sz="4" w:space="0" w:color="292425"/>
                        </w:tcBorders>
                      </w:tcPr>
                      <w:p>
                        <w:pPr>
                          <w:pStyle w:val="TableParagraph"/>
                          <w:rPr>
                            <w:sz w:val="12"/>
                          </w:rPr>
                        </w:pPr>
                      </w:p>
                      <w:p>
                        <w:pPr>
                          <w:pStyle w:val="TableParagraph"/>
                          <w:rPr>
                            <w:sz w:val="12"/>
                          </w:rPr>
                        </w:pPr>
                      </w:p>
                      <w:p>
                        <w:pPr>
                          <w:pStyle w:val="TableParagraph"/>
                          <w:spacing w:before="1"/>
                          <w:ind w:left="53"/>
                          <w:rPr>
                            <w:rFonts w:ascii="Arial"/>
                            <w:sz w:val="11"/>
                          </w:rPr>
                        </w:pPr>
                        <w:r>
                          <w:rPr>
                            <w:rFonts w:ascii="Arial"/>
                            <w:color w:val="292425"/>
                            <w:sz w:val="11"/>
                          </w:rPr>
                          <w:t>65.9%</w:t>
                        </w:r>
                      </w:p>
                    </w:tc>
                    <w:tc>
                      <w:tcPr>
                        <w:tcW w:w="349" w:type="dxa"/>
                        <w:tcBorders>
                          <w:left w:val="single" w:sz="4" w:space="0" w:color="292425"/>
                        </w:tcBorders>
                      </w:tcPr>
                      <w:p>
                        <w:pPr>
                          <w:pStyle w:val="TableParagraph"/>
                          <w:spacing w:before="82"/>
                          <w:ind w:left="71"/>
                          <w:rPr>
                            <w:rFonts w:ascii="Arial"/>
                            <w:sz w:val="12"/>
                          </w:rPr>
                        </w:pPr>
                        <w:r>
                          <w:rPr>
                            <w:rFonts w:ascii="Arial"/>
                            <w:color w:val="292425"/>
                            <w:sz w:val="12"/>
                          </w:rPr>
                          <w:t>70%</w:t>
                        </w:r>
                      </w:p>
                      <w:p>
                        <w:pPr>
                          <w:pStyle w:val="TableParagraph"/>
                          <w:spacing w:before="112"/>
                          <w:ind w:left="71"/>
                          <w:rPr>
                            <w:rFonts w:ascii="Arial"/>
                            <w:sz w:val="12"/>
                          </w:rPr>
                        </w:pPr>
                        <w:r>
                          <w:rPr>
                            <w:rFonts w:ascii="Arial"/>
                            <w:color w:val="292425"/>
                            <w:sz w:val="12"/>
                          </w:rPr>
                          <w:t>65%</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53"/>
                          <w:ind w:left="42" w:right="21"/>
                          <w:jc w:val="center"/>
                          <w:rPr>
                            <w:rFonts w:ascii="Arial"/>
                            <w:sz w:val="12"/>
                          </w:rPr>
                        </w:pPr>
                        <w:r>
                          <w:rPr>
                            <w:rFonts w:ascii="Arial"/>
                            <w:color w:val="292425"/>
                            <w:sz w:val="12"/>
                          </w:rPr>
                          <w:t>60%</w:t>
                        </w:r>
                      </w:p>
                    </w:tc>
                  </w:tr>
                  <w:tr>
                    <w:trPr>
                      <w:trHeight w:val="25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53"/>
                          <w:ind w:left="42" w:right="21"/>
                          <w:jc w:val="center"/>
                          <w:rPr>
                            <w:rFonts w:ascii="Arial"/>
                            <w:sz w:val="12"/>
                          </w:rPr>
                        </w:pPr>
                        <w:r>
                          <w:rPr>
                            <w:rFonts w:ascii="Arial"/>
                            <w:color w:val="292425"/>
                            <w:sz w:val="12"/>
                          </w:rPr>
                          <w:t>55%</w:t>
                        </w:r>
                      </w:p>
                    </w:tc>
                  </w:tr>
                  <w:tr>
                    <w:trPr>
                      <w:trHeight w:val="277"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53"/>
                          <w:ind w:left="42" w:right="21"/>
                          <w:jc w:val="center"/>
                          <w:rPr>
                            <w:rFonts w:ascii="Arial"/>
                            <w:sz w:val="12"/>
                          </w:rPr>
                        </w:pPr>
                        <w:r>
                          <w:rPr>
                            <w:rFonts w:ascii="Arial"/>
                            <w:color w:val="292425"/>
                            <w:sz w:val="12"/>
                          </w:rPr>
                          <w:t>50%</w:t>
                        </w:r>
                      </w:p>
                    </w:tc>
                  </w:tr>
                </w:tbl>
                <w:p>
                  <w:pPr>
                    <w:pStyle w:val="BodyText"/>
                  </w:pPr>
                </w:p>
              </w:txbxContent>
            </v:textbox>
          </v:shape>
        </w:pict>
      </w:r>
      <w:r>
        <w:rPr/>
      </w:r>
      <w:r>
        <w:rPr/>
        <w:tab/>
      </w:r>
      <w:r>
        <w:rPr/>
        <w:pict>
          <v:shape style="width:125.3pt;height:77.8pt;mso-position-horizontal-relative:char;mso-position-vertical-relative:line" type="#_x0000_t202" filled="false" stroked="false">
            <w10:anchorlock/>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61"/>
                    <w:gridCol w:w="420"/>
                    <w:gridCol w:w="420"/>
                    <w:gridCol w:w="420"/>
                    <w:gridCol w:w="420"/>
                    <w:gridCol w:w="349"/>
                  </w:tblGrid>
                  <w:tr>
                    <w:trPr>
                      <w:trHeight w:val="595"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Style w:val="TableParagraph"/>
                          <w:rPr>
                            <w:sz w:val="12"/>
                          </w:rPr>
                        </w:pPr>
                      </w:p>
                      <w:p>
                        <w:pPr>
                          <w:pStyle w:val="TableParagraph"/>
                          <w:rPr>
                            <w:sz w:val="12"/>
                          </w:rPr>
                        </w:pPr>
                      </w:p>
                      <w:p>
                        <w:pPr>
                          <w:pStyle w:val="TableParagraph"/>
                          <w:spacing w:before="5"/>
                          <w:rPr>
                            <w:sz w:val="13"/>
                          </w:rPr>
                        </w:pPr>
                      </w:p>
                      <w:p>
                        <w:pPr>
                          <w:pStyle w:val="TableParagraph"/>
                          <w:ind w:left="54"/>
                          <w:rPr>
                            <w:rFonts w:ascii="Arial"/>
                            <w:sz w:val="11"/>
                          </w:rPr>
                        </w:pPr>
                        <w:r>
                          <w:rPr>
                            <w:rFonts w:ascii="Arial"/>
                            <w:color w:val="292425"/>
                            <w:sz w:val="11"/>
                          </w:rPr>
                          <w:t>36,479</w:t>
                        </w:r>
                      </w:p>
                    </w:tc>
                    <w:tc>
                      <w:tcPr>
                        <w:tcW w:w="420" w:type="dxa"/>
                        <w:tcBorders>
                          <w:left w:val="single" w:sz="4" w:space="0" w:color="C9CBCC"/>
                          <w:right w:val="single" w:sz="4" w:space="0" w:color="C9CBCC"/>
                        </w:tcBorders>
                      </w:tcPr>
                      <w:p>
                        <w:pPr>
                          <w:pStyle w:val="TableParagraph"/>
                          <w:rPr>
                            <w:sz w:val="12"/>
                          </w:rPr>
                        </w:pPr>
                      </w:p>
                      <w:p>
                        <w:pPr>
                          <w:pStyle w:val="TableParagraph"/>
                          <w:spacing w:before="10"/>
                          <w:rPr>
                            <w:sz w:val="10"/>
                          </w:rPr>
                        </w:pPr>
                      </w:p>
                      <w:p>
                        <w:pPr>
                          <w:pStyle w:val="TableParagraph"/>
                          <w:ind w:left="51"/>
                          <w:rPr>
                            <w:rFonts w:ascii="Arial"/>
                            <w:sz w:val="11"/>
                          </w:rPr>
                        </w:pPr>
                        <w:r>
                          <w:rPr>
                            <w:rFonts w:ascii="Arial"/>
                            <w:color w:val="292425"/>
                            <w:sz w:val="11"/>
                          </w:rPr>
                          <w:t>42,215</w:t>
                        </w:r>
                      </w:p>
                    </w:tc>
                    <w:tc>
                      <w:tcPr>
                        <w:tcW w:w="420" w:type="dxa"/>
                        <w:tcBorders>
                          <w:left w:val="single" w:sz="4" w:space="0" w:color="C9CBCC"/>
                          <w:right w:val="single" w:sz="4" w:space="0" w:color="C9CBCC"/>
                        </w:tcBorders>
                      </w:tcPr>
                      <w:p>
                        <w:pPr>
                          <w:pStyle w:val="TableParagraph"/>
                          <w:rPr>
                            <w:sz w:val="12"/>
                          </w:rPr>
                        </w:pPr>
                      </w:p>
                      <w:p>
                        <w:pPr>
                          <w:pStyle w:val="TableParagraph"/>
                          <w:spacing w:before="76"/>
                          <w:ind w:left="49"/>
                          <w:rPr>
                            <w:rFonts w:ascii="Arial"/>
                            <w:sz w:val="11"/>
                          </w:rPr>
                        </w:pPr>
                        <w:r>
                          <w:rPr>
                            <w:rFonts w:ascii="Arial"/>
                            <w:color w:val="292425"/>
                            <w:sz w:val="11"/>
                          </w:rPr>
                          <w:t>44,494</w:t>
                        </w:r>
                      </w:p>
                    </w:tc>
                    <w:tc>
                      <w:tcPr>
                        <w:tcW w:w="420" w:type="dxa"/>
                        <w:tcBorders>
                          <w:left w:val="single" w:sz="4" w:space="0" w:color="C9CBCC"/>
                          <w:right w:val="single" w:sz="4" w:space="0" w:color="292425"/>
                        </w:tcBorders>
                      </w:tcPr>
                      <w:p>
                        <w:pPr>
                          <w:pStyle w:val="TableParagraph"/>
                          <w:spacing w:before="3"/>
                          <w:rPr>
                            <w:sz w:val="11"/>
                          </w:rPr>
                        </w:pPr>
                      </w:p>
                      <w:p>
                        <w:pPr>
                          <w:pStyle w:val="TableParagraph"/>
                          <w:spacing w:before="1"/>
                          <w:ind w:left="40"/>
                          <w:rPr>
                            <w:rFonts w:ascii="Arial"/>
                            <w:sz w:val="11"/>
                          </w:rPr>
                        </w:pPr>
                        <w:r>
                          <w:rPr>
                            <w:rFonts w:ascii="Arial"/>
                            <w:color w:val="292425"/>
                            <w:sz w:val="11"/>
                          </w:rPr>
                          <w:t>45,392</w:t>
                        </w:r>
                      </w:p>
                    </w:tc>
                    <w:tc>
                      <w:tcPr>
                        <w:tcW w:w="349" w:type="dxa"/>
                        <w:tcBorders>
                          <w:left w:val="single" w:sz="4" w:space="0" w:color="292425"/>
                        </w:tcBorders>
                      </w:tcPr>
                      <w:p>
                        <w:pPr>
                          <w:pStyle w:val="TableParagraph"/>
                          <w:spacing w:before="45"/>
                          <w:ind w:left="91"/>
                          <w:rPr>
                            <w:rFonts w:ascii="Arial"/>
                            <w:sz w:val="12"/>
                          </w:rPr>
                        </w:pPr>
                        <w:r>
                          <w:rPr>
                            <w:rFonts w:ascii="Arial"/>
                            <w:color w:val="292425"/>
                            <w:sz w:val="12"/>
                          </w:rPr>
                          <w:t>50</w:t>
                        </w:r>
                      </w:p>
                      <w:p>
                        <w:pPr>
                          <w:pStyle w:val="TableParagraph"/>
                          <w:spacing w:before="3"/>
                          <w:rPr>
                            <w:sz w:val="13"/>
                          </w:rPr>
                        </w:pPr>
                      </w:p>
                      <w:p>
                        <w:pPr>
                          <w:pStyle w:val="TableParagraph"/>
                          <w:ind w:left="91"/>
                          <w:rPr>
                            <w:rFonts w:ascii="Arial"/>
                            <w:sz w:val="12"/>
                          </w:rPr>
                        </w:pPr>
                        <w:r>
                          <w:rPr>
                            <w:rFonts w:ascii="Arial"/>
                            <w:color w:val="292425"/>
                            <w:sz w:val="12"/>
                          </w:rPr>
                          <w:t>40</w:t>
                        </w:r>
                      </w:p>
                    </w:tc>
                  </w:tr>
                  <w:tr>
                    <w:trPr>
                      <w:trHeight w:val="271" w:hRule="exact"/>
                    </w:trPr>
                    <w:tc>
                      <w:tcPr>
                        <w:tcW w:w="461" w:type="dxa"/>
                        <w:tcBorders>
                          <w:right w:val="single" w:sz="4" w:space="0" w:color="C9CBCC"/>
                        </w:tcBorders>
                      </w:tcPr>
                      <w:p>
                        <w:pPr>
                          <w:pStyle w:val="TableParagraph"/>
                          <w:spacing w:before="3"/>
                          <w:ind w:left="78"/>
                          <w:rPr>
                            <w:rFonts w:ascii="Arial"/>
                            <w:sz w:val="11"/>
                          </w:rPr>
                        </w:pPr>
                        <w:r>
                          <w:rPr>
                            <w:rFonts w:ascii="Arial"/>
                            <w:color w:val="292425"/>
                            <w:sz w:val="11"/>
                          </w:rPr>
                          <w:t>31,419</w:t>
                        </w: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49"/>
                          <w:ind w:left="91"/>
                          <w:rPr>
                            <w:rFonts w:ascii="Arial"/>
                            <w:sz w:val="12"/>
                          </w:rPr>
                        </w:pPr>
                        <w:r>
                          <w:rPr>
                            <w:rFonts w:ascii="Arial"/>
                            <w:color w:val="292425"/>
                            <w:sz w:val="12"/>
                          </w:rPr>
                          <w:t>30</w:t>
                        </w:r>
                      </w:p>
                    </w:tc>
                  </w:tr>
                  <w:tr>
                    <w:trPr>
                      <w:trHeight w:val="300" w:hRule="exact"/>
                    </w:trPr>
                    <w:tc>
                      <w:tcPr>
                        <w:tcW w:w="461" w:type="dxa"/>
                        <w:tcBorders>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C9CBCC"/>
                        </w:tcBorders>
                      </w:tcPr>
                      <w:p>
                        <w:pPr/>
                      </w:p>
                    </w:tc>
                    <w:tc>
                      <w:tcPr>
                        <w:tcW w:w="420" w:type="dxa"/>
                        <w:tcBorders>
                          <w:left w:val="single" w:sz="4" w:space="0" w:color="C9CBCC"/>
                          <w:right w:val="single" w:sz="4" w:space="0" w:color="292425"/>
                        </w:tcBorders>
                      </w:tcPr>
                      <w:p>
                        <w:pPr/>
                      </w:p>
                    </w:tc>
                    <w:tc>
                      <w:tcPr>
                        <w:tcW w:w="349" w:type="dxa"/>
                        <w:tcBorders>
                          <w:left w:val="single" w:sz="4" w:space="0" w:color="292425"/>
                        </w:tcBorders>
                      </w:tcPr>
                      <w:p>
                        <w:pPr>
                          <w:pStyle w:val="TableParagraph"/>
                          <w:spacing w:before="78"/>
                          <w:ind w:left="91"/>
                          <w:rPr>
                            <w:rFonts w:ascii="Arial"/>
                            <w:sz w:val="12"/>
                          </w:rPr>
                        </w:pPr>
                        <w:r>
                          <w:rPr>
                            <w:rFonts w:ascii="Arial"/>
                            <w:color w:val="292425"/>
                            <w:sz w:val="12"/>
                          </w:rPr>
                          <w:t>20</w:t>
                        </w:r>
                      </w:p>
                    </w:tc>
                  </w:tr>
                  <w:tr>
                    <w:trPr>
                      <w:trHeight w:val="384" w:hRule="exact"/>
                    </w:trPr>
                    <w:tc>
                      <w:tcPr>
                        <w:tcW w:w="461" w:type="dxa"/>
                        <w:tcBorders>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C9CBCC"/>
                        </w:tcBorders>
                      </w:tcPr>
                      <w:p>
                        <w:pPr/>
                      </w:p>
                    </w:tc>
                    <w:tc>
                      <w:tcPr>
                        <w:tcW w:w="420" w:type="dxa"/>
                        <w:tcBorders>
                          <w:left w:val="single" w:sz="4" w:space="0" w:color="C9CBCC"/>
                          <w:bottom w:val="single" w:sz="4" w:space="0" w:color="292425"/>
                          <w:right w:val="single" w:sz="4" w:space="0" w:color="292425"/>
                        </w:tcBorders>
                      </w:tcPr>
                      <w:p>
                        <w:pPr/>
                      </w:p>
                    </w:tc>
                    <w:tc>
                      <w:tcPr>
                        <w:tcW w:w="349" w:type="dxa"/>
                        <w:tcBorders>
                          <w:left w:val="single" w:sz="4" w:space="0" w:color="292425"/>
                          <w:bottom w:val="single" w:sz="4" w:space="0" w:color="292425"/>
                        </w:tcBorders>
                      </w:tcPr>
                      <w:p>
                        <w:pPr>
                          <w:pStyle w:val="TableParagraph"/>
                          <w:spacing w:before="78"/>
                          <w:ind w:left="91"/>
                          <w:rPr>
                            <w:rFonts w:ascii="Arial"/>
                            <w:sz w:val="12"/>
                          </w:rPr>
                        </w:pPr>
                        <w:r>
                          <w:rPr>
                            <w:rFonts w:ascii="Arial"/>
                            <w:color w:val="292425"/>
                            <w:sz w:val="12"/>
                          </w:rPr>
                          <w:t>10</w:t>
                        </w:r>
                      </w:p>
                    </w:tc>
                  </w:tr>
                </w:tbl>
                <w:p>
                  <w:pPr>
                    <w:pStyle w:val="BodyText"/>
                  </w:pPr>
                </w:p>
              </w:txbxContent>
            </v:textbox>
          </v:shape>
        </w:pict>
      </w:r>
      <w:r>
        <w:rPr/>
      </w:r>
    </w:p>
    <w:p>
      <w:pPr>
        <w:spacing w:after="0"/>
        <w:sectPr>
          <w:headerReference w:type="default" r:id="rId45"/>
          <w:pgSz w:w="12240" w:h="15840"/>
          <w:pgMar w:header="0" w:footer="0" w:top="360" w:bottom="280" w:left="0" w:right="0"/>
        </w:sectPr>
      </w:pPr>
    </w:p>
    <w:p>
      <w:pPr>
        <w:spacing w:before="27"/>
        <w:ind w:left="1224" w:right="0" w:firstLine="0"/>
        <w:jc w:val="left"/>
        <w:rPr>
          <w:rFonts w:ascii="Arial"/>
          <w:sz w:val="12"/>
        </w:rPr>
      </w:pPr>
      <w:r>
        <w:rPr/>
        <w:pict>
          <v:rect style="position:absolute;margin-left:64.601997pt;margin-top:-44.686069pt;width:7.281pt;height:44.308pt;mso-position-horizontal-relative:page;mso-position-vertical-relative:paragraph;z-index:-278224" filled="true" fillcolor="#4d82c2" stroked="false">
            <v:fill type="solid"/>
            <w10:wrap type="none"/>
          </v:rect>
        </w:pict>
      </w:r>
      <w:r>
        <w:rPr/>
        <w:pict>
          <v:rect style="position:absolute;margin-left:86.666pt;margin-top:-50.888069pt;width:7.279pt;height:50.797pt;mso-position-horizontal-relative:page;mso-position-vertical-relative:paragraph;z-index:-278200" filled="true" fillcolor="#4d82c2" stroked="false">
            <v:fill type="solid"/>
            <w10:wrap type="none"/>
          </v:rect>
        </w:pict>
      </w:r>
      <w:r>
        <w:rPr/>
        <w:pict>
          <v:rect style="position:absolute;margin-left:107.323997pt;margin-top:-63.816071pt;width:7.277pt;height:63.511pt;mso-position-horizontal-relative:page;mso-position-vertical-relative:paragraph;z-index:-278176" filled="true" fillcolor="#4d82c2" stroked="false">
            <v:fill type="solid"/>
            <w10:wrap type="none"/>
          </v:rect>
        </w:pict>
      </w:r>
      <w:r>
        <w:rPr/>
        <w:pict>
          <v:rect style="position:absolute;margin-left:128.962997pt;margin-top:-62.646069pt;width:7.279pt;height:62.268pt;mso-position-horizontal-relative:page;mso-position-vertical-relative:paragraph;z-index:-278152" filled="true" fillcolor="#4d82c2" stroked="false">
            <v:fill type="solid"/>
            <w10:wrap type="none"/>
          </v:rect>
        </w:pict>
      </w:r>
      <w:r>
        <w:rPr/>
        <w:pict>
          <v:rect style="position:absolute;margin-left:149.056pt;margin-top:-60.610069pt;width:7.28pt;height:60.232pt;mso-position-horizontal-relative:page;mso-position-vertical-relative:paragraph;z-index:-278128" filled="true" fillcolor="#4d82c2" stroked="false">
            <v:fill type="solid"/>
            <w10:wrap type="none"/>
          </v:rect>
        </w:pict>
      </w:r>
      <w:r>
        <w:rPr/>
        <w:pict>
          <v:line style="position:absolute;mso-position-horizontal-relative:page;mso-position-vertical-relative:paragraph;z-index:-278104" from="142.576004pt,7.699933pt" to="142.576004pt,-77.795067pt" stroked="true" strokeweight=".552pt" strokecolor="#c9cbcc">
            <v:stroke dashstyle="solid"/>
            <w10:wrap type="none"/>
          </v:line>
        </w:pict>
      </w:r>
      <w:r>
        <w:rPr/>
        <w:pict>
          <v:line style="position:absolute;mso-position-horizontal-relative:page;mso-position-vertical-relative:paragraph;z-index:-278080" from="121.585999pt,7.699933pt" to="121.585999pt,-77.795067pt" stroked="true" strokeweight=".552pt" strokecolor="#c9cbcc">
            <v:stroke dashstyle="solid"/>
            <w10:wrap type="none"/>
          </v:line>
        </w:pict>
      </w:r>
      <w:r>
        <w:rPr/>
        <w:pict>
          <v:line style="position:absolute;mso-position-horizontal-relative:page;mso-position-vertical-relative:paragraph;z-index:-278056" from="100.596001pt,7.699933pt" to="100.596001pt,-77.795067pt" stroked="true" strokeweight=".552pt" strokecolor="#c9cbcc">
            <v:stroke dashstyle="solid"/>
            <w10:wrap type="none"/>
          </v:line>
        </w:pict>
      </w:r>
      <w:r>
        <w:rPr/>
        <w:pict>
          <v:line style="position:absolute;mso-position-horizontal-relative:page;mso-position-vertical-relative:paragraph;z-index:-278032" from="79.606003pt,7.699933pt" to="79.606003pt,-77.795067pt" stroked="true" strokeweight=".552pt" strokecolor="#c9cbcc">
            <v:stroke dashstyle="solid"/>
            <w10:wrap type="none"/>
          </v:line>
        </w:pict>
      </w:r>
      <w:r>
        <w:rPr/>
        <w:pict>
          <v:line style="position:absolute;mso-position-horizontal-relative:page;mso-position-vertical-relative:paragraph;z-index:-278008" from="163.565994pt,7.699933pt" to="163.565994pt,-77.795067pt" stroked="true" strokeweight=".552pt" strokecolor="#292425">
            <v:stroke dashstyle="solid"/>
            <w10:wrap type="none"/>
          </v:line>
        </w:pict>
      </w:r>
      <w:r>
        <w:rPr/>
        <w:pict>
          <v:rect style="position:absolute;margin-left:261.67099pt;margin-top:-45.183071pt;width:7.282pt;height:44.715pt;mso-position-horizontal-relative:page;mso-position-vertical-relative:paragraph;z-index:-277984" filled="true" fillcolor="#4d82c2" stroked="false">
            <v:fill type="solid"/>
            <w10:wrap type="none"/>
          </v:rect>
        </w:pict>
      </w:r>
      <w:r>
        <w:rPr/>
        <w:pict>
          <v:rect style="position:absolute;margin-left:283.735992pt;margin-top:-54.31007pt;width:7.279pt;height:54.129pt;mso-position-horizontal-relative:page;mso-position-vertical-relative:paragraph;z-index:-277960" filled="true" fillcolor="#4d82c2" stroked="false">
            <v:fill type="solid"/>
            <w10:wrap type="none"/>
          </v:rect>
        </w:pict>
      </w:r>
      <w:r>
        <w:rPr/>
        <w:pict>
          <v:rect style="position:absolute;margin-left:304.394012pt;margin-top:-56.638069pt;width:7.277pt;height:56.243pt;mso-position-horizontal-relative:page;mso-position-vertical-relative:paragraph;z-index:-277936" filled="true" fillcolor="#4d82c2" stroked="false">
            <v:fill type="solid"/>
            <w10:wrap type="none"/>
          </v:rect>
        </w:pict>
      </w:r>
      <w:r>
        <w:rPr/>
        <w:pict>
          <v:rect style="position:absolute;margin-left:326.032013pt;margin-top:-49.153069pt;width:7.28pt;height:48.685pt;mso-position-horizontal-relative:page;mso-position-vertical-relative:paragraph;z-index:-277912" filled="true" fillcolor="#4d82c2" stroked="false">
            <v:fill type="solid"/>
            <w10:wrap type="none"/>
          </v:rect>
        </w:pict>
      </w:r>
      <w:r>
        <w:rPr/>
        <w:pict>
          <v:rect style="position:absolute;margin-left:346.126007pt;margin-top:-43.27607pt;width:7.279pt;height:42.808pt;mso-position-horizontal-relative:page;mso-position-vertical-relative:paragraph;z-index:-277888" filled="true" fillcolor="#4d82c2" stroked="false">
            <v:fill type="solid"/>
            <w10:wrap type="none"/>
          </v:rect>
        </w:pict>
      </w:r>
      <w:r>
        <w:rPr/>
        <w:pict>
          <v:rect style="position:absolute;margin-left:453.821014pt;margin-top:-39.718071pt;width:7.281pt;height:39.19pt;mso-position-horizontal-relative:page;mso-position-vertical-relative:paragraph;z-index:-277744" filled="true" fillcolor="#4d82c2" stroked="false">
            <v:fill type="solid"/>
            <w10:wrap type="none"/>
          </v:rect>
        </w:pict>
      </w:r>
      <w:r>
        <w:rPr/>
        <w:pict>
          <v:rect style="position:absolute;margin-left:475.88501pt;margin-top:-47.413071pt;width:7.28pt;height:47.172pt;mso-position-horizontal-relative:page;mso-position-vertical-relative:paragraph;z-index:-277720" filled="true" fillcolor="#4d82c2" stroked="false">
            <v:fill type="solid"/>
            <w10:wrap type="none"/>
          </v:rect>
        </w:pict>
      </w:r>
      <w:r>
        <w:rPr/>
        <w:pict>
          <v:rect style="position:absolute;margin-left:496.544006pt;margin-top:-55.471069pt;width:7.277pt;height:55.016pt;mso-position-horizontal-relative:page;mso-position-vertical-relative:paragraph;z-index:-277696" filled="true" fillcolor="#4d82c2" stroked="false">
            <v:fill type="solid"/>
            <w10:wrap type="none"/>
          </v:rect>
        </w:pict>
      </w:r>
      <w:r>
        <w:rPr/>
        <w:pict>
          <v:rect style="position:absolute;margin-left:518.182007pt;margin-top:-58.71207pt;width:7.28pt;height:58.184pt;mso-position-horizontal-relative:page;mso-position-vertical-relative:paragraph;z-index:-277672" filled="true" fillcolor="#4d82c2" stroked="false">
            <v:fill type="solid"/>
            <w10:wrap type="none"/>
          </v:rect>
        </w:pict>
      </w:r>
      <w:r>
        <w:rPr/>
        <w:pict>
          <v:rect style="position:absolute;margin-left:538.275024pt;margin-top:-62.38607pt;width:7.279pt;height:61.858pt;mso-position-horizontal-relative:page;mso-position-vertical-relative:paragraph;z-index:-277648" filled="true" fillcolor="#4d82c2" stroked="false">
            <v:fill type="solid"/>
            <w10:wrap type="none"/>
          </v:rect>
        </w:pict>
      </w:r>
      <w:r>
        <w:rPr>
          <w:rFonts w:ascii="Arial"/>
          <w:color w:val="292425"/>
          <w:sz w:val="12"/>
        </w:rPr>
        <w:t>1998     1999    2000     2001    2002</w:t>
      </w:r>
    </w:p>
    <w:p>
      <w:pPr>
        <w:spacing w:before="117"/>
        <w:ind w:left="1137" w:right="0" w:firstLine="0"/>
        <w:jc w:val="left"/>
        <w:rPr>
          <w:i/>
          <w:sz w:val="12"/>
        </w:rPr>
      </w:pPr>
      <w:r>
        <w:rPr>
          <w:rFonts w:ascii="Franklin Gothic Medium"/>
          <w:color w:val="292425"/>
          <w:sz w:val="14"/>
        </w:rPr>
        <w:t>Operating  Revenue  </w:t>
      </w:r>
      <w:r>
        <w:rPr>
          <w:i/>
          <w:color w:val="292425"/>
          <w:sz w:val="12"/>
        </w:rPr>
        <w:t>(in millions)</w:t>
      </w:r>
    </w:p>
    <w:p>
      <w:pPr>
        <w:spacing w:before="25"/>
        <w:ind w:left="1217" w:right="0" w:firstLine="0"/>
        <w:jc w:val="left"/>
        <w:rPr>
          <w:rFonts w:ascii="Arial"/>
          <w:sz w:val="12"/>
        </w:rPr>
      </w:pPr>
      <w:r>
        <w:rPr/>
        <w:br w:type="column"/>
      </w:r>
      <w:r>
        <w:rPr>
          <w:rFonts w:ascii="Arial"/>
          <w:color w:val="292425"/>
          <w:sz w:val="12"/>
        </w:rPr>
        <w:t>1998     1999    2000     2001    2002</w:t>
      </w:r>
    </w:p>
    <w:p>
      <w:pPr>
        <w:spacing w:before="117"/>
        <w:ind w:left="1137" w:right="0" w:firstLine="0"/>
        <w:jc w:val="left"/>
        <w:rPr>
          <w:rFonts w:ascii="Franklin Gothic Medium"/>
          <w:sz w:val="14"/>
        </w:rPr>
      </w:pPr>
      <w:r>
        <w:rPr/>
        <w:pict>
          <v:line style="position:absolute;mso-position-horizontal-relative:page;mso-position-vertical-relative:paragraph;z-index:-277864" from="339.645996pt,-.592471pt" to="339.645996pt,-86.087471pt" stroked="true" strokeweight=".552pt" strokecolor="#c9cbcc">
            <v:stroke dashstyle="solid"/>
            <w10:wrap type="none"/>
          </v:line>
        </w:pict>
      </w:r>
      <w:r>
        <w:rPr/>
        <w:pict>
          <v:line style="position:absolute;mso-position-horizontal-relative:page;mso-position-vertical-relative:paragraph;z-index:-277840" from="318.654999pt,-.592471pt" to="318.654999pt,-86.087471pt" stroked="true" strokeweight=".552pt" strokecolor="#c9cbcc">
            <v:stroke dashstyle="solid"/>
            <w10:wrap type="none"/>
          </v:line>
        </w:pict>
      </w:r>
      <w:r>
        <w:rPr/>
        <w:pict>
          <v:line style="position:absolute;mso-position-horizontal-relative:page;mso-position-vertical-relative:paragraph;z-index:-277816" from="297.665985pt,-.592471pt" to="297.665985pt,-86.087471pt" stroked="true" strokeweight=".552pt" strokecolor="#c9cbcc">
            <v:stroke dashstyle="solid"/>
            <w10:wrap type="none"/>
          </v:line>
        </w:pict>
      </w:r>
      <w:r>
        <w:rPr/>
        <w:pict>
          <v:line style="position:absolute;mso-position-horizontal-relative:page;mso-position-vertical-relative:paragraph;z-index:-277792" from="276.674988pt,-.592471pt" to="276.674988pt,-86.087471pt" stroked="true" strokeweight=".552pt" strokecolor="#c9cbcc">
            <v:stroke dashstyle="solid"/>
            <w10:wrap type="none"/>
          </v:line>
        </w:pict>
      </w:r>
      <w:r>
        <w:rPr>
          <w:rFonts w:ascii="Franklin Gothic Medium"/>
          <w:color w:val="292425"/>
          <w:sz w:val="14"/>
        </w:rPr>
        <w:t>Passenger Load Factor</w:t>
      </w:r>
    </w:p>
    <w:p>
      <w:pPr>
        <w:spacing w:before="24"/>
        <w:ind w:left="1222" w:right="0" w:firstLine="0"/>
        <w:jc w:val="left"/>
        <w:rPr>
          <w:rFonts w:ascii="Arial"/>
          <w:sz w:val="12"/>
        </w:rPr>
      </w:pPr>
      <w:r>
        <w:rPr/>
        <w:br w:type="column"/>
      </w:r>
      <w:r>
        <w:rPr>
          <w:rFonts w:ascii="Arial"/>
          <w:color w:val="292425"/>
          <w:sz w:val="12"/>
        </w:rPr>
        <w:t>1998     1999    2000     2001    2002</w:t>
      </w:r>
    </w:p>
    <w:p>
      <w:pPr>
        <w:spacing w:before="118"/>
        <w:ind w:left="1137" w:right="0" w:firstLine="0"/>
        <w:jc w:val="left"/>
        <w:rPr>
          <w:rFonts w:ascii="Franklin Gothic Medium"/>
          <w:sz w:val="14"/>
        </w:rPr>
      </w:pPr>
      <w:r>
        <w:rPr/>
        <w:pict>
          <v:line style="position:absolute;mso-position-horizontal-relative:page;mso-position-vertical-relative:paragraph;z-index:-277768" from="360.635986pt,-.475169pt" to="360.635986pt,-85.970169pt" stroked="true" strokeweight=".552pt" strokecolor="#292425">
            <v:stroke dashstyle="solid"/>
            <w10:wrap type="none"/>
          </v:line>
        </w:pict>
      </w:r>
      <w:r>
        <w:rPr/>
        <w:pict>
          <v:line style="position:absolute;mso-position-horizontal-relative:page;mso-position-vertical-relative:paragraph;z-index:-277624" from="531.796021pt,-.535174pt" to="531.796021pt,-86.030174pt" stroked="true" strokeweight=".552pt" strokecolor="#c9cbcc">
            <v:stroke dashstyle="solid"/>
            <w10:wrap type="none"/>
          </v:line>
        </w:pict>
      </w:r>
      <w:r>
        <w:rPr/>
        <w:pict>
          <v:line style="position:absolute;mso-position-horizontal-relative:page;mso-position-vertical-relative:paragraph;z-index:-277600" from="510.804993pt,-.535174pt" to="510.804993pt,-86.030174pt" stroked="true" strokeweight=".552pt" strokecolor="#c9cbcc">
            <v:stroke dashstyle="solid"/>
            <w10:wrap type="none"/>
          </v:line>
        </w:pict>
      </w:r>
      <w:r>
        <w:rPr/>
        <w:pict>
          <v:line style="position:absolute;mso-position-horizontal-relative:page;mso-position-vertical-relative:paragraph;z-index:-277576" from="489.815002pt,-.535174pt" to="489.815002pt,-86.030174pt" stroked="true" strokeweight=".552pt" strokecolor="#c9cbcc">
            <v:stroke dashstyle="solid"/>
            <w10:wrap type="none"/>
          </v:line>
        </w:pict>
      </w:r>
      <w:r>
        <w:rPr/>
        <w:pict>
          <v:line style="position:absolute;mso-position-horizontal-relative:page;mso-position-vertical-relative:paragraph;z-index:-277552" from="468.825012pt,-.535174pt" to="468.825012pt,-86.030174pt" stroked="true" strokeweight=".552pt" strokecolor="#c9cbcc">
            <v:stroke dashstyle="solid"/>
            <w10:wrap type="none"/>
          </v:line>
        </w:pict>
      </w:r>
      <w:r>
        <w:rPr/>
        <w:pict>
          <v:line style="position:absolute;mso-position-horizontal-relative:page;mso-position-vertical-relative:paragraph;z-index:-277528" from="552.786011pt,-.535174pt" to="552.786011pt,-86.030174pt" stroked="true" strokeweight=".552pt" strokecolor="#292425">
            <v:stroke dashstyle="solid"/>
            <w10:wrap type="none"/>
          </v:line>
        </w:pict>
      </w:r>
      <w:r>
        <w:rPr>
          <w:rFonts w:ascii="Franklin Gothic Medium"/>
          <w:color w:val="292425"/>
          <w:sz w:val="14"/>
        </w:rPr>
        <w:t>Revenue Passenger Miles</w:t>
      </w:r>
    </w:p>
    <w:p>
      <w:pPr>
        <w:spacing w:before="30"/>
        <w:ind w:left="1137" w:right="0" w:firstLine="0"/>
        <w:jc w:val="left"/>
        <w:rPr>
          <w:i/>
          <w:sz w:val="12"/>
        </w:rPr>
      </w:pPr>
      <w:r>
        <w:rPr>
          <w:i/>
          <w:color w:val="292425"/>
          <w:w w:val="105"/>
          <w:sz w:val="12"/>
        </w:rPr>
        <w:t>(in millions)</w:t>
      </w:r>
    </w:p>
    <w:p>
      <w:pPr>
        <w:spacing w:after="0"/>
        <w:jc w:val="left"/>
        <w:rPr>
          <w:sz w:val="12"/>
        </w:rPr>
        <w:sectPr>
          <w:type w:val="continuous"/>
          <w:pgSz w:w="12240" w:h="15840"/>
          <w:pgMar w:top="0" w:bottom="280" w:left="0" w:right="0"/>
          <w:cols w:num="3" w:equalWidth="0">
            <w:col w:w="3188" w:space="761"/>
            <w:col w:w="3181" w:space="658"/>
            <w:col w:w="4452"/>
          </w:cols>
        </w:sectPr>
      </w:pPr>
    </w:p>
    <w:p>
      <w:pPr>
        <w:tabs>
          <w:tab w:pos="896" w:val="left" w:leader="none"/>
        </w:tabs>
        <w:spacing w:before="95"/>
        <w:ind w:left="452" w:right="0" w:firstLine="0"/>
        <w:jc w:val="left"/>
        <w:rPr>
          <w:sz w:val="12"/>
        </w:rPr>
      </w:pPr>
      <w:r>
        <w:rPr/>
        <w:pict>
          <v:group style="position:absolute;margin-left:-.25pt;margin-top:-.24469pt;width:612.5pt;height:18.5pt;mso-position-horizontal-relative:page;mso-position-vertical-relative:paragraph;z-index:-277480" coordorigin="-5,-5" coordsize="12250,370">
            <v:line style="position:absolute" from="720,0" to="720,360" stroked="true" strokeweight=".5pt" strokecolor="#292425">
              <v:stroke dashstyle="solid"/>
            </v:line>
            <v:line style="position:absolute" from="0,360" to="12240,360" stroked="true" strokeweight=".5pt" strokecolor="#292425">
              <v:stroke dashstyle="solid"/>
            </v:line>
            <v:shape style="position:absolute;left:4561;top:6;width:590;height:242" type="#_x0000_t75" stroked="false">
              <v:imagedata r:id="rId8" o:title=""/>
            </v:shape>
            <w10:wrap type="none"/>
          </v:group>
        </w:pict>
      </w:r>
      <w:bookmarkStart w:name="Ten-Year Summary" w:id="15"/>
      <w:bookmarkEnd w:id="15"/>
      <w:r>
        <w:rPr/>
      </w:r>
      <w:r>
        <w:rPr>
          <w:color w:val="292425"/>
          <w:spacing w:val="4"/>
          <w:w w:val="135"/>
          <w:sz w:val="14"/>
        </w:rPr>
        <w:t>14</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12"/>
          <w:w w:val="155"/>
          <w:sz w:val="12"/>
        </w:rPr>
        <w:t> </w:t>
      </w:r>
      <w:r>
        <w:rPr>
          <w:color w:val="292425"/>
          <w:spacing w:val="4"/>
          <w:w w:val="155"/>
          <w:sz w:val="12"/>
        </w:rPr>
        <w:t>report</w:t>
      </w:r>
    </w:p>
    <w:p>
      <w:pPr>
        <w:pStyle w:val="BodyText"/>
        <w:spacing w:before="6"/>
        <w:rPr>
          <w:sz w:val="19"/>
        </w:rPr>
      </w:pPr>
    </w:p>
    <w:p>
      <w:pPr>
        <w:spacing w:before="90"/>
        <w:ind w:left="725" w:right="0" w:firstLine="0"/>
        <w:jc w:val="left"/>
        <w:rPr>
          <w:i/>
          <w:sz w:val="16"/>
        </w:rPr>
      </w:pPr>
      <w:r>
        <w:rPr/>
        <w:pict>
          <v:line style="position:absolute;mso-position-horizontal-relative:page;mso-position-vertical-relative:paragraph;z-index:5944" from="0pt,22.24131pt" to="612pt,22.24131pt" stroked="true" strokeweight=".5pt" strokecolor="#292425">
            <v:stroke dashstyle="solid"/>
            <w10:wrap type="none"/>
          </v:line>
        </w:pict>
      </w:r>
      <w:r>
        <w:rPr>
          <w:i/>
          <w:color w:val="292425"/>
          <w:sz w:val="16"/>
        </w:rPr>
        <w:t>TEN- YEAR  SUMMARY</w:t>
      </w:r>
    </w:p>
    <w:p>
      <w:pPr>
        <w:pStyle w:val="BodyText"/>
        <w:spacing w:before="11"/>
        <w:rPr>
          <w:i/>
          <w:sz w:val="29"/>
        </w:rPr>
      </w:pPr>
    </w:p>
    <w:p>
      <w:pPr>
        <w:spacing w:before="90"/>
        <w:ind w:left="732" w:right="0" w:firstLine="0"/>
        <w:jc w:val="left"/>
        <w:rPr>
          <w:i/>
          <w:sz w:val="16"/>
        </w:rPr>
      </w:pPr>
      <w:r>
        <w:rPr>
          <w:i/>
          <w:color w:val="292425"/>
          <w:w w:val="105"/>
          <w:sz w:val="16"/>
        </w:rPr>
        <w:t>SELECTED  CONSOLIDATED  FINANCIAL DATA</w:t>
      </w:r>
    </w:p>
    <w:p>
      <w:pPr>
        <w:tabs>
          <w:tab w:pos="5187" w:val="left" w:leader="none"/>
          <w:tab w:pos="6946" w:val="left" w:leader="none"/>
          <w:tab w:pos="8734" w:val="left" w:leader="none"/>
          <w:tab w:pos="10354" w:val="left" w:leader="none"/>
        </w:tabs>
        <w:spacing w:before="121"/>
        <w:ind w:left="867" w:right="0" w:firstLine="0"/>
        <w:jc w:val="left"/>
        <w:rPr>
          <w:rFonts w:ascii="Franklin Gothic Medium"/>
          <w:sz w:val="16"/>
        </w:rPr>
      </w:pPr>
      <w:r>
        <w:rPr>
          <w:color w:val="292425"/>
          <w:w w:val="105"/>
          <w:sz w:val="16"/>
        </w:rPr>
        <w:t>(In thousands, except per </w:t>
      </w:r>
      <w:r>
        <w:rPr>
          <w:color w:val="292425"/>
          <w:spacing w:val="19"/>
          <w:w w:val="105"/>
          <w:sz w:val="16"/>
        </w:rPr>
        <w:t> </w:t>
      </w:r>
      <w:r>
        <w:rPr>
          <w:color w:val="292425"/>
          <w:w w:val="105"/>
          <w:sz w:val="16"/>
        </w:rPr>
        <w:t>share</w:t>
      </w:r>
      <w:r>
        <w:rPr>
          <w:color w:val="292425"/>
          <w:spacing w:val="16"/>
          <w:w w:val="105"/>
          <w:sz w:val="16"/>
        </w:rPr>
        <w:t> </w:t>
      </w:r>
      <w:r>
        <w:rPr>
          <w:color w:val="292425"/>
          <w:w w:val="105"/>
          <w:sz w:val="16"/>
        </w:rPr>
        <w:t>amounts)</w:t>
        <w:tab/>
      </w:r>
      <w:r>
        <w:rPr>
          <w:rFonts w:ascii="Franklin Gothic Medium"/>
          <w:color w:val="292425"/>
          <w:w w:val="105"/>
          <w:position w:val="-4"/>
          <w:sz w:val="16"/>
        </w:rPr>
        <w:t>2002</w:t>
      </w:r>
      <w:r>
        <w:rPr>
          <w:color w:val="292425"/>
          <w:w w:val="105"/>
          <w:position w:val="2"/>
          <w:sz w:val="8"/>
        </w:rPr>
        <w:t>(3)</w:t>
        <w:tab/>
      </w:r>
      <w:r>
        <w:rPr>
          <w:rFonts w:ascii="Franklin Gothic Medium"/>
          <w:color w:val="292425"/>
          <w:w w:val="105"/>
          <w:position w:val="-4"/>
          <w:sz w:val="16"/>
        </w:rPr>
        <w:t>2001</w:t>
      </w:r>
      <w:r>
        <w:rPr>
          <w:color w:val="292425"/>
          <w:w w:val="105"/>
          <w:position w:val="2"/>
          <w:sz w:val="8"/>
        </w:rPr>
        <w:t>(3)</w:t>
        <w:tab/>
      </w:r>
      <w:r>
        <w:rPr>
          <w:rFonts w:ascii="Franklin Gothic Medium"/>
          <w:color w:val="292425"/>
          <w:w w:val="105"/>
          <w:position w:val="-4"/>
          <w:sz w:val="16"/>
        </w:rPr>
        <w:t>2000</w:t>
        <w:tab/>
        <w:t>1999</w:t>
      </w:r>
    </w:p>
    <w:p>
      <w:pPr>
        <w:pStyle w:val="BodyText"/>
        <w:spacing w:line="20" w:lineRule="exact"/>
        <w:ind w:left="729"/>
        <w:rPr>
          <w:rFonts w:ascii="Franklin Gothic Medium"/>
          <w:sz w:val="2"/>
        </w:rPr>
      </w:pPr>
      <w:r>
        <w:rPr>
          <w:rFonts w:ascii="Franklin Gothic Medium"/>
          <w:sz w:val="2"/>
        </w:rPr>
        <w:pict>
          <v:group style="width:522.35pt;height:.5pt;mso-position-horizontal-relative:char;mso-position-vertical-relative:line" coordorigin="0,0" coordsize="10447,10">
            <v:line style="position:absolute" from="5,5" to="10441,5" stroked="true" strokeweight=".5pt" strokecolor="#292425">
              <v:stroke dashstyle="solid"/>
            </v:line>
          </v:group>
        </w:pict>
      </w:r>
      <w:r>
        <w:rPr>
          <w:rFonts w:ascii="Franklin Gothic Medium"/>
          <w:sz w:val="2"/>
        </w:rPr>
      </w:r>
    </w:p>
    <w:p>
      <w:pPr>
        <w:spacing w:before="23"/>
        <w:ind w:left="732" w:right="0" w:firstLine="0"/>
        <w:jc w:val="left"/>
        <w:rPr>
          <w:sz w:val="16"/>
        </w:rPr>
      </w:pPr>
      <w:r>
        <w:rPr>
          <w:color w:val="292425"/>
          <w:w w:val="105"/>
          <w:sz w:val="16"/>
        </w:rPr>
        <w:t>Operating revenues:</w:t>
      </w:r>
    </w:p>
    <w:p>
      <w:pPr>
        <w:pStyle w:val="BodyText"/>
        <w:rPr>
          <w:sz w:val="9"/>
        </w:rPr>
      </w:pPr>
    </w:p>
    <w:tbl>
      <w:tblPr>
        <w:tblW w:w="0" w:type="auto"/>
        <w:jc w:val="left"/>
        <w:tblInd w:w="7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555"/>
        <w:gridCol w:w="1941"/>
        <w:gridCol w:w="1792"/>
        <w:gridCol w:w="1712"/>
        <w:gridCol w:w="1472"/>
      </w:tblGrid>
      <w:tr>
        <w:trPr>
          <w:trHeight w:val="186" w:hRule="exact"/>
        </w:trPr>
        <w:tc>
          <w:tcPr>
            <w:tcW w:w="3555" w:type="dxa"/>
            <w:tcBorders>
              <w:bottom w:val="single" w:sz="4" w:space="0" w:color="C9CBCC"/>
            </w:tcBorders>
          </w:tcPr>
          <w:p>
            <w:pPr>
              <w:pStyle w:val="TableParagraph"/>
              <w:spacing w:line="189" w:lineRule="exact"/>
              <w:ind w:left="190"/>
              <w:rPr>
                <w:sz w:val="8"/>
              </w:rPr>
            </w:pPr>
            <w:r>
              <w:rPr>
                <w:color w:val="292425"/>
                <w:w w:val="110"/>
                <w:sz w:val="16"/>
              </w:rPr>
              <w:t>Passenger</w:t>
            </w:r>
            <w:r>
              <w:rPr>
                <w:color w:val="292425"/>
                <w:w w:val="110"/>
                <w:position w:val="6"/>
                <w:sz w:val="8"/>
              </w:rPr>
              <w:t>(2)</w:t>
            </w:r>
          </w:p>
        </w:tc>
        <w:tc>
          <w:tcPr>
            <w:tcW w:w="1941" w:type="dxa"/>
            <w:tcBorders>
              <w:bottom w:val="single" w:sz="4" w:space="0" w:color="C9CBCC"/>
            </w:tcBorders>
          </w:tcPr>
          <w:p>
            <w:pPr>
              <w:pStyle w:val="TableParagraph"/>
              <w:tabs>
                <w:tab w:pos="764" w:val="left" w:leader="none"/>
              </w:tabs>
              <w:spacing w:line="189" w:lineRule="exact"/>
              <w:ind w:left="426"/>
              <w:rPr>
                <w:sz w:val="16"/>
              </w:rPr>
            </w:pPr>
            <w:r>
              <w:rPr>
                <w:color w:val="292425"/>
                <w:w w:val="120"/>
                <w:sz w:val="16"/>
              </w:rPr>
              <w:t>$</w:t>
              <w:tab/>
              <w:t>5,341,349</w:t>
            </w:r>
          </w:p>
        </w:tc>
        <w:tc>
          <w:tcPr>
            <w:tcW w:w="1792" w:type="dxa"/>
            <w:tcBorders>
              <w:bottom w:val="single" w:sz="4" w:space="0" w:color="C9CBCC"/>
            </w:tcBorders>
          </w:tcPr>
          <w:p>
            <w:pPr>
              <w:pStyle w:val="TableParagraph"/>
              <w:tabs>
                <w:tab w:pos="599" w:val="left" w:leader="none"/>
              </w:tabs>
              <w:spacing w:line="189" w:lineRule="exact"/>
              <w:ind w:left="288"/>
              <w:rPr>
                <w:sz w:val="16"/>
              </w:rPr>
            </w:pPr>
            <w:r>
              <w:rPr>
                <w:color w:val="292425"/>
                <w:w w:val="120"/>
                <w:sz w:val="16"/>
              </w:rPr>
              <w:t>$</w:t>
              <w:tab/>
              <w:t>5,378,702</w:t>
            </w:r>
          </w:p>
        </w:tc>
        <w:tc>
          <w:tcPr>
            <w:tcW w:w="1712" w:type="dxa"/>
            <w:tcBorders>
              <w:bottom w:val="single" w:sz="4" w:space="0" w:color="C9CBCC"/>
            </w:tcBorders>
          </w:tcPr>
          <w:p>
            <w:pPr>
              <w:pStyle w:val="TableParagraph"/>
              <w:spacing w:line="189" w:lineRule="exact"/>
              <w:ind w:left="290"/>
              <w:rPr>
                <w:sz w:val="16"/>
              </w:rPr>
            </w:pPr>
            <w:r>
              <w:rPr>
                <w:color w:val="292425"/>
                <w:w w:val="120"/>
                <w:sz w:val="16"/>
              </w:rPr>
              <w:t>$   5,467,965</w:t>
            </w:r>
          </w:p>
        </w:tc>
        <w:tc>
          <w:tcPr>
            <w:tcW w:w="1472" w:type="dxa"/>
            <w:tcBorders>
              <w:bottom w:val="single" w:sz="4" w:space="0" w:color="C9CBCC"/>
            </w:tcBorders>
          </w:tcPr>
          <w:p>
            <w:pPr>
              <w:pStyle w:val="TableParagraph"/>
              <w:spacing w:line="189" w:lineRule="exact"/>
              <w:ind w:left="232"/>
              <w:rPr>
                <w:sz w:val="16"/>
              </w:rPr>
            </w:pPr>
            <w:r>
              <w:rPr>
                <w:color w:val="292425"/>
                <w:w w:val="120"/>
                <w:sz w:val="16"/>
              </w:rPr>
              <w:t>$    4,562,616</w:t>
            </w:r>
          </w:p>
        </w:tc>
      </w:tr>
      <w:tr>
        <w:trPr>
          <w:trHeight w:val="300" w:hRule="exact"/>
        </w:trPr>
        <w:tc>
          <w:tcPr>
            <w:tcW w:w="3555" w:type="dxa"/>
            <w:tcBorders>
              <w:top w:val="single" w:sz="4" w:space="0" w:color="C9CBCC"/>
              <w:bottom w:val="single" w:sz="4" w:space="0" w:color="C9CBCC"/>
            </w:tcBorders>
          </w:tcPr>
          <w:p>
            <w:pPr>
              <w:pStyle w:val="TableParagraph"/>
              <w:spacing w:before="109"/>
              <w:ind w:left="190"/>
              <w:rPr>
                <w:sz w:val="16"/>
              </w:rPr>
            </w:pPr>
            <w:r>
              <w:rPr>
                <w:color w:val="292425"/>
                <w:w w:val="105"/>
                <w:sz w:val="16"/>
              </w:rPr>
              <w:t>Freight</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84,675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91,270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20"/>
                <w:sz w:val="16"/>
              </w:rPr>
              <w:t>110,742</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102,990</w:t>
            </w:r>
          </w:p>
        </w:tc>
      </w:tr>
      <w:tr>
        <w:trPr>
          <w:trHeight w:val="300" w:hRule="exact"/>
        </w:trPr>
        <w:tc>
          <w:tcPr>
            <w:tcW w:w="3555" w:type="dxa"/>
            <w:tcBorders>
              <w:top w:val="single" w:sz="4" w:space="0" w:color="C9CBCC"/>
              <w:bottom w:val="single" w:sz="4" w:space="0" w:color="C9CBCC"/>
            </w:tcBorders>
          </w:tcPr>
          <w:p>
            <w:pPr>
              <w:pStyle w:val="TableParagraph"/>
              <w:spacing w:before="109"/>
              <w:ind w:left="195"/>
              <w:rPr>
                <w:sz w:val="8"/>
              </w:rPr>
            </w:pPr>
            <w:r>
              <w:rPr>
                <w:color w:val="292425"/>
                <w:w w:val="105"/>
                <w:sz w:val="16"/>
              </w:rPr>
              <w:t>Other</w:t>
            </w:r>
            <w:r>
              <w:rPr>
                <w:color w:val="292425"/>
                <w:w w:val="105"/>
                <w:position w:val="6"/>
                <w:sz w:val="8"/>
              </w:rPr>
              <w:t>(2)</w:t>
            </w:r>
          </w:p>
        </w:tc>
        <w:tc>
          <w:tcPr>
            <w:tcW w:w="1941" w:type="dxa"/>
            <w:tcBorders>
              <w:top w:val="single" w:sz="4" w:space="0" w:color="C9CBCC"/>
              <w:bottom w:val="single" w:sz="4" w:space="0" w:color="C9CBCC"/>
            </w:tcBorders>
          </w:tcPr>
          <w:p>
            <w:pPr>
              <w:pStyle w:val="TableParagraph"/>
              <w:tabs>
                <w:tab w:pos="1010"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95,747</w:t>
            </w:r>
          </w:p>
        </w:tc>
        <w:tc>
          <w:tcPr>
            <w:tcW w:w="1792" w:type="dxa"/>
            <w:tcBorders>
              <w:top w:val="single" w:sz="4" w:space="0" w:color="C9CBCC"/>
              <w:bottom w:val="single" w:sz="4" w:space="0" w:color="C9CBCC"/>
            </w:tcBorders>
          </w:tcPr>
          <w:p>
            <w:pPr>
              <w:pStyle w:val="TableParagraph"/>
              <w:tabs>
                <w:tab w:pos="847"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20"/>
                <w:sz w:val="16"/>
                <w:u w:val="single" w:color="292425"/>
              </w:rPr>
              <w:t>85,202</w:t>
            </w:r>
          </w:p>
        </w:tc>
        <w:tc>
          <w:tcPr>
            <w:tcW w:w="1712" w:type="dxa"/>
            <w:tcBorders>
              <w:top w:val="single" w:sz="4" w:space="0" w:color="C9CBCC"/>
              <w:bottom w:val="single" w:sz="4" w:space="0" w:color="C9CBCC"/>
            </w:tcBorders>
          </w:tcPr>
          <w:p>
            <w:pPr>
              <w:pStyle w:val="TableParagraph"/>
              <w:tabs>
                <w:tab w:pos="797"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spacing w:val="2"/>
                <w:w w:val="120"/>
                <w:sz w:val="16"/>
                <w:u w:val="single" w:color="292425"/>
              </w:rPr>
              <w:t>70,853</w:t>
            </w:r>
          </w:p>
        </w:tc>
        <w:tc>
          <w:tcPr>
            <w:tcW w:w="1472" w:type="dxa"/>
            <w:tcBorders>
              <w:top w:val="single" w:sz="4" w:space="0" w:color="C9CBCC"/>
              <w:bottom w:val="single" w:sz="4" w:space="0" w:color="C9CBCC"/>
            </w:tcBorders>
          </w:tcPr>
          <w:p>
            <w:pPr>
              <w:pStyle w:val="TableParagraph"/>
              <w:tabs>
                <w:tab w:pos="771"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69,981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Total operating revenues</w:t>
            </w:r>
          </w:p>
        </w:tc>
        <w:tc>
          <w:tcPr>
            <w:tcW w:w="1941" w:type="dxa"/>
            <w:tcBorders>
              <w:top w:val="single" w:sz="4" w:space="0" w:color="C9CBCC"/>
              <w:bottom w:val="single" w:sz="4" w:space="0" w:color="C9CBCC"/>
            </w:tcBorders>
          </w:tcPr>
          <w:p>
            <w:pPr>
              <w:pStyle w:val="TableParagraph"/>
              <w:spacing w:before="109"/>
              <w:ind w:left="766"/>
              <w:rPr>
                <w:sz w:val="16"/>
              </w:rPr>
            </w:pPr>
            <w:r>
              <w:rPr>
                <w:color w:val="292425"/>
                <w:w w:val="120"/>
                <w:sz w:val="16"/>
              </w:rPr>
              <w:t>5,521,771</w:t>
            </w:r>
          </w:p>
        </w:tc>
        <w:tc>
          <w:tcPr>
            <w:tcW w:w="1792" w:type="dxa"/>
            <w:tcBorders>
              <w:top w:val="single" w:sz="4" w:space="0" w:color="C9CBCC"/>
              <w:bottom w:val="single" w:sz="4" w:space="0" w:color="C9CBCC"/>
            </w:tcBorders>
          </w:tcPr>
          <w:p>
            <w:pPr>
              <w:pStyle w:val="TableParagraph"/>
              <w:spacing w:before="109"/>
              <w:ind w:left="599"/>
              <w:rPr>
                <w:sz w:val="16"/>
              </w:rPr>
            </w:pPr>
            <w:r>
              <w:rPr>
                <w:color w:val="292425"/>
                <w:w w:val="120"/>
                <w:sz w:val="16"/>
              </w:rPr>
              <w:t>5,555,174</w:t>
            </w:r>
          </w:p>
        </w:tc>
        <w:tc>
          <w:tcPr>
            <w:tcW w:w="1712" w:type="dxa"/>
            <w:tcBorders>
              <w:top w:val="single" w:sz="4" w:space="0" w:color="C9CBCC"/>
              <w:bottom w:val="single" w:sz="4" w:space="0" w:color="C9CBCC"/>
            </w:tcBorders>
          </w:tcPr>
          <w:p>
            <w:pPr>
              <w:pStyle w:val="TableParagraph"/>
              <w:spacing w:before="109"/>
              <w:ind w:left="543"/>
              <w:rPr>
                <w:sz w:val="16"/>
              </w:rPr>
            </w:pPr>
            <w:r>
              <w:rPr>
                <w:color w:val="292425"/>
                <w:w w:val="120"/>
                <w:sz w:val="16"/>
              </w:rPr>
              <w:t>5,649,560</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4,735,587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w:t>
            </w:r>
          </w:p>
        </w:tc>
        <w:tc>
          <w:tcPr>
            <w:tcW w:w="1941" w:type="dxa"/>
            <w:tcBorders>
              <w:top w:val="single" w:sz="4" w:space="0" w:color="C9CBCC"/>
              <w:bottom w:val="single" w:sz="4" w:space="0" w:color="C9CBCC"/>
            </w:tcBorders>
          </w:tcPr>
          <w:p>
            <w:pPr>
              <w:pStyle w:val="TableParagraph"/>
              <w:tabs>
                <w:tab w:pos="764"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5,104,433</w:t>
            </w:r>
          </w:p>
        </w:tc>
        <w:tc>
          <w:tcPr>
            <w:tcW w:w="1792" w:type="dxa"/>
            <w:tcBorders>
              <w:top w:val="single" w:sz="4" w:space="0" w:color="C9CBCC"/>
              <w:bottom w:val="single" w:sz="4" w:space="0" w:color="C9CBCC"/>
            </w:tcBorders>
          </w:tcPr>
          <w:p>
            <w:pPr>
              <w:pStyle w:val="TableParagraph"/>
              <w:tabs>
                <w:tab w:pos="598"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20"/>
                <w:sz w:val="16"/>
                <w:u w:val="single" w:color="292425"/>
              </w:rPr>
              <w:t>4,924,052</w:t>
            </w:r>
          </w:p>
        </w:tc>
        <w:tc>
          <w:tcPr>
            <w:tcW w:w="1712" w:type="dxa"/>
            <w:tcBorders>
              <w:top w:val="single" w:sz="4" w:space="0" w:color="C9CBCC"/>
              <w:bottom w:val="single" w:sz="4" w:space="0" w:color="C9CBCC"/>
            </w:tcBorders>
          </w:tcPr>
          <w:p>
            <w:pPr>
              <w:pStyle w:val="TableParagraph"/>
              <w:spacing w:before="109"/>
              <w:ind w:left="322"/>
              <w:rPr>
                <w:sz w:val="16"/>
              </w:rPr>
            </w:pPr>
            <w:r>
              <w:rPr>
                <w:color w:val="292425"/>
                <w:w w:val="132"/>
                <w:sz w:val="16"/>
                <w:u w:val="single" w:color="292425"/>
              </w:rPr>
              <w:t> </w:t>
            </w:r>
            <w:r>
              <w:rPr>
                <w:color w:val="292425"/>
                <w:sz w:val="16"/>
                <w:u w:val="single" w:color="292425"/>
              </w:rPr>
              <w:t>     </w:t>
            </w:r>
            <w:r>
              <w:rPr>
                <w:color w:val="292425"/>
                <w:w w:val="120"/>
                <w:sz w:val="16"/>
                <w:u w:val="single" w:color="292425"/>
              </w:rPr>
              <w:t>4,628,415</w:t>
            </w:r>
          </w:p>
        </w:tc>
        <w:tc>
          <w:tcPr>
            <w:tcW w:w="1472" w:type="dxa"/>
            <w:tcBorders>
              <w:top w:val="single" w:sz="4" w:space="0" w:color="C9CBCC"/>
              <w:bottom w:val="single" w:sz="4" w:space="0" w:color="C9CBCC"/>
            </w:tcBorders>
          </w:tcPr>
          <w:p>
            <w:pPr>
              <w:pStyle w:val="TableParagraph"/>
              <w:tabs>
                <w:tab w:pos="514" w:val="left" w:leader="none"/>
              </w:tabs>
              <w:spacing w:before="109"/>
              <w:ind w:left="258"/>
              <w:rPr>
                <w:sz w:val="16"/>
              </w:rPr>
            </w:pPr>
            <w:r>
              <w:rPr>
                <w:color w:val="292425"/>
                <w:w w:val="132"/>
                <w:sz w:val="16"/>
                <w:u w:val="single" w:color="292425"/>
              </w:rPr>
              <w:t> </w:t>
            </w:r>
            <w:r>
              <w:rPr>
                <w:color w:val="292425"/>
                <w:sz w:val="16"/>
                <w:u w:val="single" w:color="292425"/>
              </w:rPr>
              <w:tab/>
            </w:r>
            <w:r>
              <w:rPr>
                <w:color w:val="292425"/>
                <w:spacing w:val="2"/>
                <w:w w:val="120"/>
                <w:sz w:val="16"/>
                <w:u w:val="single" w:color="292425"/>
              </w:rPr>
              <w:t>3,954,011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income</w:t>
            </w:r>
          </w:p>
        </w:tc>
        <w:tc>
          <w:tcPr>
            <w:tcW w:w="1941" w:type="dxa"/>
            <w:tcBorders>
              <w:top w:val="single" w:sz="4" w:space="0" w:color="C9CBCC"/>
              <w:bottom w:val="single" w:sz="4" w:space="0" w:color="C9CBCC"/>
            </w:tcBorders>
          </w:tcPr>
          <w:p>
            <w:pPr>
              <w:pStyle w:val="TableParagraph"/>
              <w:spacing w:before="109"/>
              <w:ind w:left="922"/>
              <w:rPr>
                <w:sz w:val="16"/>
              </w:rPr>
            </w:pPr>
            <w:r>
              <w:rPr>
                <w:color w:val="292425"/>
                <w:w w:val="120"/>
                <w:sz w:val="16"/>
              </w:rPr>
              <w:t>417,338</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631,122</w:t>
            </w:r>
          </w:p>
        </w:tc>
        <w:tc>
          <w:tcPr>
            <w:tcW w:w="1712" w:type="dxa"/>
            <w:tcBorders>
              <w:top w:val="single" w:sz="4" w:space="0" w:color="C9CBCC"/>
              <w:bottom w:val="single" w:sz="4" w:space="0" w:color="C9CBCC"/>
            </w:tcBorders>
          </w:tcPr>
          <w:p>
            <w:pPr>
              <w:pStyle w:val="TableParagraph"/>
              <w:spacing w:before="109"/>
              <w:ind w:left="543"/>
              <w:rPr>
                <w:sz w:val="16"/>
              </w:rPr>
            </w:pPr>
            <w:r>
              <w:rPr>
                <w:color w:val="292425"/>
                <w:w w:val="120"/>
                <w:sz w:val="16"/>
              </w:rPr>
              <w:t>1,021,145</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781,576</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Other expenses (income), net</w:t>
            </w:r>
          </w:p>
        </w:tc>
        <w:tc>
          <w:tcPr>
            <w:tcW w:w="1941" w:type="dxa"/>
            <w:tcBorders>
              <w:top w:val="single" w:sz="4" w:space="0" w:color="C9CBCC"/>
              <w:bottom w:val="single" w:sz="4" w:space="0" w:color="C9CBCC"/>
            </w:tcBorders>
          </w:tcPr>
          <w:p>
            <w:pPr>
              <w:pStyle w:val="TableParagraph"/>
              <w:tabs>
                <w:tab w:pos="1009" w:val="left" w:leader="none"/>
              </w:tabs>
              <w:spacing w:before="109"/>
              <w:ind w:left="453"/>
              <w:rPr>
                <w:sz w:val="16"/>
              </w:rPr>
            </w:pPr>
            <w:r>
              <w:rPr>
                <w:color w:val="292425"/>
                <w:w w:val="132"/>
                <w:sz w:val="16"/>
                <w:u w:val="single" w:color="292425"/>
              </w:rPr>
              <w:t> </w:t>
            </w:r>
            <w:r>
              <w:rPr>
                <w:color w:val="292425"/>
                <w:sz w:val="16"/>
                <w:u w:val="single" w:color="292425"/>
              </w:rPr>
              <w:tab/>
            </w:r>
            <w:r>
              <w:rPr>
                <w:color w:val="292425"/>
                <w:w w:val="120"/>
                <w:sz w:val="16"/>
                <w:u w:val="single" w:color="292425"/>
              </w:rPr>
              <w:t>24,656</w:t>
            </w:r>
          </w:p>
        </w:tc>
        <w:tc>
          <w:tcPr>
            <w:tcW w:w="1792" w:type="dxa"/>
            <w:tcBorders>
              <w:top w:val="single" w:sz="4" w:space="0" w:color="C9CBCC"/>
              <w:bottom w:val="single" w:sz="4" w:space="0" w:color="C9CBCC"/>
            </w:tcBorders>
          </w:tcPr>
          <w:p>
            <w:pPr>
              <w:pStyle w:val="TableParagraph"/>
              <w:tabs>
                <w:tab w:pos="706" w:val="left" w:leader="none"/>
              </w:tabs>
              <w:spacing w:before="109"/>
              <w:ind w:left="316"/>
              <w:rPr>
                <w:sz w:val="16"/>
              </w:rPr>
            </w:pPr>
            <w:r>
              <w:rPr>
                <w:color w:val="292425"/>
                <w:w w:val="132"/>
                <w:sz w:val="16"/>
                <w:u w:val="single" w:color="292425"/>
              </w:rPr>
              <w:t> </w:t>
            </w:r>
            <w:r>
              <w:rPr>
                <w:color w:val="292425"/>
                <w:sz w:val="16"/>
                <w:u w:val="single" w:color="292425"/>
              </w:rPr>
              <w:tab/>
            </w:r>
            <w:r>
              <w:rPr>
                <w:color w:val="292425"/>
                <w:w w:val="115"/>
                <w:sz w:val="16"/>
                <w:u w:val="single" w:color="292425"/>
              </w:rPr>
              <w:t>(196,537</w:t>
            </w:r>
            <w:r>
              <w:rPr>
                <w:color w:val="292425"/>
                <w:w w:val="115"/>
                <w:sz w:val="16"/>
              </w:rPr>
              <w:t>)</w:t>
            </w:r>
          </w:p>
        </w:tc>
        <w:tc>
          <w:tcPr>
            <w:tcW w:w="1712" w:type="dxa"/>
            <w:tcBorders>
              <w:top w:val="single" w:sz="4" w:space="0" w:color="C9CBCC"/>
              <w:bottom w:val="single" w:sz="4" w:space="0" w:color="C9CBCC"/>
            </w:tcBorders>
          </w:tcPr>
          <w:p>
            <w:pPr>
              <w:pStyle w:val="TableParagraph"/>
              <w:tabs>
                <w:tab w:pos="890"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3,781</w:t>
            </w:r>
          </w:p>
        </w:tc>
        <w:tc>
          <w:tcPr>
            <w:tcW w:w="1472" w:type="dxa"/>
            <w:tcBorders>
              <w:top w:val="single" w:sz="4" w:space="0" w:color="C9CBCC"/>
              <w:bottom w:val="single" w:sz="4" w:space="0" w:color="C9CBCC"/>
            </w:tcBorders>
          </w:tcPr>
          <w:p>
            <w:pPr>
              <w:pStyle w:val="TableParagraph"/>
              <w:tabs>
                <w:tab w:pos="869"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7,965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Income before income taxes</w:t>
            </w:r>
          </w:p>
        </w:tc>
        <w:tc>
          <w:tcPr>
            <w:tcW w:w="1941" w:type="dxa"/>
            <w:tcBorders>
              <w:top w:val="single" w:sz="4" w:space="0" w:color="C9CBCC"/>
              <w:bottom w:val="single" w:sz="4" w:space="0" w:color="C9CBCC"/>
            </w:tcBorders>
          </w:tcPr>
          <w:p>
            <w:pPr>
              <w:pStyle w:val="TableParagraph"/>
              <w:spacing w:before="109"/>
              <w:ind w:left="919"/>
              <w:rPr>
                <w:sz w:val="16"/>
              </w:rPr>
            </w:pPr>
            <w:r>
              <w:rPr>
                <w:color w:val="292425"/>
                <w:w w:val="120"/>
                <w:sz w:val="16"/>
              </w:rPr>
              <w:t>392,682</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827,659</w:t>
            </w:r>
          </w:p>
        </w:tc>
        <w:tc>
          <w:tcPr>
            <w:tcW w:w="1712" w:type="dxa"/>
            <w:tcBorders>
              <w:top w:val="single" w:sz="4" w:space="0" w:color="C9CBCC"/>
              <w:bottom w:val="single" w:sz="4" w:space="0" w:color="C9CBCC"/>
            </w:tcBorders>
          </w:tcPr>
          <w:p>
            <w:pPr>
              <w:pStyle w:val="TableParagraph"/>
              <w:spacing w:before="109"/>
              <w:ind w:left="545"/>
              <w:rPr>
                <w:sz w:val="16"/>
              </w:rPr>
            </w:pPr>
            <w:r>
              <w:rPr>
                <w:color w:val="292425"/>
                <w:w w:val="120"/>
                <w:sz w:val="16"/>
              </w:rPr>
              <w:t>1,017,364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773,611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Provision for income taxes</w:t>
            </w:r>
          </w:p>
        </w:tc>
        <w:tc>
          <w:tcPr>
            <w:tcW w:w="1941" w:type="dxa"/>
            <w:tcBorders>
              <w:top w:val="single" w:sz="4" w:space="0" w:color="C9CBCC"/>
              <w:bottom w:val="single" w:sz="4" w:space="0" w:color="C9CBCC"/>
            </w:tcBorders>
          </w:tcPr>
          <w:p>
            <w:pPr>
              <w:pStyle w:val="TableParagraph"/>
              <w:tabs>
                <w:tab w:pos="919" w:val="left" w:leader="none"/>
              </w:tabs>
              <w:spacing w:before="109"/>
              <w:ind w:left="449"/>
              <w:rPr>
                <w:sz w:val="16"/>
              </w:rPr>
            </w:pPr>
            <w:r>
              <w:rPr>
                <w:color w:val="292425"/>
                <w:w w:val="132"/>
                <w:sz w:val="16"/>
                <w:u w:val="single" w:color="292425"/>
              </w:rPr>
              <w:t> </w:t>
            </w:r>
            <w:r>
              <w:rPr>
                <w:color w:val="292425"/>
                <w:sz w:val="16"/>
                <w:u w:val="single" w:color="292425"/>
              </w:rPr>
              <w:tab/>
            </w:r>
            <w:r>
              <w:rPr>
                <w:color w:val="292425"/>
                <w:w w:val="120"/>
                <w:sz w:val="16"/>
                <w:u w:val="single" w:color="292425"/>
              </w:rPr>
              <w:t>151,713</w:t>
            </w:r>
          </w:p>
        </w:tc>
        <w:tc>
          <w:tcPr>
            <w:tcW w:w="1792" w:type="dxa"/>
            <w:tcBorders>
              <w:top w:val="single" w:sz="4" w:space="0" w:color="C9CBCC"/>
              <w:bottom w:val="single" w:sz="4" w:space="0" w:color="C9CBCC"/>
            </w:tcBorders>
          </w:tcPr>
          <w:p>
            <w:pPr>
              <w:pStyle w:val="TableParagraph"/>
              <w:tabs>
                <w:tab w:pos="758" w:val="left" w:leader="none"/>
              </w:tabs>
              <w:spacing w:before="109"/>
              <w:ind w:left="312"/>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316,512</w:t>
            </w:r>
          </w:p>
        </w:tc>
        <w:tc>
          <w:tcPr>
            <w:tcW w:w="1712" w:type="dxa"/>
            <w:tcBorders>
              <w:top w:val="single" w:sz="4" w:space="0" w:color="C9CBCC"/>
              <w:bottom w:val="single" w:sz="4" w:space="0" w:color="C9CBCC"/>
            </w:tcBorders>
          </w:tcPr>
          <w:p>
            <w:pPr>
              <w:pStyle w:val="TableParagraph"/>
              <w:tabs>
                <w:tab w:pos="709" w:val="left" w:leader="none"/>
              </w:tabs>
              <w:spacing w:before="109"/>
              <w:ind w:left="322"/>
              <w:rPr>
                <w:sz w:val="16"/>
              </w:rPr>
            </w:pPr>
            <w:r>
              <w:rPr>
                <w:color w:val="292425"/>
                <w:w w:val="132"/>
                <w:sz w:val="16"/>
                <w:u w:val="single" w:color="292425"/>
              </w:rPr>
              <w:t> </w:t>
            </w:r>
            <w:r>
              <w:rPr>
                <w:color w:val="292425"/>
                <w:sz w:val="16"/>
                <w:u w:val="single" w:color="292425"/>
              </w:rPr>
              <w:tab/>
            </w:r>
            <w:r>
              <w:rPr>
                <w:color w:val="292425"/>
                <w:w w:val="120"/>
                <w:sz w:val="16"/>
                <w:u w:val="single" w:color="292425"/>
              </w:rPr>
              <w:t>392,140</w:t>
            </w:r>
          </w:p>
        </w:tc>
        <w:tc>
          <w:tcPr>
            <w:tcW w:w="1472" w:type="dxa"/>
            <w:tcBorders>
              <w:top w:val="single" w:sz="4" w:space="0" w:color="C9CBCC"/>
              <w:bottom w:val="single" w:sz="4" w:space="0" w:color="C9CBCC"/>
            </w:tcBorders>
          </w:tcPr>
          <w:p>
            <w:pPr>
              <w:pStyle w:val="TableParagraph"/>
              <w:tabs>
                <w:tab w:pos="679" w:val="left" w:leader="none"/>
              </w:tabs>
              <w:spacing w:before="109"/>
              <w:ind w:left="259"/>
              <w:rPr>
                <w:sz w:val="16"/>
              </w:rPr>
            </w:pPr>
            <w:r>
              <w:rPr>
                <w:color w:val="292425"/>
                <w:w w:val="132"/>
                <w:sz w:val="16"/>
                <w:u w:val="single" w:color="292425"/>
              </w:rPr>
              <w:t> </w:t>
            </w:r>
            <w:r>
              <w:rPr>
                <w:color w:val="292425"/>
                <w:sz w:val="16"/>
                <w:u w:val="single" w:color="292425"/>
              </w:rPr>
              <w:tab/>
            </w:r>
            <w:r>
              <w:rPr>
                <w:color w:val="292425"/>
                <w:w w:val="120"/>
                <w:sz w:val="16"/>
                <w:u w:val="single" w:color="292425"/>
              </w:rPr>
              <w:t>299,233</w:t>
            </w:r>
          </w:p>
        </w:tc>
      </w:tr>
      <w:tr>
        <w:trPr>
          <w:trHeight w:val="300" w:hRule="exact"/>
        </w:trPr>
        <w:tc>
          <w:tcPr>
            <w:tcW w:w="3555" w:type="dxa"/>
            <w:tcBorders>
              <w:top w:val="single" w:sz="4" w:space="0" w:color="C9CBCC"/>
              <w:bottom w:val="single" w:sz="4" w:space="0" w:color="C9CBCC"/>
            </w:tcBorders>
          </w:tcPr>
          <w:p>
            <w:pPr>
              <w:pStyle w:val="TableParagraph"/>
              <w:spacing w:before="109"/>
              <w:ind w:left="190"/>
              <w:rPr>
                <w:sz w:val="8"/>
              </w:rPr>
            </w:pPr>
            <w:r>
              <w:rPr>
                <w:color w:val="292425"/>
                <w:w w:val="105"/>
                <w:sz w:val="16"/>
              </w:rPr>
              <w:t>Net income </w:t>
            </w:r>
            <w:r>
              <w:rPr>
                <w:color w:val="292425"/>
                <w:w w:val="105"/>
                <w:position w:val="6"/>
                <w:sz w:val="8"/>
              </w:rPr>
              <w:t>(1)</w:t>
            </w:r>
          </w:p>
        </w:tc>
        <w:tc>
          <w:tcPr>
            <w:tcW w:w="1941" w:type="dxa"/>
            <w:tcBorders>
              <w:top w:val="single" w:sz="4" w:space="0" w:color="C9CBCC"/>
              <w:bottom w:val="single" w:sz="4" w:space="0" w:color="C9CBCC"/>
            </w:tcBorders>
          </w:tcPr>
          <w:p>
            <w:pPr>
              <w:pStyle w:val="TableParagraph"/>
              <w:tabs>
                <w:tab w:pos="916" w:val="left" w:leader="none"/>
              </w:tabs>
              <w:spacing w:before="109"/>
              <w:ind w:left="425"/>
              <w:rPr>
                <w:sz w:val="16"/>
              </w:rPr>
            </w:pPr>
            <w:r>
              <w:rPr>
                <w:color w:val="292425"/>
                <w:w w:val="120"/>
                <w:sz w:val="16"/>
                <w:u w:val="single" w:color="292425"/>
              </w:rPr>
              <w:t>$</w:t>
              <w:tab/>
              <w:t>240,969</w:t>
            </w:r>
          </w:p>
        </w:tc>
        <w:tc>
          <w:tcPr>
            <w:tcW w:w="1792" w:type="dxa"/>
            <w:tcBorders>
              <w:top w:val="single" w:sz="4" w:space="0" w:color="C9CBCC"/>
              <w:bottom w:val="single" w:sz="4" w:space="0" w:color="C9CBCC"/>
            </w:tcBorders>
          </w:tcPr>
          <w:p>
            <w:pPr>
              <w:pStyle w:val="TableParagraph"/>
              <w:tabs>
                <w:tab w:pos="755" w:val="left" w:leader="none"/>
              </w:tabs>
              <w:spacing w:before="109"/>
              <w:ind w:left="290"/>
              <w:rPr>
                <w:sz w:val="16"/>
              </w:rPr>
            </w:pPr>
            <w:r>
              <w:rPr>
                <w:color w:val="292425"/>
                <w:w w:val="120"/>
                <w:sz w:val="16"/>
                <w:u w:val="single" w:color="292425"/>
              </w:rPr>
              <w:t>$</w:t>
              <w:tab/>
              <w:t>511,147</w:t>
            </w:r>
          </w:p>
        </w:tc>
        <w:tc>
          <w:tcPr>
            <w:tcW w:w="1712" w:type="dxa"/>
            <w:tcBorders>
              <w:top w:val="single" w:sz="4" w:space="0" w:color="C9CBCC"/>
              <w:bottom w:val="single" w:sz="4" w:space="0" w:color="C9CBCC"/>
            </w:tcBorders>
          </w:tcPr>
          <w:p>
            <w:pPr>
              <w:pStyle w:val="TableParagraph"/>
              <w:tabs>
                <w:tab w:pos="722" w:val="left" w:leader="none"/>
              </w:tabs>
              <w:spacing w:before="109"/>
              <w:ind w:left="310"/>
              <w:rPr>
                <w:sz w:val="16"/>
              </w:rPr>
            </w:pPr>
            <w:r>
              <w:rPr>
                <w:color w:val="292425"/>
                <w:w w:val="120"/>
                <w:sz w:val="16"/>
                <w:u w:val="single" w:color="292425"/>
              </w:rPr>
              <w:t>$</w:t>
              <w:tab/>
              <w:t>625,224</w:t>
            </w:r>
          </w:p>
        </w:tc>
        <w:tc>
          <w:tcPr>
            <w:tcW w:w="1472" w:type="dxa"/>
            <w:tcBorders>
              <w:top w:val="single" w:sz="4" w:space="0" w:color="C9CBCC"/>
              <w:bottom w:val="single" w:sz="4" w:space="0" w:color="C9CBCC"/>
            </w:tcBorders>
          </w:tcPr>
          <w:p>
            <w:pPr>
              <w:pStyle w:val="TableParagraph"/>
              <w:tabs>
                <w:tab w:pos="680" w:val="left" w:leader="none"/>
              </w:tabs>
              <w:spacing w:before="109"/>
              <w:ind w:left="232"/>
              <w:rPr>
                <w:sz w:val="16"/>
              </w:rPr>
            </w:pPr>
            <w:r>
              <w:rPr>
                <w:color w:val="292425"/>
                <w:w w:val="120"/>
                <w:sz w:val="16"/>
                <w:u w:val="single" w:color="292425"/>
              </w:rPr>
              <w:t>$</w:t>
              <w:tab/>
              <w:t>474,</w:t>
            </w:r>
            <w:r>
              <w:rPr>
                <w:color w:val="292425"/>
                <w:spacing w:val="-37"/>
                <w:w w:val="120"/>
                <w:sz w:val="16"/>
                <w:u w:val="single" w:color="292425"/>
              </w:rPr>
              <w:t> </w:t>
            </w:r>
            <w:r>
              <w:rPr>
                <w:color w:val="292425"/>
                <w:spacing w:val="-4"/>
                <w:w w:val="120"/>
                <w:sz w:val="16"/>
                <w:u w:val="single" w:color="292425"/>
              </w:rPr>
              <w:t>378</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Net income per share,  basic </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left="1203"/>
              <w:rPr>
                <w:sz w:val="16"/>
              </w:rPr>
            </w:pPr>
            <w:r>
              <w:rPr>
                <w:color w:val="292425"/>
                <w:w w:val="120"/>
                <w:sz w:val="16"/>
              </w:rPr>
              <w:t>$.31</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$.67</w:t>
            </w:r>
          </w:p>
        </w:tc>
        <w:tc>
          <w:tcPr>
            <w:tcW w:w="1712" w:type="dxa"/>
            <w:tcBorders>
              <w:top w:val="single" w:sz="4" w:space="0" w:color="C9CBCC"/>
              <w:bottom w:val="single" w:sz="4" w:space="0" w:color="C9CBCC"/>
            </w:tcBorders>
          </w:tcPr>
          <w:p>
            <w:pPr>
              <w:pStyle w:val="TableParagraph"/>
              <w:spacing w:before="109"/>
              <w:ind w:right="368"/>
              <w:jc w:val="right"/>
              <w:rPr>
                <w:sz w:val="16"/>
              </w:rPr>
            </w:pPr>
            <w:r>
              <w:rPr>
                <w:color w:val="292425"/>
                <w:w w:val="115"/>
                <w:sz w:val="16"/>
              </w:rPr>
              <w:t>$.84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$.63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Net income per share, diluted </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left="1203"/>
              <w:rPr>
                <w:sz w:val="16"/>
              </w:rPr>
            </w:pPr>
            <w:r>
              <w:rPr>
                <w:color w:val="292425"/>
                <w:w w:val="120"/>
                <w:sz w:val="16"/>
              </w:rPr>
              <w:t>$.30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$.63</w:t>
            </w:r>
          </w:p>
        </w:tc>
        <w:tc>
          <w:tcPr>
            <w:tcW w:w="1712" w:type="dxa"/>
            <w:tcBorders>
              <w:top w:val="single" w:sz="4" w:space="0" w:color="C9CBCC"/>
              <w:bottom w:val="single" w:sz="4" w:space="0" w:color="C9CBCC"/>
            </w:tcBorders>
          </w:tcPr>
          <w:p>
            <w:pPr>
              <w:pStyle w:val="TableParagraph"/>
              <w:spacing w:before="109"/>
              <w:ind w:right="368"/>
              <w:jc w:val="right"/>
              <w:rPr>
                <w:sz w:val="16"/>
              </w:rPr>
            </w:pPr>
            <w:r>
              <w:rPr>
                <w:color w:val="292425"/>
                <w:w w:val="115"/>
                <w:sz w:val="16"/>
              </w:rPr>
              <w:t>$.79</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$.59</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Cash dividends per common   share</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$.0180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$.0180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$.0148</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$.0143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Total assets</w:t>
            </w:r>
          </w:p>
        </w:tc>
        <w:tc>
          <w:tcPr>
            <w:tcW w:w="1941" w:type="dxa"/>
            <w:tcBorders>
              <w:top w:val="single" w:sz="4" w:space="0" w:color="C9CBCC"/>
              <w:bottom w:val="single" w:sz="4" w:space="0" w:color="C9CBCC"/>
            </w:tcBorders>
          </w:tcPr>
          <w:p>
            <w:pPr>
              <w:pStyle w:val="TableParagraph"/>
              <w:tabs>
                <w:tab w:pos="763" w:val="left" w:leader="none"/>
              </w:tabs>
              <w:spacing w:before="109"/>
              <w:ind w:left="428"/>
              <w:rPr>
                <w:sz w:val="16"/>
              </w:rPr>
            </w:pPr>
            <w:r>
              <w:rPr>
                <w:color w:val="292425"/>
                <w:w w:val="120"/>
                <w:sz w:val="16"/>
              </w:rPr>
              <w:t>$</w:t>
              <w:tab/>
              <w:t>8,953,750</w:t>
            </w:r>
          </w:p>
        </w:tc>
        <w:tc>
          <w:tcPr>
            <w:tcW w:w="1792" w:type="dxa"/>
            <w:tcBorders>
              <w:top w:val="single" w:sz="4" w:space="0" w:color="C9CBCC"/>
              <w:bottom w:val="single" w:sz="4" w:space="0" w:color="C9CBCC"/>
            </w:tcBorders>
          </w:tcPr>
          <w:p>
            <w:pPr>
              <w:pStyle w:val="TableParagraph"/>
              <w:tabs>
                <w:tab w:pos="596" w:val="left" w:leader="none"/>
              </w:tabs>
              <w:spacing w:before="109"/>
              <w:ind w:left="289"/>
              <w:rPr>
                <w:sz w:val="16"/>
              </w:rPr>
            </w:pPr>
            <w:r>
              <w:rPr>
                <w:color w:val="292425"/>
                <w:w w:val="120"/>
                <w:sz w:val="16"/>
              </w:rPr>
              <w:t>$</w:t>
              <w:tab/>
              <w:t>8,997,141</w:t>
            </w:r>
          </w:p>
        </w:tc>
        <w:tc>
          <w:tcPr>
            <w:tcW w:w="1712" w:type="dxa"/>
            <w:tcBorders>
              <w:top w:val="single" w:sz="4" w:space="0" w:color="C9CBCC"/>
              <w:bottom w:val="single" w:sz="4" w:space="0" w:color="C9CBCC"/>
            </w:tcBorders>
          </w:tcPr>
          <w:p>
            <w:pPr>
              <w:pStyle w:val="TableParagraph"/>
              <w:spacing w:before="109"/>
              <w:ind w:left="293"/>
              <w:rPr>
                <w:sz w:val="16"/>
              </w:rPr>
            </w:pPr>
            <w:r>
              <w:rPr>
                <w:color w:val="292425"/>
                <w:w w:val="120"/>
                <w:sz w:val="16"/>
              </w:rPr>
              <w:t>$   6,669,572</w:t>
            </w:r>
          </w:p>
        </w:tc>
        <w:tc>
          <w:tcPr>
            <w:tcW w:w="1472" w:type="dxa"/>
            <w:tcBorders>
              <w:top w:val="single" w:sz="4" w:space="0" w:color="C9CBCC"/>
              <w:bottom w:val="single" w:sz="4" w:space="0" w:color="C9CBCC"/>
            </w:tcBorders>
          </w:tcPr>
          <w:p>
            <w:pPr>
              <w:pStyle w:val="TableParagraph"/>
              <w:spacing w:before="109"/>
              <w:ind w:left="230"/>
              <w:rPr>
                <w:sz w:val="16"/>
              </w:rPr>
            </w:pPr>
            <w:r>
              <w:rPr>
                <w:color w:val="292425"/>
                <w:w w:val="120"/>
                <w:sz w:val="16"/>
              </w:rPr>
              <w:t>$    5,653,703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Long-term debt less current maturities</w:t>
            </w:r>
          </w:p>
        </w:tc>
        <w:tc>
          <w:tcPr>
            <w:tcW w:w="1941" w:type="dxa"/>
            <w:tcBorders>
              <w:top w:val="single" w:sz="4" w:space="0" w:color="C9CBCC"/>
              <w:bottom w:val="single" w:sz="4" w:space="0" w:color="C9CBCC"/>
            </w:tcBorders>
          </w:tcPr>
          <w:p>
            <w:pPr>
              <w:pStyle w:val="TableParagraph"/>
              <w:tabs>
                <w:tab w:pos="766" w:val="left" w:leader="none"/>
              </w:tabs>
              <w:spacing w:before="109"/>
              <w:ind w:left="426"/>
              <w:rPr>
                <w:sz w:val="16"/>
              </w:rPr>
            </w:pPr>
            <w:r>
              <w:rPr>
                <w:color w:val="292425"/>
                <w:w w:val="120"/>
                <w:sz w:val="16"/>
              </w:rPr>
              <w:t>$</w:t>
              <w:tab/>
              <w:t>1,552,781</w:t>
            </w:r>
          </w:p>
        </w:tc>
        <w:tc>
          <w:tcPr>
            <w:tcW w:w="1792" w:type="dxa"/>
            <w:tcBorders>
              <w:top w:val="single" w:sz="4" w:space="0" w:color="C9CBCC"/>
              <w:bottom w:val="single" w:sz="4" w:space="0" w:color="C9CBCC"/>
            </w:tcBorders>
          </w:tcPr>
          <w:p>
            <w:pPr>
              <w:pStyle w:val="TableParagraph"/>
              <w:tabs>
                <w:tab w:pos="600" w:val="left" w:leader="none"/>
              </w:tabs>
              <w:spacing w:before="109"/>
              <w:ind w:left="290"/>
              <w:rPr>
                <w:sz w:val="16"/>
              </w:rPr>
            </w:pPr>
            <w:r>
              <w:rPr>
                <w:color w:val="292425"/>
                <w:w w:val="120"/>
                <w:sz w:val="16"/>
              </w:rPr>
              <w:t>$</w:t>
              <w:tab/>
              <w:t>1,327,158</w:t>
            </w:r>
          </w:p>
        </w:tc>
        <w:tc>
          <w:tcPr>
            <w:tcW w:w="1712" w:type="dxa"/>
            <w:tcBorders>
              <w:top w:val="single" w:sz="4" w:space="0" w:color="C9CBCC"/>
              <w:bottom w:val="single" w:sz="4" w:space="0" w:color="C9CBCC"/>
            </w:tcBorders>
          </w:tcPr>
          <w:p>
            <w:pPr>
              <w:pStyle w:val="TableParagraph"/>
              <w:tabs>
                <w:tab w:pos="708" w:val="left" w:leader="none"/>
              </w:tabs>
              <w:spacing w:before="109"/>
              <w:ind w:left="293"/>
              <w:rPr>
                <w:sz w:val="16"/>
              </w:rPr>
            </w:pPr>
            <w:r>
              <w:rPr>
                <w:color w:val="292425"/>
                <w:w w:val="120"/>
                <w:sz w:val="16"/>
              </w:rPr>
              <w:t>$</w:t>
              <w:tab/>
              <w:t>760,992</w:t>
            </w:r>
          </w:p>
        </w:tc>
        <w:tc>
          <w:tcPr>
            <w:tcW w:w="1472" w:type="dxa"/>
            <w:tcBorders>
              <w:top w:val="single" w:sz="4" w:space="0" w:color="C9CBCC"/>
              <w:bottom w:val="single" w:sz="4" w:space="0" w:color="C9CBCC"/>
            </w:tcBorders>
          </w:tcPr>
          <w:p>
            <w:pPr>
              <w:pStyle w:val="TableParagraph"/>
              <w:tabs>
                <w:tab w:pos="679" w:val="left" w:leader="none"/>
              </w:tabs>
              <w:spacing w:before="109"/>
              <w:ind w:left="231"/>
              <w:rPr>
                <w:sz w:val="16"/>
              </w:rPr>
            </w:pPr>
            <w:r>
              <w:rPr>
                <w:color w:val="292425"/>
                <w:w w:val="120"/>
                <w:sz w:val="16"/>
              </w:rPr>
              <w:t>$</w:t>
              <w:tab/>
            </w:r>
            <w:r>
              <w:rPr>
                <w:color w:val="292425"/>
                <w:w w:val="115"/>
                <w:sz w:val="16"/>
              </w:rPr>
              <w:t>871,</w:t>
            </w:r>
            <w:r>
              <w:rPr>
                <w:color w:val="292425"/>
                <w:spacing w:val="-10"/>
                <w:w w:val="115"/>
                <w:sz w:val="16"/>
              </w:rPr>
              <w:t> </w:t>
            </w:r>
            <w:r>
              <w:rPr>
                <w:color w:val="292425"/>
                <w:spacing w:val="-4"/>
                <w:w w:val="115"/>
                <w:sz w:val="16"/>
              </w:rPr>
              <w:t>717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Stockholders’ equity</w:t>
            </w:r>
          </w:p>
        </w:tc>
        <w:tc>
          <w:tcPr>
            <w:tcW w:w="1941" w:type="dxa"/>
            <w:tcBorders>
              <w:top w:val="single" w:sz="4" w:space="0" w:color="C9CBCC"/>
              <w:bottom w:val="single" w:sz="4" w:space="0" w:color="C9CBCC"/>
            </w:tcBorders>
          </w:tcPr>
          <w:p>
            <w:pPr>
              <w:pStyle w:val="TableParagraph"/>
              <w:tabs>
                <w:tab w:pos="764" w:val="left" w:leader="none"/>
              </w:tabs>
              <w:spacing w:before="109"/>
              <w:ind w:left="427"/>
              <w:rPr>
                <w:sz w:val="16"/>
              </w:rPr>
            </w:pPr>
            <w:r>
              <w:rPr>
                <w:color w:val="292425"/>
                <w:w w:val="120"/>
                <w:sz w:val="16"/>
              </w:rPr>
              <w:t>$</w:t>
              <w:tab/>
              <w:t>4,421,617</w:t>
            </w:r>
          </w:p>
        </w:tc>
        <w:tc>
          <w:tcPr>
            <w:tcW w:w="1792" w:type="dxa"/>
            <w:tcBorders>
              <w:top w:val="single" w:sz="4" w:space="0" w:color="C9CBCC"/>
              <w:bottom w:val="single" w:sz="4" w:space="0" w:color="C9CBCC"/>
            </w:tcBorders>
          </w:tcPr>
          <w:p>
            <w:pPr>
              <w:pStyle w:val="TableParagraph"/>
              <w:tabs>
                <w:tab w:pos="597" w:val="left" w:leader="none"/>
              </w:tabs>
              <w:spacing w:before="109"/>
              <w:ind w:left="289"/>
              <w:rPr>
                <w:sz w:val="16"/>
              </w:rPr>
            </w:pPr>
            <w:r>
              <w:rPr>
                <w:color w:val="292425"/>
                <w:w w:val="120"/>
                <w:sz w:val="16"/>
              </w:rPr>
              <w:t>$</w:t>
              <w:tab/>
              <w:t>4,014,053</w:t>
            </w:r>
          </w:p>
        </w:tc>
        <w:tc>
          <w:tcPr>
            <w:tcW w:w="1712" w:type="dxa"/>
            <w:tcBorders>
              <w:top w:val="single" w:sz="4" w:space="0" w:color="C9CBCC"/>
              <w:bottom w:val="single" w:sz="4" w:space="0" w:color="C9CBCC"/>
            </w:tcBorders>
          </w:tcPr>
          <w:p>
            <w:pPr>
              <w:pStyle w:val="TableParagraph"/>
              <w:spacing w:before="109"/>
              <w:ind w:left="294"/>
              <w:rPr>
                <w:sz w:val="16"/>
              </w:rPr>
            </w:pPr>
            <w:r>
              <w:rPr>
                <w:color w:val="292425"/>
                <w:w w:val="120"/>
                <w:sz w:val="16"/>
              </w:rPr>
              <w:t>$   3,451,320</w:t>
            </w:r>
          </w:p>
        </w:tc>
        <w:tc>
          <w:tcPr>
            <w:tcW w:w="1472" w:type="dxa"/>
            <w:tcBorders>
              <w:top w:val="single" w:sz="4" w:space="0" w:color="C9CBCC"/>
              <w:bottom w:val="single" w:sz="4" w:space="0" w:color="C9CBCC"/>
            </w:tcBorders>
          </w:tcPr>
          <w:p>
            <w:pPr>
              <w:pStyle w:val="TableParagraph"/>
              <w:spacing w:before="109"/>
              <w:ind w:left="233"/>
              <w:rPr>
                <w:sz w:val="16"/>
              </w:rPr>
            </w:pPr>
            <w:r>
              <w:rPr>
                <w:color w:val="292425"/>
                <w:w w:val="120"/>
                <w:sz w:val="16"/>
              </w:rPr>
              <w:t>$    2,835, 788</w:t>
            </w:r>
          </w:p>
        </w:tc>
      </w:tr>
      <w:tr>
        <w:trPr>
          <w:trHeight w:val="900" w:hRule="exact"/>
        </w:trPr>
        <w:tc>
          <w:tcPr>
            <w:tcW w:w="3555" w:type="dxa"/>
            <w:tcBorders>
              <w:top w:val="single" w:sz="4" w:space="0" w:color="C9CBCC"/>
              <w:bottom w:val="single" w:sz="4" w:space="0" w:color="C9CBCC"/>
            </w:tcBorders>
          </w:tcPr>
          <w:p>
            <w:pPr>
              <w:pStyle w:val="TableParagraph"/>
              <w:rPr>
                <w:sz w:val="18"/>
              </w:rPr>
            </w:pPr>
          </w:p>
          <w:p>
            <w:pPr>
              <w:pStyle w:val="TableParagraph"/>
              <w:spacing w:before="6"/>
              <w:rPr>
                <w:sz w:val="15"/>
              </w:rPr>
            </w:pPr>
          </w:p>
          <w:p>
            <w:pPr>
              <w:pStyle w:val="TableParagraph"/>
              <w:ind w:left="32"/>
              <w:rPr>
                <w:i/>
                <w:sz w:val="16"/>
              </w:rPr>
            </w:pPr>
            <w:r>
              <w:rPr>
                <w:i/>
                <w:color w:val="292425"/>
                <w:w w:val="105"/>
                <w:sz w:val="16"/>
              </w:rPr>
              <w:t>CONSOLIDATED  FINANCIAL RATIOS</w:t>
            </w:r>
          </w:p>
          <w:p>
            <w:pPr>
              <w:pStyle w:val="TableParagraph"/>
              <w:spacing w:before="104"/>
              <w:ind w:left="32"/>
              <w:rPr>
                <w:sz w:val="8"/>
              </w:rPr>
            </w:pPr>
            <w:r>
              <w:rPr>
                <w:color w:val="292425"/>
                <w:w w:val="105"/>
                <w:sz w:val="16"/>
              </w:rPr>
              <w:t>Return on average total   assets</w:t>
            </w:r>
            <w:r>
              <w:rPr>
                <w:color w:val="292425"/>
                <w:w w:val="105"/>
                <w:position w:val="6"/>
                <w:sz w:val="8"/>
              </w:rPr>
              <w:t>(1)</w:t>
            </w:r>
          </w:p>
        </w:tc>
        <w:tc>
          <w:tcPr>
            <w:tcW w:w="1941"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300"/>
              <w:jc w:val="right"/>
              <w:rPr>
                <w:sz w:val="16"/>
              </w:rPr>
            </w:pPr>
            <w:r>
              <w:rPr>
                <w:color w:val="292425"/>
                <w:w w:val="110"/>
                <w:sz w:val="16"/>
              </w:rPr>
              <w:t>2.7%</w:t>
            </w:r>
          </w:p>
        </w:tc>
        <w:tc>
          <w:tcPr>
            <w:tcW w:w="179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298"/>
              <w:jc w:val="right"/>
              <w:rPr>
                <w:sz w:val="16"/>
              </w:rPr>
            </w:pPr>
            <w:r>
              <w:rPr>
                <w:color w:val="292425"/>
                <w:w w:val="110"/>
                <w:sz w:val="16"/>
              </w:rPr>
              <w:t>6.5%</w:t>
            </w:r>
          </w:p>
        </w:tc>
        <w:tc>
          <w:tcPr>
            <w:tcW w:w="171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230"/>
              <w:jc w:val="right"/>
              <w:rPr>
                <w:sz w:val="16"/>
              </w:rPr>
            </w:pPr>
            <w:r>
              <w:rPr>
                <w:color w:val="292425"/>
                <w:w w:val="110"/>
                <w:sz w:val="16"/>
              </w:rPr>
              <w:t>10.1 %</w:t>
            </w:r>
          </w:p>
        </w:tc>
        <w:tc>
          <w:tcPr>
            <w:tcW w:w="147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right="42"/>
              <w:jc w:val="right"/>
              <w:rPr>
                <w:sz w:val="16"/>
              </w:rPr>
            </w:pPr>
            <w:r>
              <w:rPr>
                <w:color w:val="292425"/>
                <w:w w:val="110"/>
                <w:sz w:val="16"/>
              </w:rPr>
              <w:t>9.2%</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Return on average stockholders’  equity</w:t>
            </w:r>
            <w:r>
              <w:rPr>
                <w:color w:val="292425"/>
                <w:w w:val="105"/>
                <w:position w:val="6"/>
                <w:sz w:val="8"/>
              </w:rPr>
              <w:t>(1)</w:t>
            </w:r>
          </w:p>
        </w:tc>
        <w:tc>
          <w:tcPr>
            <w:tcW w:w="1941" w:type="dxa"/>
            <w:tcBorders>
              <w:top w:val="single" w:sz="4" w:space="0" w:color="C9CBCC"/>
              <w:bottom w:val="single" w:sz="4" w:space="0" w:color="C9CBCC"/>
            </w:tcBorders>
          </w:tcPr>
          <w:p>
            <w:pPr>
              <w:pStyle w:val="TableParagraph"/>
              <w:spacing w:before="109"/>
              <w:ind w:right="305"/>
              <w:jc w:val="right"/>
              <w:rPr>
                <w:sz w:val="16"/>
              </w:rPr>
            </w:pPr>
            <w:r>
              <w:rPr>
                <w:color w:val="292425"/>
                <w:w w:val="110"/>
                <w:sz w:val="16"/>
              </w:rPr>
              <w:t>5.7%</w:t>
            </w:r>
          </w:p>
        </w:tc>
        <w:tc>
          <w:tcPr>
            <w:tcW w:w="1792" w:type="dxa"/>
            <w:tcBorders>
              <w:top w:val="single" w:sz="4" w:space="0" w:color="C9CBCC"/>
              <w:bottom w:val="single" w:sz="4" w:space="0" w:color="C9CBCC"/>
            </w:tcBorders>
          </w:tcPr>
          <w:p>
            <w:pPr>
              <w:pStyle w:val="TableParagraph"/>
              <w:spacing w:before="109"/>
              <w:ind w:right="288"/>
              <w:jc w:val="right"/>
              <w:rPr>
                <w:sz w:val="16"/>
              </w:rPr>
            </w:pPr>
            <w:r>
              <w:rPr>
                <w:color w:val="292425"/>
                <w:w w:val="115"/>
                <w:sz w:val="16"/>
              </w:rPr>
              <w:t>13.7%</w:t>
            </w:r>
          </w:p>
        </w:tc>
        <w:tc>
          <w:tcPr>
            <w:tcW w:w="1712" w:type="dxa"/>
            <w:tcBorders>
              <w:top w:val="single" w:sz="4" w:space="0" w:color="C9CBCC"/>
              <w:bottom w:val="single" w:sz="4" w:space="0" w:color="C9CBCC"/>
            </w:tcBorders>
          </w:tcPr>
          <w:p>
            <w:pPr>
              <w:pStyle w:val="TableParagraph"/>
              <w:spacing w:before="109"/>
              <w:ind w:right="229"/>
              <w:jc w:val="right"/>
              <w:rPr>
                <w:sz w:val="16"/>
              </w:rPr>
            </w:pPr>
            <w:r>
              <w:rPr>
                <w:color w:val="292425"/>
                <w:w w:val="110"/>
                <w:sz w:val="16"/>
              </w:rPr>
              <w:t>19.9 %</w:t>
            </w:r>
          </w:p>
        </w:tc>
        <w:tc>
          <w:tcPr>
            <w:tcW w:w="1472" w:type="dxa"/>
            <w:tcBorders>
              <w:top w:val="single" w:sz="4" w:space="0" w:color="C9CBCC"/>
              <w:bottom w:val="single" w:sz="4" w:space="0" w:color="C9CBCC"/>
            </w:tcBorders>
          </w:tcPr>
          <w:p>
            <w:pPr>
              <w:pStyle w:val="TableParagraph"/>
              <w:spacing w:before="109"/>
              <w:ind w:right="42"/>
              <w:jc w:val="right"/>
              <w:rPr>
                <w:sz w:val="16"/>
              </w:rPr>
            </w:pPr>
            <w:r>
              <w:rPr>
                <w:color w:val="292425"/>
                <w:w w:val="115"/>
                <w:sz w:val="16"/>
              </w:rPr>
              <w:t>18.1%</w:t>
            </w:r>
          </w:p>
        </w:tc>
      </w:tr>
      <w:tr>
        <w:trPr>
          <w:trHeight w:val="900" w:hRule="exact"/>
        </w:trPr>
        <w:tc>
          <w:tcPr>
            <w:tcW w:w="3555" w:type="dxa"/>
            <w:tcBorders>
              <w:top w:val="single" w:sz="4" w:space="0" w:color="C9CBCC"/>
              <w:bottom w:val="single" w:sz="4" w:space="0" w:color="C9CBCC"/>
            </w:tcBorders>
          </w:tcPr>
          <w:p>
            <w:pPr>
              <w:pStyle w:val="TableParagraph"/>
              <w:rPr>
                <w:sz w:val="18"/>
              </w:rPr>
            </w:pPr>
          </w:p>
          <w:p>
            <w:pPr>
              <w:pStyle w:val="TableParagraph"/>
              <w:spacing w:before="6"/>
              <w:rPr>
                <w:sz w:val="15"/>
              </w:rPr>
            </w:pPr>
          </w:p>
          <w:p>
            <w:pPr>
              <w:pStyle w:val="TableParagraph"/>
              <w:ind w:left="32"/>
              <w:rPr>
                <w:i/>
                <w:sz w:val="16"/>
              </w:rPr>
            </w:pPr>
            <w:r>
              <w:rPr>
                <w:i/>
                <w:color w:val="292425"/>
                <w:w w:val="105"/>
                <w:sz w:val="16"/>
              </w:rPr>
              <w:t>CONSOLIDATED  OPERATING STATISTICS</w:t>
            </w:r>
          </w:p>
          <w:p>
            <w:pPr>
              <w:pStyle w:val="TableParagraph"/>
              <w:spacing w:before="104"/>
              <w:ind w:left="32"/>
              <w:rPr>
                <w:sz w:val="16"/>
              </w:rPr>
            </w:pPr>
            <w:r>
              <w:rPr>
                <w:color w:val="292425"/>
                <w:w w:val="110"/>
                <w:sz w:val="16"/>
              </w:rPr>
              <w:t>Revenue passengers carried</w:t>
            </w:r>
          </w:p>
        </w:tc>
        <w:tc>
          <w:tcPr>
            <w:tcW w:w="1941"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670"/>
              <w:rPr>
                <w:sz w:val="16"/>
              </w:rPr>
            </w:pPr>
            <w:r>
              <w:rPr>
                <w:color w:val="292425"/>
                <w:w w:val="120"/>
                <w:sz w:val="16"/>
              </w:rPr>
              <w:t>63,045,988</w:t>
            </w:r>
          </w:p>
        </w:tc>
        <w:tc>
          <w:tcPr>
            <w:tcW w:w="179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507"/>
              <w:rPr>
                <w:sz w:val="16"/>
              </w:rPr>
            </w:pPr>
            <w:r>
              <w:rPr>
                <w:color w:val="292425"/>
                <w:w w:val="120"/>
                <w:sz w:val="16"/>
              </w:rPr>
              <w:t>64,446,773</w:t>
            </w:r>
          </w:p>
        </w:tc>
        <w:tc>
          <w:tcPr>
            <w:tcW w:w="171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450"/>
              <w:rPr>
                <w:sz w:val="16"/>
              </w:rPr>
            </w:pPr>
            <w:r>
              <w:rPr>
                <w:color w:val="292425"/>
                <w:w w:val="120"/>
                <w:sz w:val="16"/>
              </w:rPr>
              <w:t>63,678,261</w:t>
            </w:r>
          </w:p>
        </w:tc>
        <w:tc>
          <w:tcPr>
            <w:tcW w:w="1472" w:type="dxa"/>
            <w:tcBorders>
              <w:top w:val="single" w:sz="4" w:space="0" w:color="C9CBCC"/>
              <w:bottom w:val="single" w:sz="4" w:space="0" w:color="C9CBCC"/>
            </w:tcBorders>
          </w:tcPr>
          <w:p>
            <w:pPr>
              <w:pStyle w:val="TableParagraph"/>
              <w:rPr>
                <w:sz w:val="18"/>
              </w:rPr>
            </w:pPr>
          </w:p>
          <w:p>
            <w:pPr>
              <w:pStyle w:val="TableParagraph"/>
              <w:rPr>
                <w:sz w:val="18"/>
              </w:rPr>
            </w:pPr>
          </w:p>
          <w:p>
            <w:pPr>
              <w:pStyle w:val="TableParagraph"/>
              <w:rPr>
                <w:sz w:val="22"/>
              </w:rPr>
            </w:pPr>
          </w:p>
          <w:p>
            <w:pPr>
              <w:pStyle w:val="TableParagraph"/>
              <w:spacing w:before="1"/>
              <w:ind w:left="418"/>
              <w:rPr>
                <w:sz w:val="16"/>
              </w:rPr>
            </w:pPr>
            <w:r>
              <w:rPr>
                <w:color w:val="292425"/>
                <w:w w:val="120"/>
                <w:sz w:val="16"/>
              </w:rPr>
              <w:t>57,500,213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RPMs (000s)</w:t>
            </w:r>
          </w:p>
        </w:tc>
        <w:tc>
          <w:tcPr>
            <w:tcW w:w="1941" w:type="dxa"/>
            <w:tcBorders>
              <w:top w:val="single" w:sz="4" w:space="0" w:color="C9CBCC"/>
              <w:bottom w:val="single" w:sz="4" w:space="0" w:color="C9CBCC"/>
            </w:tcBorders>
          </w:tcPr>
          <w:p>
            <w:pPr>
              <w:pStyle w:val="TableParagraph"/>
              <w:spacing w:before="109"/>
              <w:ind w:left="668"/>
              <w:rPr>
                <w:sz w:val="16"/>
              </w:rPr>
            </w:pPr>
            <w:r>
              <w:rPr>
                <w:color w:val="292425"/>
                <w:w w:val="120"/>
                <w:sz w:val="16"/>
              </w:rPr>
              <w:t>45,391,903</w:t>
            </w:r>
          </w:p>
        </w:tc>
        <w:tc>
          <w:tcPr>
            <w:tcW w:w="1792" w:type="dxa"/>
            <w:tcBorders>
              <w:top w:val="single" w:sz="4" w:space="0" w:color="C9CBCC"/>
              <w:bottom w:val="single" w:sz="4" w:space="0" w:color="C9CBCC"/>
            </w:tcBorders>
          </w:tcPr>
          <w:p>
            <w:pPr>
              <w:pStyle w:val="TableParagraph"/>
              <w:spacing w:before="109"/>
              <w:ind w:left="506"/>
              <w:rPr>
                <w:sz w:val="16"/>
              </w:rPr>
            </w:pPr>
            <w:r>
              <w:rPr>
                <w:color w:val="292425"/>
                <w:w w:val="120"/>
                <w:sz w:val="16"/>
              </w:rPr>
              <w:t>44,493,916</w:t>
            </w:r>
          </w:p>
        </w:tc>
        <w:tc>
          <w:tcPr>
            <w:tcW w:w="1712" w:type="dxa"/>
            <w:tcBorders>
              <w:top w:val="single" w:sz="4" w:space="0" w:color="C9CBCC"/>
              <w:bottom w:val="single" w:sz="4" w:space="0" w:color="C9CBCC"/>
            </w:tcBorders>
          </w:tcPr>
          <w:p>
            <w:pPr>
              <w:pStyle w:val="TableParagraph"/>
              <w:spacing w:before="109"/>
              <w:ind w:left="450"/>
              <w:rPr>
                <w:sz w:val="16"/>
              </w:rPr>
            </w:pPr>
            <w:r>
              <w:rPr>
                <w:color w:val="292425"/>
                <w:w w:val="120"/>
                <w:sz w:val="16"/>
              </w:rPr>
              <w:t>42,215,162</w:t>
            </w:r>
          </w:p>
        </w:tc>
        <w:tc>
          <w:tcPr>
            <w:tcW w:w="1472" w:type="dxa"/>
            <w:tcBorders>
              <w:top w:val="single" w:sz="4" w:space="0" w:color="C9CBCC"/>
              <w:bottom w:val="single" w:sz="4" w:space="0" w:color="C9CBCC"/>
            </w:tcBorders>
          </w:tcPr>
          <w:p>
            <w:pPr>
              <w:pStyle w:val="TableParagraph"/>
              <w:spacing w:before="109"/>
              <w:ind w:left="419"/>
              <w:rPr>
                <w:sz w:val="16"/>
              </w:rPr>
            </w:pPr>
            <w:r>
              <w:rPr>
                <w:color w:val="292425"/>
                <w:w w:val="120"/>
                <w:sz w:val="16"/>
              </w:rPr>
              <w:t>36,479,322</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5"/>
                <w:sz w:val="16"/>
              </w:rPr>
              <w:t>ASMs (000s)</w:t>
            </w:r>
          </w:p>
        </w:tc>
        <w:tc>
          <w:tcPr>
            <w:tcW w:w="1941" w:type="dxa"/>
            <w:tcBorders>
              <w:top w:val="single" w:sz="4" w:space="0" w:color="C9CBCC"/>
              <w:bottom w:val="single" w:sz="4" w:space="0" w:color="C9CBCC"/>
            </w:tcBorders>
          </w:tcPr>
          <w:p>
            <w:pPr>
              <w:pStyle w:val="TableParagraph"/>
              <w:spacing w:before="109"/>
              <w:ind w:left="670"/>
              <w:rPr>
                <w:sz w:val="16"/>
              </w:rPr>
            </w:pPr>
            <w:r>
              <w:rPr>
                <w:color w:val="292425"/>
                <w:w w:val="120"/>
                <w:sz w:val="16"/>
              </w:rPr>
              <w:t>68,886,546</w:t>
            </w:r>
          </w:p>
        </w:tc>
        <w:tc>
          <w:tcPr>
            <w:tcW w:w="1792" w:type="dxa"/>
            <w:tcBorders>
              <w:top w:val="single" w:sz="4" w:space="0" w:color="C9CBCC"/>
              <w:bottom w:val="single" w:sz="4" w:space="0" w:color="C9CBCC"/>
            </w:tcBorders>
          </w:tcPr>
          <w:p>
            <w:pPr>
              <w:pStyle w:val="TableParagraph"/>
              <w:spacing w:before="109"/>
              <w:ind w:left="508"/>
              <w:rPr>
                <w:sz w:val="16"/>
              </w:rPr>
            </w:pPr>
            <w:r>
              <w:rPr>
                <w:color w:val="292425"/>
                <w:w w:val="120"/>
                <w:sz w:val="16"/>
              </w:rPr>
              <w:t>65,295,290</w:t>
            </w:r>
          </w:p>
        </w:tc>
        <w:tc>
          <w:tcPr>
            <w:tcW w:w="1712" w:type="dxa"/>
            <w:tcBorders>
              <w:top w:val="single" w:sz="4" w:space="0" w:color="C9CBCC"/>
              <w:bottom w:val="single" w:sz="4" w:space="0" w:color="C9CBCC"/>
            </w:tcBorders>
          </w:tcPr>
          <w:p>
            <w:pPr>
              <w:pStyle w:val="TableParagraph"/>
              <w:spacing w:before="109"/>
              <w:ind w:left="446"/>
              <w:rPr>
                <w:sz w:val="16"/>
              </w:rPr>
            </w:pPr>
            <w:r>
              <w:rPr>
                <w:color w:val="292425"/>
                <w:w w:val="120"/>
                <w:sz w:val="16"/>
              </w:rPr>
              <w:t>59,909,965</w:t>
            </w:r>
          </w:p>
        </w:tc>
        <w:tc>
          <w:tcPr>
            <w:tcW w:w="1472" w:type="dxa"/>
            <w:tcBorders>
              <w:top w:val="single" w:sz="4" w:space="0" w:color="C9CBCC"/>
              <w:bottom w:val="single" w:sz="4" w:space="0" w:color="C9CBCC"/>
            </w:tcBorders>
          </w:tcPr>
          <w:p>
            <w:pPr>
              <w:pStyle w:val="TableParagraph"/>
              <w:spacing w:before="109"/>
              <w:ind w:left="420"/>
              <w:rPr>
                <w:sz w:val="16"/>
              </w:rPr>
            </w:pPr>
            <w:r>
              <w:rPr>
                <w:color w:val="292425"/>
                <w:w w:val="120"/>
                <w:sz w:val="16"/>
              </w:rPr>
              <w:t>52,855,467</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10"/>
                <w:sz w:val="16"/>
              </w:rPr>
              <w:t>Passenger load factor</w:t>
            </w:r>
          </w:p>
        </w:tc>
        <w:tc>
          <w:tcPr>
            <w:tcW w:w="1941" w:type="dxa"/>
            <w:tcBorders>
              <w:top w:val="single" w:sz="4" w:space="0" w:color="C9CBCC"/>
              <w:bottom w:val="single" w:sz="4" w:space="0" w:color="C9CBCC"/>
            </w:tcBorders>
          </w:tcPr>
          <w:p>
            <w:pPr>
              <w:pStyle w:val="TableParagraph"/>
              <w:spacing w:before="109"/>
              <w:ind w:right="286"/>
              <w:jc w:val="right"/>
              <w:rPr>
                <w:sz w:val="16"/>
              </w:rPr>
            </w:pPr>
            <w:r>
              <w:rPr>
                <w:color w:val="292425"/>
                <w:w w:val="115"/>
                <w:sz w:val="16"/>
              </w:rPr>
              <w:t>65.9%</w:t>
            </w:r>
          </w:p>
        </w:tc>
        <w:tc>
          <w:tcPr>
            <w:tcW w:w="1792" w:type="dxa"/>
            <w:tcBorders>
              <w:top w:val="single" w:sz="4" w:space="0" w:color="C9CBCC"/>
              <w:bottom w:val="single" w:sz="4" w:space="0" w:color="C9CBCC"/>
            </w:tcBorders>
          </w:tcPr>
          <w:p>
            <w:pPr>
              <w:pStyle w:val="TableParagraph"/>
              <w:spacing w:before="109"/>
              <w:ind w:right="311"/>
              <w:jc w:val="right"/>
              <w:rPr>
                <w:sz w:val="16"/>
              </w:rPr>
            </w:pPr>
            <w:r>
              <w:rPr>
                <w:color w:val="292425"/>
                <w:w w:val="115"/>
                <w:sz w:val="16"/>
              </w:rPr>
              <w:t>68.1%</w:t>
            </w:r>
          </w:p>
        </w:tc>
        <w:tc>
          <w:tcPr>
            <w:tcW w:w="1712" w:type="dxa"/>
            <w:tcBorders>
              <w:top w:val="single" w:sz="4" w:space="0" w:color="C9CBCC"/>
              <w:bottom w:val="single" w:sz="4" w:space="0" w:color="C9CBCC"/>
            </w:tcBorders>
          </w:tcPr>
          <w:p>
            <w:pPr>
              <w:pStyle w:val="TableParagraph"/>
              <w:spacing w:before="109"/>
              <w:ind w:right="262"/>
              <w:jc w:val="right"/>
              <w:rPr>
                <w:sz w:val="16"/>
              </w:rPr>
            </w:pPr>
            <w:r>
              <w:rPr>
                <w:color w:val="292425"/>
                <w:w w:val="115"/>
                <w:sz w:val="16"/>
              </w:rPr>
              <w:t>70.5%</w:t>
            </w:r>
          </w:p>
        </w:tc>
        <w:tc>
          <w:tcPr>
            <w:tcW w:w="1472" w:type="dxa"/>
            <w:tcBorders>
              <w:top w:val="single" w:sz="4" w:space="0" w:color="C9CBCC"/>
              <w:bottom w:val="single" w:sz="4" w:space="0" w:color="C9CBCC"/>
            </w:tcBorders>
          </w:tcPr>
          <w:p>
            <w:pPr>
              <w:pStyle w:val="TableParagraph"/>
              <w:spacing w:before="109"/>
              <w:ind w:right="43"/>
              <w:jc w:val="right"/>
              <w:rPr>
                <w:sz w:val="16"/>
              </w:rPr>
            </w:pPr>
            <w:r>
              <w:rPr>
                <w:color w:val="292425"/>
                <w:w w:val="115"/>
                <w:sz w:val="16"/>
              </w:rPr>
              <w:t>69.0%</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Average length of passenger  haul</w:t>
            </w:r>
          </w:p>
        </w:tc>
        <w:tc>
          <w:tcPr>
            <w:tcW w:w="1941" w:type="dxa"/>
            <w:tcBorders>
              <w:top w:val="single" w:sz="4" w:space="0" w:color="C9CBCC"/>
              <w:bottom w:val="single" w:sz="4" w:space="0" w:color="C9CBCC"/>
            </w:tcBorders>
          </w:tcPr>
          <w:p>
            <w:pPr>
              <w:pStyle w:val="TableParagraph"/>
              <w:spacing w:before="109"/>
              <w:ind w:left="1244"/>
              <w:rPr>
                <w:sz w:val="16"/>
              </w:rPr>
            </w:pPr>
            <w:r>
              <w:rPr>
                <w:color w:val="292425"/>
                <w:w w:val="120"/>
                <w:sz w:val="16"/>
              </w:rPr>
              <w:t>720</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690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663</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634</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Trips flown</w:t>
            </w:r>
          </w:p>
        </w:tc>
        <w:tc>
          <w:tcPr>
            <w:tcW w:w="1941" w:type="dxa"/>
            <w:tcBorders>
              <w:top w:val="single" w:sz="4" w:space="0" w:color="C9CBCC"/>
              <w:bottom w:val="single" w:sz="4" w:space="0" w:color="C9CBCC"/>
            </w:tcBorders>
          </w:tcPr>
          <w:p>
            <w:pPr>
              <w:pStyle w:val="TableParagraph"/>
              <w:spacing w:before="109"/>
              <w:ind w:left="913"/>
              <w:rPr>
                <w:sz w:val="16"/>
              </w:rPr>
            </w:pPr>
            <w:r>
              <w:rPr>
                <w:color w:val="292425"/>
                <w:w w:val="120"/>
                <w:sz w:val="16"/>
              </w:rPr>
              <w:t>947,331</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940,426</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903,754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846,823</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Average  passenger fare</w:t>
            </w:r>
            <w:r>
              <w:rPr>
                <w:color w:val="292425"/>
                <w:w w:val="105"/>
                <w:position w:val="6"/>
                <w:sz w:val="8"/>
              </w:rPr>
              <w:t>(2)</w:t>
            </w:r>
          </w:p>
        </w:tc>
        <w:tc>
          <w:tcPr>
            <w:tcW w:w="1941" w:type="dxa"/>
            <w:tcBorders>
              <w:top w:val="single" w:sz="4" w:space="0" w:color="C9CBCC"/>
              <w:bottom w:val="single" w:sz="4" w:space="0" w:color="C9CBCC"/>
            </w:tcBorders>
          </w:tcPr>
          <w:p>
            <w:pPr>
              <w:pStyle w:val="TableParagraph"/>
              <w:spacing w:before="109"/>
              <w:ind w:left="1009"/>
              <w:rPr>
                <w:sz w:val="16"/>
              </w:rPr>
            </w:pPr>
            <w:r>
              <w:rPr>
                <w:color w:val="292425"/>
                <w:w w:val="120"/>
                <w:sz w:val="16"/>
              </w:rPr>
              <w:t>$84.72</w:t>
            </w:r>
          </w:p>
        </w:tc>
        <w:tc>
          <w:tcPr>
            <w:tcW w:w="1792" w:type="dxa"/>
            <w:tcBorders>
              <w:top w:val="single" w:sz="4" w:space="0" w:color="C9CBCC"/>
              <w:bottom w:val="single" w:sz="4" w:space="0" w:color="C9CBCC"/>
            </w:tcBorders>
          </w:tcPr>
          <w:p>
            <w:pPr>
              <w:pStyle w:val="TableParagraph"/>
              <w:spacing w:before="109"/>
              <w:ind w:right="423"/>
              <w:jc w:val="right"/>
              <w:rPr>
                <w:sz w:val="16"/>
              </w:rPr>
            </w:pPr>
            <w:r>
              <w:rPr>
                <w:color w:val="292425"/>
                <w:w w:val="115"/>
                <w:sz w:val="16"/>
              </w:rPr>
              <w:t>$83.46</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$85.87</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$79.35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Passenger revenue yield per  RPM</w:t>
            </w:r>
            <w:r>
              <w:rPr>
                <w:color w:val="292425"/>
                <w:w w:val="105"/>
                <w:position w:val="6"/>
                <w:sz w:val="8"/>
              </w:rPr>
              <w:t>(2)</w:t>
            </w:r>
          </w:p>
        </w:tc>
        <w:tc>
          <w:tcPr>
            <w:tcW w:w="1941" w:type="dxa"/>
            <w:tcBorders>
              <w:top w:val="single" w:sz="4" w:space="0" w:color="C9CBCC"/>
              <w:bottom w:val="single" w:sz="4" w:space="0" w:color="C9CBCC"/>
            </w:tcBorders>
          </w:tcPr>
          <w:p>
            <w:pPr>
              <w:pStyle w:val="TableParagraph"/>
              <w:spacing w:before="109"/>
              <w:ind w:right="293"/>
              <w:jc w:val="right"/>
              <w:rPr>
                <w:sz w:val="16"/>
              </w:rPr>
            </w:pPr>
            <w:r>
              <w:rPr>
                <w:color w:val="292425"/>
                <w:w w:val="115"/>
                <w:sz w:val="16"/>
              </w:rPr>
              <w:t>11.77¢</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12.09¢</w:t>
            </w:r>
          </w:p>
        </w:tc>
        <w:tc>
          <w:tcPr>
            <w:tcW w:w="1712" w:type="dxa"/>
            <w:tcBorders>
              <w:top w:val="single" w:sz="4" w:space="0" w:color="C9CBCC"/>
              <w:bottom w:val="single" w:sz="4" w:space="0" w:color="C9CBCC"/>
            </w:tcBorders>
          </w:tcPr>
          <w:p>
            <w:pPr>
              <w:pStyle w:val="TableParagraph"/>
              <w:spacing w:before="109"/>
              <w:ind w:right="280"/>
              <w:jc w:val="right"/>
              <w:rPr>
                <w:sz w:val="16"/>
              </w:rPr>
            </w:pPr>
            <w:r>
              <w:rPr>
                <w:color w:val="292425"/>
                <w:w w:val="115"/>
                <w:sz w:val="16"/>
              </w:rPr>
              <w:t>12.95¢</w:t>
            </w:r>
          </w:p>
        </w:tc>
        <w:tc>
          <w:tcPr>
            <w:tcW w:w="1472" w:type="dxa"/>
            <w:tcBorders>
              <w:top w:val="single" w:sz="4" w:space="0" w:color="C9CBCC"/>
              <w:bottom w:val="single" w:sz="4" w:space="0" w:color="C9CBCC"/>
            </w:tcBorders>
          </w:tcPr>
          <w:p>
            <w:pPr>
              <w:pStyle w:val="TableParagraph"/>
              <w:spacing w:before="109"/>
              <w:ind w:right="66"/>
              <w:jc w:val="right"/>
              <w:rPr>
                <w:sz w:val="16"/>
              </w:rPr>
            </w:pPr>
            <w:r>
              <w:rPr>
                <w:color w:val="292425"/>
                <w:w w:val="115"/>
                <w:sz w:val="16"/>
              </w:rPr>
              <w:t>12.51¢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revenue yield per ASM</w:t>
            </w:r>
          </w:p>
        </w:tc>
        <w:tc>
          <w:tcPr>
            <w:tcW w:w="1941" w:type="dxa"/>
            <w:tcBorders>
              <w:top w:val="single" w:sz="4" w:space="0" w:color="C9CBCC"/>
              <w:bottom w:val="single" w:sz="4" w:space="0" w:color="C9CBCC"/>
            </w:tcBorders>
          </w:tcPr>
          <w:p>
            <w:pPr>
              <w:pStyle w:val="TableParagraph"/>
              <w:spacing w:before="109"/>
              <w:ind w:right="293"/>
              <w:jc w:val="right"/>
              <w:rPr>
                <w:sz w:val="16"/>
              </w:rPr>
            </w:pPr>
            <w:r>
              <w:rPr>
                <w:color w:val="292425"/>
                <w:w w:val="115"/>
                <w:sz w:val="16"/>
              </w:rPr>
              <w:t>8.02¢</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8.51¢</w:t>
            </w:r>
          </w:p>
        </w:tc>
        <w:tc>
          <w:tcPr>
            <w:tcW w:w="1712" w:type="dxa"/>
            <w:tcBorders>
              <w:top w:val="single" w:sz="4" w:space="0" w:color="C9CBCC"/>
              <w:bottom w:val="single" w:sz="4" w:space="0" w:color="C9CBCC"/>
            </w:tcBorders>
          </w:tcPr>
          <w:p>
            <w:pPr>
              <w:pStyle w:val="TableParagraph"/>
              <w:spacing w:before="109"/>
              <w:ind w:right="280"/>
              <w:jc w:val="right"/>
              <w:rPr>
                <w:sz w:val="16"/>
              </w:rPr>
            </w:pPr>
            <w:r>
              <w:rPr>
                <w:color w:val="292425"/>
                <w:w w:val="115"/>
                <w:sz w:val="16"/>
              </w:rPr>
              <w:t>9.43¢</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8.96¢</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 per  ASM</w:t>
            </w:r>
          </w:p>
        </w:tc>
        <w:tc>
          <w:tcPr>
            <w:tcW w:w="1941" w:type="dxa"/>
            <w:tcBorders>
              <w:top w:val="single" w:sz="4" w:space="0" w:color="C9CBCC"/>
              <w:bottom w:val="single" w:sz="4" w:space="0" w:color="C9CBCC"/>
            </w:tcBorders>
          </w:tcPr>
          <w:p>
            <w:pPr>
              <w:pStyle w:val="TableParagraph"/>
              <w:spacing w:before="109"/>
              <w:ind w:right="294"/>
              <w:jc w:val="right"/>
              <w:rPr>
                <w:sz w:val="16"/>
              </w:rPr>
            </w:pPr>
            <w:r>
              <w:rPr>
                <w:color w:val="292425"/>
                <w:w w:val="115"/>
                <w:sz w:val="16"/>
              </w:rPr>
              <w:t>7.41¢</w:t>
            </w:r>
          </w:p>
        </w:tc>
        <w:tc>
          <w:tcPr>
            <w:tcW w:w="1792" w:type="dxa"/>
            <w:tcBorders>
              <w:top w:val="single" w:sz="4" w:space="0" w:color="C9CBCC"/>
              <w:bottom w:val="single" w:sz="4" w:space="0" w:color="C9CBCC"/>
            </w:tcBorders>
          </w:tcPr>
          <w:p>
            <w:pPr>
              <w:pStyle w:val="TableParagraph"/>
              <w:spacing w:before="109"/>
              <w:ind w:right="332"/>
              <w:jc w:val="right"/>
              <w:rPr>
                <w:sz w:val="16"/>
              </w:rPr>
            </w:pPr>
            <w:r>
              <w:rPr>
                <w:color w:val="292425"/>
                <w:w w:val="115"/>
                <w:sz w:val="16"/>
              </w:rPr>
              <w:t>7.54¢</w:t>
            </w:r>
          </w:p>
        </w:tc>
        <w:tc>
          <w:tcPr>
            <w:tcW w:w="1712" w:type="dxa"/>
            <w:tcBorders>
              <w:top w:val="single" w:sz="4" w:space="0" w:color="C9CBCC"/>
              <w:bottom w:val="single" w:sz="4" w:space="0" w:color="C9CBCC"/>
            </w:tcBorders>
          </w:tcPr>
          <w:p>
            <w:pPr>
              <w:pStyle w:val="TableParagraph"/>
              <w:spacing w:before="109"/>
              <w:ind w:right="287"/>
              <w:jc w:val="right"/>
              <w:rPr>
                <w:sz w:val="16"/>
              </w:rPr>
            </w:pPr>
            <w:r>
              <w:rPr>
                <w:color w:val="292425"/>
                <w:w w:val="115"/>
                <w:sz w:val="16"/>
              </w:rPr>
              <w:t>7.73¢</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7.48¢</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Operating expenses per ASM, excluding  fuel</w:t>
            </w:r>
          </w:p>
        </w:tc>
        <w:tc>
          <w:tcPr>
            <w:tcW w:w="1941" w:type="dxa"/>
            <w:tcBorders>
              <w:top w:val="single" w:sz="4" w:space="0" w:color="C9CBCC"/>
              <w:bottom w:val="single" w:sz="4" w:space="0" w:color="C9CBCC"/>
            </w:tcBorders>
          </w:tcPr>
          <w:p>
            <w:pPr>
              <w:pStyle w:val="TableParagraph"/>
              <w:spacing w:before="109"/>
              <w:ind w:right="300"/>
              <w:jc w:val="right"/>
              <w:rPr>
                <w:sz w:val="16"/>
              </w:rPr>
            </w:pPr>
            <w:r>
              <w:rPr>
                <w:color w:val="292425"/>
                <w:w w:val="120"/>
                <w:sz w:val="16"/>
              </w:rPr>
              <w:t>6. 30¢</w:t>
            </w:r>
          </w:p>
        </w:tc>
        <w:tc>
          <w:tcPr>
            <w:tcW w:w="1792" w:type="dxa"/>
            <w:tcBorders>
              <w:top w:val="single" w:sz="4" w:space="0" w:color="C9CBCC"/>
              <w:bottom w:val="single" w:sz="4" w:space="0" w:color="C9CBCC"/>
            </w:tcBorders>
          </w:tcPr>
          <w:p>
            <w:pPr>
              <w:pStyle w:val="TableParagraph"/>
              <w:spacing w:before="109"/>
              <w:ind w:right="328"/>
              <w:jc w:val="right"/>
              <w:rPr>
                <w:sz w:val="16"/>
              </w:rPr>
            </w:pPr>
            <w:r>
              <w:rPr>
                <w:color w:val="292425"/>
                <w:w w:val="115"/>
                <w:sz w:val="16"/>
              </w:rPr>
              <w:t>6.36¢</w:t>
            </w:r>
          </w:p>
        </w:tc>
        <w:tc>
          <w:tcPr>
            <w:tcW w:w="1712" w:type="dxa"/>
            <w:tcBorders>
              <w:top w:val="single" w:sz="4" w:space="0" w:color="C9CBCC"/>
              <w:bottom w:val="single" w:sz="4" w:space="0" w:color="C9CBCC"/>
            </w:tcBorders>
          </w:tcPr>
          <w:p>
            <w:pPr>
              <w:pStyle w:val="TableParagraph"/>
              <w:spacing w:before="109"/>
              <w:ind w:right="288"/>
              <w:jc w:val="right"/>
              <w:rPr>
                <w:sz w:val="16"/>
              </w:rPr>
            </w:pPr>
            <w:r>
              <w:rPr>
                <w:color w:val="292425"/>
                <w:w w:val="115"/>
                <w:sz w:val="16"/>
              </w:rPr>
              <w:t>6.38¢</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6.55¢</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Fuel cost per gallon  (average)</w:t>
            </w:r>
          </w:p>
        </w:tc>
        <w:tc>
          <w:tcPr>
            <w:tcW w:w="1941" w:type="dxa"/>
            <w:tcBorders>
              <w:top w:val="single" w:sz="4" w:space="0" w:color="C9CBCC"/>
              <w:bottom w:val="single" w:sz="4" w:space="0" w:color="C9CBCC"/>
            </w:tcBorders>
          </w:tcPr>
          <w:p>
            <w:pPr>
              <w:pStyle w:val="TableParagraph"/>
              <w:spacing w:before="109"/>
              <w:ind w:right="300"/>
              <w:jc w:val="right"/>
              <w:rPr>
                <w:sz w:val="16"/>
              </w:rPr>
            </w:pPr>
            <w:r>
              <w:rPr>
                <w:color w:val="292425"/>
                <w:w w:val="115"/>
                <w:sz w:val="16"/>
              </w:rPr>
              <w:t>68.01¢</w:t>
            </w:r>
          </w:p>
        </w:tc>
        <w:tc>
          <w:tcPr>
            <w:tcW w:w="1792" w:type="dxa"/>
            <w:tcBorders>
              <w:top w:val="single" w:sz="4" w:space="0" w:color="C9CBCC"/>
              <w:bottom w:val="single" w:sz="4" w:space="0" w:color="C9CBCC"/>
            </w:tcBorders>
          </w:tcPr>
          <w:p>
            <w:pPr>
              <w:pStyle w:val="TableParagraph"/>
              <w:spacing w:before="109"/>
              <w:ind w:right="328"/>
              <w:jc w:val="right"/>
              <w:rPr>
                <w:sz w:val="16"/>
              </w:rPr>
            </w:pPr>
            <w:r>
              <w:rPr>
                <w:color w:val="292425"/>
                <w:w w:val="115"/>
                <w:sz w:val="16"/>
              </w:rPr>
              <w:t>70.86¢</w:t>
            </w:r>
          </w:p>
        </w:tc>
        <w:tc>
          <w:tcPr>
            <w:tcW w:w="1712" w:type="dxa"/>
            <w:tcBorders>
              <w:top w:val="single" w:sz="4" w:space="0" w:color="C9CBCC"/>
              <w:bottom w:val="single" w:sz="4" w:space="0" w:color="C9CBCC"/>
            </w:tcBorders>
          </w:tcPr>
          <w:p>
            <w:pPr>
              <w:pStyle w:val="TableParagraph"/>
              <w:spacing w:before="109"/>
              <w:ind w:right="271"/>
              <w:jc w:val="right"/>
              <w:rPr>
                <w:sz w:val="16"/>
              </w:rPr>
            </w:pPr>
            <w:r>
              <w:rPr>
                <w:color w:val="292425"/>
                <w:w w:val="115"/>
                <w:sz w:val="16"/>
              </w:rPr>
              <w:t>78.69¢</w:t>
            </w:r>
          </w:p>
        </w:tc>
        <w:tc>
          <w:tcPr>
            <w:tcW w:w="1472" w:type="dxa"/>
            <w:tcBorders>
              <w:top w:val="single" w:sz="4" w:space="0" w:color="C9CBCC"/>
              <w:bottom w:val="single" w:sz="4" w:space="0" w:color="C9CBCC"/>
            </w:tcBorders>
          </w:tcPr>
          <w:p>
            <w:pPr>
              <w:pStyle w:val="TableParagraph"/>
              <w:spacing w:before="109"/>
              <w:ind w:right="75"/>
              <w:jc w:val="right"/>
              <w:rPr>
                <w:sz w:val="16"/>
              </w:rPr>
            </w:pPr>
            <w:r>
              <w:rPr>
                <w:color w:val="292425"/>
                <w:w w:val="115"/>
                <w:sz w:val="16"/>
              </w:rPr>
              <w:t>52.71¢</w:t>
            </w:r>
          </w:p>
        </w:tc>
      </w:tr>
      <w:tr>
        <w:trPr>
          <w:trHeight w:val="300" w:hRule="exact"/>
        </w:trPr>
        <w:tc>
          <w:tcPr>
            <w:tcW w:w="3555" w:type="dxa"/>
            <w:tcBorders>
              <w:top w:val="single" w:sz="4" w:space="0" w:color="C9CBCC"/>
              <w:bottom w:val="single" w:sz="4" w:space="0" w:color="C9CBCC"/>
            </w:tcBorders>
          </w:tcPr>
          <w:p>
            <w:pPr>
              <w:pStyle w:val="TableParagraph"/>
              <w:spacing w:before="109"/>
              <w:ind w:left="32"/>
              <w:rPr>
                <w:sz w:val="16"/>
              </w:rPr>
            </w:pPr>
            <w:r>
              <w:rPr>
                <w:color w:val="292425"/>
                <w:w w:val="105"/>
                <w:sz w:val="16"/>
              </w:rPr>
              <w:t>Number of Employees at yearend</w:t>
            </w:r>
          </w:p>
        </w:tc>
        <w:tc>
          <w:tcPr>
            <w:tcW w:w="1941" w:type="dxa"/>
            <w:tcBorders>
              <w:top w:val="single" w:sz="4" w:space="0" w:color="C9CBCC"/>
              <w:bottom w:val="single" w:sz="4" w:space="0" w:color="C9CBCC"/>
            </w:tcBorders>
          </w:tcPr>
          <w:p>
            <w:pPr>
              <w:pStyle w:val="TableParagraph"/>
              <w:spacing w:before="109"/>
              <w:ind w:left="1010"/>
              <w:rPr>
                <w:sz w:val="16"/>
              </w:rPr>
            </w:pPr>
            <w:r>
              <w:rPr>
                <w:color w:val="292425"/>
                <w:w w:val="120"/>
                <w:sz w:val="16"/>
              </w:rPr>
              <w:t>33,705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31,580</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20"/>
                <w:sz w:val="16"/>
              </w:rPr>
              <w:t>29, 274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27,653</w:t>
            </w:r>
          </w:p>
        </w:tc>
      </w:tr>
      <w:tr>
        <w:trPr>
          <w:trHeight w:val="294" w:hRule="exact"/>
        </w:trPr>
        <w:tc>
          <w:tcPr>
            <w:tcW w:w="3555" w:type="dxa"/>
            <w:tcBorders>
              <w:top w:val="single" w:sz="4" w:space="0" w:color="C9CBCC"/>
              <w:bottom w:val="single" w:sz="4" w:space="0" w:color="C9CBCC"/>
            </w:tcBorders>
          </w:tcPr>
          <w:p>
            <w:pPr>
              <w:pStyle w:val="TableParagraph"/>
              <w:spacing w:before="109"/>
              <w:ind w:left="32"/>
              <w:rPr>
                <w:sz w:val="8"/>
              </w:rPr>
            </w:pPr>
            <w:r>
              <w:rPr>
                <w:color w:val="292425"/>
                <w:w w:val="105"/>
                <w:sz w:val="16"/>
              </w:rPr>
              <w:t>Size of fleet at yearend </w:t>
            </w:r>
            <w:r>
              <w:rPr>
                <w:color w:val="292425"/>
                <w:w w:val="105"/>
                <w:position w:val="6"/>
                <w:sz w:val="8"/>
              </w:rPr>
              <w:t>(4)</w:t>
            </w:r>
          </w:p>
        </w:tc>
        <w:tc>
          <w:tcPr>
            <w:tcW w:w="1941" w:type="dxa"/>
            <w:tcBorders>
              <w:top w:val="single" w:sz="4" w:space="0" w:color="C9CBCC"/>
              <w:bottom w:val="single" w:sz="4" w:space="0" w:color="C9CBCC"/>
            </w:tcBorders>
          </w:tcPr>
          <w:p>
            <w:pPr>
              <w:pStyle w:val="TableParagraph"/>
              <w:spacing w:before="109"/>
              <w:ind w:left="1244"/>
              <w:rPr>
                <w:sz w:val="16"/>
              </w:rPr>
            </w:pPr>
            <w:r>
              <w:rPr>
                <w:color w:val="292425"/>
                <w:w w:val="120"/>
                <w:sz w:val="16"/>
              </w:rPr>
              <w:t>375</w:t>
            </w:r>
          </w:p>
        </w:tc>
        <w:tc>
          <w:tcPr>
            <w:tcW w:w="1792" w:type="dxa"/>
            <w:tcBorders>
              <w:top w:val="single" w:sz="4" w:space="0" w:color="C9CBCC"/>
              <w:bottom w:val="single" w:sz="4" w:space="0" w:color="C9CBCC"/>
            </w:tcBorders>
          </w:tcPr>
          <w:p>
            <w:pPr>
              <w:pStyle w:val="TableParagraph"/>
              <w:spacing w:before="109"/>
              <w:ind w:right="421"/>
              <w:jc w:val="right"/>
              <w:rPr>
                <w:sz w:val="16"/>
              </w:rPr>
            </w:pPr>
            <w:r>
              <w:rPr>
                <w:color w:val="292425"/>
                <w:w w:val="115"/>
                <w:sz w:val="16"/>
              </w:rPr>
              <w:t>355</w:t>
            </w:r>
          </w:p>
        </w:tc>
        <w:tc>
          <w:tcPr>
            <w:tcW w:w="1712" w:type="dxa"/>
            <w:tcBorders>
              <w:top w:val="single" w:sz="4" w:space="0" w:color="C9CBCC"/>
              <w:bottom w:val="single" w:sz="4" w:space="0" w:color="C9CBCC"/>
            </w:tcBorders>
          </w:tcPr>
          <w:p>
            <w:pPr>
              <w:pStyle w:val="TableParagraph"/>
              <w:spacing w:before="109"/>
              <w:ind w:right="367"/>
              <w:jc w:val="right"/>
              <w:rPr>
                <w:sz w:val="16"/>
              </w:rPr>
            </w:pPr>
            <w:r>
              <w:rPr>
                <w:color w:val="292425"/>
                <w:w w:val="115"/>
                <w:sz w:val="16"/>
              </w:rPr>
              <w:t>344</w:t>
            </w:r>
          </w:p>
        </w:tc>
        <w:tc>
          <w:tcPr>
            <w:tcW w:w="1472" w:type="dxa"/>
            <w:tcBorders>
              <w:top w:val="single" w:sz="4" w:space="0" w:color="C9CBCC"/>
              <w:bottom w:val="single" w:sz="4" w:space="0" w:color="C9CBCC"/>
            </w:tcBorders>
          </w:tcPr>
          <w:p>
            <w:pPr>
              <w:pStyle w:val="TableParagraph"/>
              <w:spacing w:before="109"/>
              <w:ind w:right="162"/>
              <w:jc w:val="right"/>
              <w:rPr>
                <w:sz w:val="16"/>
              </w:rPr>
            </w:pPr>
            <w:r>
              <w:rPr>
                <w:color w:val="292425"/>
                <w:w w:val="115"/>
                <w:sz w:val="16"/>
              </w:rPr>
              <w:t>312</w:t>
            </w:r>
          </w:p>
        </w:tc>
      </w:tr>
    </w:tbl>
    <w:p>
      <w:pPr>
        <w:pStyle w:val="BodyText"/>
        <w:rPr>
          <w:sz w:val="18"/>
        </w:rPr>
      </w:pPr>
    </w:p>
    <w:p>
      <w:pPr>
        <w:pStyle w:val="ListParagraph"/>
        <w:numPr>
          <w:ilvl w:val="0"/>
          <w:numId w:val="2"/>
        </w:numPr>
        <w:tabs>
          <w:tab w:pos="1003" w:val="left" w:leader="none"/>
        </w:tabs>
        <w:spacing w:line="240" w:lineRule="auto" w:before="124" w:after="0"/>
        <w:ind w:left="1002" w:right="0" w:hanging="270"/>
        <w:jc w:val="left"/>
        <w:rPr>
          <w:sz w:val="16"/>
        </w:rPr>
      </w:pPr>
      <w:r>
        <w:rPr>
          <w:color w:val="292425"/>
          <w:w w:val="105"/>
          <w:sz w:val="16"/>
        </w:rPr>
        <w:t>Before cumulative effect of change in accounting  </w:t>
      </w:r>
      <w:r>
        <w:rPr>
          <w:color w:val="292425"/>
          <w:spacing w:val="25"/>
          <w:w w:val="105"/>
          <w:sz w:val="16"/>
        </w:rPr>
        <w:t> </w:t>
      </w:r>
      <w:r>
        <w:rPr>
          <w:color w:val="292425"/>
          <w:w w:val="105"/>
          <w:sz w:val="16"/>
        </w:rPr>
        <w:t>principle</w:t>
      </w:r>
    </w:p>
    <w:p>
      <w:pPr>
        <w:pStyle w:val="ListParagraph"/>
        <w:numPr>
          <w:ilvl w:val="0"/>
          <w:numId w:val="2"/>
        </w:numPr>
        <w:tabs>
          <w:tab w:pos="1003" w:val="left" w:leader="none"/>
        </w:tabs>
        <w:spacing w:line="319" w:lineRule="auto" w:before="44" w:after="0"/>
        <w:ind w:left="1002" w:right="3889" w:hanging="270"/>
        <w:jc w:val="left"/>
        <w:rPr>
          <w:sz w:val="16"/>
        </w:rPr>
      </w:pPr>
      <w:r>
        <w:rPr>
          <w:color w:val="292425"/>
          <w:w w:val="110"/>
          <w:sz w:val="16"/>
        </w:rPr>
        <w:t>Includes effect of reclassification of revenue in 1999 through 1995 related to the sale of flight segment credits</w:t>
      </w:r>
      <w:r>
        <w:rPr>
          <w:color w:val="292425"/>
          <w:spacing w:val="-10"/>
          <w:w w:val="110"/>
          <w:sz w:val="16"/>
        </w:rPr>
        <w:t> </w:t>
      </w:r>
      <w:r>
        <w:rPr>
          <w:color w:val="292425"/>
          <w:w w:val="110"/>
          <w:sz w:val="16"/>
        </w:rPr>
        <w:t>from</w:t>
      </w:r>
      <w:r>
        <w:rPr>
          <w:color w:val="292425"/>
          <w:spacing w:val="-10"/>
          <w:w w:val="110"/>
          <w:sz w:val="16"/>
        </w:rPr>
        <w:t> </w:t>
      </w:r>
      <w:r>
        <w:rPr>
          <w:color w:val="292425"/>
          <w:w w:val="110"/>
          <w:sz w:val="16"/>
        </w:rPr>
        <w:t>Other</w:t>
      </w:r>
      <w:r>
        <w:rPr>
          <w:color w:val="292425"/>
          <w:spacing w:val="-10"/>
          <w:w w:val="110"/>
          <w:sz w:val="16"/>
        </w:rPr>
        <w:t> </w:t>
      </w:r>
      <w:r>
        <w:rPr>
          <w:color w:val="292425"/>
          <w:w w:val="110"/>
          <w:sz w:val="16"/>
        </w:rPr>
        <w:t>to</w:t>
      </w:r>
      <w:r>
        <w:rPr>
          <w:color w:val="292425"/>
          <w:spacing w:val="-10"/>
          <w:w w:val="110"/>
          <w:sz w:val="16"/>
        </w:rPr>
        <w:t> </w:t>
      </w:r>
      <w:r>
        <w:rPr>
          <w:color w:val="292425"/>
          <w:w w:val="110"/>
          <w:sz w:val="16"/>
        </w:rPr>
        <w:t>Passenger</w:t>
      </w:r>
      <w:r>
        <w:rPr>
          <w:color w:val="292425"/>
          <w:spacing w:val="-10"/>
          <w:w w:val="110"/>
          <w:sz w:val="16"/>
        </w:rPr>
        <w:t> </w:t>
      </w:r>
      <w:r>
        <w:rPr>
          <w:color w:val="292425"/>
          <w:w w:val="110"/>
          <w:sz w:val="16"/>
        </w:rPr>
        <w:t>due</w:t>
      </w:r>
      <w:r>
        <w:rPr>
          <w:color w:val="292425"/>
          <w:spacing w:val="-10"/>
          <w:w w:val="110"/>
          <w:sz w:val="16"/>
        </w:rPr>
        <w:t> </w:t>
      </w:r>
      <w:r>
        <w:rPr>
          <w:color w:val="292425"/>
          <w:w w:val="110"/>
          <w:sz w:val="16"/>
        </w:rPr>
        <w:t>to</w:t>
      </w:r>
      <w:r>
        <w:rPr>
          <w:color w:val="292425"/>
          <w:spacing w:val="-10"/>
          <w:w w:val="110"/>
          <w:sz w:val="16"/>
        </w:rPr>
        <w:t> </w:t>
      </w:r>
      <w:r>
        <w:rPr>
          <w:color w:val="292425"/>
          <w:w w:val="110"/>
          <w:sz w:val="16"/>
        </w:rPr>
        <w:t>the</w:t>
      </w:r>
      <w:r>
        <w:rPr>
          <w:color w:val="292425"/>
          <w:spacing w:val="-10"/>
          <w:w w:val="110"/>
          <w:sz w:val="16"/>
        </w:rPr>
        <w:t> </w:t>
      </w:r>
      <w:r>
        <w:rPr>
          <w:color w:val="292425"/>
          <w:w w:val="110"/>
          <w:sz w:val="16"/>
        </w:rPr>
        <w:t>accounting</w:t>
      </w:r>
      <w:r>
        <w:rPr>
          <w:color w:val="292425"/>
          <w:spacing w:val="-10"/>
          <w:w w:val="110"/>
          <w:sz w:val="16"/>
        </w:rPr>
        <w:t> </w:t>
      </w:r>
      <w:r>
        <w:rPr>
          <w:color w:val="292425"/>
          <w:w w:val="110"/>
          <w:sz w:val="16"/>
        </w:rPr>
        <w:t>change</w:t>
      </w:r>
      <w:r>
        <w:rPr>
          <w:color w:val="292425"/>
          <w:spacing w:val="-10"/>
          <w:w w:val="110"/>
          <w:sz w:val="16"/>
        </w:rPr>
        <w:t> </w:t>
      </w:r>
      <w:r>
        <w:rPr>
          <w:color w:val="292425"/>
          <w:w w:val="110"/>
          <w:sz w:val="16"/>
        </w:rPr>
        <w:t>implemented</w:t>
      </w:r>
      <w:r>
        <w:rPr>
          <w:color w:val="292425"/>
          <w:spacing w:val="-10"/>
          <w:w w:val="110"/>
          <w:sz w:val="16"/>
        </w:rPr>
        <w:t> </w:t>
      </w:r>
      <w:r>
        <w:rPr>
          <w:color w:val="292425"/>
          <w:w w:val="110"/>
          <w:sz w:val="16"/>
        </w:rPr>
        <w:t>in</w:t>
      </w:r>
      <w:r>
        <w:rPr>
          <w:color w:val="292425"/>
          <w:spacing w:val="-10"/>
          <w:w w:val="110"/>
          <w:sz w:val="16"/>
        </w:rPr>
        <w:t> </w:t>
      </w:r>
      <w:r>
        <w:rPr>
          <w:color w:val="292425"/>
          <w:w w:val="110"/>
          <w:sz w:val="16"/>
        </w:rPr>
        <w:t>2000</w:t>
      </w:r>
    </w:p>
    <w:p>
      <w:pPr>
        <w:pStyle w:val="ListParagraph"/>
        <w:numPr>
          <w:ilvl w:val="0"/>
          <w:numId w:val="2"/>
        </w:numPr>
        <w:tabs>
          <w:tab w:pos="1003" w:val="left" w:leader="none"/>
        </w:tabs>
        <w:spacing w:line="196" w:lineRule="exact" w:before="0" w:after="0"/>
        <w:ind w:left="1002" w:right="0" w:hanging="270"/>
        <w:jc w:val="left"/>
        <w:rPr>
          <w:sz w:val="16"/>
        </w:rPr>
      </w:pPr>
      <w:r>
        <w:rPr>
          <w:color w:val="292425"/>
          <w:w w:val="105"/>
          <w:sz w:val="16"/>
        </w:rPr>
        <w:t>Certain</w:t>
      </w:r>
      <w:r>
        <w:rPr>
          <w:color w:val="292425"/>
          <w:spacing w:val="21"/>
          <w:w w:val="105"/>
          <w:sz w:val="16"/>
        </w:rPr>
        <w:t> </w:t>
      </w:r>
      <w:r>
        <w:rPr>
          <w:color w:val="292425"/>
          <w:w w:val="105"/>
          <w:sz w:val="16"/>
        </w:rPr>
        <w:t>figures</w:t>
      </w:r>
      <w:r>
        <w:rPr>
          <w:color w:val="292425"/>
          <w:spacing w:val="21"/>
          <w:w w:val="105"/>
          <w:sz w:val="16"/>
        </w:rPr>
        <w:t> </w:t>
      </w:r>
      <w:r>
        <w:rPr>
          <w:color w:val="292425"/>
          <w:w w:val="105"/>
          <w:sz w:val="16"/>
        </w:rPr>
        <w:t>include</w:t>
      </w:r>
      <w:r>
        <w:rPr>
          <w:color w:val="292425"/>
          <w:spacing w:val="21"/>
          <w:w w:val="105"/>
          <w:sz w:val="16"/>
        </w:rPr>
        <w:t> </w:t>
      </w:r>
      <w:r>
        <w:rPr>
          <w:color w:val="292425"/>
          <w:w w:val="105"/>
          <w:sz w:val="16"/>
        </w:rPr>
        <w:t>special</w:t>
      </w:r>
      <w:r>
        <w:rPr>
          <w:color w:val="292425"/>
          <w:spacing w:val="21"/>
          <w:w w:val="105"/>
          <w:sz w:val="16"/>
        </w:rPr>
        <w:t> </w:t>
      </w:r>
      <w:r>
        <w:rPr>
          <w:color w:val="292425"/>
          <w:w w:val="105"/>
          <w:sz w:val="16"/>
        </w:rPr>
        <w:t>items</w:t>
      </w:r>
      <w:r>
        <w:rPr>
          <w:color w:val="292425"/>
          <w:spacing w:val="21"/>
          <w:w w:val="105"/>
          <w:sz w:val="16"/>
        </w:rPr>
        <w:t> </w:t>
      </w:r>
      <w:r>
        <w:rPr>
          <w:color w:val="292425"/>
          <w:w w:val="105"/>
          <w:sz w:val="16"/>
        </w:rPr>
        <w:t>related</w:t>
      </w:r>
      <w:r>
        <w:rPr>
          <w:color w:val="292425"/>
          <w:spacing w:val="21"/>
          <w:w w:val="105"/>
          <w:sz w:val="16"/>
        </w:rPr>
        <w:t> </w:t>
      </w:r>
      <w:r>
        <w:rPr>
          <w:color w:val="292425"/>
          <w:w w:val="105"/>
          <w:sz w:val="16"/>
        </w:rPr>
        <w:t>to</w:t>
      </w:r>
      <w:r>
        <w:rPr>
          <w:color w:val="292425"/>
          <w:spacing w:val="21"/>
          <w:w w:val="105"/>
          <w:sz w:val="16"/>
        </w:rPr>
        <w:t> </w:t>
      </w:r>
      <w:r>
        <w:rPr>
          <w:color w:val="292425"/>
          <w:w w:val="105"/>
          <w:sz w:val="16"/>
        </w:rPr>
        <w:t>the</w:t>
      </w:r>
      <w:r>
        <w:rPr>
          <w:color w:val="292425"/>
          <w:spacing w:val="21"/>
          <w:w w:val="105"/>
          <w:sz w:val="16"/>
        </w:rPr>
        <w:t> </w:t>
      </w:r>
      <w:r>
        <w:rPr>
          <w:color w:val="292425"/>
          <w:w w:val="105"/>
          <w:sz w:val="16"/>
        </w:rPr>
        <w:t>September</w:t>
      </w:r>
      <w:r>
        <w:rPr>
          <w:color w:val="292425"/>
          <w:spacing w:val="21"/>
          <w:w w:val="105"/>
          <w:sz w:val="16"/>
        </w:rPr>
        <w:t> </w:t>
      </w:r>
      <w:r>
        <w:rPr>
          <w:color w:val="292425"/>
          <w:w w:val="105"/>
          <w:sz w:val="16"/>
        </w:rPr>
        <w:t>11,</w:t>
      </w:r>
      <w:r>
        <w:rPr>
          <w:color w:val="292425"/>
          <w:spacing w:val="12"/>
          <w:w w:val="105"/>
          <w:sz w:val="16"/>
        </w:rPr>
        <w:t> </w:t>
      </w:r>
      <w:r>
        <w:rPr>
          <w:color w:val="292425"/>
          <w:w w:val="105"/>
          <w:sz w:val="16"/>
        </w:rPr>
        <w:t>2001,</w:t>
      </w:r>
      <w:r>
        <w:rPr>
          <w:color w:val="292425"/>
          <w:spacing w:val="12"/>
          <w:w w:val="105"/>
          <w:sz w:val="16"/>
        </w:rPr>
        <w:t> </w:t>
      </w:r>
      <w:r>
        <w:rPr>
          <w:color w:val="292425"/>
          <w:w w:val="105"/>
          <w:sz w:val="16"/>
        </w:rPr>
        <w:t>terrorist</w:t>
      </w:r>
      <w:r>
        <w:rPr>
          <w:color w:val="292425"/>
          <w:spacing w:val="21"/>
          <w:w w:val="105"/>
          <w:sz w:val="16"/>
        </w:rPr>
        <w:t> </w:t>
      </w:r>
      <w:r>
        <w:rPr>
          <w:color w:val="292425"/>
          <w:w w:val="105"/>
          <w:sz w:val="16"/>
        </w:rPr>
        <w:t>attacks</w:t>
      </w:r>
    </w:p>
    <w:p>
      <w:pPr>
        <w:pStyle w:val="ListParagraph"/>
        <w:numPr>
          <w:ilvl w:val="0"/>
          <w:numId w:val="2"/>
        </w:numPr>
        <w:tabs>
          <w:tab w:pos="1003" w:val="left" w:leader="none"/>
        </w:tabs>
        <w:spacing w:line="240" w:lineRule="auto" w:before="55" w:after="0"/>
        <w:ind w:left="1002" w:right="0" w:hanging="270"/>
        <w:jc w:val="left"/>
        <w:rPr>
          <w:sz w:val="16"/>
        </w:rPr>
      </w:pPr>
      <w:r>
        <w:rPr>
          <w:color w:val="292425"/>
          <w:w w:val="110"/>
          <w:sz w:val="16"/>
        </w:rPr>
        <w:t>Includes leased</w:t>
      </w:r>
      <w:r>
        <w:rPr>
          <w:color w:val="292425"/>
          <w:spacing w:val="-26"/>
          <w:w w:val="110"/>
          <w:sz w:val="16"/>
        </w:rPr>
        <w:t> </w:t>
      </w:r>
      <w:r>
        <w:rPr>
          <w:color w:val="292425"/>
          <w:w w:val="110"/>
          <w:sz w:val="16"/>
        </w:rPr>
        <w:t>aircraft</w:t>
      </w:r>
    </w:p>
    <w:p>
      <w:pPr>
        <w:pStyle w:val="ListParagraph"/>
        <w:numPr>
          <w:ilvl w:val="0"/>
          <w:numId w:val="2"/>
        </w:numPr>
        <w:tabs>
          <w:tab w:pos="1003" w:val="left" w:leader="none"/>
        </w:tabs>
        <w:spacing w:line="240" w:lineRule="auto" w:before="56" w:after="0"/>
        <w:ind w:left="1002" w:right="0" w:hanging="270"/>
        <w:jc w:val="left"/>
        <w:rPr>
          <w:sz w:val="16"/>
        </w:rPr>
      </w:pPr>
      <w:r>
        <w:rPr>
          <w:color w:val="292425"/>
          <w:w w:val="105"/>
          <w:sz w:val="16"/>
        </w:rPr>
        <w:t>Includes certain estimates for </w:t>
      </w:r>
      <w:r>
        <w:rPr>
          <w:color w:val="292425"/>
          <w:spacing w:val="28"/>
          <w:w w:val="105"/>
          <w:sz w:val="16"/>
        </w:rPr>
        <w:t> </w:t>
      </w:r>
      <w:r>
        <w:rPr>
          <w:color w:val="292425"/>
          <w:w w:val="105"/>
          <w:sz w:val="16"/>
        </w:rPr>
        <w:t>Morris</w:t>
      </w:r>
    </w:p>
    <w:p>
      <w:pPr>
        <w:spacing w:after="0" w:line="240" w:lineRule="auto"/>
        <w:jc w:val="left"/>
        <w:rPr>
          <w:sz w:val="16"/>
        </w:rPr>
        <w:sectPr>
          <w:headerReference w:type="even" r:id="rId46"/>
          <w:pgSz w:w="12240" w:h="15840"/>
          <w:pgMar w:header="0" w:footer="0" w:top="360" w:bottom="280" w:left="0" w:right="0"/>
        </w:sectPr>
      </w:pPr>
    </w:p>
    <w:p>
      <w:pPr>
        <w:tabs>
          <w:tab w:pos="11801" w:val="right" w:leader="none"/>
        </w:tabs>
        <w:spacing w:before="93"/>
        <w:ind w:left="7721" w:right="0" w:firstLine="0"/>
        <w:jc w:val="left"/>
        <w:rPr>
          <w:sz w:val="14"/>
        </w:rPr>
      </w:pPr>
      <w:r>
        <w:rPr/>
        <w:pict>
          <v:group style="position:absolute;margin-left:-.25pt;margin-top:-.482542pt;width:612.5pt;height:18.75pt;mso-position-horizontal-relative:page;mso-position-vertical-relative:paragraph;z-index:-277408" coordorigin="-5,-10" coordsize="12250,375">
            <v:line style="position:absolute" from="0,360" to="3,360" stroked="true" strokeweight=".5pt" strokecolor="#292425">
              <v:stroke dashstyle="solid"/>
            </v:line>
            <v:line style="position:absolute" from="11520,-5" to="11520,355" stroked="true" strokeweight=".5pt" strokecolor="#292425">
              <v:stroke dashstyle="solid"/>
            </v:line>
            <v:line style="position:absolute" from="0,360" to="12240,360" stroked="true" strokeweight=".5pt" strokecolor="#292425">
              <v:stroke dashstyle="solid"/>
            </v:line>
            <w10:wrap type="none"/>
          </v:group>
        </w:pict>
      </w:r>
      <w:r>
        <w:rPr>
          <w:color w:val="292425"/>
          <w:spacing w:val="6"/>
          <w:w w:val="155"/>
          <w:sz w:val="12"/>
        </w:rPr>
        <w:t>Southwest airlines </w:t>
      </w:r>
      <w:r>
        <w:rPr>
          <w:color w:val="292425"/>
          <w:spacing w:val="4"/>
          <w:w w:val="155"/>
          <w:sz w:val="12"/>
        </w:rPr>
        <w:t>co.  </w:t>
      </w:r>
      <w:r>
        <w:rPr>
          <w:color w:val="292425"/>
          <w:spacing w:val="5"/>
          <w:w w:val="130"/>
          <w:sz w:val="12"/>
        </w:rPr>
        <w:t>2002 </w:t>
      </w:r>
      <w:r>
        <w:rPr>
          <w:color w:val="292425"/>
          <w:spacing w:val="22"/>
          <w:w w:val="130"/>
          <w:sz w:val="12"/>
        </w:rPr>
        <w:t> </w:t>
      </w:r>
      <w:r>
        <w:rPr>
          <w:color w:val="292425"/>
          <w:spacing w:val="5"/>
          <w:w w:val="155"/>
          <w:sz w:val="12"/>
        </w:rPr>
        <w:t>annual</w:t>
      </w:r>
      <w:r>
        <w:rPr>
          <w:color w:val="292425"/>
          <w:spacing w:val="29"/>
          <w:w w:val="155"/>
          <w:sz w:val="12"/>
        </w:rPr>
        <w:t> </w:t>
      </w:r>
      <w:r>
        <w:rPr>
          <w:color w:val="292425"/>
          <w:spacing w:val="4"/>
          <w:w w:val="155"/>
          <w:sz w:val="12"/>
        </w:rPr>
        <w:t>report</w:t>
      </w:r>
      <w:r>
        <w:rPr>
          <w:color w:val="292425"/>
          <w:spacing w:val="4"/>
          <w:w w:val="155"/>
          <w:sz w:val="14"/>
        </w:rPr>
        <w:tab/>
      </w:r>
      <w:r>
        <w:rPr>
          <w:color w:val="292425"/>
          <w:spacing w:val="9"/>
          <w:w w:val="130"/>
          <w:sz w:val="14"/>
        </w:rPr>
        <w:t>15</w:t>
      </w: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rPr>
          <w:sz w:val="16"/>
        </w:rPr>
      </w:pPr>
    </w:p>
    <w:p>
      <w:pPr>
        <w:pStyle w:val="BodyText"/>
        <w:spacing w:before="9"/>
        <w:rPr>
          <w:sz w:val="14"/>
        </w:rPr>
      </w:pPr>
    </w:p>
    <w:p>
      <w:pPr>
        <w:tabs>
          <w:tab w:pos="3747" w:val="left" w:leader="none"/>
          <w:tab w:pos="5448" w:val="left" w:leader="none"/>
          <w:tab w:pos="7215" w:val="left" w:leader="none"/>
          <w:tab w:pos="9014" w:val="left" w:leader="none"/>
          <w:tab w:pos="10673" w:val="left" w:leader="none"/>
        </w:tabs>
        <w:spacing w:before="0"/>
        <w:ind w:left="1920" w:right="0" w:firstLine="0"/>
        <w:jc w:val="left"/>
        <w:rPr>
          <w:rFonts w:ascii="Franklin Gothic Medium"/>
          <w:sz w:val="16"/>
        </w:rPr>
      </w:pPr>
      <w:r>
        <w:rPr>
          <w:rFonts w:ascii="Franklin Gothic Medium"/>
          <w:color w:val="292425"/>
          <w:sz w:val="16"/>
        </w:rPr>
        <w:t>1998</w:t>
        <w:tab/>
        <w:t>1997</w:t>
        <w:tab/>
        <w:t>1996</w:t>
        <w:tab/>
        <w:t>1995</w:t>
        <w:tab/>
        <w:t>1994</w:t>
        <w:tab/>
        <w:t>1993</w:t>
      </w:r>
    </w:p>
    <w:p>
      <w:pPr>
        <w:pStyle w:val="BodyText"/>
        <w:spacing w:line="20" w:lineRule="exact"/>
        <w:ind w:left="1069"/>
        <w:rPr>
          <w:rFonts w:ascii="Franklin Gothic Medium"/>
          <w:sz w:val="2"/>
        </w:rPr>
      </w:pPr>
      <w:r>
        <w:rPr>
          <w:rFonts w:ascii="Franklin Gothic Medium"/>
          <w:sz w:val="2"/>
        </w:rPr>
        <w:pict>
          <v:group style="width:524.65pt;height:.5pt;mso-position-horizontal-relative:char;mso-position-vertical-relative:line" coordorigin="0,0" coordsize="10493,10">
            <v:line style="position:absolute" from="5,5" to="10488,5" stroked="true" strokeweight=".5pt" strokecolor="#292425">
              <v:stroke dashstyle="solid"/>
            </v:line>
          </v:group>
        </w:pict>
      </w:r>
      <w:r>
        <w:rPr>
          <w:rFonts w:ascii="Franklin Gothic Medium"/>
          <w:sz w:val="2"/>
        </w:rPr>
      </w:r>
    </w:p>
    <w:p>
      <w:pPr>
        <w:pStyle w:val="BodyText"/>
        <w:rPr>
          <w:rFonts w:ascii="Franklin Gothic Medium"/>
        </w:rPr>
      </w:pPr>
    </w:p>
    <w:p>
      <w:pPr>
        <w:pStyle w:val="BodyText"/>
        <w:spacing w:before="10"/>
        <w:rPr>
          <w:rFonts w:ascii="Franklin Gothic Medium"/>
          <w:sz w:val="16"/>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29"/>
        <w:gridCol w:w="1100"/>
        <w:gridCol w:w="2101"/>
        <w:gridCol w:w="1732"/>
        <w:gridCol w:w="1710"/>
        <w:gridCol w:w="1615"/>
      </w:tblGrid>
      <w:tr>
        <w:trPr>
          <w:trHeight w:val="186" w:hRule="exact"/>
        </w:trPr>
        <w:tc>
          <w:tcPr>
            <w:tcW w:w="2229" w:type="dxa"/>
            <w:tcBorders>
              <w:bottom w:val="single" w:sz="4" w:space="0" w:color="C9CBCC"/>
            </w:tcBorders>
          </w:tcPr>
          <w:p>
            <w:pPr>
              <w:pStyle w:val="TableParagraph"/>
              <w:spacing w:line="189" w:lineRule="exact"/>
              <w:ind w:right="721"/>
              <w:jc w:val="right"/>
              <w:rPr>
                <w:sz w:val="16"/>
              </w:rPr>
            </w:pPr>
            <w:r>
              <w:rPr>
                <w:color w:val="292425"/>
                <w:w w:val="120"/>
                <w:sz w:val="16"/>
              </w:rPr>
              <w:t>$ 4, 010, 029</w:t>
            </w:r>
          </w:p>
        </w:tc>
        <w:tc>
          <w:tcPr>
            <w:tcW w:w="1100" w:type="dxa"/>
            <w:tcBorders>
              <w:bottom w:val="single" w:sz="4" w:space="0" w:color="C9CBCC"/>
            </w:tcBorders>
          </w:tcPr>
          <w:p>
            <w:pPr>
              <w:pStyle w:val="TableParagraph"/>
              <w:spacing w:line="189" w:lineRule="exact"/>
              <w:ind w:right="33"/>
              <w:jc w:val="right"/>
              <w:rPr>
                <w:sz w:val="16"/>
              </w:rPr>
            </w:pPr>
            <w:r>
              <w:rPr>
                <w:color w:val="292425"/>
                <w:w w:val="120"/>
                <w:sz w:val="16"/>
              </w:rPr>
              <w:t>$   </w:t>
            </w:r>
            <w:r>
              <w:rPr>
                <w:color w:val="292425"/>
                <w:spacing w:val="4"/>
                <w:w w:val="120"/>
                <w:sz w:val="16"/>
              </w:rPr>
              <w:t>3, </w:t>
            </w:r>
            <w:r>
              <w:rPr>
                <w:color w:val="292425"/>
                <w:w w:val="120"/>
                <w:sz w:val="16"/>
              </w:rPr>
              <w:t>669,</w:t>
            </w:r>
            <w:r>
              <w:rPr>
                <w:color w:val="292425"/>
                <w:spacing w:val="-32"/>
                <w:w w:val="120"/>
                <w:sz w:val="16"/>
              </w:rPr>
              <w:t> </w:t>
            </w:r>
            <w:r>
              <w:rPr>
                <w:color w:val="292425"/>
                <w:spacing w:val="-4"/>
                <w:w w:val="120"/>
                <w:sz w:val="16"/>
              </w:rPr>
              <w:t>821</w:t>
            </w:r>
          </w:p>
        </w:tc>
        <w:tc>
          <w:tcPr>
            <w:tcW w:w="2101" w:type="dxa"/>
            <w:tcBorders>
              <w:bottom w:val="single" w:sz="4" w:space="0" w:color="C9CBCC"/>
            </w:tcBorders>
          </w:tcPr>
          <w:p>
            <w:pPr>
              <w:pStyle w:val="TableParagraph"/>
              <w:spacing w:line="189" w:lineRule="exact"/>
              <w:ind w:right="322"/>
              <w:jc w:val="right"/>
              <w:rPr>
                <w:sz w:val="16"/>
              </w:rPr>
            </w:pPr>
            <w:r>
              <w:rPr>
                <w:color w:val="292425"/>
                <w:w w:val="120"/>
                <w:sz w:val="16"/>
              </w:rPr>
              <w:t>$  3, 285, 178</w:t>
            </w:r>
          </w:p>
        </w:tc>
        <w:tc>
          <w:tcPr>
            <w:tcW w:w="1732" w:type="dxa"/>
            <w:tcBorders>
              <w:bottom w:val="single" w:sz="4" w:space="0" w:color="C9CBCC"/>
            </w:tcBorders>
          </w:tcPr>
          <w:p>
            <w:pPr>
              <w:pStyle w:val="TableParagraph"/>
              <w:spacing w:line="189" w:lineRule="exact"/>
              <w:ind w:right="348"/>
              <w:jc w:val="right"/>
              <w:rPr>
                <w:sz w:val="16"/>
              </w:rPr>
            </w:pPr>
            <w:r>
              <w:rPr>
                <w:color w:val="292425"/>
                <w:w w:val="120"/>
                <w:sz w:val="16"/>
              </w:rPr>
              <w:t>$   2,767, 835</w:t>
            </w:r>
          </w:p>
        </w:tc>
        <w:tc>
          <w:tcPr>
            <w:tcW w:w="1710" w:type="dxa"/>
            <w:tcBorders>
              <w:bottom w:val="single" w:sz="4" w:space="0" w:color="C9CBCC"/>
            </w:tcBorders>
          </w:tcPr>
          <w:p>
            <w:pPr>
              <w:pStyle w:val="TableParagraph"/>
              <w:spacing w:line="189" w:lineRule="exact"/>
              <w:ind w:right="319"/>
              <w:jc w:val="right"/>
              <w:rPr>
                <w:sz w:val="16"/>
              </w:rPr>
            </w:pPr>
            <w:r>
              <w:rPr>
                <w:color w:val="292425"/>
                <w:w w:val="120"/>
                <w:sz w:val="16"/>
              </w:rPr>
              <w:t>$  2, 497, 765</w:t>
            </w:r>
          </w:p>
        </w:tc>
        <w:tc>
          <w:tcPr>
            <w:tcW w:w="1615" w:type="dxa"/>
            <w:tcBorders>
              <w:bottom w:val="single" w:sz="4" w:space="0" w:color="C9CBCC"/>
            </w:tcBorders>
          </w:tcPr>
          <w:p>
            <w:pPr>
              <w:pStyle w:val="TableParagraph"/>
              <w:spacing w:line="189" w:lineRule="exact"/>
              <w:ind w:right="274"/>
              <w:jc w:val="right"/>
              <w:rPr>
                <w:sz w:val="16"/>
              </w:rPr>
            </w:pPr>
            <w:r>
              <w:rPr>
                <w:color w:val="292425"/>
                <w:w w:val="120"/>
                <w:sz w:val="16"/>
              </w:rPr>
              <w:t>$ 2, 216, 342</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98, 500</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94, 758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80, 005</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65, 825</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54, 419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42, 897</w:t>
            </w:r>
          </w:p>
        </w:tc>
      </w:tr>
      <w:tr>
        <w:trPr>
          <w:trHeight w:val="300" w:hRule="exact"/>
        </w:trPr>
        <w:tc>
          <w:tcPr>
            <w:tcW w:w="2229" w:type="dxa"/>
            <w:tcBorders>
              <w:top w:val="single" w:sz="4" w:space="0" w:color="C9CBCC"/>
              <w:bottom w:val="single" w:sz="4" w:space="0" w:color="C9CBCC"/>
            </w:tcBorders>
          </w:tcPr>
          <w:p>
            <w:pPr>
              <w:pStyle w:val="TableParagraph"/>
              <w:tabs>
                <w:tab w:pos="454" w:val="left" w:leader="none"/>
              </w:tabs>
              <w:spacing w:before="109"/>
              <w:ind w:right="721"/>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55,</w:t>
            </w:r>
            <w:r>
              <w:rPr>
                <w:color w:val="292425"/>
                <w:spacing w:val="-32"/>
                <w:w w:val="120"/>
                <w:sz w:val="16"/>
                <w:u w:val="single" w:color="292425"/>
              </w:rPr>
              <w:t> </w:t>
            </w:r>
            <w:r>
              <w:rPr>
                <w:color w:val="292425"/>
                <w:spacing w:val="-3"/>
                <w:w w:val="120"/>
                <w:sz w:val="16"/>
                <w:u w:val="single" w:color="292425"/>
              </w:rPr>
              <w:t>451</w:t>
            </w:r>
          </w:p>
        </w:tc>
        <w:tc>
          <w:tcPr>
            <w:tcW w:w="1100" w:type="dxa"/>
            <w:tcBorders>
              <w:top w:val="single" w:sz="4" w:space="0" w:color="C9CBCC"/>
              <w:bottom w:val="single" w:sz="4" w:space="0" w:color="C9CBCC"/>
            </w:tcBorders>
          </w:tcPr>
          <w:p>
            <w:pPr>
              <w:pStyle w:val="TableParagraph"/>
              <w:tabs>
                <w:tab w:pos="468"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52,</w:t>
            </w:r>
            <w:r>
              <w:rPr>
                <w:color w:val="292425"/>
                <w:spacing w:val="-27"/>
                <w:w w:val="120"/>
                <w:sz w:val="16"/>
                <w:u w:val="single" w:color="292425"/>
              </w:rPr>
              <w:t> </w:t>
            </w:r>
            <w:r>
              <w:rPr>
                <w:color w:val="292425"/>
                <w:spacing w:val="-6"/>
                <w:w w:val="120"/>
                <w:sz w:val="16"/>
                <w:u w:val="single" w:color="292425"/>
              </w:rPr>
              <w:t>242</w:t>
            </w:r>
          </w:p>
        </w:tc>
        <w:tc>
          <w:tcPr>
            <w:tcW w:w="2101" w:type="dxa"/>
            <w:tcBorders>
              <w:top w:val="single" w:sz="4" w:space="0" w:color="C9CBCC"/>
              <w:bottom w:val="single" w:sz="4" w:space="0" w:color="C9CBCC"/>
            </w:tcBorders>
          </w:tcPr>
          <w:p>
            <w:pPr>
              <w:pStyle w:val="TableParagraph"/>
              <w:tabs>
                <w:tab w:pos="443"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40,</w:t>
            </w:r>
            <w:r>
              <w:rPr>
                <w:color w:val="292425"/>
                <w:spacing w:val="-28"/>
                <w:w w:val="120"/>
                <w:sz w:val="16"/>
                <w:u w:val="single" w:color="292425"/>
              </w:rPr>
              <w:t> </w:t>
            </w:r>
            <w:r>
              <w:rPr>
                <w:color w:val="292425"/>
                <w:spacing w:val="-3"/>
                <w:w w:val="120"/>
                <w:sz w:val="16"/>
                <w:u w:val="single" w:color="292425"/>
              </w:rPr>
              <w:t>987</w:t>
            </w:r>
          </w:p>
        </w:tc>
        <w:tc>
          <w:tcPr>
            <w:tcW w:w="1732" w:type="dxa"/>
            <w:tcBorders>
              <w:top w:val="single" w:sz="4" w:space="0" w:color="C9CBCC"/>
              <w:bottom w:val="single" w:sz="4" w:space="0" w:color="C9CBCC"/>
            </w:tcBorders>
          </w:tcPr>
          <w:p>
            <w:pPr>
              <w:pStyle w:val="TableParagraph"/>
              <w:tabs>
                <w:tab w:pos="464" w:val="left" w:leader="none"/>
              </w:tabs>
              <w:spacing w:before="109"/>
              <w:ind w:right="351"/>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39,091</w:t>
            </w:r>
          </w:p>
        </w:tc>
        <w:tc>
          <w:tcPr>
            <w:tcW w:w="1710" w:type="dxa"/>
            <w:tcBorders>
              <w:top w:val="single" w:sz="4" w:space="0" w:color="C9CBCC"/>
              <w:bottom w:val="single" w:sz="4" w:space="0" w:color="C9CBCC"/>
            </w:tcBorders>
          </w:tcPr>
          <w:p>
            <w:pPr>
              <w:pStyle w:val="TableParagraph"/>
              <w:tabs>
                <w:tab w:pos="436"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39,</w:t>
            </w:r>
            <w:r>
              <w:rPr>
                <w:color w:val="292425"/>
                <w:spacing w:val="-29"/>
                <w:w w:val="120"/>
                <w:sz w:val="16"/>
                <w:u w:val="single" w:color="292425"/>
              </w:rPr>
              <w:t> </w:t>
            </w:r>
            <w:r>
              <w:rPr>
                <w:color w:val="292425"/>
                <w:spacing w:val="-3"/>
                <w:w w:val="120"/>
                <w:sz w:val="16"/>
                <w:u w:val="single" w:color="292425"/>
              </w:rPr>
              <w:t>749</w:t>
            </w:r>
          </w:p>
        </w:tc>
        <w:tc>
          <w:tcPr>
            <w:tcW w:w="1615" w:type="dxa"/>
            <w:tcBorders>
              <w:top w:val="single" w:sz="4" w:space="0" w:color="C9CBCC"/>
              <w:bottom w:val="single" w:sz="4" w:space="0" w:color="C9CBCC"/>
            </w:tcBorders>
          </w:tcPr>
          <w:p>
            <w:pPr>
              <w:pStyle w:val="TableParagraph"/>
              <w:tabs>
                <w:tab w:pos="418"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37,</w:t>
            </w:r>
            <w:r>
              <w:rPr>
                <w:color w:val="292425"/>
                <w:spacing w:val="-28"/>
                <w:w w:val="120"/>
                <w:sz w:val="16"/>
                <w:u w:val="single" w:color="292425"/>
              </w:rPr>
              <w:t> </w:t>
            </w:r>
            <w:r>
              <w:rPr>
                <w:color w:val="292425"/>
                <w:spacing w:val="-4"/>
                <w:w w:val="120"/>
                <w:sz w:val="16"/>
                <w:u w:val="single" w:color="292425"/>
              </w:rPr>
              <w:t>434</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4, 163, 980</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3, 816,821</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3, 406,170</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2,872, 751</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2, 591, 933</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2, 296, 673</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3, 480,369</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3, 292,585</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3, 055, 335</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2,559, 220</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32"/>
                <w:sz w:val="16"/>
                <w:u w:val="single" w:color="292425"/>
              </w:rPr>
              <w:t> </w:t>
            </w:r>
            <w:r>
              <w:rPr>
                <w:color w:val="292425"/>
                <w:sz w:val="16"/>
                <w:u w:val="single" w:color="292425"/>
              </w:rPr>
              <w:t>   </w:t>
            </w:r>
            <w:r>
              <w:rPr>
                <w:color w:val="292425"/>
                <w:w w:val="115"/>
                <w:sz w:val="16"/>
                <w:u w:val="single" w:color="292425"/>
              </w:rPr>
              <w:t>2,275, 224</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32"/>
                <w:sz w:val="16"/>
                <w:u w:val="single" w:color="292425"/>
              </w:rPr>
              <w:t> </w:t>
            </w:r>
            <w:r>
              <w:rPr>
                <w:color w:val="292425"/>
                <w:sz w:val="16"/>
                <w:u w:val="single" w:color="292425"/>
              </w:rPr>
              <w:t>   </w:t>
            </w:r>
            <w:r>
              <w:rPr>
                <w:color w:val="292425"/>
                <w:w w:val="120"/>
                <w:sz w:val="16"/>
                <w:u w:val="single" w:color="292425"/>
              </w:rPr>
              <w:t>2, 004, 700</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683, 611</w:t>
            </w:r>
          </w:p>
        </w:tc>
        <w:tc>
          <w:tcPr>
            <w:tcW w:w="1100" w:type="dxa"/>
            <w:tcBorders>
              <w:top w:val="single" w:sz="4" w:space="0" w:color="C9CBCC"/>
              <w:bottom w:val="single" w:sz="4" w:space="0" w:color="C9CBCC"/>
            </w:tcBorders>
          </w:tcPr>
          <w:p>
            <w:pPr>
              <w:pStyle w:val="TableParagraph"/>
              <w:spacing w:before="109"/>
              <w:ind w:right="39"/>
              <w:jc w:val="right"/>
              <w:rPr>
                <w:sz w:val="16"/>
              </w:rPr>
            </w:pPr>
            <w:r>
              <w:rPr>
                <w:color w:val="292425"/>
                <w:w w:val="120"/>
                <w:sz w:val="16"/>
              </w:rPr>
              <w:t>524, 236</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350, 835</w:t>
            </w:r>
          </w:p>
        </w:tc>
        <w:tc>
          <w:tcPr>
            <w:tcW w:w="1732" w:type="dxa"/>
            <w:tcBorders>
              <w:top w:val="single" w:sz="4" w:space="0" w:color="C9CBCC"/>
              <w:bottom w:val="single" w:sz="4" w:space="0" w:color="C9CBCC"/>
            </w:tcBorders>
          </w:tcPr>
          <w:p>
            <w:pPr>
              <w:pStyle w:val="TableParagraph"/>
              <w:spacing w:before="109"/>
              <w:ind w:right="348"/>
              <w:jc w:val="right"/>
              <w:rPr>
                <w:sz w:val="16"/>
              </w:rPr>
            </w:pPr>
            <w:r>
              <w:rPr>
                <w:color w:val="292425"/>
                <w:w w:val="115"/>
                <w:sz w:val="16"/>
              </w:rPr>
              <w:t>313, 531</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316, 709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291, 973</w:t>
            </w:r>
          </w:p>
        </w:tc>
      </w:tr>
      <w:tr>
        <w:trPr>
          <w:trHeight w:val="300" w:hRule="exact"/>
        </w:trPr>
        <w:tc>
          <w:tcPr>
            <w:tcW w:w="2229" w:type="dxa"/>
            <w:tcBorders>
              <w:top w:val="single" w:sz="4" w:space="0" w:color="C9CBCC"/>
              <w:bottom w:val="single" w:sz="4" w:space="0" w:color="C9CBCC"/>
            </w:tcBorders>
          </w:tcPr>
          <w:p>
            <w:pPr>
              <w:pStyle w:val="TableParagraph"/>
              <w:tabs>
                <w:tab w:pos="409" w:val="left" w:leader="none"/>
              </w:tabs>
              <w:spacing w:before="109"/>
              <w:ind w:right="686"/>
              <w:jc w:val="right"/>
              <w:rPr>
                <w:sz w:val="16"/>
              </w:rPr>
            </w:pPr>
            <w:r>
              <w:rPr>
                <w:color w:val="292425"/>
                <w:w w:val="132"/>
                <w:sz w:val="16"/>
                <w:u w:val="single" w:color="292425"/>
              </w:rPr>
              <w:t> </w:t>
            </w:r>
            <w:r>
              <w:rPr>
                <w:color w:val="292425"/>
                <w:sz w:val="16"/>
                <w:u w:val="single" w:color="292425"/>
              </w:rPr>
              <w:tab/>
            </w:r>
            <w:r>
              <w:rPr>
                <w:color w:val="292425"/>
                <w:w w:val="115"/>
                <w:sz w:val="16"/>
                <w:u w:val="single" w:color="292425"/>
              </w:rPr>
              <w:t>(21,</w:t>
            </w:r>
            <w:r>
              <w:rPr>
                <w:color w:val="292425"/>
                <w:spacing w:val="-14"/>
                <w:w w:val="115"/>
                <w:sz w:val="16"/>
                <w:u w:val="single" w:color="292425"/>
              </w:rPr>
              <w:t> </w:t>
            </w:r>
            <w:r>
              <w:rPr>
                <w:color w:val="292425"/>
                <w:spacing w:val="-6"/>
                <w:w w:val="115"/>
                <w:sz w:val="16"/>
                <w:u w:val="single" w:color="292425"/>
              </w:rPr>
              <w:t>501)</w:t>
            </w:r>
          </w:p>
        </w:tc>
        <w:tc>
          <w:tcPr>
            <w:tcW w:w="1100" w:type="dxa"/>
            <w:tcBorders>
              <w:top w:val="single" w:sz="4" w:space="0" w:color="C9CBCC"/>
              <w:bottom w:val="single" w:sz="4" w:space="0" w:color="C9CBCC"/>
            </w:tcBorders>
          </w:tcPr>
          <w:p>
            <w:pPr>
              <w:pStyle w:val="TableParagraph"/>
              <w:tabs>
                <w:tab w:pos="561"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spacing w:val="3"/>
                <w:w w:val="115"/>
                <w:sz w:val="16"/>
                <w:u w:val="single" w:color="292425"/>
              </w:rPr>
              <w:t>7,280</w:t>
            </w:r>
          </w:p>
        </w:tc>
        <w:tc>
          <w:tcPr>
            <w:tcW w:w="2101" w:type="dxa"/>
            <w:tcBorders>
              <w:top w:val="single" w:sz="4" w:space="0" w:color="C9CBCC"/>
              <w:bottom w:val="single" w:sz="4" w:space="0" w:color="C9CBCC"/>
            </w:tcBorders>
          </w:tcPr>
          <w:p>
            <w:pPr>
              <w:pStyle w:val="TableParagraph"/>
              <w:tabs>
                <w:tab w:pos="532"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spacing w:val="5"/>
                <w:w w:val="120"/>
                <w:sz w:val="16"/>
                <w:u w:val="single" w:color="292425"/>
              </w:rPr>
              <w:t>9,</w:t>
            </w:r>
            <w:r>
              <w:rPr>
                <w:color w:val="292425"/>
                <w:spacing w:val="-27"/>
                <w:w w:val="120"/>
                <w:sz w:val="16"/>
                <w:u w:val="single" w:color="292425"/>
              </w:rPr>
              <w:t> </w:t>
            </w:r>
            <w:r>
              <w:rPr>
                <w:color w:val="292425"/>
                <w:spacing w:val="-4"/>
                <w:w w:val="120"/>
                <w:sz w:val="16"/>
                <w:u w:val="single" w:color="292425"/>
              </w:rPr>
              <w:t>473</w:t>
            </w:r>
          </w:p>
        </w:tc>
        <w:tc>
          <w:tcPr>
            <w:tcW w:w="1732" w:type="dxa"/>
            <w:tcBorders>
              <w:top w:val="single" w:sz="4" w:space="0" w:color="C9CBCC"/>
              <w:bottom w:val="single" w:sz="4" w:space="0" w:color="C9CBCC"/>
            </w:tcBorders>
          </w:tcPr>
          <w:p>
            <w:pPr>
              <w:pStyle w:val="TableParagraph"/>
              <w:tabs>
                <w:tab w:pos="552" w:val="left" w:leader="none"/>
              </w:tabs>
              <w:spacing w:before="109"/>
              <w:ind w:right="350"/>
              <w:jc w:val="right"/>
              <w:rPr>
                <w:sz w:val="16"/>
              </w:rPr>
            </w:pPr>
            <w:r>
              <w:rPr>
                <w:color w:val="292425"/>
                <w:w w:val="132"/>
                <w:sz w:val="16"/>
                <w:u w:val="single" w:color="292425"/>
              </w:rPr>
              <w:t> </w:t>
            </w:r>
            <w:r>
              <w:rPr>
                <w:color w:val="292425"/>
                <w:sz w:val="16"/>
                <w:u w:val="single" w:color="292425"/>
              </w:rPr>
              <w:tab/>
            </w:r>
            <w:r>
              <w:rPr>
                <w:color w:val="292425"/>
                <w:spacing w:val="6"/>
                <w:w w:val="120"/>
                <w:sz w:val="16"/>
                <w:u w:val="single" w:color="292425"/>
              </w:rPr>
              <w:t>8,</w:t>
            </w:r>
            <w:r>
              <w:rPr>
                <w:color w:val="292425"/>
                <w:spacing w:val="-28"/>
                <w:w w:val="120"/>
                <w:sz w:val="16"/>
                <w:u w:val="single" w:color="292425"/>
              </w:rPr>
              <w:t> </w:t>
            </w:r>
            <w:r>
              <w:rPr>
                <w:color w:val="292425"/>
                <w:spacing w:val="-4"/>
                <w:w w:val="120"/>
                <w:sz w:val="16"/>
                <w:u w:val="single" w:color="292425"/>
              </w:rPr>
              <w:t>391</w:t>
            </w:r>
          </w:p>
        </w:tc>
        <w:tc>
          <w:tcPr>
            <w:tcW w:w="1710" w:type="dxa"/>
            <w:tcBorders>
              <w:top w:val="single" w:sz="4" w:space="0" w:color="C9CBCC"/>
              <w:bottom w:val="single" w:sz="4" w:space="0" w:color="C9CBCC"/>
            </w:tcBorders>
          </w:tcPr>
          <w:p>
            <w:pPr>
              <w:pStyle w:val="TableParagraph"/>
              <w:tabs>
                <w:tab w:pos="433" w:val="left" w:leader="none"/>
              </w:tabs>
              <w:spacing w:before="109"/>
              <w:ind w:right="319"/>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17,</w:t>
            </w:r>
            <w:r>
              <w:rPr>
                <w:color w:val="292425"/>
                <w:spacing w:val="-24"/>
                <w:w w:val="120"/>
                <w:sz w:val="16"/>
                <w:u w:val="single" w:color="292425"/>
              </w:rPr>
              <w:t> </w:t>
            </w:r>
            <w:r>
              <w:rPr>
                <w:color w:val="292425"/>
                <w:spacing w:val="-3"/>
                <w:w w:val="120"/>
                <w:sz w:val="16"/>
                <w:u w:val="single" w:color="292425"/>
              </w:rPr>
              <w:t>186</w:t>
            </w:r>
          </w:p>
        </w:tc>
        <w:tc>
          <w:tcPr>
            <w:tcW w:w="1615" w:type="dxa"/>
            <w:tcBorders>
              <w:top w:val="single" w:sz="4" w:space="0" w:color="C9CBCC"/>
              <w:bottom w:val="single" w:sz="4" w:space="0" w:color="C9CBCC"/>
            </w:tcBorders>
          </w:tcPr>
          <w:p>
            <w:pPr>
              <w:pStyle w:val="TableParagraph"/>
              <w:tabs>
                <w:tab w:pos="417"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spacing w:val="3"/>
                <w:w w:val="120"/>
                <w:sz w:val="16"/>
                <w:u w:val="single" w:color="292425"/>
              </w:rPr>
              <w:t>32,</w:t>
            </w:r>
            <w:r>
              <w:rPr>
                <w:color w:val="292425"/>
                <w:spacing w:val="-28"/>
                <w:w w:val="120"/>
                <w:sz w:val="16"/>
                <w:u w:val="single" w:color="292425"/>
              </w:rPr>
              <w:t> </w:t>
            </w:r>
            <w:r>
              <w:rPr>
                <w:color w:val="292425"/>
                <w:spacing w:val="-4"/>
                <w:w w:val="120"/>
                <w:sz w:val="16"/>
                <w:u w:val="single" w:color="292425"/>
              </w:rPr>
              <w:t>336</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705,112</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516, 956</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341, 362</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305, 140</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299, 523</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259, 637</w:t>
            </w:r>
          </w:p>
        </w:tc>
      </w:tr>
      <w:tr>
        <w:trPr>
          <w:trHeight w:val="300" w:hRule="exact"/>
        </w:trPr>
        <w:tc>
          <w:tcPr>
            <w:tcW w:w="2229" w:type="dxa"/>
            <w:tcBorders>
              <w:top w:val="single" w:sz="4" w:space="0" w:color="C9CBCC"/>
              <w:bottom w:val="single" w:sz="4" w:space="0" w:color="C9CBCC"/>
            </w:tcBorders>
          </w:tcPr>
          <w:p>
            <w:pPr>
              <w:pStyle w:val="TableParagraph"/>
              <w:tabs>
                <w:tab w:pos="364" w:val="left" w:leader="none"/>
              </w:tabs>
              <w:spacing w:before="109"/>
              <w:ind w:right="721"/>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271,</w:t>
            </w:r>
            <w:r>
              <w:rPr>
                <w:color w:val="292425"/>
                <w:spacing w:val="-27"/>
                <w:w w:val="120"/>
                <w:sz w:val="16"/>
                <w:u w:val="single" w:color="292425"/>
              </w:rPr>
              <w:t> </w:t>
            </w:r>
            <w:r>
              <w:rPr>
                <w:color w:val="292425"/>
                <w:spacing w:val="-4"/>
                <w:w w:val="120"/>
                <w:sz w:val="16"/>
                <w:u w:val="single" w:color="292425"/>
              </w:rPr>
              <w:t>681</w:t>
            </w:r>
          </w:p>
        </w:tc>
        <w:tc>
          <w:tcPr>
            <w:tcW w:w="1100" w:type="dxa"/>
            <w:tcBorders>
              <w:top w:val="single" w:sz="4" w:space="0" w:color="C9CBCC"/>
              <w:bottom w:val="single" w:sz="4" w:space="0" w:color="C9CBCC"/>
            </w:tcBorders>
          </w:tcPr>
          <w:p>
            <w:pPr>
              <w:pStyle w:val="TableParagraph"/>
              <w:tabs>
                <w:tab w:pos="375" w:val="left" w:leader="none"/>
              </w:tabs>
              <w:spacing w:before="109"/>
              <w:ind w:right="33"/>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199,184</w:t>
            </w:r>
          </w:p>
        </w:tc>
        <w:tc>
          <w:tcPr>
            <w:tcW w:w="2101" w:type="dxa"/>
            <w:tcBorders>
              <w:top w:val="single" w:sz="4" w:space="0" w:color="C9CBCC"/>
              <w:bottom w:val="single" w:sz="4" w:space="0" w:color="C9CBCC"/>
            </w:tcBorders>
          </w:tcPr>
          <w:p>
            <w:pPr>
              <w:pStyle w:val="TableParagraph"/>
              <w:tabs>
                <w:tab w:pos="350" w:val="left" w:leader="none"/>
              </w:tabs>
              <w:spacing w:before="109"/>
              <w:ind w:right="322"/>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134,</w:t>
            </w:r>
            <w:r>
              <w:rPr>
                <w:color w:val="292425"/>
                <w:spacing w:val="-30"/>
                <w:w w:val="120"/>
                <w:sz w:val="16"/>
                <w:u w:val="single" w:color="292425"/>
              </w:rPr>
              <w:t> </w:t>
            </w:r>
            <w:r>
              <w:rPr>
                <w:color w:val="292425"/>
                <w:spacing w:val="-4"/>
                <w:w w:val="120"/>
                <w:sz w:val="16"/>
                <w:u w:val="single" w:color="292425"/>
              </w:rPr>
              <w:t>025</w:t>
            </w:r>
          </w:p>
        </w:tc>
        <w:tc>
          <w:tcPr>
            <w:tcW w:w="1732" w:type="dxa"/>
            <w:tcBorders>
              <w:top w:val="single" w:sz="4" w:space="0" w:color="C9CBCC"/>
              <w:bottom w:val="single" w:sz="4" w:space="0" w:color="C9CBCC"/>
            </w:tcBorders>
          </w:tcPr>
          <w:p>
            <w:pPr>
              <w:pStyle w:val="TableParagraph"/>
              <w:tabs>
                <w:tab w:pos="365" w:val="left" w:leader="none"/>
              </w:tabs>
              <w:spacing w:before="109"/>
              <w:ind w:right="349"/>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122,514</w:t>
            </w:r>
          </w:p>
        </w:tc>
        <w:tc>
          <w:tcPr>
            <w:tcW w:w="1710" w:type="dxa"/>
            <w:tcBorders>
              <w:top w:val="single" w:sz="4" w:space="0" w:color="C9CBCC"/>
              <w:bottom w:val="single" w:sz="4" w:space="0" w:color="C9CBCC"/>
            </w:tcBorders>
          </w:tcPr>
          <w:p>
            <w:pPr>
              <w:pStyle w:val="TableParagraph"/>
              <w:tabs>
                <w:tab w:pos="344" w:val="left" w:leader="none"/>
              </w:tabs>
              <w:spacing w:before="109"/>
              <w:ind w:right="319"/>
              <w:jc w:val="right"/>
              <w:rPr>
                <w:sz w:val="16"/>
              </w:rPr>
            </w:pPr>
            <w:r>
              <w:rPr>
                <w:color w:val="292425"/>
                <w:w w:val="132"/>
                <w:sz w:val="16"/>
                <w:u w:val="single" w:color="292425"/>
              </w:rPr>
              <w:t> </w:t>
            </w:r>
            <w:r>
              <w:rPr>
                <w:color w:val="292425"/>
                <w:sz w:val="16"/>
                <w:u w:val="single" w:color="292425"/>
              </w:rPr>
              <w:tab/>
            </w:r>
            <w:r>
              <w:rPr>
                <w:color w:val="292425"/>
                <w:spacing w:val="-2"/>
                <w:w w:val="115"/>
                <w:sz w:val="16"/>
                <w:u w:val="single" w:color="292425"/>
              </w:rPr>
              <w:t>120,192</w:t>
            </w:r>
          </w:p>
        </w:tc>
        <w:tc>
          <w:tcPr>
            <w:tcW w:w="1615" w:type="dxa"/>
            <w:tcBorders>
              <w:top w:val="single" w:sz="4" w:space="0" w:color="C9CBCC"/>
              <w:bottom w:val="single" w:sz="4" w:space="0" w:color="C9CBCC"/>
            </w:tcBorders>
          </w:tcPr>
          <w:p>
            <w:pPr>
              <w:pStyle w:val="TableParagraph"/>
              <w:tabs>
                <w:tab w:pos="317" w:val="left" w:leader="none"/>
              </w:tabs>
              <w:spacing w:before="109"/>
              <w:ind w:right="274"/>
              <w:jc w:val="right"/>
              <w:rPr>
                <w:sz w:val="16"/>
              </w:rPr>
            </w:pPr>
            <w:r>
              <w:rPr>
                <w:color w:val="292425"/>
                <w:w w:val="132"/>
                <w:sz w:val="16"/>
                <w:u w:val="single" w:color="292425"/>
              </w:rPr>
              <w:t> </w:t>
            </w:r>
            <w:r>
              <w:rPr>
                <w:color w:val="292425"/>
                <w:sz w:val="16"/>
                <w:u w:val="single" w:color="292425"/>
              </w:rPr>
              <w:tab/>
            </w:r>
            <w:r>
              <w:rPr>
                <w:color w:val="292425"/>
                <w:w w:val="120"/>
                <w:sz w:val="16"/>
                <w:u w:val="single" w:color="292425"/>
              </w:rPr>
              <w:t>105</w:t>
            </w:r>
            <w:r>
              <w:rPr>
                <w:color w:val="292425"/>
                <w:spacing w:val="-31"/>
                <w:w w:val="120"/>
                <w:sz w:val="16"/>
                <w:u w:val="single" w:color="292425"/>
              </w:rPr>
              <w:t> </w:t>
            </w:r>
            <w:r>
              <w:rPr>
                <w:color w:val="292425"/>
                <w:w w:val="120"/>
                <w:sz w:val="16"/>
                <w:u w:val="single" w:color="292425"/>
              </w:rPr>
              <w:t>,</w:t>
            </w:r>
            <w:r>
              <w:rPr>
                <w:color w:val="292425"/>
                <w:spacing w:val="-28"/>
                <w:w w:val="120"/>
                <w:sz w:val="16"/>
                <w:u w:val="single" w:color="292425"/>
              </w:rPr>
              <w:t> </w:t>
            </w:r>
            <w:r>
              <w:rPr>
                <w:color w:val="292425"/>
                <w:spacing w:val="-5"/>
                <w:w w:val="120"/>
                <w:sz w:val="16"/>
                <w:u w:val="single" w:color="292425"/>
              </w:rPr>
              <w:t>353</w:t>
            </w:r>
          </w:p>
        </w:tc>
      </w:tr>
      <w:tr>
        <w:trPr>
          <w:trHeight w:val="300" w:hRule="exact"/>
        </w:trPr>
        <w:tc>
          <w:tcPr>
            <w:tcW w:w="2229" w:type="dxa"/>
            <w:tcBorders>
              <w:top w:val="single" w:sz="4" w:space="0" w:color="C9CBCC"/>
              <w:bottom w:val="single" w:sz="4" w:space="0" w:color="C9CBCC"/>
            </w:tcBorders>
          </w:tcPr>
          <w:p>
            <w:pPr>
              <w:pStyle w:val="TableParagraph"/>
              <w:tabs>
                <w:tab w:pos="408" w:val="left" w:leader="none"/>
              </w:tabs>
              <w:spacing w:before="109"/>
              <w:ind w:right="721"/>
              <w:jc w:val="right"/>
              <w:rPr>
                <w:sz w:val="16"/>
              </w:rPr>
            </w:pPr>
            <w:r>
              <w:rPr>
                <w:color w:val="292425"/>
                <w:w w:val="120"/>
                <w:sz w:val="16"/>
              </w:rPr>
              <w:t>$</w:t>
              <w:tab/>
            </w:r>
            <w:r>
              <w:rPr>
                <w:color w:val="292425"/>
                <w:w w:val="120"/>
                <w:sz w:val="16"/>
                <w:u w:val="single" w:color="292425"/>
              </w:rPr>
              <w:t>433,</w:t>
            </w:r>
            <w:r>
              <w:rPr>
                <w:color w:val="292425"/>
                <w:spacing w:val="-27"/>
                <w:w w:val="120"/>
                <w:sz w:val="16"/>
                <w:u w:val="single" w:color="292425"/>
              </w:rPr>
              <w:t> </w:t>
            </w:r>
            <w:r>
              <w:rPr>
                <w:color w:val="292425"/>
                <w:spacing w:val="-3"/>
                <w:w w:val="120"/>
                <w:sz w:val="16"/>
                <w:u w:val="single" w:color="292425"/>
              </w:rPr>
              <w:t>431</w:t>
            </w:r>
          </w:p>
        </w:tc>
        <w:tc>
          <w:tcPr>
            <w:tcW w:w="1100" w:type="dxa"/>
            <w:tcBorders>
              <w:top w:val="single" w:sz="4" w:space="0" w:color="C9CBCC"/>
              <w:bottom w:val="single" w:sz="8" w:space="0" w:color="292425"/>
            </w:tcBorders>
          </w:tcPr>
          <w:p>
            <w:pPr>
              <w:pStyle w:val="TableParagraph"/>
              <w:tabs>
                <w:tab w:pos="431" w:val="left" w:leader="none"/>
              </w:tabs>
              <w:spacing w:before="109"/>
              <w:ind w:right="33"/>
              <w:jc w:val="right"/>
              <w:rPr>
                <w:sz w:val="16"/>
              </w:rPr>
            </w:pPr>
            <w:r>
              <w:rPr>
                <w:color w:val="292425"/>
                <w:w w:val="120"/>
                <w:sz w:val="16"/>
              </w:rPr>
              <w:t>$</w:t>
              <w:tab/>
              <w:t>317,</w:t>
            </w:r>
            <w:r>
              <w:rPr>
                <w:color w:val="292425"/>
                <w:spacing w:val="-29"/>
                <w:w w:val="120"/>
                <w:sz w:val="16"/>
              </w:rPr>
              <w:t> </w:t>
            </w:r>
            <w:r>
              <w:rPr>
                <w:color w:val="292425"/>
                <w:spacing w:val="-5"/>
                <w:w w:val="120"/>
                <w:sz w:val="16"/>
              </w:rPr>
              <w:t>772</w:t>
            </w:r>
          </w:p>
        </w:tc>
        <w:tc>
          <w:tcPr>
            <w:tcW w:w="2101" w:type="dxa"/>
            <w:tcBorders>
              <w:top w:val="single" w:sz="4" w:space="0" w:color="C9CBCC"/>
              <w:bottom w:val="single" w:sz="4" w:space="0" w:color="C9CBCC"/>
            </w:tcBorders>
          </w:tcPr>
          <w:p>
            <w:pPr>
              <w:pStyle w:val="TableParagraph"/>
              <w:tabs>
                <w:tab w:pos="398" w:val="left" w:leader="none"/>
              </w:tabs>
              <w:spacing w:before="109"/>
              <w:ind w:right="322"/>
              <w:jc w:val="right"/>
              <w:rPr>
                <w:sz w:val="16"/>
              </w:rPr>
            </w:pPr>
            <w:r>
              <w:rPr>
                <w:color w:val="292425"/>
                <w:w w:val="120"/>
                <w:sz w:val="16"/>
              </w:rPr>
              <w:t>$</w:t>
              <w:tab/>
            </w:r>
            <w:r>
              <w:rPr>
                <w:color w:val="292425"/>
                <w:w w:val="120"/>
                <w:sz w:val="16"/>
                <w:u w:val="single" w:color="292425"/>
              </w:rPr>
              <w:t>207,</w:t>
            </w:r>
            <w:r>
              <w:rPr>
                <w:color w:val="292425"/>
                <w:spacing w:val="-29"/>
                <w:w w:val="120"/>
                <w:sz w:val="16"/>
                <w:u w:val="single" w:color="292425"/>
              </w:rPr>
              <w:t> </w:t>
            </w:r>
            <w:r>
              <w:rPr>
                <w:color w:val="292425"/>
                <w:spacing w:val="-4"/>
                <w:w w:val="120"/>
                <w:sz w:val="16"/>
                <w:u w:val="single" w:color="292425"/>
              </w:rPr>
              <w:t>337</w:t>
            </w:r>
          </w:p>
        </w:tc>
        <w:tc>
          <w:tcPr>
            <w:tcW w:w="1732" w:type="dxa"/>
            <w:tcBorders>
              <w:top w:val="single" w:sz="4" w:space="0" w:color="C9CBCC"/>
              <w:bottom w:val="single" w:sz="4" w:space="0" w:color="C9CBCC"/>
            </w:tcBorders>
          </w:tcPr>
          <w:p>
            <w:pPr>
              <w:pStyle w:val="TableParagraph"/>
              <w:tabs>
                <w:tab w:pos="416" w:val="left" w:leader="none"/>
              </w:tabs>
              <w:spacing w:before="109"/>
              <w:ind w:right="350"/>
              <w:jc w:val="right"/>
              <w:rPr>
                <w:sz w:val="16"/>
              </w:rPr>
            </w:pPr>
            <w:r>
              <w:rPr>
                <w:color w:val="292425"/>
                <w:w w:val="120"/>
                <w:sz w:val="16"/>
              </w:rPr>
              <w:t>$</w:t>
              <w:tab/>
            </w:r>
            <w:r>
              <w:rPr>
                <w:color w:val="292425"/>
                <w:w w:val="120"/>
                <w:sz w:val="16"/>
                <w:u w:val="single" w:color="292425"/>
              </w:rPr>
              <w:t>182,</w:t>
            </w:r>
            <w:r>
              <w:rPr>
                <w:color w:val="292425"/>
                <w:spacing w:val="-28"/>
                <w:w w:val="120"/>
                <w:sz w:val="16"/>
                <w:u w:val="single" w:color="292425"/>
              </w:rPr>
              <w:t> </w:t>
            </w:r>
            <w:r>
              <w:rPr>
                <w:color w:val="292425"/>
                <w:spacing w:val="-3"/>
                <w:w w:val="120"/>
                <w:sz w:val="16"/>
                <w:u w:val="single" w:color="292425"/>
              </w:rPr>
              <w:t>626</w:t>
            </w:r>
          </w:p>
        </w:tc>
        <w:tc>
          <w:tcPr>
            <w:tcW w:w="1710" w:type="dxa"/>
            <w:tcBorders>
              <w:top w:val="single" w:sz="4" w:space="0" w:color="C9CBCC"/>
              <w:bottom w:val="single" w:sz="4" w:space="0" w:color="C9CBCC"/>
            </w:tcBorders>
          </w:tcPr>
          <w:p>
            <w:pPr>
              <w:pStyle w:val="TableParagraph"/>
              <w:tabs>
                <w:tab w:pos="400" w:val="left" w:leader="none"/>
              </w:tabs>
              <w:spacing w:before="109"/>
              <w:ind w:right="319"/>
              <w:jc w:val="right"/>
              <w:rPr>
                <w:sz w:val="16"/>
              </w:rPr>
            </w:pPr>
            <w:r>
              <w:rPr>
                <w:color w:val="292425"/>
                <w:w w:val="120"/>
                <w:sz w:val="16"/>
              </w:rPr>
              <w:t>$</w:t>
              <w:tab/>
            </w:r>
            <w:r>
              <w:rPr>
                <w:color w:val="292425"/>
                <w:w w:val="120"/>
                <w:sz w:val="16"/>
                <w:u w:val="single" w:color="292425"/>
              </w:rPr>
              <w:t>179,</w:t>
            </w:r>
            <w:r>
              <w:rPr>
                <w:color w:val="292425"/>
                <w:spacing w:val="-31"/>
                <w:w w:val="120"/>
                <w:sz w:val="16"/>
                <w:u w:val="single" w:color="292425"/>
              </w:rPr>
              <w:t> </w:t>
            </w:r>
            <w:r>
              <w:rPr>
                <w:color w:val="292425"/>
                <w:spacing w:val="-3"/>
                <w:w w:val="120"/>
                <w:sz w:val="16"/>
                <w:u w:val="single" w:color="292425"/>
              </w:rPr>
              <w:t>331</w:t>
            </w:r>
          </w:p>
        </w:tc>
        <w:tc>
          <w:tcPr>
            <w:tcW w:w="1615" w:type="dxa"/>
            <w:tcBorders>
              <w:top w:val="single" w:sz="4" w:space="0" w:color="C9CBCC"/>
              <w:bottom w:val="single" w:sz="4" w:space="0" w:color="C9CBCC"/>
            </w:tcBorders>
          </w:tcPr>
          <w:p>
            <w:pPr>
              <w:pStyle w:val="TableParagraph"/>
              <w:tabs>
                <w:tab w:pos="374" w:val="left" w:leader="none"/>
              </w:tabs>
              <w:spacing w:before="109"/>
              <w:ind w:right="277"/>
              <w:jc w:val="right"/>
              <w:rPr>
                <w:sz w:val="16"/>
              </w:rPr>
            </w:pPr>
            <w:r>
              <w:rPr>
                <w:color w:val="292425"/>
                <w:w w:val="120"/>
                <w:sz w:val="16"/>
              </w:rPr>
              <w:t>$</w:t>
              <w:tab/>
            </w:r>
            <w:r>
              <w:rPr>
                <w:color w:val="292425"/>
                <w:spacing w:val="2"/>
                <w:w w:val="120"/>
                <w:sz w:val="16"/>
                <w:u w:val="single" w:color="292425"/>
              </w:rPr>
              <w:t>154,</w:t>
            </w:r>
            <w:r>
              <w:rPr>
                <w:color w:val="292425"/>
                <w:spacing w:val="-29"/>
                <w:w w:val="120"/>
                <w:sz w:val="16"/>
                <w:u w:val="single" w:color="292425"/>
              </w:rPr>
              <w:t> </w:t>
            </w:r>
            <w:r>
              <w:rPr>
                <w:color w:val="292425"/>
                <w:spacing w:val="-6"/>
                <w:w w:val="120"/>
                <w:sz w:val="16"/>
                <w:u w:val="single" w:color="292425"/>
              </w:rPr>
              <w:t>284</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15"/>
                <w:sz w:val="16"/>
              </w:rPr>
              <w:t>$.58</w:t>
            </w:r>
          </w:p>
        </w:tc>
        <w:tc>
          <w:tcPr>
            <w:tcW w:w="1100" w:type="dxa"/>
            <w:tcBorders>
              <w:top w:val="single" w:sz="8" w:space="0" w:color="292425"/>
              <w:bottom w:val="single" w:sz="4" w:space="0" w:color="C9CBCC"/>
            </w:tcBorders>
          </w:tcPr>
          <w:p>
            <w:pPr>
              <w:pStyle w:val="TableParagraph"/>
              <w:spacing w:before="97"/>
              <w:ind w:right="33"/>
              <w:jc w:val="right"/>
              <w:rPr>
                <w:sz w:val="16"/>
              </w:rPr>
            </w:pPr>
            <w:r>
              <w:rPr>
                <w:color w:val="292425"/>
                <w:w w:val="115"/>
                <w:sz w:val="16"/>
              </w:rPr>
              <w:t>$.43</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$.28</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$.25</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$.25</w:t>
            </w:r>
          </w:p>
        </w:tc>
        <w:tc>
          <w:tcPr>
            <w:tcW w:w="1615" w:type="dxa"/>
            <w:tcBorders>
              <w:top w:val="single" w:sz="4" w:space="0" w:color="C9CBCC"/>
              <w:bottom w:val="single" w:sz="4" w:space="0" w:color="C9CBCC"/>
            </w:tcBorders>
          </w:tcPr>
          <w:p>
            <w:pPr>
              <w:pStyle w:val="TableParagraph"/>
              <w:spacing w:before="109"/>
              <w:ind w:right="276"/>
              <w:jc w:val="right"/>
              <w:rPr>
                <w:sz w:val="16"/>
              </w:rPr>
            </w:pPr>
            <w:r>
              <w:rPr>
                <w:color w:val="292425"/>
                <w:w w:val="115"/>
                <w:sz w:val="16"/>
              </w:rPr>
              <w:t>$.21</w:t>
            </w:r>
          </w:p>
        </w:tc>
      </w:tr>
      <w:tr>
        <w:trPr>
          <w:trHeight w:val="300" w:hRule="exact"/>
        </w:trPr>
        <w:tc>
          <w:tcPr>
            <w:tcW w:w="2229" w:type="dxa"/>
            <w:tcBorders>
              <w:top w:val="single" w:sz="4" w:space="0" w:color="C9CBCC"/>
              <w:bottom w:val="single" w:sz="4" w:space="0" w:color="C9CBCC"/>
            </w:tcBorders>
          </w:tcPr>
          <w:p>
            <w:pPr>
              <w:pStyle w:val="TableParagraph"/>
              <w:spacing w:before="109"/>
              <w:ind w:right="725"/>
              <w:jc w:val="right"/>
              <w:rPr>
                <w:sz w:val="16"/>
              </w:rPr>
            </w:pPr>
            <w:r>
              <w:rPr>
                <w:color w:val="292425"/>
                <w:w w:val="115"/>
                <w:sz w:val="16"/>
              </w:rPr>
              <w:t>$.55</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15"/>
                <w:sz w:val="16"/>
              </w:rPr>
              <w:t>$.41</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$.27</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$.24</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$.24</w:t>
            </w:r>
          </w:p>
        </w:tc>
        <w:tc>
          <w:tcPr>
            <w:tcW w:w="1615" w:type="dxa"/>
            <w:tcBorders>
              <w:top w:val="single" w:sz="4" w:space="0" w:color="C9CBCC"/>
              <w:bottom w:val="single" w:sz="4" w:space="0" w:color="C9CBCC"/>
            </w:tcBorders>
          </w:tcPr>
          <w:p>
            <w:pPr>
              <w:pStyle w:val="TableParagraph"/>
              <w:spacing w:before="109"/>
              <w:ind w:right="276"/>
              <w:jc w:val="right"/>
              <w:rPr>
                <w:sz w:val="16"/>
              </w:rPr>
            </w:pPr>
            <w:r>
              <w:rPr>
                <w:color w:val="292425"/>
                <w:w w:val="115"/>
                <w:sz w:val="16"/>
              </w:rPr>
              <w:t>$.21</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15"/>
                <w:sz w:val="16"/>
              </w:rPr>
              <w:t>$.0126</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15"/>
                <w:sz w:val="16"/>
              </w:rPr>
              <w:t>$.0098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15"/>
                <w:sz w:val="16"/>
              </w:rPr>
              <w:t>$.0087</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15"/>
                <w:sz w:val="16"/>
              </w:rPr>
              <w:t>$.0079</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15"/>
                <w:sz w:val="16"/>
              </w:rPr>
              <w:t>$.0079</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$.0076</w:t>
            </w:r>
          </w:p>
        </w:tc>
      </w:tr>
      <w:tr>
        <w:trPr>
          <w:trHeight w:val="300"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$ 4, 715, 996</w:t>
            </w:r>
          </w:p>
        </w:tc>
        <w:tc>
          <w:tcPr>
            <w:tcW w:w="1100" w:type="dxa"/>
            <w:tcBorders>
              <w:top w:val="single" w:sz="4" w:space="0" w:color="C9CBCC"/>
              <w:bottom w:val="single" w:sz="4" w:space="0" w:color="C9CBCC"/>
            </w:tcBorders>
          </w:tcPr>
          <w:p>
            <w:pPr>
              <w:pStyle w:val="TableParagraph"/>
              <w:spacing w:before="109"/>
              <w:ind w:right="40"/>
              <w:jc w:val="right"/>
              <w:rPr>
                <w:sz w:val="16"/>
              </w:rPr>
            </w:pPr>
            <w:r>
              <w:rPr>
                <w:color w:val="292425"/>
                <w:w w:val="120"/>
                <w:sz w:val="16"/>
              </w:rPr>
              <w:t>$   4, 246,160</w:t>
            </w:r>
          </w:p>
        </w:tc>
        <w:tc>
          <w:tcPr>
            <w:tcW w:w="2101" w:type="dxa"/>
            <w:tcBorders>
              <w:top w:val="single" w:sz="4" w:space="0" w:color="C9CBCC"/>
              <w:bottom w:val="single" w:sz="4" w:space="0" w:color="C9CBCC"/>
            </w:tcBorders>
          </w:tcPr>
          <w:p>
            <w:pPr>
              <w:pStyle w:val="TableParagraph"/>
              <w:spacing w:before="109"/>
              <w:ind w:right="327"/>
              <w:jc w:val="right"/>
              <w:rPr>
                <w:sz w:val="16"/>
              </w:rPr>
            </w:pPr>
            <w:r>
              <w:rPr>
                <w:color w:val="292425"/>
                <w:w w:val="120"/>
                <w:sz w:val="16"/>
              </w:rPr>
              <w:t>$  3, 723, 479</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   3, 256,122</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  2, 823, 071</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$ 2, 576, 037</w:t>
            </w:r>
          </w:p>
        </w:tc>
      </w:tr>
      <w:tr>
        <w:trPr>
          <w:trHeight w:val="300" w:hRule="exact"/>
        </w:trPr>
        <w:tc>
          <w:tcPr>
            <w:tcW w:w="2229" w:type="dxa"/>
            <w:tcBorders>
              <w:top w:val="single" w:sz="4" w:space="0" w:color="C9CBCC"/>
              <w:bottom w:val="single" w:sz="4" w:space="0" w:color="C9CBCC"/>
            </w:tcBorders>
          </w:tcPr>
          <w:p>
            <w:pPr>
              <w:pStyle w:val="TableParagraph"/>
              <w:tabs>
                <w:tab w:pos="412" w:val="left" w:leader="none"/>
              </w:tabs>
              <w:spacing w:before="109"/>
              <w:ind w:right="725"/>
              <w:jc w:val="right"/>
              <w:rPr>
                <w:sz w:val="16"/>
              </w:rPr>
            </w:pPr>
            <w:r>
              <w:rPr>
                <w:color w:val="292425"/>
                <w:w w:val="120"/>
                <w:sz w:val="16"/>
              </w:rPr>
              <w:t>$</w:t>
              <w:tab/>
              <w:t>623,</w:t>
            </w:r>
            <w:r>
              <w:rPr>
                <w:color w:val="292425"/>
                <w:spacing w:val="-33"/>
                <w:w w:val="120"/>
                <w:sz w:val="16"/>
              </w:rPr>
              <w:t> </w:t>
            </w:r>
            <w:r>
              <w:rPr>
                <w:color w:val="292425"/>
                <w:spacing w:val="-4"/>
                <w:w w:val="120"/>
                <w:sz w:val="16"/>
              </w:rPr>
              <w:t>309</w:t>
            </w:r>
          </w:p>
        </w:tc>
        <w:tc>
          <w:tcPr>
            <w:tcW w:w="1100" w:type="dxa"/>
            <w:tcBorders>
              <w:top w:val="single" w:sz="4" w:space="0" w:color="C9CBCC"/>
              <w:bottom w:val="single" w:sz="4" w:space="0" w:color="C9CBCC"/>
            </w:tcBorders>
          </w:tcPr>
          <w:p>
            <w:pPr>
              <w:pStyle w:val="TableParagraph"/>
              <w:tabs>
                <w:tab w:pos="429" w:val="left" w:leader="none"/>
              </w:tabs>
              <w:spacing w:before="109"/>
              <w:ind w:right="33"/>
              <w:jc w:val="right"/>
              <w:rPr>
                <w:sz w:val="16"/>
              </w:rPr>
            </w:pPr>
            <w:r>
              <w:rPr>
                <w:color w:val="292425"/>
                <w:w w:val="120"/>
                <w:sz w:val="16"/>
              </w:rPr>
              <w:t>$</w:t>
              <w:tab/>
            </w:r>
            <w:r>
              <w:rPr>
                <w:color w:val="292425"/>
                <w:w w:val="115"/>
                <w:sz w:val="16"/>
              </w:rPr>
              <w:t>628,106</w:t>
            </w:r>
          </w:p>
        </w:tc>
        <w:tc>
          <w:tcPr>
            <w:tcW w:w="2101" w:type="dxa"/>
            <w:tcBorders>
              <w:top w:val="single" w:sz="4" w:space="0" w:color="C9CBCC"/>
              <w:bottom w:val="single" w:sz="4" w:space="0" w:color="C9CBCC"/>
            </w:tcBorders>
          </w:tcPr>
          <w:p>
            <w:pPr>
              <w:pStyle w:val="TableParagraph"/>
              <w:tabs>
                <w:tab w:pos="398" w:val="left" w:leader="none"/>
              </w:tabs>
              <w:spacing w:before="109"/>
              <w:ind w:right="322"/>
              <w:jc w:val="right"/>
              <w:rPr>
                <w:sz w:val="16"/>
              </w:rPr>
            </w:pPr>
            <w:r>
              <w:rPr>
                <w:color w:val="292425"/>
                <w:w w:val="120"/>
                <w:sz w:val="16"/>
              </w:rPr>
              <w:t>$</w:t>
              <w:tab/>
              <w:t>650,</w:t>
            </w:r>
            <w:r>
              <w:rPr>
                <w:color w:val="292425"/>
                <w:spacing w:val="-33"/>
                <w:w w:val="120"/>
                <w:sz w:val="16"/>
              </w:rPr>
              <w:t> </w:t>
            </w:r>
            <w:r>
              <w:rPr>
                <w:color w:val="292425"/>
                <w:spacing w:val="-3"/>
                <w:w w:val="120"/>
                <w:sz w:val="16"/>
              </w:rPr>
              <w:t>226</w:t>
            </w:r>
          </w:p>
        </w:tc>
        <w:tc>
          <w:tcPr>
            <w:tcW w:w="1732" w:type="dxa"/>
            <w:tcBorders>
              <w:top w:val="single" w:sz="4" w:space="0" w:color="C9CBCC"/>
              <w:bottom w:val="single" w:sz="4" w:space="0" w:color="C9CBCC"/>
            </w:tcBorders>
          </w:tcPr>
          <w:p>
            <w:pPr>
              <w:pStyle w:val="TableParagraph"/>
              <w:tabs>
                <w:tab w:pos="415" w:val="left" w:leader="none"/>
              </w:tabs>
              <w:spacing w:before="109"/>
              <w:ind w:right="349"/>
              <w:jc w:val="right"/>
              <w:rPr>
                <w:sz w:val="16"/>
              </w:rPr>
            </w:pPr>
            <w:r>
              <w:rPr>
                <w:color w:val="292425"/>
                <w:w w:val="120"/>
                <w:sz w:val="16"/>
              </w:rPr>
              <w:t>$</w:t>
              <w:tab/>
              <w:t>661,</w:t>
            </w:r>
            <w:r>
              <w:rPr>
                <w:color w:val="292425"/>
                <w:spacing w:val="-30"/>
                <w:w w:val="120"/>
                <w:sz w:val="16"/>
              </w:rPr>
              <w:t> </w:t>
            </w:r>
            <w:r>
              <w:rPr>
                <w:color w:val="292425"/>
                <w:spacing w:val="-3"/>
                <w:w w:val="120"/>
                <w:sz w:val="16"/>
              </w:rPr>
              <w:t>010</w:t>
            </w:r>
          </w:p>
        </w:tc>
        <w:tc>
          <w:tcPr>
            <w:tcW w:w="1710" w:type="dxa"/>
            <w:tcBorders>
              <w:top w:val="single" w:sz="4" w:space="0" w:color="C9CBCC"/>
              <w:bottom w:val="single" w:sz="4" w:space="0" w:color="C9CBCC"/>
            </w:tcBorders>
          </w:tcPr>
          <w:p>
            <w:pPr>
              <w:pStyle w:val="TableParagraph"/>
              <w:tabs>
                <w:tab w:pos="396" w:val="left" w:leader="none"/>
              </w:tabs>
              <w:spacing w:before="109"/>
              <w:ind w:right="319"/>
              <w:jc w:val="right"/>
              <w:rPr>
                <w:sz w:val="16"/>
              </w:rPr>
            </w:pPr>
            <w:r>
              <w:rPr>
                <w:color w:val="292425"/>
                <w:w w:val="120"/>
                <w:sz w:val="16"/>
              </w:rPr>
              <w:t>$</w:t>
              <w:tab/>
              <w:t>583,</w:t>
            </w:r>
            <w:r>
              <w:rPr>
                <w:color w:val="292425"/>
                <w:spacing w:val="-28"/>
                <w:w w:val="120"/>
                <w:sz w:val="16"/>
              </w:rPr>
              <w:t> </w:t>
            </w:r>
            <w:r>
              <w:rPr>
                <w:color w:val="292425"/>
                <w:spacing w:val="-3"/>
                <w:w w:val="120"/>
                <w:sz w:val="16"/>
              </w:rPr>
              <w:t>071</w:t>
            </w:r>
          </w:p>
        </w:tc>
        <w:tc>
          <w:tcPr>
            <w:tcW w:w="1615" w:type="dxa"/>
            <w:tcBorders>
              <w:top w:val="single" w:sz="4" w:space="0" w:color="C9CBCC"/>
              <w:bottom w:val="single" w:sz="4" w:space="0" w:color="C9CBCC"/>
            </w:tcBorders>
          </w:tcPr>
          <w:p>
            <w:pPr>
              <w:pStyle w:val="TableParagraph"/>
              <w:tabs>
                <w:tab w:pos="374" w:val="left" w:leader="none"/>
              </w:tabs>
              <w:spacing w:before="109"/>
              <w:ind w:right="274"/>
              <w:jc w:val="right"/>
              <w:rPr>
                <w:sz w:val="16"/>
              </w:rPr>
            </w:pPr>
            <w:r>
              <w:rPr>
                <w:color w:val="292425"/>
                <w:w w:val="120"/>
                <w:sz w:val="16"/>
              </w:rPr>
              <w:t>$</w:t>
              <w:tab/>
            </w:r>
            <w:r>
              <w:rPr>
                <w:color w:val="292425"/>
                <w:spacing w:val="-3"/>
                <w:w w:val="120"/>
                <w:sz w:val="16"/>
              </w:rPr>
              <w:t>639</w:t>
            </w:r>
            <w:r>
              <w:rPr>
                <w:color w:val="292425"/>
                <w:spacing w:val="-29"/>
                <w:w w:val="120"/>
                <w:sz w:val="16"/>
              </w:rPr>
              <w:t> </w:t>
            </w:r>
            <w:r>
              <w:rPr>
                <w:color w:val="292425"/>
                <w:w w:val="120"/>
                <w:sz w:val="16"/>
              </w:rPr>
              <w:t>,</w:t>
            </w:r>
            <w:r>
              <w:rPr>
                <w:color w:val="292425"/>
                <w:spacing w:val="-27"/>
                <w:w w:val="120"/>
                <w:sz w:val="16"/>
              </w:rPr>
              <w:t> </w:t>
            </w:r>
            <w:r>
              <w:rPr>
                <w:color w:val="292425"/>
                <w:spacing w:val="-4"/>
                <w:w w:val="120"/>
                <w:sz w:val="16"/>
              </w:rPr>
              <w:t>136</w:t>
            </w:r>
          </w:p>
        </w:tc>
      </w:tr>
      <w:tr>
        <w:trPr>
          <w:trHeight w:val="294" w:hRule="exact"/>
        </w:trPr>
        <w:tc>
          <w:tcPr>
            <w:tcW w:w="2229" w:type="dxa"/>
            <w:tcBorders>
              <w:top w:val="single" w:sz="4" w:space="0" w:color="C9CBCC"/>
              <w:bottom w:val="single" w:sz="4" w:space="0" w:color="C9CBCC"/>
            </w:tcBorders>
          </w:tcPr>
          <w:p>
            <w:pPr>
              <w:pStyle w:val="TableParagraph"/>
              <w:spacing w:before="109"/>
              <w:ind w:right="721"/>
              <w:jc w:val="right"/>
              <w:rPr>
                <w:sz w:val="16"/>
              </w:rPr>
            </w:pPr>
            <w:r>
              <w:rPr>
                <w:color w:val="292425"/>
                <w:w w:val="120"/>
                <w:sz w:val="16"/>
              </w:rPr>
              <w:t>$   2, 397,918</w:t>
            </w:r>
          </w:p>
        </w:tc>
        <w:tc>
          <w:tcPr>
            <w:tcW w:w="1100" w:type="dxa"/>
            <w:tcBorders>
              <w:top w:val="single" w:sz="4" w:space="0" w:color="C9CBCC"/>
              <w:bottom w:val="single" w:sz="4" w:space="0" w:color="C9CBCC"/>
            </w:tcBorders>
          </w:tcPr>
          <w:p>
            <w:pPr>
              <w:pStyle w:val="TableParagraph"/>
              <w:spacing w:before="109"/>
              <w:ind w:right="33"/>
              <w:jc w:val="right"/>
              <w:rPr>
                <w:sz w:val="16"/>
              </w:rPr>
            </w:pPr>
            <w:r>
              <w:rPr>
                <w:color w:val="292425"/>
                <w:w w:val="120"/>
                <w:sz w:val="16"/>
              </w:rPr>
              <w:t>$   </w:t>
            </w:r>
            <w:r>
              <w:rPr>
                <w:color w:val="292425"/>
                <w:spacing w:val="5"/>
                <w:w w:val="120"/>
                <w:sz w:val="16"/>
              </w:rPr>
              <w:t>2, </w:t>
            </w:r>
            <w:r>
              <w:rPr>
                <w:color w:val="292425"/>
                <w:w w:val="120"/>
                <w:sz w:val="16"/>
              </w:rPr>
              <w:t>009,</w:t>
            </w:r>
            <w:r>
              <w:rPr>
                <w:color w:val="292425"/>
                <w:spacing w:val="-32"/>
                <w:w w:val="120"/>
                <w:sz w:val="16"/>
              </w:rPr>
              <w:t> </w:t>
            </w:r>
            <w:r>
              <w:rPr>
                <w:color w:val="292425"/>
                <w:spacing w:val="-5"/>
                <w:w w:val="120"/>
                <w:sz w:val="16"/>
              </w:rPr>
              <w:t>018</w:t>
            </w:r>
          </w:p>
        </w:tc>
        <w:tc>
          <w:tcPr>
            <w:tcW w:w="2101" w:type="dxa"/>
            <w:tcBorders>
              <w:top w:val="single" w:sz="4" w:space="0" w:color="C9CBCC"/>
              <w:bottom w:val="single" w:sz="4" w:space="0" w:color="C9CBCC"/>
            </w:tcBorders>
          </w:tcPr>
          <w:p>
            <w:pPr>
              <w:pStyle w:val="TableParagraph"/>
              <w:spacing w:before="109"/>
              <w:ind w:right="322"/>
              <w:jc w:val="right"/>
              <w:rPr>
                <w:sz w:val="16"/>
              </w:rPr>
            </w:pPr>
            <w:r>
              <w:rPr>
                <w:color w:val="292425"/>
                <w:w w:val="120"/>
                <w:sz w:val="16"/>
              </w:rPr>
              <w:t>$  1, 648, 312</w:t>
            </w:r>
          </w:p>
        </w:tc>
        <w:tc>
          <w:tcPr>
            <w:tcW w:w="1732" w:type="dxa"/>
            <w:tcBorders>
              <w:top w:val="single" w:sz="4" w:space="0" w:color="C9CBCC"/>
              <w:bottom w:val="single" w:sz="4" w:space="0" w:color="C9CBCC"/>
            </w:tcBorders>
          </w:tcPr>
          <w:p>
            <w:pPr>
              <w:pStyle w:val="TableParagraph"/>
              <w:spacing w:before="109"/>
              <w:ind w:right="349"/>
              <w:jc w:val="right"/>
              <w:rPr>
                <w:sz w:val="16"/>
              </w:rPr>
            </w:pPr>
            <w:r>
              <w:rPr>
                <w:color w:val="292425"/>
                <w:w w:val="120"/>
                <w:sz w:val="16"/>
              </w:rPr>
              <w:t>$   1, 427, 318</w:t>
            </w:r>
          </w:p>
        </w:tc>
        <w:tc>
          <w:tcPr>
            <w:tcW w:w="1710" w:type="dxa"/>
            <w:tcBorders>
              <w:top w:val="single" w:sz="4" w:space="0" w:color="C9CBCC"/>
              <w:bottom w:val="single" w:sz="4" w:space="0" w:color="C9CBCC"/>
            </w:tcBorders>
          </w:tcPr>
          <w:p>
            <w:pPr>
              <w:pStyle w:val="TableParagraph"/>
              <w:spacing w:before="109"/>
              <w:ind w:right="319"/>
              <w:jc w:val="right"/>
              <w:rPr>
                <w:sz w:val="16"/>
              </w:rPr>
            </w:pPr>
            <w:r>
              <w:rPr>
                <w:color w:val="292425"/>
                <w:w w:val="120"/>
                <w:sz w:val="16"/>
              </w:rPr>
              <w:t>$  1, 238, 706</w:t>
            </w:r>
          </w:p>
        </w:tc>
        <w:tc>
          <w:tcPr>
            <w:tcW w:w="1615"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  1, 054, 019</w:t>
            </w:r>
          </w:p>
        </w:tc>
      </w:tr>
    </w:tbl>
    <w:p>
      <w:pPr>
        <w:pStyle w:val="BodyText"/>
        <w:rPr>
          <w:rFonts w:ascii="Franklin Gothic Medium"/>
        </w:rPr>
      </w:pPr>
    </w:p>
    <w:p>
      <w:pPr>
        <w:pStyle w:val="BodyText"/>
        <w:rPr>
          <w:rFonts w:ascii="Franklin Gothic Medium"/>
        </w:rPr>
      </w:pPr>
    </w:p>
    <w:p>
      <w:pPr>
        <w:pStyle w:val="BodyText"/>
        <w:spacing w:before="1"/>
        <w:rPr>
          <w:rFonts w:ascii="Franklin Gothic Medium"/>
          <w:sz w:val="16"/>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83"/>
        <w:gridCol w:w="1805"/>
        <w:gridCol w:w="1747"/>
        <w:gridCol w:w="1717"/>
        <w:gridCol w:w="1711"/>
        <w:gridCol w:w="1224"/>
      </w:tblGrid>
      <w:tr>
        <w:trPr>
          <w:trHeight w:val="186" w:hRule="exact"/>
        </w:trPr>
        <w:tc>
          <w:tcPr>
            <w:tcW w:w="2283" w:type="dxa"/>
            <w:tcBorders>
              <w:bottom w:val="single" w:sz="4" w:space="0" w:color="C9CBCC"/>
            </w:tcBorders>
          </w:tcPr>
          <w:p>
            <w:pPr>
              <w:pStyle w:val="TableParagraph"/>
              <w:spacing w:line="189" w:lineRule="exact"/>
              <w:ind w:right="668"/>
              <w:jc w:val="right"/>
              <w:rPr>
                <w:sz w:val="16"/>
              </w:rPr>
            </w:pPr>
            <w:r>
              <w:rPr>
                <w:color w:val="292425"/>
                <w:w w:val="110"/>
                <w:sz w:val="16"/>
              </w:rPr>
              <w:t>9.7%</w:t>
            </w:r>
          </w:p>
        </w:tc>
        <w:tc>
          <w:tcPr>
            <w:tcW w:w="1805" w:type="dxa"/>
            <w:tcBorders>
              <w:bottom w:val="single" w:sz="4" w:space="0" w:color="C9CBCC"/>
            </w:tcBorders>
          </w:tcPr>
          <w:p>
            <w:pPr>
              <w:pStyle w:val="TableParagraph"/>
              <w:spacing w:line="189" w:lineRule="exact"/>
              <w:ind w:right="679"/>
              <w:jc w:val="right"/>
              <w:rPr>
                <w:sz w:val="16"/>
              </w:rPr>
            </w:pPr>
            <w:r>
              <w:rPr>
                <w:color w:val="292425"/>
                <w:w w:val="110"/>
                <w:sz w:val="16"/>
              </w:rPr>
              <w:t>8.0%</w:t>
            </w:r>
          </w:p>
        </w:tc>
        <w:tc>
          <w:tcPr>
            <w:tcW w:w="1747" w:type="dxa"/>
            <w:tcBorders>
              <w:bottom w:val="single" w:sz="4" w:space="0" w:color="C9CBCC"/>
            </w:tcBorders>
          </w:tcPr>
          <w:p>
            <w:pPr>
              <w:pStyle w:val="TableParagraph"/>
              <w:spacing w:line="189" w:lineRule="exact"/>
              <w:ind w:left="646" w:right="510"/>
              <w:jc w:val="center"/>
              <w:rPr>
                <w:sz w:val="16"/>
              </w:rPr>
            </w:pPr>
            <w:r>
              <w:rPr>
                <w:color w:val="292425"/>
                <w:w w:val="115"/>
                <w:sz w:val="16"/>
              </w:rPr>
              <w:t>5.9%</w:t>
            </w:r>
          </w:p>
        </w:tc>
        <w:tc>
          <w:tcPr>
            <w:tcW w:w="1717" w:type="dxa"/>
            <w:tcBorders>
              <w:bottom w:val="single" w:sz="4" w:space="0" w:color="C9CBCC"/>
            </w:tcBorders>
          </w:tcPr>
          <w:p>
            <w:pPr>
              <w:pStyle w:val="TableParagraph"/>
              <w:spacing w:line="189" w:lineRule="exact"/>
              <w:ind w:left="609" w:right="503"/>
              <w:jc w:val="center"/>
              <w:rPr>
                <w:sz w:val="16"/>
              </w:rPr>
            </w:pPr>
            <w:r>
              <w:rPr>
                <w:color w:val="292425"/>
                <w:w w:val="115"/>
                <w:sz w:val="16"/>
              </w:rPr>
              <w:t>6.0%</w:t>
            </w:r>
          </w:p>
        </w:tc>
        <w:tc>
          <w:tcPr>
            <w:tcW w:w="1711" w:type="dxa"/>
            <w:tcBorders>
              <w:bottom w:val="single" w:sz="4" w:space="0" w:color="C9CBCC"/>
            </w:tcBorders>
          </w:tcPr>
          <w:p>
            <w:pPr>
              <w:pStyle w:val="TableParagraph"/>
              <w:spacing w:line="189" w:lineRule="exact"/>
              <w:ind w:right="611"/>
              <w:jc w:val="right"/>
              <w:rPr>
                <w:sz w:val="16"/>
              </w:rPr>
            </w:pPr>
            <w:r>
              <w:rPr>
                <w:color w:val="292425"/>
                <w:w w:val="115"/>
                <w:sz w:val="16"/>
              </w:rPr>
              <w:t>6 .6%</w:t>
            </w:r>
          </w:p>
        </w:tc>
        <w:tc>
          <w:tcPr>
            <w:tcW w:w="1224" w:type="dxa"/>
            <w:tcBorders>
              <w:bottom w:val="single" w:sz="4" w:space="0" w:color="C9CBCC"/>
            </w:tcBorders>
          </w:tcPr>
          <w:p>
            <w:pPr>
              <w:pStyle w:val="TableParagraph"/>
              <w:spacing w:line="189" w:lineRule="exact"/>
              <w:ind w:right="142"/>
              <w:jc w:val="right"/>
              <w:rPr>
                <w:sz w:val="16"/>
              </w:rPr>
            </w:pPr>
            <w:r>
              <w:rPr>
                <w:color w:val="292425"/>
                <w:w w:val="110"/>
                <w:sz w:val="16"/>
              </w:rPr>
              <w:t>6.2%</w:t>
            </w:r>
          </w:p>
        </w:tc>
      </w:tr>
      <w:tr>
        <w:trPr>
          <w:trHeight w:val="294" w:hRule="exact"/>
        </w:trPr>
        <w:tc>
          <w:tcPr>
            <w:tcW w:w="2283" w:type="dxa"/>
            <w:tcBorders>
              <w:top w:val="single" w:sz="4" w:space="0" w:color="C9CBCC"/>
              <w:bottom w:val="single" w:sz="4" w:space="0" w:color="C9CBCC"/>
            </w:tcBorders>
          </w:tcPr>
          <w:p>
            <w:pPr>
              <w:pStyle w:val="TableParagraph"/>
              <w:spacing w:before="109"/>
              <w:ind w:right="668"/>
              <w:jc w:val="right"/>
              <w:rPr>
                <w:sz w:val="16"/>
              </w:rPr>
            </w:pPr>
            <w:r>
              <w:rPr>
                <w:color w:val="292425"/>
                <w:w w:val="110"/>
                <w:sz w:val="16"/>
              </w:rPr>
              <w:t>19.7%</w:t>
            </w:r>
          </w:p>
        </w:tc>
        <w:tc>
          <w:tcPr>
            <w:tcW w:w="1805" w:type="dxa"/>
            <w:tcBorders>
              <w:top w:val="single" w:sz="4" w:space="0" w:color="C9CBCC"/>
              <w:bottom w:val="single" w:sz="4" w:space="0" w:color="C9CBCC"/>
            </w:tcBorders>
          </w:tcPr>
          <w:p>
            <w:pPr>
              <w:pStyle w:val="TableParagraph"/>
              <w:spacing w:before="109"/>
              <w:ind w:right="681"/>
              <w:jc w:val="right"/>
              <w:rPr>
                <w:sz w:val="16"/>
              </w:rPr>
            </w:pPr>
            <w:r>
              <w:rPr>
                <w:color w:val="292425"/>
                <w:w w:val="110"/>
                <w:sz w:val="16"/>
              </w:rPr>
              <w:t>17.4%</w:t>
            </w:r>
          </w:p>
        </w:tc>
        <w:tc>
          <w:tcPr>
            <w:tcW w:w="1747" w:type="dxa"/>
            <w:tcBorders>
              <w:top w:val="single" w:sz="4" w:space="0" w:color="C9CBCC"/>
              <w:bottom w:val="single" w:sz="4" w:space="0" w:color="C9CBCC"/>
            </w:tcBorders>
          </w:tcPr>
          <w:p>
            <w:pPr>
              <w:pStyle w:val="TableParagraph"/>
              <w:spacing w:before="109"/>
              <w:ind w:left="646" w:right="601"/>
              <w:jc w:val="center"/>
              <w:rPr>
                <w:sz w:val="16"/>
              </w:rPr>
            </w:pPr>
            <w:r>
              <w:rPr>
                <w:color w:val="292425"/>
                <w:w w:val="115"/>
                <w:sz w:val="16"/>
              </w:rPr>
              <w:t>13.5%</w:t>
            </w:r>
          </w:p>
        </w:tc>
        <w:tc>
          <w:tcPr>
            <w:tcW w:w="1717" w:type="dxa"/>
            <w:tcBorders>
              <w:top w:val="single" w:sz="4" w:space="0" w:color="C9CBCC"/>
              <w:bottom w:val="single" w:sz="4" w:space="0" w:color="C9CBCC"/>
            </w:tcBorders>
          </w:tcPr>
          <w:p>
            <w:pPr>
              <w:pStyle w:val="TableParagraph"/>
              <w:spacing w:before="109"/>
              <w:ind w:left="602" w:right="603"/>
              <w:jc w:val="center"/>
              <w:rPr>
                <w:sz w:val="16"/>
              </w:rPr>
            </w:pPr>
            <w:r>
              <w:rPr>
                <w:color w:val="292425"/>
                <w:w w:val="115"/>
                <w:sz w:val="16"/>
              </w:rPr>
              <w:t>13.7%</w:t>
            </w:r>
          </w:p>
        </w:tc>
        <w:tc>
          <w:tcPr>
            <w:tcW w:w="1711" w:type="dxa"/>
            <w:tcBorders>
              <w:top w:val="single" w:sz="4" w:space="0" w:color="C9CBCC"/>
              <w:bottom w:val="single" w:sz="4" w:space="0" w:color="C9CBCC"/>
            </w:tcBorders>
          </w:tcPr>
          <w:p>
            <w:pPr>
              <w:pStyle w:val="TableParagraph"/>
              <w:spacing w:before="109"/>
              <w:ind w:right="611"/>
              <w:jc w:val="right"/>
              <w:rPr>
                <w:sz w:val="16"/>
              </w:rPr>
            </w:pPr>
            <w:r>
              <w:rPr>
                <w:color w:val="292425"/>
                <w:w w:val="115"/>
                <w:sz w:val="16"/>
              </w:rPr>
              <w:t>15 .6%</w:t>
            </w:r>
          </w:p>
        </w:tc>
        <w:tc>
          <w:tcPr>
            <w:tcW w:w="1224" w:type="dxa"/>
            <w:tcBorders>
              <w:top w:val="single" w:sz="4" w:space="0" w:color="C9CBCC"/>
              <w:bottom w:val="single" w:sz="4" w:space="0" w:color="C9CBCC"/>
            </w:tcBorders>
          </w:tcPr>
          <w:p>
            <w:pPr>
              <w:pStyle w:val="TableParagraph"/>
              <w:spacing w:before="109"/>
              <w:ind w:right="151"/>
              <w:jc w:val="right"/>
              <w:rPr>
                <w:sz w:val="16"/>
              </w:rPr>
            </w:pPr>
            <w:r>
              <w:rPr>
                <w:color w:val="292425"/>
                <w:w w:val="110"/>
                <w:sz w:val="16"/>
              </w:rPr>
              <w:t>16.0%</w:t>
            </w:r>
          </w:p>
        </w:tc>
      </w:tr>
    </w:tbl>
    <w:p>
      <w:pPr>
        <w:pStyle w:val="BodyText"/>
        <w:rPr>
          <w:rFonts w:ascii="Franklin Gothic Medium"/>
        </w:rPr>
      </w:pPr>
    </w:p>
    <w:p>
      <w:pPr>
        <w:pStyle w:val="BodyText"/>
        <w:rPr>
          <w:rFonts w:ascii="Franklin Gothic Medium"/>
        </w:rPr>
      </w:pPr>
    </w:p>
    <w:p>
      <w:pPr>
        <w:pStyle w:val="BodyText"/>
        <w:spacing w:before="7"/>
        <w:rPr>
          <w:rFonts w:ascii="Franklin Gothic Medium"/>
          <w:sz w:val="22"/>
        </w:rPr>
      </w:pPr>
    </w:p>
    <w:tbl>
      <w:tblPr>
        <w:tblW w:w="0" w:type="auto"/>
        <w:jc w:val="left"/>
        <w:tblInd w:w="1072"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004"/>
        <w:gridCol w:w="1801"/>
        <w:gridCol w:w="1748"/>
        <w:gridCol w:w="1718"/>
        <w:gridCol w:w="1709"/>
        <w:gridCol w:w="1506"/>
      </w:tblGrid>
      <w:tr>
        <w:trPr>
          <w:trHeight w:val="186" w:hRule="exact"/>
        </w:trPr>
        <w:tc>
          <w:tcPr>
            <w:tcW w:w="2004" w:type="dxa"/>
            <w:tcBorders>
              <w:bottom w:val="single" w:sz="4" w:space="0" w:color="C9CBCC"/>
            </w:tcBorders>
          </w:tcPr>
          <w:p>
            <w:pPr>
              <w:pStyle w:val="TableParagraph"/>
              <w:spacing w:line="189" w:lineRule="exact"/>
              <w:ind w:left="599"/>
              <w:rPr>
                <w:sz w:val="16"/>
              </w:rPr>
            </w:pPr>
            <w:r>
              <w:rPr>
                <w:color w:val="292425"/>
                <w:w w:val="120"/>
                <w:sz w:val="16"/>
              </w:rPr>
              <w:t>52, 586, 400</w:t>
            </w:r>
          </w:p>
        </w:tc>
        <w:tc>
          <w:tcPr>
            <w:tcW w:w="1801" w:type="dxa"/>
            <w:tcBorders>
              <w:bottom w:val="single" w:sz="4" w:space="0" w:color="C9CBCC"/>
            </w:tcBorders>
          </w:tcPr>
          <w:p>
            <w:pPr>
              <w:pStyle w:val="TableParagraph"/>
              <w:spacing w:line="189" w:lineRule="exact"/>
              <w:ind w:left="389"/>
              <w:rPr>
                <w:sz w:val="16"/>
              </w:rPr>
            </w:pPr>
            <w:r>
              <w:rPr>
                <w:color w:val="292425"/>
                <w:w w:val="120"/>
                <w:sz w:val="16"/>
              </w:rPr>
              <w:t>50, 399,960</w:t>
            </w:r>
          </w:p>
        </w:tc>
        <w:tc>
          <w:tcPr>
            <w:tcW w:w="1748" w:type="dxa"/>
            <w:tcBorders>
              <w:bottom w:val="single" w:sz="4" w:space="0" w:color="C9CBCC"/>
            </w:tcBorders>
          </w:tcPr>
          <w:p>
            <w:pPr>
              <w:pStyle w:val="TableParagraph"/>
              <w:spacing w:line="189" w:lineRule="exact"/>
              <w:ind w:left="398"/>
              <w:rPr>
                <w:sz w:val="16"/>
              </w:rPr>
            </w:pPr>
            <w:r>
              <w:rPr>
                <w:color w:val="292425"/>
                <w:w w:val="120"/>
                <w:sz w:val="16"/>
              </w:rPr>
              <w:t>49, 621, 504</w:t>
            </w:r>
          </w:p>
        </w:tc>
        <w:tc>
          <w:tcPr>
            <w:tcW w:w="1718" w:type="dxa"/>
            <w:tcBorders>
              <w:bottom w:val="single" w:sz="4" w:space="0" w:color="C9CBCC"/>
            </w:tcBorders>
          </w:tcPr>
          <w:p>
            <w:pPr>
              <w:pStyle w:val="TableParagraph"/>
              <w:spacing w:line="189" w:lineRule="exact"/>
              <w:ind w:left="357"/>
              <w:rPr>
                <w:sz w:val="16"/>
              </w:rPr>
            </w:pPr>
            <w:r>
              <w:rPr>
                <w:color w:val="292425"/>
                <w:w w:val="120"/>
                <w:sz w:val="16"/>
              </w:rPr>
              <w:t>44,785,573</w:t>
            </w:r>
          </w:p>
        </w:tc>
        <w:tc>
          <w:tcPr>
            <w:tcW w:w="1709" w:type="dxa"/>
            <w:tcBorders>
              <w:bottom w:val="single" w:sz="4" w:space="0" w:color="C9CBCC"/>
            </w:tcBorders>
          </w:tcPr>
          <w:p>
            <w:pPr>
              <w:pStyle w:val="TableParagraph"/>
              <w:spacing w:line="189" w:lineRule="exact"/>
              <w:ind w:left="374"/>
              <w:rPr>
                <w:sz w:val="8"/>
              </w:rPr>
            </w:pPr>
            <w:r>
              <w:rPr>
                <w:color w:val="292425"/>
                <w:w w:val="120"/>
                <w:sz w:val="16"/>
              </w:rPr>
              <w:t>42, 742, 602 </w:t>
            </w:r>
            <w:r>
              <w:rPr>
                <w:color w:val="292425"/>
                <w:w w:val="120"/>
                <w:position w:val="6"/>
                <w:sz w:val="8"/>
              </w:rPr>
              <w:t>(5)</w:t>
            </w:r>
          </w:p>
        </w:tc>
        <w:tc>
          <w:tcPr>
            <w:tcW w:w="1506" w:type="dxa"/>
            <w:tcBorders>
              <w:bottom w:val="single" w:sz="4" w:space="0" w:color="C9CBCC"/>
            </w:tcBorders>
          </w:tcPr>
          <w:p>
            <w:pPr>
              <w:pStyle w:val="TableParagraph"/>
              <w:spacing w:line="189" w:lineRule="exact"/>
              <w:ind w:right="135"/>
              <w:jc w:val="right"/>
              <w:rPr>
                <w:sz w:val="8"/>
              </w:rPr>
            </w:pPr>
            <w:r>
              <w:rPr>
                <w:color w:val="292425"/>
                <w:w w:val="115"/>
                <w:sz w:val="16"/>
              </w:rPr>
              <w:t>36, 955 ,221</w:t>
            </w:r>
            <w:r>
              <w:rPr>
                <w:color w:val="292425"/>
                <w:w w:val="115"/>
                <w:position w:val="6"/>
                <w:sz w:val="8"/>
              </w:rPr>
              <w:t>(5)</w:t>
            </w:r>
          </w:p>
        </w:tc>
      </w:tr>
      <w:tr>
        <w:trPr>
          <w:trHeight w:val="300" w:hRule="exact"/>
        </w:trPr>
        <w:tc>
          <w:tcPr>
            <w:tcW w:w="2004" w:type="dxa"/>
            <w:tcBorders>
              <w:top w:val="single" w:sz="4" w:space="0" w:color="C9CBCC"/>
              <w:bottom w:val="single" w:sz="4" w:space="0" w:color="C9CBCC"/>
            </w:tcBorders>
          </w:tcPr>
          <w:p>
            <w:pPr>
              <w:pStyle w:val="TableParagraph"/>
              <w:spacing w:before="109"/>
              <w:ind w:left="600"/>
              <w:rPr>
                <w:sz w:val="16"/>
              </w:rPr>
            </w:pPr>
            <w:r>
              <w:rPr>
                <w:color w:val="292425"/>
                <w:w w:val="120"/>
                <w:sz w:val="16"/>
              </w:rPr>
              <w:t>31, 419, 110</w:t>
            </w:r>
          </w:p>
        </w:tc>
        <w:tc>
          <w:tcPr>
            <w:tcW w:w="1801" w:type="dxa"/>
            <w:tcBorders>
              <w:top w:val="single" w:sz="4" w:space="0" w:color="C9CBCC"/>
              <w:bottom w:val="single" w:sz="4" w:space="0" w:color="C9CBCC"/>
            </w:tcBorders>
          </w:tcPr>
          <w:p>
            <w:pPr>
              <w:pStyle w:val="TableParagraph"/>
              <w:spacing w:before="109"/>
              <w:ind w:left="391"/>
              <w:rPr>
                <w:sz w:val="16"/>
              </w:rPr>
            </w:pPr>
            <w:r>
              <w:rPr>
                <w:color w:val="292425"/>
                <w:w w:val="120"/>
                <w:sz w:val="16"/>
              </w:rPr>
              <w:t>28, 355,169</w:t>
            </w:r>
          </w:p>
        </w:tc>
        <w:tc>
          <w:tcPr>
            <w:tcW w:w="1748" w:type="dxa"/>
            <w:tcBorders>
              <w:top w:val="single" w:sz="4" w:space="0" w:color="C9CBCC"/>
              <w:bottom w:val="single" w:sz="4" w:space="0" w:color="C9CBCC"/>
            </w:tcBorders>
          </w:tcPr>
          <w:p>
            <w:pPr>
              <w:pStyle w:val="TableParagraph"/>
              <w:spacing w:before="109"/>
              <w:ind w:left="399"/>
              <w:rPr>
                <w:sz w:val="16"/>
              </w:rPr>
            </w:pPr>
            <w:r>
              <w:rPr>
                <w:color w:val="292425"/>
                <w:w w:val="120"/>
                <w:sz w:val="16"/>
              </w:rPr>
              <w:t>27,083, 483</w:t>
            </w:r>
          </w:p>
        </w:tc>
        <w:tc>
          <w:tcPr>
            <w:tcW w:w="1718" w:type="dxa"/>
            <w:tcBorders>
              <w:top w:val="single" w:sz="4" w:space="0" w:color="C9CBCC"/>
              <w:bottom w:val="single" w:sz="4" w:space="0" w:color="C9CBCC"/>
            </w:tcBorders>
          </w:tcPr>
          <w:p>
            <w:pPr>
              <w:pStyle w:val="TableParagraph"/>
              <w:spacing w:before="109"/>
              <w:ind w:left="355"/>
              <w:rPr>
                <w:sz w:val="16"/>
              </w:rPr>
            </w:pPr>
            <w:r>
              <w:rPr>
                <w:color w:val="292425"/>
                <w:w w:val="120"/>
                <w:sz w:val="16"/>
              </w:rPr>
              <w:t>23,327,804</w:t>
            </w:r>
          </w:p>
        </w:tc>
        <w:tc>
          <w:tcPr>
            <w:tcW w:w="1709" w:type="dxa"/>
            <w:tcBorders>
              <w:top w:val="single" w:sz="4" w:space="0" w:color="C9CBCC"/>
              <w:bottom w:val="single" w:sz="4" w:space="0" w:color="C9CBCC"/>
            </w:tcBorders>
          </w:tcPr>
          <w:p>
            <w:pPr>
              <w:pStyle w:val="TableParagraph"/>
              <w:spacing w:before="109"/>
              <w:ind w:left="371"/>
              <w:rPr>
                <w:sz w:val="16"/>
              </w:rPr>
            </w:pPr>
            <w:r>
              <w:rPr>
                <w:color w:val="292425"/>
                <w:w w:val="120"/>
                <w:sz w:val="16"/>
              </w:rPr>
              <w:t>21, 611, 266</w:t>
            </w:r>
          </w:p>
        </w:tc>
        <w:tc>
          <w:tcPr>
            <w:tcW w:w="1506" w:type="dxa"/>
            <w:tcBorders>
              <w:top w:val="single" w:sz="4" w:space="0" w:color="C9CBCC"/>
              <w:bottom w:val="single" w:sz="4" w:space="0" w:color="C9CBCC"/>
            </w:tcBorders>
          </w:tcPr>
          <w:p>
            <w:pPr>
              <w:pStyle w:val="TableParagraph"/>
              <w:spacing w:before="109"/>
              <w:ind w:left="319"/>
              <w:rPr>
                <w:sz w:val="16"/>
              </w:rPr>
            </w:pPr>
            <w:r>
              <w:rPr>
                <w:color w:val="292425"/>
                <w:w w:val="120"/>
                <w:sz w:val="16"/>
              </w:rPr>
              <w:t>18, 827, 288</w:t>
            </w:r>
          </w:p>
        </w:tc>
      </w:tr>
      <w:tr>
        <w:trPr>
          <w:trHeight w:val="300" w:hRule="exact"/>
        </w:trPr>
        <w:tc>
          <w:tcPr>
            <w:tcW w:w="2004" w:type="dxa"/>
            <w:tcBorders>
              <w:top w:val="single" w:sz="4" w:space="0" w:color="C9CBCC"/>
              <w:bottom w:val="single" w:sz="4" w:space="0" w:color="C9CBCC"/>
            </w:tcBorders>
          </w:tcPr>
          <w:p>
            <w:pPr>
              <w:pStyle w:val="TableParagraph"/>
              <w:spacing w:before="109"/>
              <w:ind w:left="604"/>
              <w:rPr>
                <w:sz w:val="16"/>
              </w:rPr>
            </w:pPr>
            <w:r>
              <w:rPr>
                <w:color w:val="292425"/>
                <w:w w:val="120"/>
                <w:sz w:val="16"/>
              </w:rPr>
              <w:t>47, 543, 515</w:t>
            </w:r>
          </w:p>
        </w:tc>
        <w:tc>
          <w:tcPr>
            <w:tcW w:w="1801" w:type="dxa"/>
            <w:tcBorders>
              <w:top w:val="single" w:sz="4" w:space="0" w:color="C9CBCC"/>
              <w:bottom w:val="single" w:sz="4" w:space="0" w:color="C9CBCC"/>
            </w:tcBorders>
          </w:tcPr>
          <w:p>
            <w:pPr>
              <w:pStyle w:val="TableParagraph"/>
              <w:spacing w:before="109"/>
              <w:ind w:left="388"/>
              <w:rPr>
                <w:sz w:val="16"/>
              </w:rPr>
            </w:pPr>
            <w:r>
              <w:rPr>
                <w:color w:val="292425"/>
                <w:w w:val="120"/>
                <w:sz w:val="16"/>
              </w:rPr>
              <w:t>44, 487, 496</w:t>
            </w:r>
          </w:p>
        </w:tc>
        <w:tc>
          <w:tcPr>
            <w:tcW w:w="1748" w:type="dxa"/>
            <w:tcBorders>
              <w:top w:val="single" w:sz="4" w:space="0" w:color="C9CBCC"/>
              <w:bottom w:val="single" w:sz="4" w:space="0" w:color="C9CBCC"/>
            </w:tcBorders>
          </w:tcPr>
          <w:p>
            <w:pPr>
              <w:pStyle w:val="TableParagraph"/>
              <w:spacing w:before="109"/>
              <w:ind w:left="401"/>
              <w:rPr>
                <w:sz w:val="16"/>
              </w:rPr>
            </w:pPr>
            <w:r>
              <w:rPr>
                <w:color w:val="292425"/>
                <w:w w:val="120"/>
                <w:sz w:val="16"/>
              </w:rPr>
              <w:t>40, 727, 495</w:t>
            </w:r>
          </w:p>
        </w:tc>
        <w:tc>
          <w:tcPr>
            <w:tcW w:w="1718" w:type="dxa"/>
            <w:tcBorders>
              <w:top w:val="single" w:sz="4" w:space="0" w:color="C9CBCC"/>
              <w:bottom w:val="single" w:sz="4" w:space="0" w:color="C9CBCC"/>
            </w:tcBorders>
          </w:tcPr>
          <w:p>
            <w:pPr>
              <w:pStyle w:val="TableParagraph"/>
              <w:spacing w:before="109"/>
              <w:ind w:left="356"/>
              <w:rPr>
                <w:sz w:val="16"/>
              </w:rPr>
            </w:pPr>
            <w:r>
              <w:rPr>
                <w:color w:val="292425"/>
                <w:w w:val="120"/>
                <w:sz w:val="16"/>
              </w:rPr>
              <w:t>36,180, 001</w:t>
            </w:r>
          </w:p>
        </w:tc>
        <w:tc>
          <w:tcPr>
            <w:tcW w:w="1709" w:type="dxa"/>
            <w:tcBorders>
              <w:top w:val="single" w:sz="4" w:space="0" w:color="C9CBCC"/>
              <w:bottom w:val="single" w:sz="4" w:space="0" w:color="C9CBCC"/>
            </w:tcBorders>
          </w:tcPr>
          <w:p>
            <w:pPr>
              <w:pStyle w:val="TableParagraph"/>
              <w:spacing w:before="109"/>
              <w:ind w:left="373"/>
              <w:rPr>
                <w:sz w:val="16"/>
              </w:rPr>
            </w:pPr>
            <w:r>
              <w:rPr>
                <w:color w:val="292425"/>
                <w:w w:val="120"/>
                <w:sz w:val="16"/>
              </w:rPr>
              <w:t>32, 123,974</w:t>
            </w:r>
          </w:p>
        </w:tc>
        <w:tc>
          <w:tcPr>
            <w:tcW w:w="1506" w:type="dxa"/>
            <w:tcBorders>
              <w:top w:val="single" w:sz="4" w:space="0" w:color="C9CBCC"/>
              <w:bottom w:val="single" w:sz="4" w:space="0" w:color="C9CBCC"/>
            </w:tcBorders>
          </w:tcPr>
          <w:p>
            <w:pPr>
              <w:pStyle w:val="TableParagraph"/>
              <w:spacing w:before="109"/>
              <w:ind w:left="324"/>
              <w:rPr>
                <w:sz w:val="16"/>
              </w:rPr>
            </w:pPr>
            <w:r>
              <w:rPr>
                <w:color w:val="292425"/>
                <w:w w:val="120"/>
                <w:sz w:val="16"/>
              </w:rPr>
              <w:t>27, 511,000</w:t>
            </w:r>
          </w:p>
        </w:tc>
      </w:tr>
      <w:tr>
        <w:trPr>
          <w:trHeight w:val="300" w:hRule="exact"/>
        </w:trPr>
        <w:tc>
          <w:tcPr>
            <w:tcW w:w="2004" w:type="dxa"/>
            <w:tcBorders>
              <w:top w:val="single" w:sz="4" w:space="0" w:color="C9CBCC"/>
              <w:bottom w:val="single" w:sz="4" w:space="0" w:color="C9CBCC"/>
            </w:tcBorders>
          </w:tcPr>
          <w:p>
            <w:pPr>
              <w:pStyle w:val="TableParagraph"/>
              <w:spacing w:before="109"/>
              <w:ind w:right="386"/>
              <w:jc w:val="right"/>
              <w:rPr>
                <w:sz w:val="16"/>
              </w:rPr>
            </w:pPr>
            <w:r>
              <w:rPr>
                <w:color w:val="292425"/>
                <w:w w:val="115"/>
                <w:sz w:val="16"/>
              </w:rPr>
              <w:t>66.1%</w:t>
            </w:r>
          </w:p>
        </w:tc>
        <w:tc>
          <w:tcPr>
            <w:tcW w:w="1801" w:type="dxa"/>
            <w:tcBorders>
              <w:top w:val="single" w:sz="4" w:space="0" w:color="C9CBCC"/>
              <w:bottom w:val="single" w:sz="4" w:space="0" w:color="C9CBCC"/>
            </w:tcBorders>
          </w:tcPr>
          <w:p>
            <w:pPr>
              <w:pStyle w:val="TableParagraph"/>
              <w:spacing w:before="109"/>
              <w:ind w:right="396"/>
              <w:jc w:val="right"/>
              <w:rPr>
                <w:sz w:val="16"/>
              </w:rPr>
            </w:pPr>
            <w:r>
              <w:rPr>
                <w:color w:val="292425"/>
                <w:w w:val="115"/>
                <w:sz w:val="16"/>
              </w:rPr>
              <w:t>63.7%</w:t>
            </w:r>
          </w:p>
        </w:tc>
        <w:tc>
          <w:tcPr>
            <w:tcW w:w="1748" w:type="dxa"/>
            <w:tcBorders>
              <w:top w:val="single" w:sz="4" w:space="0" w:color="C9CBCC"/>
              <w:bottom w:val="single" w:sz="4" w:space="0" w:color="C9CBCC"/>
            </w:tcBorders>
          </w:tcPr>
          <w:p>
            <w:pPr>
              <w:pStyle w:val="TableParagraph"/>
              <w:spacing w:before="109"/>
              <w:ind w:right="353"/>
              <w:jc w:val="right"/>
              <w:rPr>
                <w:sz w:val="16"/>
              </w:rPr>
            </w:pPr>
            <w:r>
              <w:rPr>
                <w:color w:val="292425"/>
                <w:w w:val="110"/>
                <w:sz w:val="16"/>
              </w:rPr>
              <w:t>66.5%</w:t>
            </w:r>
          </w:p>
        </w:tc>
        <w:tc>
          <w:tcPr>
            <w:tcW w:w="1718" w:type="dxa"/>
            <w:tcBorders>
              <w:top w:val="single" w:sz="4" w:space="0" w:color="C9CBCC"/>
              <w:bottom w:val="single" w:sz="4" w:space="0" w:color="C9CBCC"/>
            </w:tcBorders>
          </w:tcPr>
          <w:p>
            <w:pPr>
              <w:pStyle w:val="TableParagraph"/>
              <w:spacing w:before="109"/>
              <w:ind w:right="371"/>
              <w:jc w:val="right"/>
              <w:rPr>
                <w:sz w:val="16"/>
              </w:rPr>
            </w:pPr>
            <w:r>
              <w:rPr>
                <w:color w:val="292425"/>
                <w:w w:val="115"/>
                <w:sz w:val="16"/>
              </w:rPr>
              <w:t>64.5%</w:t>
            </w:r>
          </w:p>
        </w:tc>
        <w:tc>
          <w:tcPr>
            <w:tcW w:w="1709" w:type="dxa"/>
            <w:tcBorders>
              <w:top w:val="single" w:sz="4" w:space="0" w:color="C9CBCC"/>
              <w:bottom w:val="single" w:sz="4" w:space="0" w:color="C9CBCC"/>
            </w:tcBorders>
          </w:tcPr>
          <w:p>
            <w:pPr>
              <w:pStyle w:val="TableParagraph"/>
              <w:spacing w:before="109"/>
              <w:ind w:right="338"/>
              <w:jc w:val="right"/>
              <w:rPr>
                <w:sz w:val="16"/>
              </w:rPr>
            </w:pPr>
            <w:r>
              <w:rPr>
                <w:color w:val="292425"/>
                <w:w w:val="115"/>
                <w:sz w:val="16"/>
              </w:rPr>
              <w:t>67.3%</w:t>
            </w:r>
          </w:p>
        </w:tc>
        <w:tc>
          <w:tcPr>
            <w:tcW w:w="1506" w:type="dxa"/>
            <w:tcBorders>
              <w:top w:val="single" w:sz="4" w:space="0" w:color="C9CBCC"/>
              <w:bottom w:val="single" w:sz="4" w:space="0" w:color="C9CBCC"/>
            </w:tcBorders>
          </w:tcPr>
          <w:p>
            <w:pPr>
              <w:pStyle w:val="TableParagraph"/>
              <w:spacing w:before="109"/>
              <w:ind w:right="172"/>
              <w:jc w:val="right"/>
              <w:rPr>
                <w:sz w:val="16"/>
              </w:rPr>
            </w:pPr>
            <w:r>
              <w:rPr>
                <w:color w:val="292425"/>
                <w:w w:val="110"/>
                <w:sz w:val="16"/>
              </w:rPr>
              <w:t>68.4%</w:t>
            </w:r>
          </w:p>
        </w:tc>
      </w:tr>
      <w:tr>
        <w:trPr>
          <w:trHeight w:val="300" w:hRule="exact"/>
        </w:trPr>
        <w:tc>
          <w:tcPr>
            <w:tcW w:w="2004" w:type="dxa"/>
            <w:tcBorders>
              <w:top w:val="single" w:sz="4" w:space="0" w:color="C9CBCC"/>
              <w:bottom w:val="single" w:sz="4" w:space="0" w:color="C9CBCC"/>
            </w:tcBorders>
          </w:tcPr>
          <w:p>
            <w:pPr>
              <w:pStyle w:val="TableParagraph"/>
              <w:spacing w:before="109"/>
              <w:ind w:right="489"/>
              <w:jc w:val="right"/>
              <w:rPr>
                <w:sz w:val="16"/>
              </w:rPr>
            </w:pPr>
            <w:r>
              <w:rPr>
                <w:color w:val="292425"/>
                <w:w w:val="115"/>
                <w:sz w:val="16"/>
              </w:rPr>
              <w:t>597</w:t>
            </w:r>
          </w:p>
        </w:tc>
        <w:tc>
          <w:tcPr>
            <w:tcW w:w="1801" w:type="dxa"/>
            <w:tcBorders>
              <w:top w:val="single" w:sz="4" w:space="0" w:color="C9CBCC"/>
              <w:bottom w:val="single" w:sz="4" w:space="0" w:color="C9CBCC"/>
            </w:tcBorders>
          </w:tcPr>
          <w:p>
            <w:pPr>
              <w:pStyle w:val="TableParagraph"/>
              <w:spacing w:before="109"/>
              <w:ind w:left="1009"/>
              <w:rPr>
                <w:sz w:val="16"/>
              </w:rPr>
            </w:pPr>
            <w:r>
              <w:rPr>
                <w:color w:val="292425"/>
                <w:w w:val="120"/>
                <w:sz w:val="16"/>
              </w:rPr>
              <w:t>563</w:t>
            </w:r>
          </w:p>
        </w:tc>
        <w:tc>
          <w:tcPr>
            <w:tcW w:w="1748" w:type="dxa"/>
            <w:tcBorders>
              <w:top w:val="single" w:sz="4" w:space="0" w:color="C9CBCC"/>
              <w:bottom w:val="single" w:sz="4" w:space="0" w:color="C9CBCC"/>
            </w:tcBorders>
          </w:tcPr>
          <w:p>
            <w:pPr>
              <w:pStyle w:val="TableParagraph"/>
              <w:spacing w:before="109"/>
              <w:ind w:right="446"/>
              <w:jc w:val="right"/>
              <w:rPr>
                <w:sz w:val="16"/>
              </w:rPr>
            </w:pPr>
            <w:r>
              <w:rPr>
                <w:color w:val="292425"/>
                <w:w w:val="115"/>
                <w:sz w:val="16"/>
              </w:rPr>
              <w:t>546</w:t>
            </w:r>
          </w:p>
        </w:tc>
        <w:tc>
          <w:tcPr>
            <w:tcW w:w="1718" w:type="dxa"/>
            <w:tcBorders>
              <w:top w:val="single" w:sz="4" w:space="0" w:color="C9CBCC"/>
              <w:bottom w:val="single" w:sz="4" w:space="0" w:color="C9CBCC"/>
            </w:tcBorders>
          </w:tcPr>
          <w:p>
            <w:pPr>
              <w:pStyle w:val="TableParagraph"/>
              <w:spacing w:before="109"/>
              <w:ind w:left="976"/>
              <w:rPr>
                <w:sz w:val="16"/>
              </w:rPr>
            </w:pPr>
            <w:r>
              <w:rPr>
                <w:color w:val="292425"/>
                <w:w w:val="120"/>
                <w:sz w:val="16"/>
              </w:rPr>
              <w:t>521</w:t>
            </w:r>
          </w:p>
        </w:tc>
        <w:tc>
          <w:tcPr>
            <w:tcW w:w="1709" w:type="dxa"/>
            <w:tcBorders>
              <w:top w:val="single" w:sz="4" w:space="0" w:color="C9CBCC"/>
              <w:bottom w:val="single" w:sz="4" w:space="0" w:color="C9CBCC"/>
            </w:tcBorders>
          </w:tcPr>
          <w:p>
            <w:pPr>
              <w:pStyle w:val="TableParagraph"/>
              <w:spacing w:before="109"/>
              <w:ind w:right="428"/>
              <w:jc w:val="right"/>
              <w:rPr>
                <w:sz w:val="16"/>
              </w:rPr>
            </w:pPr>
            <w:r>
              <w:rPr>
                <w:color w:val="292425"/>
                <w:w w:val="115"/>
                <w:sz w:val="16"/>
              </w:rPr>
              <w:t>506</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509</w:t>
            </w:r>
          </w:p>
        </w:tc>
      </w:tr>
      <w:tr>
        <w:trPr>
          <w:trHeight w:val="300" w:hRule="exact"/>
        </w:trPr>
        <w:tc>
          <w:tcPr>
            <w:tcW w:w="2004" w:type="dxa"/>
            <w:tcBorders>
              <w:top w:val="single" w:sz="4" w:space="0" w:color="C9CBCC"/>
              <w:bottom w:val="single" w:sz="4" w:space="0" w:color="C9CBCC"/>
            </w:tcBorders>
          </w:tcPr>
          <w:p>
            <w:pPr>
              <w:pStyle w:val="TableParagraph"/>
              <w:spacing w:before="109"/>
              <w:ind w:right="500"/>
              <w:jc w:val="right"/>
              <w:rPr>
                <w:sz w:val="16"/>
              </w:rPr>
            </w:pPr>
            <w:r>
              <w:rPr>
                <w:color w:val="292425"/>
                <w:w w:val="120"/>
                <w:sz w:val="16"/>
              </w:rPr>
              <w:t>806, 822</w:t>
            </w:r>
          </w:p>
        </w:tc>
        <w:tc>
          <w:tcPr>
            <w:tcW w:w="1801" w:type="dxa"/>
            <w:tcBorders>
              <w:top w:val="single" w:sz="4" w:space="0" w:color="C9CBCC"/>
              <w:bottom w:val="single" w:sz="4" w:space="0" w:color="C9CBCC"/>
            </w:tcBorders>
          </w:tcPr>
          <w:p>
            <w:pPr>
              <w:pStyle w:val="TableParagraph"/>
              <w:spacing w:before="109"/>
              <w:ind w:left="656"/>
              <w:rPr>
                <w:sz w:val="16"/>
              </w:rPr>
            </w:pPr>
            <w:r>
              <w:rPr>
                <w:color w:val="292425"/>
                <w:w w:val="120"/>
                <w:sz w:val="16"/>
              </w:rPr>
              <w:t>786 ,288</w:t>
            </w:r>
          </w:p>
        </w:tc>
        <w:tc>
          <w:tcPr>
            <w:tcW w:w="1748" w:type="dxa"/>
            <w:tcBorders>
              <w:top w:val="single" w:sz="4" w:space="0" w:color="C9CBCC"/>
              <w:bottom w:val="single" w:sz="4" w:space="0" w:color="C9CBCC"/>
            </w:tcBorders>
          </w:tcPr>
          <w:p>
            <w:pPr>
              <w:pStyle w:val="TableParagraph"/>
              <w:spacing w:before="109"/>
              <w:ind w:left="662"/>
              <w:rPr>
                <w:sz w:val="16"/>
              </w:rPr>
            </w:pPr>
            <w:r>
              <w:rPr>
                <w:color w:val="292425"/>
                <w:w w:val="120"/>
                <w:sz w:val="16"/>
              </w:rPr>
              <w:t>748, 634</w:t>
            </w:r>
          </w:p>
        </w:tc>
        <w:tc>
          <w:tcPr>
            <w:tcW w:w="1718" w:type="dxa"/>
            <w:tcBorders>
              <w:top w:val="single" w:sz="4" w:space="0" w:color="C9CBCC"/>
              <w:bottom w:val="single" w:sz="4" w:space="0" w:color="C9CBCC"/>
            </w:tcBorders>
          </w:tcPr>
          <w:p>
            <w:pPr>
              <w:pStyle w:val="TableParagraph"/>
              <w:spacing w:before="109"/>
              <w:ind w:left="618"/>
              <w:rPr>
                <w:sz w:val="16"/>
              </w:rPr>
            </w:pPr>
            <w:r>
              <w:rPr>
                <w:color w:val="292425"/>
                <w:w w:val="120"/>
                <w:sz w:val="16"/>
              </w:rPr>
              <w:t>685, 524</w:t>
            </w:r>
          </w:p>
        </w:tc>
        <w:tc>
          <w:tcPr>
            <w:tcW w:w="1709" w:type="dxa"/>
            <w:tcBorders>
              <w:top w:val="single" w:sz="4" w:space="0" w:color="C9CBCC"/>
              <w:bottom w:val="single" w:sz="4" w:space="0" w:color="C9CBCC"/>
            </w:tcBorders>
          </w:tcPr>
          <w:p>
            <w:pPr>
              <w:pStyle w:val="TableParagraph"/>
              <w:spacing w:before="109"/>
              <w:ind w:left="641"/>
              <w:rPr>
                <w:sz w:val="16"/>
              </w:rPr>
            </w:pPr>
            <w:r>
              <w:rPr>
                <w:color w:val="292425"/>
                <w:w w:val="120"/>
                <w:sz w:val="16"/>
              </w:rPr>
              <w:t>624, 476</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546, 297</w:t>
            </w:r>
          </w:p>
        </w:tc>
      </w:tr>
      <w:tr>
        <w:trPr>
          <w:trHeight w:val="300"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$76.26</w:t>
            </w:r>
          </w:p>
        </w:tc>
        <w:tc>
          <w:tcPr>
            <w:tcW w:w="1801" w:type="dxa"/>
            <w:tcBorders>
              <w:top w:val="single" w:sz="4" w:space="0" w:color="C9CBCC"/>
              <w:bottom w:val="single" w:sz="4" w:space="0" w:color="C9CBCC"/>
            </w:tcBorders>
          </w:tcPr>
          <w:p>
            <w:pPr>
              <w:pStyle w:val="TableParagraph"/>
              <w:spacing w:before="109"/>
              <w:ind w:left="771"/>
              <w:rPr>
                <w:sz w:val="16"/>
              </w:rPr>
            </w:pPr>
            <w:r>
              <w:rPr>
                <w:color w:val="292425"/>
                <w:w w:val="120"/>
                <w:sz w:val="16"/>
              </w:rPr>
              <w:t>$72.81</w:t>
            </w:r>
          </w:p>
        </w:tc>
        <w:tc>
          <w:tcPr>
            <w:tcW w:w="1748" w:type="dxa"/>
            <w:tcBorders>
              <w:top w:val="single" w:sz="4" w:space="0" w:color="C9CBCC"/>
              <w:bottom w:val="single" w:sz="4" w:space="0" w:color="C9CBCC"/>
            </w:tcBorders>
          </w:tcPr>
          <w:p>
            <w:pPr>
              <w:pStyle w:val="TableParagraph"/>
              <w:spacing w:before="109"/>
              <w:ind w:left="780"/>
              <w:rPr>
                <w:sz w:val="16"/>
              </w:rPr>
            </w:pPr>
            <w:r>
              <w:rPr>
                <w:color w:val="292425"/>
                <w:w w:val="120"/>
                <w:sz w:val="16"/>
              </w:rPr>
              <w:t>$66.20</w:t>
            </w:r>
          </w:p>
        </w:tc>
        <w:tc>
          <w:tcPr>
            <w:tcW w:w="1718" w:type="dxa"/>
            <w:tcBorders>
              <w:top w:val="single" w:sz="4" w:space="0" w:color="C9CBCC"/>
              <w:bottom w:val="single" w:sz="4" w:space="0" w:color="C9CBCC"/>
            </w:tcBorders>
          </w:tcPr>
          <w:p>
            <w:pPr>
              <w:pStyle w:val="TableParagraph"/>
              <w:spacing w:before="109"/>
              <w:ind w:left="719"/>
              <w:rPr>
                <w:sz w:val="16"/>
              </w:rPr>
            </w:pPr>
            <w:r>
              <w:rPr>
                <w:color w:val="292425"/>
                <w:w w:val="120"/>
                <w:sz w:val="16"/>
              </w:rPr>
              <w:t>$61.80</w:t>
            </w:r>
          </w:p>
        </w:tc>
        <w:tc>
          <w:tcPr>
            <w:tcW w:w="1709" w:type="dxa"/>
            <w:tcBorders>
              <w:top w:val="single" w:sz="4" w:space="0" w:color="C9CBCC"/>
              <w:bottom w:val="single" w:sz="4" w:space="0" w:color="C9CBCC"/>
            </w:tcBorders>
          </w:tcPr>
          <w:p>
            <w:pPr>
              <w:pStyle w:val="TableParagraph"/>
              <w:spacing w:before="109"/>
              <w:ind w:left="756"/>
              <w:rPr>
                <w:sz w:val="16"/>
              </w:rPr>
            </w:pPr>
            <w:r>
              <w:rPr>
                <w:color w:val="292425"/>
                <w:w w:val="120"/>
                <w:sz w:val="16"/>
              </w:rPr>
              <w:t>$58.44</w:t>
            </w:r>
          </w:p>
        </w:tc>
        <w:tc>
          <w:tcPr>
            <w:tcW w:w="1506" w:type="dxa"/>
            <w:tcBorders>
              <w:top w:val="single" w:sz="4" w:space="0" w:color="C9CBCC"/>
              <w:bottom w:val="single" w:sz="4" w:space="0" w:color="C9CBCC"/>
            </w:tcBorders>
          </w:tcPr>
          <w:p>
            <w:pPr>
              <w:pStyle w:val="TableParagraph"/>
              <w:spacing w:before="109"/>
              <w:ind w:right="269"/>
              <w:jc w:val="right"/>
              <w:rPr>
                <w:sz w:val="16"/>
              </w:rPr>
            </w:pPr>
            <w:r>
              <w:rPr>
                <w:color w:val="292425"/>
                <w:w w:val="115"/>
                <w:sz w:val="16"/>
              </w:rPr>
              <w:t>$59.97</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20"/>
                <w:sz w:val="16"/>
              </w:rPr>
              <w:t>12.76¢</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12.94¢</w:t>
            </w:r>
          </w:p>
        </w:tc>
        <w:tc>
          <w:tcPr>
            <w:tcW w:w="1748" w:type="dxa"/>
            <w:tcBorders>
              <w:top w:val="single" w:sz="4" w:space="0" w:color="C9CBCC"/>
              <w:bottom w:val="single" w:sz="4" w:space="0" w:color="C9CBCC"/>
            </w:tcBorders>
          </w:tcPr>
          <w:p>
            <w:pPr>
              <w:pStyle w:val="TableParagraph"/>
              <w:spacing w:before="109"/>
              <w:ind w:right="355"/>
              <w:jc w:val="right"/>
              <w:rPr>
                <w:sz w:val="16"/>
              </w:rPr>
            </w:pPr>
            <w:r>
              <w:rPr>
                <w:color w:val="292425"/>
                <w:w w:val="120"/>
                <w:sz w:val="16"/>
              </w:rPr>
              <w:t>12. 13¢</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11 .86¢</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11 .56¢</w:t>
            </w:r>
          </w:p>
        </w:tc>
        <w:tc>
          <w:tcPr>
            <w:tcW w:w="1506" w:type="dxa"/>
            <w:tcBorders>
              <w:top w:val="single" w:sz="4" w:space="0" w:color="C9CBCC"/>
              <w:bottom w:val="single" w:sz="4" w:space="0" w:color="C9CBCC"/>
            </w:tcBorders>
          </w:tcPr>
          <w:p>
            <w:pPr>
              <w:pStyle w:val="TableParagraph"/>
              <w:spacing w:before="109"/>
              <w:ind w:right="179"/>
              <w:jc w:val="right"/>
              <w:rPr>
                <w:sz w:val="16"/>
              </w:rPr>
            </w:pPr>
            <w:r>
              <w:rPr>
                <w:color w:val="292425"/>
                <w:w w:val="120"/>
                <w:sz w:val="16"/>
              </w:rPr>
              <w:t>11.77¢</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8.76¢</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8.58¢</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8. 36¢</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15"/>
                <w:sz w:val="16"/>
              </w:rPr>
              <w:t>7.94¢</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15"/>
                <w:sz w:val="16"/>
              </w:rPr>
              <w:t>8.07¢</w:t>
            </w:r>
          </w:p>
        </w:tc>
        <w:tc>
          <w:tcPr>
            <w:tcW w:w="1506" w:type="dxa"/>
            <w:tcBorders>
              <w:top w:val="single" w:sz="4" w:space="0" w:color="C9CBCC"/>
              <w:bottom w:val="single" w:sz="4" w:space="0" w:color="C9CBCC"/>
            </w:tcBorders>
          </w:tcPr>
          <w:p>
            <w:pPr>
              <w:pStyle w:val="TableParagraph"/>
              <w:spacing w:before="109"/>
              <w:ind w:right="172"/>
              <w:jc w:val="right"/>
              <w:rPr>
                <w:sz w:val="16"/>
              </w:rPr>
            </w:pPr>
            <w:r>
              <w:rPr>
                <w:color w:val="292425"/>
                <w:w w:val="115"/>
                <w:sz w:val="16"/>
              </w:rPr>
              <w:t>8.35¢</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7.32¢</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7. 40¢</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7. 50¢</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7 .07¢</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7 .08¢</w:t>
            </w:r>
          </w:p>
        </w:tc>
        <w:tc>
          <w:tcPr>
            <w:tcW w:w="1506" w:type="dxa"/>
            <w:tcBorders>
              <w:top w:val="single" w:sz="4" w:space="0" w:color="C9CBCC"/>
              <w:bottom w:val="single" w:sz="4" w:space="0" w:color="C9CBCC"/>
            </w:tcBorders>
          </w:tcPr>
          <w:p>
            <w:pPr>
              <w:pStyle w:val="TableParagraph"/>
              <w:spacing w:before="109"/>
              <w:ind w:right="173"/>
              <w:jc w:val="right"/>
              <w:rPr>
                <w:sz w:val="16"/>
              </w:rPr>
            </w:pPr>
            <w:r>
              <w:rPr>
                <w:color w:val="292425"/>
                <w:w w:val="115"/>
                <w:sz w:val="16"/>
              </w:rPr>
              <w:t>7.29¢</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20"/>
                <w:sz w:val="16"/>
              </w:rPr>
              <w:t>6.50¢</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6. 29¢</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15"/>
                <w:sz w:val="16"/>
              </w:rPr>
              <w:t>6.31¢</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6 .06¢</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6.09¢</w:t>
            </w:r>
          </w:p>
        </w:tc>
        <w:tc>
          <w:tcPr>
            <w:tcW w:w="1506" w:type="dxa"/>
            <w:tcBorders>
              <w:top w:val="single" w:sz="4" w:space="0" w:color="C9CBCC"/>
              <w:bottom w:val="single" w:sz="4" w:space="0" w:color="C9CBCC"/>
            </w:tcBorders>
          </w:tcPr>
          <w:p>
            <w:pPr>
              <w:pStyle w:val="TableParagraph"/>
              <w:spacing w:before="109"/>
              <w:ind w:right="168"/>
              <w:jc w:val="right"/>
              <w:rPr>
                <w:sz w:val="16"/>
              </w:rPr>
            </w:pPr>
            <w:r>
              <w:rPr>
                <w:color w:val="292425"/>
                <w:w w:val="120"/>
                <w:sz w:val="16"/>
              </w:rPr>
              <w:t>6.18¢</w:t>
            </w:r>
          </w:p>
        </w:tc>
      </w:tr>
      <w:tr>
        <w:trPr>
          <w:trHeight w:val="300" w:hRule="exact"/>
        </w:trPr>
        <w:tc>
          <w:tcPr>
            <w:tcW w:w="2004" w:type="dxa"/>
            <w:tcBorders>
              <w:top w:val="single" w:sz="4" w:space="0" w:color="C9CBCC"/>
              <w:bottom w:val="single" w:sz="4" w:space="0" w:color="C9CBCC"/>
            </w:tcBorders>
          </w:tcPr>
          <w:p>
            <w:pPr>
              <w:pStyle w:val="TableParagraph"/>
              <w:spacing w:before="109"/>
              <w:ind w:right="401"/>
              <w:jc w:val="right"/>
              <w:rPr>
                <w:sz w:val="16"/>
              </w:rPr>
            </w:pPr>
            <w:r>
              <w:rPr>
                <w:color w:val="292425"/>
                <w:w w:val="115"/>
                <w:sz w:val="16"/>
              </w:rPr>
              <w:t>45.67¢</w:t>
            </w:r>
          </w:p>
        </w:tc>
        <w:tc>
          <w:tcPr>
            <w:tcW w:w="1801" w:type="dxa"/>
            <w:tcBorders>
              <w:top w:val="single" w:sz="4" w:space="0" w:color="C9CBCC"/>
              <w:bottom w:val="single" w:sz="4" w:space="0" w:color="C9CBCC"/>
            </w:tcBorders>
          </w:tcPr>
          <w:p>
            <w:pPr>
              <w:pStyle w:val="TableParagraph"/>
              <w:spacing w:before="109"/>
              <w:ind w:right="408"/>
              <w:jc w:val="right"/>
              <w:rPr>
                <w:sz w:val="16"/>
              </w:rPr>
            </w:pPr>
            <w:r>
              <w:rPr>
                <w:color w:val="292425"/>
                <w:w w:val="120"/>
                <w:sz w:val="16"/>
              </w:rPr>
              <w:t>62. 46¢</w:t>
            </w:r>
          </w:p>
        </w:tc>
        <w:tc>
          <w:tcPr>
            <w:tcW w:w="1748" w:type="dxa"/>
            <w:tcBorders>
              <w:top w:val="single" w:sz="4" w:space="0" w:color="C9CBCC"/>
              <w:bottom w:val="single" w:sz="4" w:space="0" w:color="C9CBCC"/>
            </w:tcBorders>
          </w:tcPr>
          <w:p>
            <w:pPr>
              <w:pStyle w:val="TableParagraph"/>
              <w:spacing w:before="109"/>
              <w:ind w:right="361"/>
              <w:jc w:val="right"/>
              <w:rPr>
                <w:sz w:val="16"/>
              </w:rPr>
            </w:pPr>
            <w:r>
              <w:rPr>
                <w:color w:val="292425"/>
                <w:w w:val="120"/>
                <w:sz w:val="16"/>
              </w:rPr>
              <w:t>65. 47¢</w:t>
            </w:r>
          </w:p>
        </w:tc>
        <w:tc>
          <w:tcPr>
            <w:tcW w:w="1718" w:type="dxa"/>
            <w:tcBorders>
              <w:top w:val="single" w:sz="4" w:space="0" w:color="C9CBCC"/>
              <w:bottom w:val="single" w:sz="4" w:space="0" w:color="C9CBCC"/>
            </w:tcBorders>
          </w:tcPr>
          <w:p>
            <w:pPr>
              <w:pStyle w:val="TableParagraph"/>
              <w:spacing w:before="109"/>
              <w:ind w:right="369"/>
              <w:jc w:val="right"/>
              <w:rPr>
                <w:sz w:val="16"/>
              </w:rPr>
            </w:pPr>
            <w:r>
              <w:rPr>
                <w:color w:val="292425"/>
                <w:w w:val="120"/>
                <w:sz w:val="16"/>
              </w:rPr>
              <w:t>55 .22¢</w:t>
            </w:r>
          </w:p>
        </w:tc>
        <w:tc>
          <w:tcPr>
            <w:tcW w:w="1709" w:type="dxa"/>
            <w:tcBorders>
              <w:top w:val="single" w:sz="4" w:space="0" w:color="C9CBCC"/>
              <w:bottom w:val="single" w:sz="4" w:space="0" w:color="C9CBCC"/>
            </w:tcBorders>
          </w:tcPr>
          <w:p>
            <w:pPr>
              <w:pStyle w:val="TableParagraph"/>
              <w:spacing w:before="109"/>
              <w:ind w:right="342"/>
              <w:jc w:val="right"/>
              <w:rPr>
                <w:sz w:val="16"/>
              </w:rPr>
            </w:pPr>
            <w:r>
              <w:rPr>
                <w:color w:val="292425"/>
                <w:w w:val="120"/>
                <w:sz w:val="16"/>
              </w:rPr>
              <w:t>53.92¢</w:t>
            </w:r>
          </w:p>
        </w:tc>
        <w:tc>
          <w:tcPr>
            <w:tcW w:w="1506" w:type="dxa"/>
            <w:tcBorders>
              <w:top w:val="single" w:sz="4" w:space="0" w:color="C9CBCC"/>
              <w:bottom w:val="single" w:sz="4" w:space="0" w:color="C9CBCC"/>
            </w:tcBorders>
          </w:tcPr>
          <w:p>
            <w:pPr>
              <w:pStyle w:val="TableParagraph"/>
              <w:spacing w:before="109"/>
              <w:ind w:right="179"/>
              <w:jc w:val="right"/>
              <w:rPr>
                <w:sz w:val="16"/>
              </w:rPr>
            </w:pPr>
            <w:r>
              <w:rPr>
                <w:color w:val="292425"/>
                <w:w w:val="120"/>
                <w:sz w:val="16"/>
              </w:rPr>
              <w:t>59.15¢</w:t>
            </w:r>
          </w:p>
        </w:tc>
      </w:tr>
      <w:tr>
        <w:trPr>
          <w:trHeight w:val="300"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25,844</w:t>
            </w:r>
          </w:p>
        </w:tc>
        <w:tc>
          <w:tcPr>
            <w:tcW w:w="1801" w:type="dxa"/>
            <w:tcBorders>
              <w:top w:val="single" w:sz="4" w:space="0" w:color="C9CBCC"/>
              <w:bottom w:val="single" w:sz="4" w:space="0" w:color="C9CBCC"/>
            </w:tcBorders>
          </w:tcPr>
          <w:p>
            <w:pPr>
              <w:pStyle w:val="TableParagraph"/>
              <w:spacing w:before="109"/>
              <w:ind w:left="746"/>
              <w:rPr>
                <w:sz w:val="16"/>
              </w:rPr>
            </w:pPr>
            <w:r>
              <w:rPr>
                <w:color w:val="292425"/>
                <w:w w:val="120"/>
                <w:sz w:val="16"/>
              </w:rPr>
              <w:t>23, 974</w:t>
            </w:r>
          </w:p>
        </w:tc>
        <w:tc>
          <w:tcPr>
            <w:tcW w:w="1748" w:type="dxa"/>
            <w:tcBorders>
              <w:top w:val="single" w:sz="4" w:space="0" w:color="C9CBCC"/>
              <w:bottom w:val="single" w:sz="4" w:space="0" w:color="C9CBCC"/>
            </w:tcBorders>
          </w:tcPr>
          <w:p>
            <w:pPr>
              <w:pStyle w:val="TableParagraph"/>
              <w:spacing w:before="109"/>
              <w:ind w:left="752"/>
              <w:rPr>
                <w:sz w:val="16"/>
              </w:rPr>
            </w:pPr>
            <w:r>
              <w:rPr>
                <w:color w:val="292425"/>
                <w:w w:val="120"/>
                <w:sz w:val="16"/>
              </w:rPr>
              <w:t>22,944</w:t>
            </w:r>
          </w:p>
        </w:tc>
        <w:tc>
          <w:tcPr>
            <w:tcW w:w="1718" w:type="dxa"/>
            <w:tcBorders>
              <w:top w:val="single" w:sz="4" w:space="0" w:color="C9CBCC"/>
              <w:bottom w:val="single" w:sz="4" w:space="0" w:color="C9CBCC"/>
            </w:tcBorders>
          </w:tcPr>
          <w:p>
            <w:pPr>
              <w:pStyle w:val="TableParagraph"/>
              <w:spacing w:before="109"/>
              <w:ind w:left="705"/>
              <w:rPr>
                <w:sz w:val="16"/>
              </w:rPr>
            </w:pPr>
            <w:r>
              <w:rPr>
                <w:color w:val="292425"/>
                <w:w w:val="120"/>
                <w:sz w:val="16"/>
              </w:rPr>
              <w:t>19, 933</w:t>
            </w:r>
          </w:p>
        </w:tc>
        <w:tc>
          <w:tcPr>
            <w:tcW w:w="1709" w:type="dxa"/>
            <w:tcBorders>
              <w:top w:val="single" w:sz="4" w:space="0" w:color="C9CBCC"/>
              <w:bottom w:val="single" w:sz="4" w:space="0" w:color="C9CBCC"/>
            </w:tcBorders>
          </w:tcPr>
          <w:p>
            <w:pPr>
              <w:pStyle w:val="TableParagraph"/>
              <w:spacing w:before="109"/>
              <w:ind w:left="731"/>
              <w:rPr>
                <w:sz w:val="16"/>
              </w:rPr>
            </w:pPr>
            <w:r>
              <w:rPr>
                <w:color w:val="292425"/>
                <w:w w:val="120"/>
                <w:sz w:val="16"/>
              </w:rPr>
              <w:t>16, 818</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20"/>
                <w:sz w:val="16"/>
              </w:rPr>
              <w:t>15, 175</w:t>
            </w:r>
          </w:p>
        </w:tc>
      </w:tr>
      <w:tr>
        <w:trPr>
          <w:trHeight w:val="294" w:hRule="exact"/>
        </w:trPr>
        <w:tc>
          <w:tcPr>
            <w:tcW w:w="2004" w:type="dxa"/>
            <w:tcBorders>
              <w:top w:val="single" w:sz="4" w:space="0" w:color="C9CBCC"/>
              <w:bottom w:val="single" w:sz="4" w:space="0" w:color="C9CBCC"/>
            </w:tcBorders>
          </w:tcPr>
          <w:p>
            <w:pPr>
              <w:pStyle w:val="TableParagraph"/>
              <w:spacing w:before="109"/>
              <w:ind w:right="496"/>
              <w:jc w:val="right"/>
              <w:rPr>
                <w:sz w:val="16"/>
              </w:rPr>
            </w:pPr>
            <w:r>
              <w:rPr>
                <w:color w:val="292425"/>
                <w:w w:val="115"/>
                <w:sz w:val="16"/>
              </w:rPr>
              <w:t>280</w:t>
            </w:r>
          </w:p>
        </w:tc>
        <w:tc>
          <w:tcPr>
            <w:tcW w:w="1801" w:type="dxa"/>
            <w:tcBorders>
              <w:top w:val="single" w:sz="4" w:space="0" w:color="C9CBCC"/>
              <w:bottom w:val="single" w:sz="4" w:space="0" w:color="C9CBCC"/>
            </w:tcBorders>
          </w:tcPr>
          <w:p>
            <w:pPr>
              <w:pStyle w:val="TableParagraph"/>
              <w:spacing w:before="109"/>
              <w:ind w:left="1015"/>
              <w:rPr>
                <w:sz w:val="16"/>
              </w:rPr>
            </w:pPr>
            <w:r>
              <w:rPr>
                <w:color w:val="292425"/>
                <w:w w:val="120"/>
                <w:sz w:val="16"/>
              </w:rPr>
              <w:t>261</w:t>
            </w:r>
          </w:p>
        </w:tc>
        <w:tc>
          <w:tcPr>
            <w:tcW w:w="1748" w:type="dxa"/>
            <w:tcBorders>
              <w:top w:val="single" w:sz="4" w:space="0" w:color="C9CBCC"/>
              <w:bottom w:val="single" w:sz="4" w:space="0" w:color="C9CBCC"/>
            </w:tcBorders>
          </w:tcPr>
          <w:p>
            <w:pPr>
              <w:pStyle w:val="TableParagraph"/>
              <w:spacing w:before="109"/>
              <w:ind w:right="452"/>
              <w:jc w:val="right"/>
              <w:rPr>
                <w:sz w:val="16"/>
              </w:rPr>
            </w:pPr>
            <w:r>
              <w:rPr>
                <w:color w:val="292425"/>
                <w:w w:val="115"/>
                <w:sz w:val="16"/>
              </w:rPr>
              <w:t>243</w:t>
            </w:r>
          </w:p>
        </w:tc>
        <w:tc>
          <w:tcPr>
            <w:tcW w:w="1718" w:type="dxa"/>
            <w:tcBorders>
              <w:top w:val="single" w:sz="4" w:space="0" w:color="C9CBCC"/>
              <w:bottom w:val="single" w:sz="4" w:space="0" w:color="C9CBCC"/>
            </w:tcBorders>
          </w:tcPr>
          <w:p>
            <w:pPr>
              <w:pStyle w:val="TableParagraph"/>
              <w:spacing w:before="109"/>
              <w:ind w:left="977"/>
              <w:rPr>
                <w:sz w:val="16"/>
              </w:rPr>
            </w:pPr>
            <w:r>
              <w:rPr>
                <w:color w:val="292425"/>
                <w:w w:val="120"/>
                <w:sz w:val="16"/>
              </w:rPr>
              <w:t>224</w:t>
            </w:r>
          </w:p>
        </w:tc>
        <w:tc>
          <w:tcPr>
            <w:tcW w:w="1709" w:type="dxa"/>
            <w:tcBorders>
              <w:top w:val="single" w:sz="4" w:space="0" w:color="C9CBCC"/>
              <w:bottom w:val="single" w:sz="4" w:space="0" w:color="C9CBCC"/>
            </w:tcBorders>
          </w:tcPr>
          <w:p>
            <w:pPr>
              <w:pStyle w:val="TableParagraph"/>
              <w:spacing w:before="109"/>
              <w:ind w:right="428"/>
              <w:jc w:val="right"/>
              <w:rPr>
                <w:sz w:val="16"/>
              </w:rPr>
            </w:pPr>
            <w:r>
              <w:rPr>
                <w:color w:val="292425"/>
                <w:w w:val="115"/>
                <w:sz w:val="16"/>
              </w:rPr>
              <w:t>199</w:t>
            </w:r>
          </w:p>
        </w:tc>
        <w:tc>
          <w:tcPr>
            <w:tcW w:w="1506" w:type="dxa"/>
            <w:tcBorders>
              <w:top w:val="single" w:sz="4" w:space="0" w:color="C9CBCC"/>
              <w:bottom w:val="single" w:sz="4" w:space="0" w:color="C9CBCC"/>
            </w:tcBorders>
          </w:tcPr>
          <w:p>
            <w:pPr>
              <w:pStyle w:val="TableParagraph"/>
              <w:spacing w:before="109"/>
              <w:ind w:right="274"/>
              <w:jc w:val="right"/>
              <w:rPr>
                <w:sz w:val="16"/>
              </w:rPr>
            </w:pPr>
            <w:r>
              <w:rPr>
                <w:color w:val="292425"/>
                <w:w w:val="115"/>
                <w:sz w:val="16"/>
              </w:rPr>
              <w:t>178</w:t>
            </w:r>
          </w:p>
        </w:tc>
      </w:tr>
    </w:tbl>
    <w:p>
      <w:pPr>
        <w:spacing w:after="0"/>
        <w:jc w:val="right"/>
        <w:rPr>
          <w:sz w:val="16"/>
        </w:rPr>
        <w:sectPr>
          <w:headerReference w:type="default" r:id="rId47"/>
          <w:pgSz w:w="12240" w:h="15840"/>
          <w:pgMar w:header="0" w:footer="0" w:top="360" w:bottom="280" w:left="0" w:right="0"/>
        </w:sectPr>
      </w:pPr>
    </w:p>
    <w:p>
      <w:pPr>
        <w:pStyle w:val="BodyText"/>
        <w:rPr>
          <w:rFonts w:ascii="Franklin Gothic Medium"/>
        </w:rPr>
      </w:pPr>
    </w:p>
    <w:p>
      <w:pPr>
        <w:pStyle w:val="BodyText"/>
        <w:rPr>
          <w:rFonts w:ascii="Franklin Gothic Medium"/>
        </w:rPr>
      </w:pPr>
    </w:p>
    <w:p>
      <w:pPr>
        <w:tabs>
          <w:tab w:pos="904" w:val="left" w:leader="none"/>
        </w:tabs>
        <w:spacing w:before="0"/>
        <w:ind w:left="452" w:right="0" w:firstLine="0"/>
        <w:jc w:val="left"/>
        <w:rPr>
          <w:sz w:val="12"/>
        </w:rPr>
      </w:pPr>
      <w:r>
        <w:rPr/>
        <w:pict>
          <v:group style="position:absolute;margin-left:-.25pt;margin-top:-5.66357pt;width:612.5pt;height:19.25pt;mso-position-horizontal-relative:page;mso-position-vertical-relative:paragraph;z-index:-277312" coordorigin="-5,-113" coordsize="12250,385">
            <v:line style="position:absolute" from="720,-94" to="720,262" stroked="true" strokeweight=".5pt" strokecolor="#292425">
              <v:stroke dashstyle="solid"/>
            </v:line>
            <v:line style="position:absolute" from="0,266" to="12240,266" stroked="true" strokeweight=".5pt" strokecolor="#292425">
              <v:stroke dashstyle="solid"/>
            </v:line>
            <v:shape style="position:absolute;left:4561;top:-113;width:590;height:252" type="#_x0000_t75" stroked="false">
              <v:imagedata r:id="rId49" o:title=""/>
            </v:shape>
            <w10:wrap type="none"/>
          </v:group>
        </w:pict>
      </w:r>
      <w:bookmarkStart w:name="Corporate Data/Directors and Officers" w:id="16"/>
      <w:bookmarkEnd w:id="16"/>
      <w:r>
        <w:rPr/>
      </w:r>
      <w:r>
        <w:rPr>
          <w:color w:val="292425"/>
          <w:spacing w:val="4"/>
          <w:w w:val="135"/>
          <w:sz w:val="14"/>
        </w:rPr>
        <w:t>16</w:t>
        <w:tab/>
      </w:r>
      <w:r>
        <w:rPr>
          <w:color w:val="292425"/>
          <w:spacing w:val="6"/>
          <w:w w:val="155"/>
          <w:sz w:val="12"/>
        </w:rPr>
        <w:t>Southwest  airlines  </w:t>
      </w:r>
      <w:r>
        <w:rPr>
          <w:color w:val="292425"/>
          <w:spacing w:val="4"/>
          <w:w w:val="155"/>
          <w:sz w:val="12"/>
        </w:rPr>
        <w:t>co.  </w:t>
      </w:r>
      <w:r>
        <w:rPr>
          <w:color w:val="292425"/>
          <w:spacing w:val="5"/>
          <w:w w:val="135"/>
          <w:sz w:val="12"/>
        </w:rPr>
        <w:t>2002  </w:t>
      </w:r>
      <w:r>
        <w:rPr>
          <w:color w:val="292425"/>
          <w:spacing w:val="5"/>
          <w:w w:val="155"/>
          <w:sz w:val="12"/>
        </w:rPr>
        <w:t>annual </w:t>
      </w:r>
      <w:r>
        <w:rPr>
          <w:color w:val="292425"/>
          <w:spacing w:val="12"/>
          <w:w w:val="155"/>
          <w:sz w:val="12"/>
        </w:rPr>
        <w:t> </w:t>
      </w:r>
      <w:r>
        <w:rPr>
          <w:color w:val="292425"/>
          <w:spacing w:val="4"/>
          <w:w w:val="155"/>
          <w:sz w:val="12"/>
        </w:rPr>
        <w:t>report</w:t>
      </w:r>
    </w:p>
    <w:p>
      <w:pPr>
        <w:pStyle w:val="BodyText"/>
        <w:spacing w:before="1"/>
        <w:rPr>
          <w:sz w:val="22"/>
        </w:rPr>
      </w:pPr>
    </w:p>
    <w:p>
      <w:pPr>
        <w:spacing w:before="0"/>
        <w:ind w:left="892" w:right="0" w:firstLine="0"/>
        <w:jc w:val="left"/>
        <w:rPr>
          <w:i/>
          <w:sz w:val="16"/>
        </w:rPr>
      </w:pPr>
      <w:r>
        <w:rPr/>
        <w:pict>
          <v:line style="position:absolute;mso-position-horizontal-relative:page;mso-position-vertical-relative:paragraph;z-index:-277360" from="0pt,17.451311pt" to="612pt,17.451311pt" stroked="true" strokeweight=".5pt" strokecolor="#292425">
            <v:stroke dashstyle="solid"/>
            <w10:wrap type="none"/>
          </v:line>
        </w:pict>
      </w:r>
      <w:r>
        <w:rPr>
          <w:i/>
          <w:color w:val="292425"/>
          <w:w w:val="105"/>
          <w:sz w:val="16"/>
        </w:rPr>
        <w:t>CORPORATE DATA</w:t>
      </w:r>
    </w:p>
    <w:p>
      <w:pPr>
        <w:pStyle w:val="BodyText"/>
        <w:rPr>
          <w:i/>
        </w:rPr>
      </w:pPr>
    </w:p>
    <w:p>
      <w:pPr>
        <w:spacing w:after="0"/>
        <w:sectPr>
          <w:headerReference w:type="even" r:id="rId48"/>
          <w:pgSz w:w="12240" w:h="15840"/>
          <w:pgMar w:header="0" w:footer="0" w:top="0" w:bottom="280" w:left="0" w:right="0"/>
        </w:sectPr>
      </w:pPr>
    </w:p>
    <w:p>
      <w:pPr>
        <w:pStyle w:val="BodyText"/>
        <w:spacing w:before="3"/>
        <w:rPr>
          <w:i/>
          <w:sz w:val="18"/>
        </w:rPr>
      </w:pPr>
    </w:p>
    <w:p>
      <w:pPr>
        <w:spacing w:before="0"/>
        <w:ind w:left="914" w:right="0" w:firstLine="0"/>
        <w:jc w:val="both"/>
        <w:rPr>
          <w:rFonts w:ascii="Franklin Gothic Medium"/>
          <w:sz w:val="16"/>
        </w:rPr>
      </w:pPr>
      <w:r>
        <w:rPr>
          <w:rFonts w:ascii="Franklin Gothic Medium"/>
          <w:color w:val="292425"/>
          <w:sz w:val="16"/>
        </w:rPr>
        <w:t>TRANSFER AGENT AND REGISTRAR</w:t>
      </w:r>
    </w:p>
    <w:p>
      <w:pPr>
        <w:spacing w:line="244" w:lineRule="auto" w:before="12"/>
        <w:ind w:left="914" w:right="0" w:firstLine="0"/>
        <w:jc w:val="both"/>
        <w:rPr>
          <w:sz w:val="16"/>
        </w:rPr>
      </w:pPr>
      <w:r>
        <w:rPr>
          <w:color w:val="292425"/>
          <w:w w:val="105"/>
          <w:sz w:val="16"/>
        </w:rPr>
        <w:t>Registered shareholder inquiries regarding stock transfers, address changes, lost stock certificates, dividend payments, or account consolidation should be directed  to:</w:t>
      </w:r>
    </w:p>
    <w:p>
      <w:pPr>
        <w:pStyle w:val="BodyText"/>
        <w:spacing w:before="4"/>
        <w:rPr>
          <w:sz w:val="16"/>
        </w:rPr>
      </w:pPr>
    </w:p>
    <w:p>
      <w:pPr>
        <w:spacing w:line="244" w:lineRule="auto" w:before="0"/>
        <w:ind w:left="914" w:right="1597" w:firstLine="0"/>
        <w:jc w:val="left"/>
        <w:rPr>
          <w:sz w:val="16"/>
        </w:rPr>
      </w:pPr>
      <w:r>
        <w:rPr>
          <w:color w:val="292425"/>
          <w:w w:val="105"/>
          <w:sz w:val="16"/>
        </w:rPr>
        <w:t>Continental Stock Transfer &amp; Trust Company 17  Battery Place</w:t>
      </w:r>
    </w:p>
    <w:p>
      <w:pPr>
        <w:spacing w:line="244" w:lineRule="auto" w:before="0"/>
        <w:ind w:left="914" w:right="2646" w:firstLine="0"/>
        <w:jc w:val="left"/>
        <w:rPr>
          <w:sz w:val="16"/>
        </w:rPr>
      </w:pPr>
      <w:r>
        <w:rPr>
          <w:color w:val="292425"/>
          <w:w w:val="110"/>
          <w:sz w:val="16"/>
        </w:rPr>
        <w:t>New York, New York 10004 (212) 509-4000</w:t>
      </w:r>
    </w:p>
    <w:p>
      <w:pPr>
        <w:pStyle w:val="BodyText"/>
        <w:spacing w:before="11"/>
        <w:rPr>
          <w:sz w:val="16"/>
        </w:rPr>
      </w:pPr>
    </w:p>
    <w:p>
      <w:pPr>
        <w:spacing w:before="0"/>
        <w:ind w:left="914" w:right="0" w:firstLine="0"/>
        <w:jc w:val="both"/>
        <w:rPr>
          <w:rFonts w:ascii="Franklin Gothic Medium"/>
          <w:sz w:val="16"/>
        </w:rPr>
      </w:pPr>
      <w:r>
        <w:rPr>
          <w:rFonts w:ascii="Franklin Gothic Medium"/>
          <w:color w:val="292425"/>
          <w:sz w:val="16"/>
        </w:rPr>
        <w:t>STOCK EXCHANGE LISTING</w:t>
      </w:r>
    </w:p>
    <w:p>
      <w:pPr>
        <w:spacing w:line="244" w:lineRule="auto" w:before="12"/>
        <w:ind w:left="914" w:right="2646" w:firstLine="0"/>
        <w:jc w:val="left"/>
        <w:rPr>
          <w:sz w:val="16"/>
        </w:rPr>
      </w:pPr>
      <w:r>
        <w:rPr>
          <w:color w:val="292425"/>
          <w:w w:val="105"/>
          <w:sz w:val="16"/>
        </w:rPr>
        <w:t>New York Stock Exchange Ticker Symbol: LUV</w:t>
      </w:r>
    </w:p>
    <w:p>
      <w:pPr>
        <w:pStyle w:val="BodyText"/>
        <w:spacing w:before="10"/>
        <w:rPr>
          <w:sz w:val="16"/>
        </w:rPr>
      </w:pPr>
    </w:p>
    <w:p>
      <w:pPr>
        <w:spacing w:before="0"/>
        <w:ind w:left="914" w:right="0" w:firstLine="0"/>
        <w:jc w:val="both"/>
        <w:rPr>
          <w:rFonts w:ascii="Franklin Gothic Medium"/>
          <w:sz w:val="16"/>
        </w:rPr>
      </w:pPr>
      <w:r>
        <w:rPr>
          <w:rFonts w:ascii="Franklin Gothic Medium"/>
          <w:color w:val="292425"/>
          <w:sz w:val="16"/>
        </w:rPr>
        <w:t>INDEPENDENT AUDITORS</w:t>
      </w:r>
    </w:p>
    <w:p>
      <w:pPr>
        <w:spacing w:line="244" w:lineRule="auto" w:before="12"/>
        <w:ind w:left="914" w:right="3470" w:firstLine="0"/>
        <w:jc w:val="left"/>
        <w:rPr>
          <w:sz w:val="16"/>
        </w:rPr>
      </w:pPr>
      <w:r>
        <w:rPr>
          <w:color w:val="292425"/>
          <w:w w:val="110"/>
          <w:sz w:val="16"/>
        </w:rPr>
        <w:t>Ernst &amp; Young LLP Dallas, Texas</w:t>
      </w:r>
    </w:p>
    <w:p>
      <w:pPr>
        <w:pStyle w:val="BodyText"/>
        <w:spacing w:before="2"/>
        <w:rPr>
          <w:sz w:val="19"/>
        </w:rPr>
      </w:pPr>
      <w:r>
        <w:rPr/>
        <w:br w:type="column"/>
      </w:r>
      <w:r>
        <w:rPr>
          <w:sz w:val="19"/>
        </w:rPr>
      </w:r>
    </w:p>
    <w:p>
      <w:pPr>
        <w:spacing w:before="1"/>
        <w:ind w:left="628" w:right="0" w:firstLine="0"/>
        <w:jc w:val="both"/>
        <w:rPr>
          <w:rFonts w:ascii="Franklin Gothic Medium"/>
          <w:sz w:val="16"/>
        </w:rPr>
      </w:pPr>
      <w:r>
        <w:rPr>
          <w:rFonts w:ascii="Franklin Gothic Medium"/>
          <w:color w:val="292425"/>
          <w:sz w:val="16"/>
        </w:rPr>
        <w:t>GENERAL OFFICES</w:t>
      </w:r>
    </w:p>
    <w:p>
      <w:pPr>
        <w:spacing w:before="13"/>
        <w:ind w:left="628" w:right="0" w:firstLine="0"/>
        <w:jc w:val="both"/>
        <w:rPr>
          <w:sz w:val="16"/>
        </w:rPr>
      </w:pPr>
      <w:r>
        <w:rPr>
          <w:color w:val="292425"/>
          <w:w w:val="110"/>
          <w:sz w:val="16"/>
        </w:rPr>
        <w:t>P.O.   Box 36611</w:t>
      </w:r>
    </w:p>
    <w:p>
      <w:pPr>
        <w:spacing w:before="4"/>
        <w:ind w:left="628" w:right="0" w:firstLine="0"/>
        <w:jc w:val="both"/>
        <w:rPr>
          <w:sz w:val="16"/>
        </w:rPr>
      </w:pPr>
      <w:r>
        <w:rPr>
          <w:color w:val="292425"/>
          <w:w w:val="115"/>
          <w:sz w:val="16"/>
        </w:rPr>
        <w:t>Dallas, Texas 75235-1611</w:t>
      </w:r>
    </w:p>
    <w:p>
      <w:pPr>
        <w:pStyle w:val="BodyText"/>
        <w:spacing w:before="2"/>
        <w:rPr>
          <w:sz w:val="17"/>
        </w:rPr>
      </w:pPr>
    </w:p>
    <w:p>
      <w:pPr>
        <w:spacing w:before="0"/>
        <w:ind w:left="628" w:right="0" w:firstLine="0"/>
        <w:jc w:val="both"/>
        <w:rPr>
          <w:rFonts w:ascii="Franklin Gothic Medium"/>
          <w:sz w:val="16"/>
        </w:rPr>
      </w:pPr>
      <w:r>
        <w:rPr>
          <w:rFonts w:ascii="Franklin Gothic Medium"/>
          <w:color w:val="292425"/>
          <w:sz w:val="16"/>
        </w:rPr>
        <w:t>ANNUAL MEETING</w:t>
      </w:r>
    </w:p>
    <w:p>
      <w:pPr>
        <w:spacing w:line="244" w:lineRule="auto" w:before="12"/>
        <w:ind w:left="628" w:right="1105" w:firstLine="0"/>
        <w:jc w:val="both"/>
        <w:rPr>
          <w:sz w:val="16"/>
        </w:rPr>
      </w:pPr>
      <w:r>
        <w:rPr>
          <w:color w:val="292425"/>
          <w:w w:val="110"/>
          <w:sz w:val="16"/>
        </w:rPr>
        <w:t>The Annual Meeting of Shareholders of Southwest Airlines Co. will be held at 10:00 a.m. on May 14, 2003, at the Southwest Airlines Corporate Headquarters, 2702 Love Field Drive, Dallas, Texas.</w:t>
      </w:r>
    </w:p>
    <w:p>
      <w:pPr>
        <w:pStyle w:val="BodyText"/>
        <w:spacing w:before="10"/>
        <w:rPr>
          <w:sz w:val="16"/>
        </w:rPr>
      </w:pPr>
    </w:p>
    <w:p>
      <w:pPr>
        <w:spacing w:before="0"/>
        <w:ind w:left="628" w:right="0" w:firstLine="0"/>
        <w:jc w:val="both"/>
        <w:rPr>
          <w:rFonts w:ascii="Franklin Gothic Medium"/>
          <w:sz w:val="16"/>
        </w:rPr>
      </w:pPr>
      <w:r>
        <w:rPr>
          <w:rFonts w:ascii="Franklin Gothic Medium"/>
          <w:color w:val="292425"/>
          <w:sz w:val="16"/>
        </w:rPr>
        <w:t>FINANCIAL INFORMATION</w:t>
      </w:r>
    </w:p>
    <w:p>
      <w:pPr>
        <w:spacing w:line="244" w:lineRule="auto" w:before="12"/>
        <w:ind w:left="628" w:right="1105" w:firstLine="0"/>
        <w:jc w:val="both"/>
        <w:rPr>
          <w:sz w:val="16"/>
        </w:rPr>
      </w:pPr>
      <w:r>
        <w:rPr>
          <w:color w:val="292425"/>
          <w:w w:val="105"/>
          <w:sz w:val="16"/>
        </w:rPr>
        <w:t>A copy of the </w:t>
      </w:r>
      <w:r>
        <w:rPr>
          <w:color w:val="292425"/>
          <w:spacing w:val="-4"/>
          <w:w w:val="105"/>
          <w:sz w:val="16"/>
        </w:rPr>
        <w:t>Company’s  </w:t>
      </w:r>
      <w:r>
        <w:rPr>
          <w:color w:val="292425"/>
          <w:w w:val="105"/>
          <w:sz w:val="16"/>
        </w:rPr>
        <w:t>Annual Report on Form 10-K as filed with</w:t>
      </w:r>
      <w:r>
        <w:rPr>
          <w:color w:val="292425"/>
          <w:spacing w:val="38"/>
          <w:w w:val="105"/>
          <w:sz w:val="16"/>
        </w:rPr>
        <w:t> </w:t>
      </w:r>
      <w:r>
        <w:rPr>
          <w:color w:val="292425"/>
          <w:spacing w:val="-3"/>
          <w:w w:val="105"/>
          <w:sz w:val="16"/>
        </w:rPr>
        <w:t>the U.S. </w:t>
      </w:r>
      <w:r>
        <w:rPr>
          <w:color w:val="292425"/>
          <w:spacing w:val="-4"/>
          <w:w w:val="105"/>
          <w:sz w:val="16"/>
        </w:rPr>
        <w:t>Securities </w:t>
      </w:r>
      <w:r>
        <w:rPr>
          <w:color w:val="292425"/>
          <w:spacing w:val="-3"/>
          <w:w w:val="105"/>
          <w:sz w:val="16"/>
        </w:rPr>
        <w:t>and </w:t>
      </w:r>
      <w:r>
        <w:rPr>
          <w:color w:val="292425"/>
          <w:spacing w:val="-4"/>
          <w:w w:val="105"/>
          <w:sz w:val="16"/>
        </w:rPr>
        <w:t>Exchange Commission (SEC) </w:t>
      </w:r>
      <w:r>
        <w:rPr>
          <w:color w:val="292425"/>
          <w:spacing w:val="-3"/>
          <w:w w:val="105"/>
          <w:sz w:val="16"/>
        </w:rPr>
        <w:t>and </w:t>
      </w:r>
      <w:r>
        <w:rPr>
          <w:color w:val="292425"/>
          <w:spacing w:val="-4"/>
          <w:w w:val="105"/>
          <w:sz w:val="16"/>
        </w:rPr>
        <w:t>other financial </w:t>
      </w:r>
      <w:r>
        <w:rPr>
          <w:color w:val="292425"/>
          <w:w w:val="105"/>
          <w:sz w:val="16"/>
        </w:rPr>
        <w:t>information can be found on </w:t>
      </w:r>
      <w:r>
        <w:rPr>
          <w:color w:val="292425"/>
          <w:spacing w:val="-3"/>
          <w:w w:val="105"/>
          <w:sz w:val="16"/>
        </w:rPr>
        <w:t>Southwest’s </w:t>
      </w:r>
      <w:r>
        <w:rPr>
          <w:color w:val="292425"/>
          <w:w w:val="105"/>
          <w:sz w:val="16"/>
        </w:rPr>
        <w:t>web site </w:t>
      </w:r>
      <w:r>
        <w:rPr>
          <w:color w:val="292425"/>
          <w:spacing w:val="-5"/>
          <w:w w:val="105"/>
          <w:sz w:val="16"/>
        </w:rPr>
        <w:t>(southwest.com) or may </w:t>
      </w:r>
      <w:r>
        <w:rPr>
          <w:color w:val="292425"/>
          <w:spacing w:val="-3"/>
          <w:w w:val="105"/>
          <w:sz w:val="16"/>
        </w:rPr>
        <w:t>be </w:t>
      </w:r>
      <w:r>
        <w:rPr>
          <w:color w:val="292425"/>
          <w:spacing w:val="-5"/>
          <w:w w:val="105"/>
          <w:sz w:val="16"/>
        </w:rPr>
        <w:t>obtained without charge </w:t>
      </w:r>
      <w:r>
        <w:rPr>
          <w:color w:val="292425"/>
          <w:spacing w:val="-4"/>
          <w:w w:val="105"/>
          <w:sz w:val="16"/>
        </w:rPr>
        <w:t>by </w:t>
      </w:r>
      <w:r>
        <w:rPr>
          <w:color w:val="292425"/>
          <w:spacing w:val="-5"/>
          <w:w w:val="105"/>
          <w:sz w:val="16"/>
        </w:rPr>
        <w:t>writing </w:t>
      </w:r>
      <w:r>
        <w:rPr>
          <w:color w:val="292425"/>
          <w:spacing w:val="-3"/>
          <w:w w:val="105"/>
          <w:sz w:val="16"/>
        </w:rPr>
        <w:t>or</w:t>
      </w:r>
      <w:r>
        <w:rPr>
          <w:color w:val="292425"/>
          <w:spacing w:val="27"/>
          <w:w w:val="105"/>
          <w:sz w:val="16"/>
        </w:rPr>
        <w:t> </w:t>
      </w:r>
      <w:r>
        <w:rPr>
          <w:color w:val="292425"/>
          <w:spacing w:val="-5"/>
          <w:w w:val="105"/>
          <w:sz w:val="16"/>
        </w:rPr>
        <w:t>calling:</w:t>
      </w:r>
    </w:p>
    <w:p>
      <w:pPr>
        <w:spacing w:line="244" w:lineRule="auto" w:before="80"/>
        <w:ind w:left="628" w:right="3806" w:firstLine="0"/>
        <w:jc w:val="left"/>
        <w:rPr>
          <w:sz w:val="16"/>
        </w:rPr>
      </w:pPr>
      <w:r>
        <w:rPr>
          <w:color w:val="292425"/>
          <w:w w:val="105"/>
          <w:sz w:val="16"/>
        </w:rPr>
        <w:t>Southwest Airlines Co. Investor Relations</w:t>
      </w:r>
    </w:p>
    <w:p>
      <w:pPr>
        <w:spacing w:before="0"/>
        <w:ind w:left="628" w:right="0" w:firstLine="0"/>
        <w:jc w:val="both"/>
        <w:rPr>
          <w:sz w:val="16"/>
        </w:rPr>
      </w:pPr>
      <w:r>
        <w:rPr>
          <w:color w:val="292425"/>
          <w:w w:val="110"/>
          <w:sz w:val="16"/>
        </w:rPr>
        <w:t>P.O.   Box 36611</w:t>
      </w:r>
    </w:p>
    <w:p>
      <w:pPr>
        <w:spacing w:before="4"/>
        <w:ind w:left="628" w:right="0" w:firstLine="0"/>
        <w:jc w:val="both"/>
        <w:rPr>
          <w:sz w:val="16"/>
        </w:rPr>
      </w:pPr>
      <w:r>
        <w:rPr>
          <w:color w:val="292425"/>
          <w:w w:val="115"/>
          <w:sz w:val="16"/>
        </w:rPr>
        <w:t>Dallas, Texas 75235-1611</w:t>
      </w:r>
    </w:p>
    <w:p>
      <w:pPr>
        <w:spacing w:before="4"/>
        <w:ind w:left="628" w:right="0" w:firstLine="0"/>
        <w:jc w:val="both"/>
        <w:rPr>
          <w:sz w:val="16"/>
        </w:rPr>
      </w:pPr>
      <w:r>
        <w:rPr>
          <w:color w:val="292425"/>
          <w:w w:val="110"/>
          <w:sz w:val="16"/>
        </w:rPr>
        <w:t>Telephone (214) 792-4908</w:t>
      </w:r>
    </w:p>
    <w:p>
      <w:pPr>
        <w:spacing w:after="0"/>
        <w:jc w:val="both"/>
        <w:rPr>
          <w:sz w:val="16"/>
        </w:rPr>
        <w:sectPr>
          <w:type w:val="continuous"/>
          <w:pgSz w:w="12240" w:h="15840"/>
          <w:pgMar w:top="0" w:bottom="280" w:left="0" w:right="0"/>
          <w:cols w:num="2" w:equalWidth="0">
            <w:col w:w="5697" w:space="40"/>
            <w:col w:w="6503"/>
          </w:cols>
        </w:sectPr>
      </w:pPr>
    </w:p>
    <w:p>
      <w:pPr>
        <w:pStyle w:val="BodyText"/>
      </w:pPr>
    </w:p>
    <w:p>
      <w:pPr>
        <w:pStyle w:val="BodyText"/>
        <w:rPr>
          <w:sz w:val="19"/>
        </w:rPr>
      </w:pPr>
    </w:p>
    <w:p>
      <w:pPr>
        <w:tabs>
          <w:tab w:pos="4550" w:val="left" w:leader="none"/>
        </w:tabs>
        <w:spacing w:before="0"/>
        <w:ind w:left="942" w:right="0" w:firstLine="0"/>
        <w:jc w:val="left"/>
        <w:rPr>
          <w:i/>
          <w:sz w:val="16"/>
        </w:rPr>
      </w:pPr>
      <w:r>
        <w:rPr/>
        <w:pict>
          <v:line style="position:absolute;mso-position-horizontal-relative:page;mso-position-vertical-relative:paragraph;z-index:-277384" from="0pt,-8.879521pt" to="612pt,-8.879521pt" stroked="true" strokeweight=".5pt" strokecolor="#292425">
            <v:stroke dashstyle="solid"/>
            <w10:wrap type="none"/>
          </v:line>
        </w:pict>
      </w:r>
      <w:r>
        <w:rPr/>
        <w:pict>
          <v:line style="position:absolute;mso-position-horizontal-relative:page;mso-position-vertical-relative:paragraph;z-index:-277336" from="0pt,19.010479pt" to="612pt,19.010479pt" stroked="true" strokeweight=".5pt" strokecolor="#292425">
            <v:stroke dashstyle="solid"/>
            <w10:wrap type="none"/>
          </v:line>
        </w:pict>
      </w:r>
      <w:r>
        <w:rPr>
          <w:i/>
          <w:color w:val="292425"/>
          <w:spacing w:val="7"/>
          <w:w w:val="110"/>
          <w:sz w:val="16"/>
        </w:rPr>
        <w:t>DIRECTORS</w:t>
        <w:tab/>
      </w:r>
      <w:r>
        <w:rPr>
          <w:i/>
          <w:color w:val="292425"/>
          <w:spacing w:val="9"/>
          <w:w w:val="110"/>
          <w:sz w:val="16"/>
        </w:rPr>
        <w:t>OFFICERS</w:t>
      </w:r>
    </w:p>
    <w:p>
      <w:pPr>
        <w:pStyle w:val="BodyText"/>
        <w:rPr>
          <w:i/>
        </w:rPr>
      </w:pPr>
    </w:p>
    <w:p>
      <w:pPr>
        <w:pStyle w:val="BodyText"/>
        <w:spacing w:before="7"/>
        <w:rPr>
          <w:i/>
          <w:sz w:val="15"/>
        </w:rPr>
      </w:pPr>
    </w:p>
    <w:p>
      <w:pPr>
        <w:spacing w:after="0"/>
        <w:rPr>
          <w:sz w:val="15"/>
        </w:rPr>
        <w:sectPr>
          <w:type w:val="continuous"/>
          <w:pgSz w:w="12240" w:h="15840"/>
          <w:pgMar w:top="0" w:bottom="280" w:left="0" w:right="0"/>
        </w:sectPr>
      </w:pPr>
    </w:p>
    <w:p>
      <w:pPr>
        <w:spacing w:before="117"/>
        <w:ind w:left="974" w:right="0" w:firstLine="0"/>
        <w:jc w:val="left"/>
        <w:rPr>
          <w:rFonts w:ascii="Franklin Gothic Medium"/>
          <w:sz w:val="15"/>
        </w:rPr>
      </w:pPr>
      <w:r>
        <w:rPr>
          <w:rFonts w:ascii="Franklin Gothic Medium"/>
          <w:color w:val="292425"/>
          <w:sz w:val="15"/>
        </w:rPr>
        <w:t>COLLEEN C. BARRETT</w:t>
      </w:r>
    </w:p>
    <w:p>
      <w:pPr>
        <w:spacing w:line="261" w:lineRule="auto" w:before="24"/>
        <w:ind w:left="974" w:right="470" w:firstLine="0"/>
        <w:jc w:val="left"/>
        <w:rPr>
          <w:sz w:val="15"/>
        </w:rPr>
      </w:pPr>
      <w:r>
        <w:rPr>
          <w:color w:val="292425"/>
          <w:w w:val="105"/>
          <w:sz w:val="15"/>
        </w:rPr>
        <w:t>President and Chief Operating Officer Southwest  Airlines  Co.,  Dallas, Texas</w:t>
      </w:r>
    </w:p>
    <w:p>
      <w:pPr>
        <w:spacing w:before="105"/>
        <w:ind w:left="974" w:right="0" w:firstLine="0"/>
        <w:jc w:val="left"/>
        <w:rPr>
          <w:rFonts w:ascii="Franklin Gothic Medium"/>
          <w:sz w:val="15"/>
        </w:rPr>
      </w:pPr>
      <w:r>
        <w:rPr>
          <w:rFonts w:ascii="Franklin Gothic Medium"/>
          <w:color w:val="292425"/>
          <w:sz w:val="15"/>
        </w:rPr>
        <w:t>C. WEBB CROCKETT</w:t>
      </w:r>
    </w:p>
    <w:p>
      <w:pPr>
        <w:spacing w:line="261" w:lineRule="auto" w:before="24"/>
        <w:ind w:left="974" w:right="470" w:firstLine="0"/>
        <w:jc w:val="left"/>
        <w:rPr>
          <w:sz w:val="15"/>
        </w:rPr>
      </w:pPr>
      <w:r>
        <w:rPr>
          <w:color w:val="292425"/>
          <w:spacing w:val="-6"/>
          <w:w w:val="105"/>
          <w:sz w:val="15"/>
        </w:rPr>
        <w:t>Shareholder </w:t>
      </w:r>
      <w:r>
        <w:rPr>
          <w:color w:val="292425"/>
          <w:spacing w:val="-4"/>
          <w:w w:val="105"/>
          <w:sz w:val="15"/>
        </w:rPr>
        <w:t>and </w:t>
      </w:r>
      <w:r>
        <w:rPr>
          <w:color w:val="292425"/>
          <w:spacing w:val="-7"/>
          <w:w w:val="105"/>
          <w:sz w:val="15"/>
        </w:rPr>
        <w:t>Director, </w:t>
      </w:r>
      <w:r>
        <w:rPr>
          <w:color w:val="292425"/>
          <w:spacing w:val="-6"/>
          <w:w w:val="105"/>
          <w:sz w:val="15"/>
        </w:rPr>
        <w:t>Fennemore </w:t>
      </w:r>
      <w:r>
        <w:rPr>
          <w:color w:val="292425"/>
          <w:spacing w:val="-5"/>
          <w:w w:val="105"/>
          <w:sz w:val="15"/>
        </w:rPr>
        <w:t>Craig, </w:t>
      </w:r>
      <w:r>
        <w:rPr>
          <w:color w:val="292425"/>
          <w:spacing w:val="-6"/>
          <w:w w:val="105"/>
          <w:sz w:val="15"/>
        </w:rPr>
        <w:t>Attorneys </w:t>
      </w:r>
      <w:r>
        <w:rPr>
          <w:color w:val="292425"/>
          <w:spacing w:val="-3"/>
          <w:w w:val="105"/>
          <w:sz w:val="15"/>
        </w:rPr>
        <w:t>at </w:t>
      </w:r>
      <w:r>
        <w:rPr>
          <w:color w:val="292425"/>
          <w:spacing w:val="-8"/>
          <w:w w:val="105"/>
          <w:sz w:val="15"/>
        </w:rPr>
        <w:t>Law, </w:t>
      </w:r>
      <w:r>
        <w:rPr>
          <w:color w:val="292425"/>
          <w:spacing w:val="-6"/>
          <w:w w:val="105"/>
          <w:sz w:val="15"/>
        </w:rPr>
        <w:t>Phoenix, Arizona; Audit, Compensation, </w:t>
      </w:r>
      <w:r>
        <w:rPr>
          <w:color w:val="292425"/>
          <w:spacing w:val="-4"/>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WILLIAM H. CUNNINGHAM, Ph.D.</w:t>
      </w:r>
    </w:p>
    <w:p>
      <w:pPr>
        <w:spacing w:line="261" w:lineRule="auto" w:before="24"/>
        <w:ind w:left="974" w:right="470" w:firstLine="0"/>
        <w:jc w:val="left"/>
        <w:rPr>
          <w:sz w:val="15"/>
        </w:rPr>
      </w:pPr>
      <w:r>
        <w:rPr>
          <w:color w:val="292425"/>
          <w:spacing w:val="-3"/>
          <w:w w:val="105"/>
          <w:sz w:val="15"/>
        </w:rPr>
        <w:t>James </w:t>
      </w:r>
      <w:r>
        <w:rPr>
          <w:color w:val="292425"/>
          <w:w w:val="105"/>
          <w:sz w:val="15"/>
        </w:rPr>
        <w:t>L. </w:t>
      </w:r>
      <w:r>
        <w:rPr>
          <w:color w:val="292425"/>
          <w:spacing w:val="-4"/>
          <w:w w:val="105"/>
          <w:sz w:val="15"/>
        </w:rPr>
        <w:t>Bayless </w:t>
      </w:r>
      <w:r>
        <w:rPr>
          <w:color w:val="292425"/>
          <w:spacing w:val="-3"/>
          <w:w w:val="105"/>
          <w:sz w:val="15"/>
        </w:rPr>
        <w:t>Professor </w:t>
      </w:r>
      <w:r>
        <w:rPr>
          <w:color w:val="292425"/>
          <w:w w:val="105"/>
          <w:sz w:val="15"/>
        </w:rPr>
        <w:t>of </w:t>
      </w:r>
      <w:r>
        <w:rPr>
          <w:color w:val="292425"/>
          <w:spacing w:val="-3"/>
          <w:w w:val="105"/>
          <w:sz w:val="15"/>
        </w:rPr>
        <w:t>Marketing University  </w:t>
      </w:r>
      <w:r>
        <w:rPr>
          <w:color w:val="292425"/>
          <w:w w:val="105"/>
          <w:sz w:val="15"/>
        </w:rPr>
        <w:t>of </w:t>
      </w:r>
      <w:r>
        <w:rPr>
          <w:color w:val="292425"/>
          <w:spacing w:val="-6"/>
          <w:w w:val="105"/>
          <w:sz w:val="15"/>
        </w:rPr>
        <w:t>Texas  </w:t>
      </w:r>
      <w:r>
        <w:rPr>
          <w:color w:val="292425"/>
          <w:spacing w:val="-3"/>
          <w:w w:val="105"/>
          <w:sz w:val="15"/>
        </w:rPr>
        <w:t>School  </w:t>
      </w:r>
      <w:r>
        <w:rPr>
          <w:color w:val="292425"/>
          <w:w w:val="105"/>
          <w:sz w:val="15"/>
        </w:rPr>
        <w:t>of </w:t>
      </w:r>
      <w:r>
        <w:rPr>
          <w:color w:val="292425"/>
          <w:spacing w:val="-3"/>
          <w:w w:val="105"/>
          <w:sz w:val="15"/>
        </w:rPr>
        <w:t>Business Former Chancellor </w:t>
      </w:r>
      <w:r>
        <w:rPr>
          <w:color w:val="292425"/>
          <w:w w:val="105"/>
          <w:sz w:val="15"/>
        </w:rPr>
        <w:t>of The </w:t>
      </w:r>
      <w:r>
        <w:rPr>
          <w:color w:val="292425"/>
          <w:spacing w:val="-3"/>
          <w:w w:val="105"/>
          <w:sz w:val="15"/>
        </w:rPr>
        <w:t>University </w:t>
      </w:r>
      <w:r>
        <w:rPr>
          <w:color w:val="292425"/>
          <w:w w:val="105"/>
          <w:sz w:val="15"/>
        </w:rPr>
        <w:t>of </w:t>
      </w:r>
      <w:r>
        <w:rPr>
          <w:color w:val="292425"/>
          <w:spacing w:val="-6"/>
          <w:w w:val="105"/>
          <w:sz w:val="15"/>
        </w:rPr>
        <w:t>Texas </w:t>
      </w:r>
      <w:r>
        <w:rPr>
          <w:color w:val="292425"/>
          <w:spacing w:val="-3"/>
          <w:w w:val="105"/>
          <w:sz w:val="15"/>
        </w:rPr>
        <w:t>System, Austin, </w:t>
      </w:r>
      <w:r>
        <w:rPr>
          <w:color w:val="292425"/>
          <w:spacing w:val="-5"/>
          <w:w w:val="105"/>
          <w:sz w:val="15"/>
        </w:rPr>
        <w:t>Texas; </w:t>
      </w:r>
      <w:r>
        <w:rPr>
          <w:color w:val="292425"/>
          <w:spacing w:val="-3"/>
          <w:w w:val="105"/>
          <w:sz w:val="15"/>
        </w:rPr>
        <w:t>Audit (Chairman) and Nominating Committees</w:t>
      </w:r>
    </w:p>
    <w:p>
      <w:pPr>
        <w:spacing w:before="106"/>
        <w:ind w:left="974" w:right="0" w:firstLine="0"/>
        <w:jc w:val="left"/>
        <w:rPr>
          <w:rFonts w:ascii="Franklin Gothic Medium"/>
          <w:sz w:val="15"/>
        </w:rPr>
      </w:pPr>
      <w:r>
        <w:rPr>
          <w:rFonts w:ascii="Franklin Gothic Medium"/>
          <w:color w:val="292425"/>
          <w:sz w:val="15"/>
        </w:rPr>
        <w:t>WILLIAM P.  HOBBY</w:t>
      </w:r>
    </w:p>
    <w:p>
      <w:pPr>
        <w:spacing w:line="261" w:lineRule="auto" w:before="24"/>
        <w:ind w:left="974" w:right="0" w:firstLine="0"/>
        <w:jc w:val="left"/>
        <w:rPr>
          <w:sz w:val="15"/>
        </w:rPr>
      </w:pPr>
      <w:r>
        <w:rPr>
          <w:color w:val="292425"/>
          <w:spacing w:val="-5"/>
          <w:w w:val="105"/>
          <w:sz w:val="15"/>
        </w:rPr>
        <w:t>Chairman </w:t>
      </w:r>
      <w:r>
        <w:rPr>
          <w:color w:val="292425"/>
          <w:spacing w:val="-3"/>
          <w:w w:val="105"/>
          <w:sz w:val="15"/>
        </w:rPr>
        <w:t>of </w:t>
      </w:r>
      <w:r>
        <w:rPr>
          <w:color w:val="292425"/>
          <w:spacing w:val="-4"/>
          <w:w w:val="105"/>
          <w:sz w:val="15"/>
        </w:rPr>
        <w:t>the </w:t>
      </w:r>
      <w:r>
        <w:rPr>
          <w:color w:val="292425"/>
          <w:spacing w:val="-7"/>
          <w:w w:val="105"/>
          <w:sz w:val="15"/>
        </w:rPr>
        <w:t>Board, </w:t>
      </w:r>
      <w:r>
        <w:rPr>
          <w:color w:val="292425"/>
          <w:spacing w:val="-5"/>
          <w:w w:val="105"/>
          <w:sz w:val="15"/>
        </w:rPr>
        <w:t>Hobby </w:t>
      </w:r>
      <w:r>
        <w:rPr>
          <w:color w:val="292425"/>
          <w:spacing w:val="-6"/>
          <w:w w:val="105"/>
          <w:sz w:val="15"/>
        </w:rPr>
        <w:t>Communications, </w:t>
      </w:r>
      <w:r>
        <w:rPr>
          <w:color w:val="292425"/>
          <w:spacing w:val="-10"/>
          <w:w w:val="105"/>
          <w:sz w:val="15"/>
        </w:rPr>
        <w:t>L.L.C.; </w:t>
      </w:r>
      <w:r>
        <w:rPr>
          <w:color w:val="292425"/>
          <w:spacing w:val="-6"/>
          <w:w w:val="105"/>
          <w:sz w:val="15"/>
        </w:rPr>
        <w:t>Former Lieutenant Governor </w:t>
      </w:r>
      <w:r>
        <w:rPr>
          <w:color w:val="292425"/>
          <w:spacing w:val="-3"/>
          <w:w w:val="105"/>
          <w:sz w:val="15"/>
        </w:rPr>
        <w:t>of </w:t>
      </w:r>
      <w:r>
        <w:rPr>
          <w:color w:val="292425"/>
          <w:spacing w:val="-8"/>
          <w:w w:val="105"/>
          <w:sz w:val="15"/>
        </w:rPr>
        <w:t>Texas; </w:t>
      </w:r>
      <w:r>
        <w:rPr>
          <w:color w:val="292425"/>
          <w:spacing w:val="-6"/>
          <w:w w:val="105"/>
          <w:sz w:val="15"/>
        </w:rPr>
        <w:t>Houston, </w:t>
      </w:r>
      <w:r>
        <w:rPr>
          <w:color w:val="292425"/>
          <w:spacing w:val="-9"/>
          <w:w w:val="105"/>
          <w:sz w:val="15"/>
        </w:rPr>
        <w:t>Texas; </w:t>
      </w:r>
      <w:r>
        <w:rPr>
          <w:color w:val="292425"/>
          <w:spacing w:val="-3"/>
          <w:w w:val="105"/>
          <w:sz w:val="15"/>
        </w:rPr>
        <w:t>Audit, Compensation (Chairman), </w:t>
      </w:r>
      <w:r>
        <w:rPr>
          <w:color w:val="292425"/>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TRAVIS C. JOHNSON</w:t>
      </w:r>
    </w:p>
    <w:p>
      <w:pPr>
        <w:spacing w:line="261" w:lineRule="auto" w:before="24"/>
        <w:ind w:left="974" w:right="264" w:firstLine="0"/>
        <w:jc w:val="left"/>
        <w:rPr>
          <w:sz w:val="15"/>
        </w:rPr>
      </w:pPr>
      <w:r>
        <w:rPr>
          <w:color w:val="292425"/>
          <w:spacing w:val="-6"/>
          <w:w w:val="105"/>
          <w:sz w:val="15"/>
        </w:rPr>
        <w:t>Attorney </w:t>
      </w:r>
      <w:r>
        <w:rPr>
          <w:color w:val="292425"/>
          <w:spacing w:val="-3"/>
          <w:w w:val="105"/>
          <w:sz w:val="15"/>
        </w:rPr>
        <w:t>at </w:t>
      </w:r>
      <w:r>
        <w:rPr>
          <w:color w:val="292425"/>
          <w:spacing w:val="-8"/>
          <w:w w:val="105"/>
          <w:sz w:val="15"/>
        </w:rPr>
        <w:t>Law, </w:t>
      </w:r>
      <w:r>
        <w:rPr>
          <w:color w:val="292425"/>
          <w:spacing w:val="-3"/>
          <w:w w:val="105"/>
          <w:sz w:val="15"/>
        </w:rPr>
        <w:t>El </w:t>
      </w:r>
      <w:r>
        <w:rPr>
          <w:color w:val="292425"/>
          <w:spacing w:val="-6"/>
          <w:w w:val="105"/>
          <w:sz w:val="15"/>
        </w:rPr>
        <w:t>Paso, </w:t>
      </w:r>
      <w:r>
        <w:rPr>
          <w:color w:val="292425"/>
          <w:spacing w:val="-8"/>
          <w:w w:val="105"/>
          <w:sz w:val="15"/>
        </w:rPr>
        <w:t>Texas; </w:t>
      </w:r>
      <w:r>
        <w:rPr>
          <w:color w:val="292425"/>
          <w:spacing w:val="-5"/>
          <w:w w:val="105"/>
          <w:sz w:val="15"/>
        </w:rPr>
        <w:t>Audit, </w:t>
      </w:r>
      <w:r>
        <w:rPr>
          <w:color w:val="292425"/>
          <w:spacing w:val="-6"/>
          <w:w w:val="105"/>
          <w:sz w:val="15"/>
        </w:rPr>
        <w:t>Executive, </w:t>
      </w:r>
      <w:r>
        <w:rPr>
          <w:color w:val="292425"/>
          <w:spacing w:val="-4"/>
          <w:w w:val="105"/>
          <w:sz w:val="15"/>
        </w:rPr>
        <w:t>and </w:t>
      </w:r>
      <w:r>
        <w:rPr>
          <w:color w:val="292425"/>
          <w:spacing w:val="-6"/>
          <w:w w:val="105"/>
          <w:sz w:val="15"/>
        </w:rPr>
        <w:t>Nominating Committees</w:t>
      </w:r>
    </w:p>
    <w:p>
      <w:pPr>
        <w:spacing w:before="105"/>
        <w:ind w:left="974" w:right="0" w:firstLine="0"/>
        <w:jc w:val="left"/>
        <w:rPr>
          <w:rFonts w:ascii="Franklin Gothic Medium"/>
          <w:sz w:val="15"/>
        </w:rPr>
      </w:pPr>
      <w:r>
        <w:rPr>
          <w:rFonts w:ascii="Franklin Gothic Medium"/>
          <w:color w:val="292425"/>
          <w:sz w:val="15"/>
        </w:rPr>
        <w:t>HERBERT D. KELLEHER</w:t>
      </w:r>
    </w:p>
    <w:p>
      <w:pPr>
        <w:spacing w:line="261" w:lineRule="auto" w:before="24"/>
        <w:ind w:left="974" w:right="264" w:firstLine="0"/>
        <w:jc w:val="left"/>
        <w:rPr>
          <w:sz w:val="15"/>
        </w:rPr>
      </w:pPr>
      <w:r>
        <w:rPr>
          <w:color w:val="292425"/>
          <w:spacing w:val="-5"/>
          <w:w w:val="105"/>
          <w:sz w:val="15"/>
        </w:rPr>
        <w:t>Chairman </w:t>
      </w:r>
      <w:r>
        <w:rPr>
          <w:color w:val="292425"/>
          <w:spacing w:val="-3"/>
          <w:w w:val="105"/>
          <w:sz w:val="15"/>
        </w:rPr>
        <w:t>of </w:t>
      </w:r>
      <w:r>
        <w:rPr>
          <w:color w:val="292425"/>
          <w:spacing w:val="-4"/>
          <w:w w:val="105"/>
          <w:sz w:val="15"/>
        </w:rPr>
        <w:t>the </w:t>
      </w:r>
      <w:r>
        <w:rPr>
          <w:color w:val="292425"/>
          <w:spacing w:val="-5"/>
          <w:w w:val="105"/>
          <w:sz w:val="15"/>
        </w:rPr>
        <w:t>Board, </w:t>
      </w:r>
      <w:r>
        <w:rPr>
          <w:color w:val="292425"/>
          <w:spacing w:val="-6"/>
          <w:w w:val="105"/>
          <w:sz w:val="15"/>
        </w:rPr>
        <w:t>Southwest </w:t>
      </w:r>
      <w:r>
        <w:rPr>
          <w:color w:val="292425"/>
          <w:spacing w:val="-5"/>
          <w:w w:val="105"/>
          <w:sz w:val="15"/>
        </w:rPr>
        <w:t>Airlines </w:t>
      </w:r>
      <w:r>
        <w:rPr>
          <w:color w:val="292425"/>
          <w:spacing w:val="-6"/>
          <w:w w:val="105"/>
          <w:sz w:val="15"/>
        </w:rPr>
        <w:t>Co., Dallas,  </w:t>
      </w:r>
      <w:r>
        <w:rPr>
          <w:color w:val="292425"/>
          <w:spacing w:val="-8"/>
          <w:w w:val="105"/>
          <w:sz w:val="15"/>
        </w:rPr>
        <w:t>Texas;  </w:t>
      </w:r>
      <w:r>
        <w:rPr>
          <w:color w:val="292425"/>
          <w:spacing w:val="-6"/>
          <w:w w:val="105"/>
          <w:sz w:val="15"/>
        </w:rPr>
        <w:t>Executive  Committee (Chairman)</w:t>
      </w:r>
    </w:p>
    <w:p>
      <w:pPr>
        <w:spacing w:before="105"/>
        <w:ind w:left="974" w:right="0" w:firstLine="0"/>
        <w:jc w:val="left"/>
        <w:rPr>
          <w:rFonts w:ascii="Franklin Gothic Medium"/>
          <w:sz w:val="15"/>
        </w:rPr>
      </w:pPr>
      <w:r>
        <w:rPr>
          <w:rFonts w:ascii="Franklin Gothic Medium"/>
          <w:color w:val="292425"/>
          <w:sz w:val="15"/>
        </w:rPr>
        <w:t>ROLLIN W. KING</w:t>
      </w:r>
    </w:p>
    <w:p>
      <w:pPr>
        <w:spacing w:line="261" w:lineRule="auto" w:before="24"/>
        <w:ind w:left="974" w:right="470" w:firstLine="0"/>
        <w:jc w:val="left"/>
        <w:rPr>
          <w:sz w:val="15"/>
        </w:rPr>
      </w:pPr>
      <w:r>
        <w:rPr>
          <w:color w:val="292425"/>
          <w:spacing w:val="-6"/>
          <w:w w:val="105"/>
          <w:sz w:val="15"/>
        </w:rPr>
        <w:t>Retired, Dallas, </w:t>
      </w:r>
      <w:r>
        <w:rPr>
          <w:color w:val="292425"/>
          <w:spacing w:val="-8"/>
          <w:w w:val="105"/>
          <w:sz w:val="15"/>
        </w:rPr>
        <w:t>Texas; </w:t>
      </w:r>
      <w:r>
        <w:rPr>
          <w:color w:val="292425"/>
          <w:spacing w:val="-5"/>
          <w:w w:val="105"/>
          <w:sz w:val="15"/>
        </w:rPr>
        <w:t>Audit, </w:t>
      </w:r>
      <w:r>
        <w:rPr>
          <w:color w:val="292425"/>
          <w:spacing w:val="-6"/>
          <w:w w:val="105"/>
          <w:sz w:val="15"/>
        </w:rPr>
        <w:t>Executive, and Nominating Committees</w:t>
      </w:r>
    </w:p>
    <w:p>
      <w:pPr>
        <w:spacing w:before="105"/>
        <w:ind w:left="974" w:right="0" w:firstLine="0"/>
        <w:jc w:val="left"/>
        <w:rPr>
          <w:rFonts w:ascii="Franklin Gothic Medium"/>
          <w:sz w:val="15"/>
        </w:rPr>
      </w:pPr>
      <w:r>
        <w:rPr>
          <w:rFonts w:ascii="Franklin Gothic Medium"/>
          <w:color w:val="292425"/>
          <w:sz w:val="15"/>
        </w:rPr>
        <w:t>JOHN T. MONTFORD</w:t>
      </w:r>
    </w:p>
    <w:p>
      <w:pPr>
        <w:spacing w:line="261" w:lineRule="auto" w:before="24"/>
        <w:ind w:left="974" w:right="513" w:firstLine="0"/>
        <w:jc w:val="left"/>
        <w:rPr>
          <w:sz w:val="15"/>
        </w:rPr>
      </w:pPr>
      <w:r>
        <w:rPr>
          <w:color w:val="292425"/>
          <w:spacing w:val="-6"/>
          <w:w w:val="110"/>
          <w:sz w:val="15"/>
        </w:rPr>
        <w:t>President </w:t>
      </w:r>
      <w:r>
        <w:rPr>
          <w:color w:val="292425"/>
          <w:w w:val="110"/>
          <w:sz w:val="15"/>
        </w:rPr>
        <w:t>— </w:t>
      </w:r>
      <w:r>
        <w:rPr>
          <w:color w:val="292425"/>
          <w:spacing w:val="-5"/>
          <w:w w:val="110"/>
          <w:sz w:val="15"/>
        </w:rPr>
        <w:t>External Affairs, </w:t>
      </w:r>
      <w:r>
        <w:rPr>
          <w:color w:val="292425"/>
          <w:spacing w:val="-4"/>
          <w:w w:val="110"/>
          <w:sz w:val="15"/>
        </w:rPr>
        <w:t>SBC </w:t>
      </w:r>
      <w:r>
        <w:rPr>
          <w:color w:val="292425"/>
          <w:spacing w:val="-7"/>
          <w:w w:val="110"/>
          <w:sz w:val="15"/>
        </w:rPr>
        <w:t>Southwest, </w:t>
      </w:r>
      <w:r>
        <w:rPr>
          <w:color w:val="292425"/>
          <w:spacing w:val="-4"/>
          <w:w w:val="110"/>
          <w:sz w:val="15"/>
        </w:rPr>
        <w:t>San </w:t>
      </w:r>
      <w:r>
        <w:rPr>
          <w:color w:val="292425"/>
          <w:spacing w:val="-6"/>
          <w:w w:val="110"/>
          <w:sz w:val="15"/>
        </w:rPr>
        <w:t>Antonio, </w:t>
      </w:r>
      <w:r>
        <w:rPr>
          <w:color w:val="292425"/>
          <w:spacing w:val="-9"/>
          <w:w w:val="110"/>
          <w:sz w:val="15"/>
        </w:rPr>
        <w:t>Texas;</w:t>
      </w:r>
    </w:p>
    <w:p>
      <w:pPr>
        <w:spacing w:before="0"/>
        <w:ind w:left="974" w:right="0" w:firstLine="0"/>
        <w:jc w:val="left"/>
        <w:rPr>
          <w:sz w:val="15"/>
        </w:rPr>
      </w:pPr>
      <w:r>
        <w:rPr>
          <w:color w:val="292425"/>
          <w:w w:val="105"/>
          <w:sz w:val="15"/>
        </w:rPr>
        <w:t>Audit and Nominating Committees</w:t>
      </w:r>
    </w:p>
    <w:p>
      <w:pPr>
        <w:spacing w:before="121"/>
        <w:ind w:left="974" w:right="0" w:firstLine="0"/>
        <w:jc w:val="left"/>
        <w:rPr>
          <w:rFonts w:ascii="Franklin Gothic Medium"/>
          <w:sz w:val="15"/>
        </w:rPr>
      </w:pPr>
      <w:r>
        <w:rPr>
          <w:rFonts w:ascii="Franklin Gothic Medium"/>
          <w:color w:val="292425"/>
          <w:sz w:val="15"/>
        </w:rPr>
        <w:t>JUNE M. MORRIS</w:t>
      </w:r>
    </w:p>
    <w:p>
      <w:pPr>
        <w:spacing w:before="24"/>
        <w:ind w:left="974" w:right="0" w:firstLine="0"/>
        <w:jc w:val="left"/>
        <w:rPr>
          <w:sz w:val="15"/>
        </w:rPr>
      </w:pPr>
      <w:r>
        <w:rPr>
          <w:color w:val="292425"/>
          <w:w w:val="105"/>
          <w:sz w:val="15"/>
        </w:rPr>
        <w:t>Founder and former Chief Executive Officer</w:t>
      </w:r>
    </w:p>
    <w:p>
      <w:pPr>
        <w:spacing w:line="261" w:lineRule="auto" w:before="17"/>
        <w:ind w:left="974" w:right="226" w:firstLine="0"/>
        <w:jc w:val="left"/>
        <w:rPr>
          <w:sz w:val="15"/>
        </w:rPr>
      </w:pPr>
      <w:r>
        <w:rPr>
          <w:color w:val="292425"/>
          <w:spacing w:val="-3"/>
          <w:w w:val="105"/>
          <w:sz w:val="15"/>
        </w:rPr>
        <w:t>of </w:t>
      </w:r>
      <w:r>
        <w:rPr>
          <w:color w:val="292425"/>
          <w:spacing w:val="-5"/>
          <w:w w:val="105"/>
          <w:sz w:val="15"/>
        </w:rPr>
        <w:t>Morris </w:t>
      </w:r>
      <w:r>
        <w:rPr>
          <w:color w:val="292425"/>
          <w:spacing w:val="-4"/>
          <w:w w:val="105"/>
          <w:sz w:val="15"/>
        </w:rPr>
        <w:t>Air </w:t>
      </w:r>
      <w:r>
        <w:rPr>
          <w:color w:val="292425"/>
          <w:spacing w:val="-6"/>
          <w:w w:val="105"/>
          <w:sz w:val="15"/>
        </w:rPr>
        <w:t>Corporation, </w:t>
      </w:r>
      <w:r>
        <w:rPr>
          <w:color w:val="292425"/>
          <w:spacing w:val="-5"/>
          <w:w w:val="105"/>
          <w:sz w:val="15"/>
        </w:rPr>
        <w:t>Salt </w:t>
      </w:r>
      <w:r>
        <w:rPr>
          <w:color w:val="292425"/>
          <w:spacing w:val="-6"/>
          <w:w w:val="105"/>
          <w:sz w:val="15"/>
        </w:rPr>
        <w:t>Lake </w:t>
      </w:r>
      <w:r>
        <w:rPr>
          <w:color w:val="292425"/>
          <w:spacing w:val="-8"/>
          <w:w w:val="105"/>
          <w:sz w:val="15"/>
        </w:rPr>
        <w:t>City, </w:t>
      </w:r>
      <w:r>
        <w:rPr>
          <w:color w:val="292425"/>
          <w:spacing w:val="-6"/>
          <w:w w:val="105"/>
          <w:sz w:val="15"/>
        </w:rPr>
        <w:t>Utah;  </w:t>
      </w:r>
      <w:r>
        <w:rPr>
          <w:color w:val="292425"/>
          <w:spacing w:val="-5"/>
          <w:w w:val="105"/>
          <w:sz w:val="15"/>
        </w:rPr>
        <w:t>Audit, </w:t>
      </w:r>
      <w:r>
        <w:rPr>
          <w:color w:val="292425"/>
          <w:spacing w:val="-6"/>
          <w:w w:val="105"/>
          <w:sz w:val="15"/>
        </w:rPr>
        <w:t>Compensation, </w:t>
      </w:r>
      <w:r>
        <w:rPr>
          <w:color w:val="292425"/>
          <w:spacing w:val="-4"/>
          <w:w w:val="105"/>
          <w:sz w:val="15"/>
        </w:rPr>
        <w:t>and </w:t>
      </w:r>
      <w:r>
        <w:rPr>
          <w:color w:val="292425"/>
          <w:spacing w:val="-6"/>
          <w:w w:val="105"/>
          <w:sz w:val="15"/>
        </w:rPr>
        <w:t>Nominating </w:t>
      </w:r>
      <w:r>
        <w:rPr>
          <w:color w:val="292425"/>
          <w:spacing w:val="10"/>
          <w:w w:val="105"/>
          <w:sz w:val="15"/>
        </w:rPr>
        <w:t> </w:t>
      </w:r>
      <w:r>
        <w:rPr>
          <w:color w:val="292425"/>
          <w:spacing w:val="-6"/>
          <w:w w:val="105"/>
          <w:sz w:val="15"/>
        </w:rPr>
        <w:t>Committees</w:t>
      </w:r>
    </w:p>
    <w:p>
      <w:pPr>
        <w:spacing w:before="105"/>
        <w:ind w:left="974" w:right="0" w:firstLine="0"/>
        <w:jc w:val="left"/>
        <w:rPr>
          <w:rFonts w:ascii="Franklin Gothic Medium"/>
          <w:sz w:val="15"/>
        </w:rPr>
      </w:pPr>
      <w:r>
        <w:rPr>
          <w:rFonts w:ascii="Franklin Gothic Medium"/>
          <w:color w:val="292425"/>
          <w:sz w:val="15"/>
        </w:rPr>
        <w:t>JAMES F.  PARKER</w:t>
      </w:r>
    </w:p>
    <w:p>
      <w:pPr>
        <w:spacing w:line="261" w:lineRule="auto" w:before="24"/>
        <w:ind w:left="974" w:right="470" w:firstLine="0"/>
        <w:jc w:val="left"/>
        <w:rPr>
          <w:sz w:val="15"/>
        </w:rPr>
      </w:pPr>
      <w:r>
        <w:rPr>
          <w:color w:val="292425"/>
          <w:spacing w:val="-4"/>
          <w:w w:val="105"/>
          <w:sz w:val="15"/>
        </w:rPr>
        <w:t>Vice </w:t>
      </w:r>
      <w:r>
        <w:rPr>
          <w:color w:val="292425"/>
          <w:spacing w:val="-5"/>
          <w:w w:val="105"/>
          <w:sz w:val="15"/>
        </w:rPr>
        <w:t>Chairman </w:t>
      </w:r>
      <w:r>
        <w:rPr>
          <w:color w:val="292425"/>
          <w:spacing w:val="-4"/>
          <w:w w:val="105"/>
          <w:sz w:val="15"/>
        </w:rPr>
        <w:t>and </w:t>
      </w:r>
      <w:r>
        <w:rPr>
          <w:color w:val="292425"/>
          <w:spacing w:val="-5"/>
          <w:w w:val="105"/>
          <w:sz w:val="15"/>
        </w:rPr>
        <w:t>Chief </w:t>
      </w:r>
      <w:r>
        <w:rPr>
          <w:color w:val="292425"/>
          <w:spacing w:val="-6"/>
          <w:w w:val="105"/>
          <w:sz w:val="15"/>
        </w:rPr>
        <w:t>Executive Officer of Southwest  </w:t>
      </w:r>
      <w:r>
        <w:rPr>
          <w:color w:val="292425"/>
          <w:spacing w:val="-5"/>
          <w:w w:val="105"/>
          <w:sz w:val="15"/>
        </w:rPr>
        <w:t>Airlines  Co.,  </w:t>
      </w:r>
      <w:r>
        <w:rPr>
          <w:color w:val="292425"/>
          <w:spacing w:val="-6"/>
          <w:w w:val="105"/>
          <w:sz w:val="15"/>
        </w:rPr>
        <w:t>Dallas, </w:t>
      </w:r>
      <w:r>
        <w:rPr>
          <w:color w:val="292425"/>
          <w:spacing w:val="-9"/>
          <w:w w:val="105"/>
          <w:sz w:val="15"/>
        </w:rPr>
        <w:t>Texas</w:t>
      </w:r>
    </w:p>
    <w:p>
      <w:pPr>
        <w:spacing w:before="117"/>
        <w:ind w:left="222" w:right="0" w:firstLine="0"/>
        <w:jc w:val="left"/>
        <w:rPr>
          <w:rFonts w:ascii="Franklin Gothic Medium"/>
          <w:sz w:val="15"/>
        </w:rPr>
      </w:pPr>
      <w:r>
        <w:rPr/>
        <w:br w:type="column"/>
      </w:r>
      <w:r>
        <w:rPr>
          <w:rFonts w:ascii="Franklin Gothic Medium"/>
          <w:color w:val="292425"/>
          <w:sz w:val="15"/>
        </w:rPr>
        <w:t>JAMES F. PARKER*</w:t>
      </w:r>
    </w:p>
    <w:p>
      <w:pPr>
        <w:spacing w:before="24"/>
        <w:ind w:left="222" w:right="0" w:firstLine="0"/>
        <w:jc w:val="left"/>
        <w:rPr>
          <w:sz w:val="15"/>
        </w:rPr>
      </w:pPr>
      <w:r>
        <w:rPr>
          <w:color w:val="292425"/>
          <w:w w:val="105"/>
          <w:sz w:val="15"/>
        </w:rPr>
        <w:t>Vice Chairman and Chief Executive  Officer</w:t>
      </w:r>
    </w:p>
    <w:p>
      <w:pPr>
        <w:spacing w:before="122"/>
        <w:ind w:left="222" w:right="0" w:firstLine="0"/>
        <w:jc w:val="left"/>
        <w:rPr>
          <w:rFonts w:ascii="Franklin Gothic Medium"/>
          <w:sz w:val="15"/>
        </w:rPr>
      </w:pPr>
      <w:r>
        <w:rPr>
          <w:rFonts w:ascii="Franklin Gothic Medium"/>
          <w:color w:val="292425"/>
          <w:sz w:val="15"/>
        </w:rPr>
        <w:t>COLLEEN C. BARRETT*</w:t>
      </w:r>
    </w:p>
    <w:p>
      <w:pPr>
        <w:spacing w:line="261" w:lineRule="auto" w:before="24"/>
        <w:ind w:left="222" w:right="0" w:firstLine="0"/>
        <w:jc w:val="left"/>
        <w:rPr>
          <w:sz w:val="15"/>
        </w:rPr>
      </w:pPr>
      <w:r>
        <w:rPr>
          <w:color w:val="292425"/>
          <w:w w:val="105"/>
          <w:sz w:val="15"/>
        </w:rPr>
        <w:t>President and Chief Operating Officer Corporate Secretary</w:t>
      </w:r>
    </w:p>
    <w:p>
      <w:pPr>
        <w:spacing w:before="105"/>
        <w:ind w:left="222" w:right="0" w:firstLine="0"/>
        <w:jc w:val="left"/>
        <w:rPr>
          <w:rFonts w:ascii="Franklin Gothic Medium"/>
          <w:sz w:val="15"/>
        </w:rPr>
      </w:pPr>
      <w:r>
        <w:rPr>
          <w:rFonts w:ascii="Franklin Gothic Medium"/>
          <w:color w:val="292425"/>
          <w:sz w:val="15"/>
        </w:rPr>
        <w:t>DONNA D. CONOVER*</w:t>
      </w:r>
    </w:p>
    <w:p>
      <w:pPr>
        <w:spacing w:before="24"/>
        <w:ind w:left="222" w:right="0" w:firstLine="0"/>
        <w:jc w:val="left"/>
        <w:rPr>
          <w:sz w:val="15"/>
        </w:rPr>
      </w:pPr>
      <w:r>
        <w:rPr>
          <w:color w:val="292425"/>
          <w:w w:val="110"/>
          <w:sz w:val="15"/>
        </w:rPr>
        <w:t>Executive</w:t>
      </w:r>
      <w:r>
        <w:rPr>
          <w:color w:val="292425"/>
          <w:spacing w:val="-9"/>
          <w:w w:val="110"/>
          <w:sz w:val="15"/>
        </w:rPr>
        <w:t> </w:t>
      </w:r>
      <w:r>
        <w:rPr>
          <w:color w:val="292425"/>
          <w:w w:val="110"/>
          <w:sz w:val="15"/>
        </w:rPr>
        <w:t>Vice</w:t>
      </w:r>
      <w:r>
        <w:rPr>
          <w:color w:val="292425"/>
          <w:spacing w:val="-9"/>
          <w:w w:val="110"/>
          <w:sz w:val="15"/>
        </w:rPr>
        <w:t> </w:t>
      </w:r>
      <w:r>
        <w:rPr>
          <w:color w:val="292425"/>
          <w:w w:val="110"/>
          <w:sz w:val="15"/>
        </w:rPr>
        <w:t>President</w:t>
      </w:r>
      <w:r>
        <w:rPr>
          <w:color w:val="292425"/>
          <w:spacing w:val="-9"/>
          <w:w w:val="110"/>
          <w:sz w:val="15"/>
        </w:rPr>
        <w:t> </w:t>
      </w:r>
      <w:r>
        <w:rPr>
          <w:color w:val="292425"/>
          <w:w w:val="110"/>
          <w:sz w:val="15"/>
        </w:rPr>
        <w:t>—</w:t>
      </w:r>
      <w:r>
        <w:rPr>
          <w:color w:val="292425"/>
          <w:spacing w:val="-9"/>
          <w:w w:val="110"/>
          <w:sz w:val="15"/>
        </w:rPr>
        <w:t> </w:t>
      </w:r>
      <w:r>
        <w:rPr>
          <w:color w:val="292425"/>
          <w:w w:val="110"/>
          <w:sz w:val="15"/>
        </w:rPr>
        <w:t>Customer</w:t>
      </w:r>
      <w:r>
        <w:rPr>
          <w:color w:val="292425"/>
          <w:spacing w:val="-9"/>
          <w:w w:val="110"/>
          <w:sz w:val="15"/>
        </w:rPr>
        <w:t> </w:t>
      </w:r>
      <w:r>
        <w:rPr>
          <w:color w:val="292425"/>
          <w:w w:val="110"/>
          <w:sz w:val="15"/>
        </w:rPr>
        <w:t>Service</w:t>
      </w:r>
    </w:p>
    <w:p>
      <w:pPr>
        <w:spacing w:before="121"/>
        <w:ind w:left="222" w:right="0" w:firstLine="0"/>
        <w:jc w:val="left"/>
        <w:rPr>
          <w:rFonts w:ascii="Franklin Gothic Medium"/>
          <w:sz w:val="15"/>
        </w:rPr>
      </w:pPr>
      <w:r>
        <w:rPr>
          <w:rFonts w:ascii="Franklin Gothic Medium"/>
          <w:color w:val="292425"/>
          <w:sz w:val="15"/>
        </w:rPr>
        <w:t>GARY C. KELLY*</w:t>
      </w:r>
    </w:p>
    <w:p>
      <w:pPr>
        <w:spacing w:line="261" w:lineRule="auto" w:before="24"/>
        <w:ind w:left="222" w:right="876" w:firstLine="0"/>
        <w:jc w:val="left"/>
        <w:rPr>
          <w:sz w:val="15"/>
        </w:rPr>
      </w:pPr>
      <w:r>
        <w:rPr>
          <w:color w:val="292425"/>
          <w:w w:val="105"/>
          <w:sz w:val="15"/>
        </w:rPr>
        <w:t>Executive Vice President and Chief  Financial Officer</w:t>
      </w:r>
    </w:p>
    <w:p>
      <w:pPr>
        <w:spacing w:before="106"/>
        <w:ind w:left="222" w:right="0" w:firstLine="0"/>
        <w:jc w:val="left"/>
        <w:rPr>
          <w:rFonts w:ascii="Franklin Gothic Medium"/>
          <w:sz w:val="15"/>
        </w:rPr>
      </w:pPr>
      <w:r>
        <w:rPr>
          <w:rFonts w:ascii="Franklin Gothic Medium"/>
          <w:color w:val="292425"/>
          <w:sz w:val="15"/>
        </w:rPr>
        <w:t>JAMES C. WIMBERLY*</w:t>
      </w:r>
    </w:p>
    <w:p>
      <w:pPr>
        <w:spacing w:line="261" w:lineRule="auto" w:before="24"/>
        <w:ind w:left="222" w:right="876" w:firstLine="0"/>
        <w:jc w:val="left"/>
        <w:rPr>
          <w:sz w:val="15"/>
        </w:rPr>
      </w:pPr>
      <w:r>
        <w:rPr>
          <w:color w:val="292425"/>
          <w:w w:val="105"/>
          <w:sz w:val="15"/>
        </w:rPr>
        <w:t>Executive Vice President and Chief of Operations</w:t>
      </w:r>
    </w:p>
    <w:p>
      <w:pPr>
        <w:spacing w:before="105"/>
        <w:ind w:left="222" w:right="0" w:firstLine="0"/>
        <w:jc w:val="left"/>
        <w:rPr>
          <w:rFonts w:ascii="Franklin Gothic Medium"/>
          <w:sz w:val="15"/>
        </w:rPr>
      </w:pPr>
      <w:r>
        <w:rPr>
          <w:rFonts w:ascii="Franklin Gothic Medium"/>
          <w:color w:val="292425"/>
          <w:sz w:val="15"/>
        </w:rPr>
        <w:t>JOYCE C. ROGGE*</w:t>
      </w:r>
    </w:p>
    <w:p>
      <w:pPr>
        <w:spacing w:before="24"/>
        <w:ind w:left="222" w:right="0" w:firstLine="0"/>
        <w:jc w:val="left"/>
        <w:rPr>
          <w:sz w:val="15"/>
        </w:rPr>
      </w:pPr>
      <w:r>
        <w:rPr>
          <w:color w:val="292425"/>
          <w:w w:val="105"/>
          <w:sz w:val="15"/>
        </w:rPr>
        <w:t>Senior Vice President —  Marketing</w:t>
      </w:r>
    </w:p>
    <w:p>
      <w:pPr>
        <w:spacing w:before="121"/>
        <w:ind w:left="222" w:right="0" w:firstLine="0"/>
        <w:jc w:val="left"/>
        <w:rPr>
          <w:rFonts w:ascii="Franklin Gothic Medium"/>
          <w:sz w:val="15"/>
        </w:rPr>
      </w:pPr>
      <w:r>
        <w:rPr>
          <w:rFonts w:ascii="Franklin Gothic Medium"/>
          <w:color w:val="292425"/>
          <w:sz w:val="15"/>
        </w:rPr>
        <w:t>DEBORAH ACKERMAN</w:t>
      </w:r>
    </w:p>
    <w:p>
      <w:pPr>
        <w:spacing w:before="24"/>
        <w:ind w:left="222" w:right="0" w:firstLine="0"/>
        <w:jc w:val="left"/>
        <w:rPr>
          <w:sz w:val="15"/>
        </w:rPr>
      </w:pPr>
      <w:r>
        <w:rPr>
          <w:color w:val="292425"/>
          <w:w w:val="110"/>
          <w:sz w:val="15"/>
        </w:rPr>
        <w:t>Vice President — General Counsel</w:t>
      </w:r>
    </w:p>
    <w:p>
      <w:pPr>
        <w:spacing w:before="122"/>
        <w:ind w:left="222" w:right="0" w:firstLine="0"/>
        <w:jc w:val="left"/>
        <w:rPr>
          <w:rFonts w:ascii="Franklin Gothic Medium"/>
          <w:sz w:val="15"/>
        </w:rPr>
      </w:pPr>
      <w:r>
        <w:rPr>
          <w:rFonts w:ascii="Franklin Gothic Medium"/>
          <w:color w:val="292425"/>
          <w:sz w:val="15"/>
        </w:rPr>
        <w:t>BEVERLY CARMICHAEL</w:t>
      </w:r>
    </w:p>
    <w:p>
      <w:pPr>
        <w:spacing w:before="24"/>
        <w:ind w:left="222" w:right="0" w:firstLine="0"/>
        <w:jc w:val="left"/>
        <w:rPr>
          <w:sz w:val="15"/>
        </w:rPr>
      </w:pPr>
      <w:r>
        <w:rPr>
          <w:color w:val="292425"/>
          <w:w w:val="105"/>
          <w:sz w:val="15"/>
        </w:rPr>
        <w:t>Vice President — People  Department</w:t>
      </w:r>
    </w:p>
    <w:p>
      <w:pPr>
        <w:spacing w:before="122"/>
        <w:ind w:left="222" w:right="0" w:firstLine="0"/>
        <w:jc w:val="left"/>
        <w:rPr>
          <w:rFonts w:ascii="Franklin Gothic Medium"/>
          <w:sz w:val="15"/>
        </w:rPr>
      </w:pPr>
      <w:r>
        <w:rPr>
          <w:rFonts w:ascii="Franklin Gothic Medium"/>
          <w:color w:val="292425"/>
          <w:sz w:val="15"/>
        </w:rPr>
        <w:t>GREGORY N. CRUM</w:t>
      </w:r>
    </w:p>
    <w:p>
      <w:pPr>
        <w:spacing w:before="24"/>
        <w:ind w:left="222" w:right="0" w:firstLine="0"/>
        <w:jc w:val="left"/>
        <w:rPr>
          <w:sz w:val="15"/>
        </w:rPr>
      </w:pPr>
      <w:r>
        <w:rPr>
          <w:color w:val="292425"/>
          <w:w w:val="105"/>
          <w:sz w:val="15"/>
        </w:rPr>
        <w:t>Vice President — Flight  Operations</w:t>
      </w:r>
    </w:p>
    <w:p>
      <w:pPr>
        <w:spacing w:before="121"/>
        <w:ind w:left="222" w:right="0" w:firstLine="0"/>
        <w:jc w:val="left"/>
        <w:rPr>
          <w:rFonts w:ascii="Franklin Gothic Medium"/>
          <w:sz w:val="15"/>
        </w:rPr>
      </w:pPr>
      <w:r>
        <w:rPr>
          <w:rFonts w:ascii="Franklin Gothic Medium"/>
          <w:color w:val="292425"/>
          <w:sz w:val="15"/>
        </w:rPr>
        <w:t>GINGER C. HARDAGE</w:t>
      </w:r>
    </w:p>
    <w:p>
      <w:pPr>
        <w:spacing w:before="24"/>
        <w:ind w:left="222" w:right="0" w:firstLine="0"/>
        <w:jc w:val="left"/>
        <w:rPr>
          <w:sz w:val="15"/>
        </w:rPr>
      </w:pPr>
      <w:r>
        <w:rPr>
          <w:color w:val="292425"/>
          <w:w w:val="105"/>
          <w:sz w:val="15"/>
        </w:rPr>
        <w:t>Vice President — Corporate  Communications</w:t>
      </w:r>
    </w:p>
    <w:p>
      <w:pPr>
        <w:spacing w:before="122"/>
        <w:ind w:left="222" w:right="0" w:firstLine="0"/>
        <w:jc w:val="left"/>
        <w:rPr>
          <w:rFonts w:ascii="Franklin Gothic Medium"/>
          <w:sz w:val="15"/>
        </w:rPr>
      </w:pPr>
      <w:r>
        <w:rPr>
          <w:rFonts w:ascii="Franklin Gothic Medium"/>
          <w:color w:val="292425"/>
          <w:sz w:val="15"/>
        </w:rPr>
        <w:t>ROBERT E. JORDAN</w:t>
      </w:r>
    </w:p>
    <w:p>
      <w:pPr>
        <w:spacing w:before="24"/>
        <w:ind w:left="222" w:right="0" w:firstLine="0"/>
        <w:jc w:val="left"/>
        <w:rPr>
          <w:sz w:val="15"/>
        </w:rPr>
      </w:pPr>
      <w:r>
        <w:rPr>
          <w:color w:val="292425"/>
          <w:w w:val="110"/>
          <w:sz w:val="15"/>
        </w:rPr>
        <w:t>Vice President — Systems</w:t>
      </w:r>
    </w:p>
    <w:p>
      <w:pPr>
        <w:spacing w:before="122"/>
        <w:ind w:left="222" w:right="0" w:firstLine="0"/>
        <w:jc w:val="left"/>
        <w:rPr>
          <w:rFonts w:ascii="Franklin Gothic Medium"/>
          <w:sz w:val="15"/>
        </w:rPr>
      </w:pPr>
      <w:r>
        <w:rPr>
          <w:rFonts w:ascii="Franklin Gothic Medium"/>
          <w:color w:val="292425"/>
          <w:sz w:val="15"/>
        </w:rPr>
        <w:t>CAMILLE T. KEITH</w:t>
      </w:r>
    </w:p>
    <w:p>
      <w:pPr>
        <w:spacing w:before="24"/>
        <w:ind w:left="222" w:right="0" w:firstLine="0"/>
        <w:jc w:val="left"/>
        <w:rPr>
          <w:sz w:val="15"/>
        </w:rPr>
      </w:pPr>
      <w:r>
        <w:rPr>
          <w:color w:val="292425"/>
          <w:w w:val="105"/>
          <w:sz w:val="15"/>
        </w:rPr>
        <w:t>Vice President — Special  Marketing</w:t>
      </w:r>
    </w:p>
    <w:p>
      <w:pPr>
        <w:spacing w:before="121"/>
        <w:ind w:left="222" w:right="0" w:firstLine="0"/>
        <w:jc w:val="left"/>
        <w:rPr>
          <w:rFonts w:ascii="Franklin Gothic Medium"/>
          <w:sz w:val="15"/>
        </w:rPr>
      </w:pPr>
      <w:r>
        <w:rPr>
          <w:rFonts w:ascii="Franklin Gothic Medium"/>
          <w:color w:val="292425"/>
          <w:sz w:val="15"/>
        </w:rPr>
        <w:t>DARYL KRAUSE</w:t>
      </w:r>
    </w:p>
    <w:p>
      <w:pPr>
        <w:spacing w:before="24"/>
        <w:ind w:left="222" w:right="0" w:firstLine="0"/>
        <w:jc w:val="left"/>
        <w:rPr>
          <w:sz w:val="15"/>
        </w:rPr>
      </w:pPr>
      <w:r>
        <w:rPr>
          <w:color w:val="292425"/>
          <w:w w:val="105"/>
          <w:sz w:val="15"/>
        </w:rPr>
        <w:t>Vice President —  Provisioning</w:t>
      </w:r>
    </w:p>
    <w:p>
      <w:pPr>
        <w:spacing w:before="122"/>
        <w:ind w:left="222" w:right="0" w:firstLine="0"/>
        <w:jc w:val="left"/>
        <w:rPr>
          <w:rFonts w:ascii="Franklin Gothic Medium"/>
          <w:sz w:val="15"/>
        </w:rPr>
      </w:pPr>
      <w:r>
        <w:rPr>
          <w:rFonts w:ascii="Franklin Gothic Medium"/>
          <w:color w:val="292425"/>
          <w:sz w:val="15"/>
        </w:rPr>
        <w:t>KEVIN M. KRONE</w:t>
      </w:r>
    </w:p>
    <w:p>
      <w:pPr>
        <w:spacing w:before="24"/>
        <w:ind w:left="222" w:right="0" w:firstLine="0"/>
        <w:jc w:val="left"/>
        <w:rPr>
          <w:sz w:val="15"/>
        </w:rPr>
      </w:pPr>
      <w:r>
        <w:rPr>
          <w:color w:val="292425"/>
          <w:w w:val="105"/>
          <w:sz w:val="15"/>
        </w:rPr>
        <w:t>Vice President — Interactive Marketing</w:t>
      </w:r>
    </w:p>
    <w:p>
      <w:pPr>
        <w:spacing w:before="122"/>
        <w:ind w:left="222" w:right="0" w:firstLine="0"/>
        <w:jc w:val="left"/>
        <w:rPr>
          <w:rFonts w:ascii="Franklin Gothic Medium"/>
          <w:sz w:val="15"/>
        </w:rPr>
      </w:pPr>
      <w:r>
        <w:rPr>
          <w:rFonts w:ascii="Franklin Gothic Medium"/>
          <w:color w:val="292425"/>
          <w:sz w:val="15"/>
        </w:rPr>
        <w:t>PETE MCGLADE</w:t>
      </w:r>
    </w:p>
    <w:p>
      <w:pPr>
        <w:spacing w:before="24"/>
        <w:ind w:left="222" w:right="0" w:firstLine="0"/>
        <w:jc w:val="left"/>
        <w:rPr>
          <w:sz w:val="15"/>
        </w:rPr>
      </w:pPr>
      <w:r>
        <w:rPr>
          <w:color w:val="292425"/>
          <w:w w:val="110"/>
          <w:sz w:val="15"/>
        </w:rPr>
        <w:t>Vice President — Schedule Planning</w:t>
      </w:r>
    </w:p>
    <w:p>
      <w:pPr>
        <w:spacing w:before="121"/>
        <w:ind w:left="222" w:right="0" w:firstLine="0"/>
        <w:jc w:val="left"/>
        <w:rPr>
          <w:rFonts w:ascii="Franklin Gothic Medium"/>
          <w:sz w:val="15"/>
        </w:rPr>
      </w:pPr>
      <w:r>
        <w:rPr>
          <w:rFonts w:ascii="Franklin Gothic Medium"/>
          <w:color w:val="292425"/>
          <w:sz w:val="15"/>
        </w:rPr>
        <w:t>BOB MONTGOMERY</w:t>
      </w:r>
    </w:p>
    <w:p>
      <w:pPr>
        <w:spacing w:before="24"/>
        <w:ind w:left="222" w:right="0" w:firstLine="0"/>
        <w:jc w:val="left"/>
        <w:rPr>
          <w:sz w:val="15"/>
        </w:rPr>
      </w:pPr>
      <w:r>
        <w:rPr>
          <w:color w:val="292425"/>
          <w:w w:val="110"/>
          <w:sz w:val="15"/>
        </w:rPr>
        <w:t>Vice President — Properties and Facilities</w:t>
      </w:r>
    </w:p>
    <w:p>
      <w:pPr>
        <w:spacing w:before="96"/>
        <w:ind w:left="501" w:right="0" w:firstLine="0"/>
        <w:jc w:val="left"/>
        <w:rPr>
          <w:rFonts w:ascii="Franklin Gothic Medium"/>
          <w:sz w:val="15"/>
        </w:rPr>
      </w:pPr>
      <w:r>
        <w:rPr/>
        <w:br w:type="column"/>
      </w:r>
      <w:r>
        <w:rPr>
          <w:rFonts w:ascii="Franklin Gothic Medium"/>
          <w:color w:val="292425"/>
          <w:sz w:val="15"/>
        </w:rPr>
        <w:t>ROB MYRBEN</w:t>
      </w:r>
    </w:p>
    <w:p>
      <w:pPr>
        <w:spacing w:before="24"/>
        <w:ind w:left="501" w:right="0" w:firstLine="0"/>
        <w:jc w:val="left"/>
        <w:rPr>
          <w:sz w:val="15"/>
        </w:rPr>
      </w:pPr>
      <w:r>
        <w:rPr>
          <w:color w:val="292425"/>
          <w:w w:val="105"/>
          <w:sz w:val="15"/>
        </w:rPr>
        <w:t>Vice  President  — Fuel</w:t>
      </w:r>
    </w:p>
    <w:p>
      <w:pPr>
        <w:spacing w:before="122"/>
        <w:ind w:left="501" w:right="0" w:firstLine="0"/>
        <w:jc w:val="left"/>
        <w:rPr>
          <w:rFonts w:ascii="Franklin Gothic Medium"/>
          <w:sz w:val="15"/>
        </w:rPr>
      </w:pPr>
      <w:r>
        <w:rPr>
          <w:rFonts w:ascii="Franklin Gothic Medium"/>
          <w:color w:val="292425"/>
          <w:sz w:val="15"/>
        </w:rPr>
        <w:t>RON RICKS*</w:t>
      </w:r>
    </w:p>
    <w:p>
      <w:pPr>
        <w:spacing w:before="24"/>
        <w:ind w:left="501" w:right="0" w:firstLine="0"/>
        <w:jc w:val="left"/>
        <w:rPr>
          <w:sz w:val="15"/>
        </w:rPr>
      </w:pPr>
      <w:r>
        <w:rPr>
          <w:color w:val="292425"/>
          <w:w w:val="105"/>
          <w:sz w:val="15"/>
        </w:rPr>
        <w:t>Vice President — Governmental  Affairs</w:t>
      </w:r>
    </w:p>
    <w:p>
      <w:pPr>
        <w:spacing w:before="122"/>
        <w:ind w:left="501" w:right="0" w:firstLine="0"/>
        <w:jc w:val="left"/>
        <w:rPr>
          <w:rFonts w:ascii="Franklin Gothic Medium"/>
          <w:sz w:val="15"/>
        </w:rPr>
      </w:pPr>
      <w:r>
        <w:rPr>
          <w:rFonts w:ascii="Franklin Gothic Medium"/>
          <w:color w:val="292425"/>
          <w:sz w:val="15"/>
        </w:rPr>
        <w:t>DAVE RIDLEY*</w:t>
      </w:r>
    </w:p>
    <w:p>
      <w:pPr>
        <w:spacing w:before="24"/>
        <w:ind w:left="501" w:right="0" w:firstLine="0"/>
        <w:jc w:val="left"/>
        <w:rPr>
          <w:sz w:val="15"/>
        </w:rPr>
      </w:pPr>
      <w:r>
        <w:rPr>
          <w:color w:val="292425"/>
          <w:w w:val="105"/>
          <w:sz w:val="15"/>
        </w:rPr>
        <w:t>Vice President — Ground  Operations</w:t>
      </w:r>
    </w:p>
    <w:p>
      <w:pPr>
        <w:spacing w:before="121"/>
        <w:ind w:left="501" w:right="0" w:firstLine="0"/>
        <w:jc w:val="left"/>
        <w:rPr>
          <w:rFonts w:ascii="Franklin Gothic Medium"/>
          <w:sz w:val="15"/>
        </w:rPr>
      </w:pPr>
      <w:r>
        <w:rPr>
          <w:rFonts w:ascii="Franklin Gothic Medium"/>
          <w:color w:val="292425"/>
          <w:sz w:val="15"/>
        </w:rPr>
        <w:t>JAMES A. RUPPEL</w:t>
      </w:r>
    </w:p>
    <w:p>
      <w:pPr>
        <w:spacing w:line="261" w:lineRule="auto" w:before="24"/>
        <w:ind w:left="501" w:right="915" w:firstLine="0"/>
        <w:jc w:val="left"/>
        <w:rPr>
          <w:sz w:val="15"/>
        </w:rPr>
      </w:pPr>
      <w:r>
        <w:rPr>
          <w:color w:val="292425"/>
          <w:w w:val="110"/>
          <w:sz w:val="15"/>
        </w:rPr>
        <w:t>Vice President — Customer Relations and Rapid Rewards</w:t>
      </w:r>
    </w:p>
    <w:p>
      <w:pPr>
        <w:spacing w:before="105"/>
        <w:ind w:left="501" w:right="0" w:firstLine="0"/>
        <w:jc w:val="left"/>
        <w:rPr>
          <w:rFonts w:ascii="Franklin Gothic Medium"/>
          <w:sz w:val="15"/>
        </w:rPr>
      </w:pPr>
      <w:r>
        <w:rPr>
          <w:rFonts w:ascii="Franklin Gothic Medium"/>
          <w:color w:val="292425"/>
          <w:sz w:val="15"/>
        </w:rPr>
        <w:t>RAY SEARS</w:t>
      </w:r>
    </w:p>
    <w:p>
      <w:pPr>
        <w:spacing w:before="24"/>
        <w:ind w:left="501" w:right="0" w:firstLine="0"/>
        <w:jc w:val="left"/>
        <w:rPr>
          <w:sz w:val="15"/>
        </w:rPr>
      </w:pPr>
      <w:r>
        <w:rPr>
          <w:color w:val="292425"/>
          <w:w w:val="110"/>
          <w:sz w:val="15"/>
        </w:rPr>
        <w:t>Vice President — Purchasing</w:t>
      </w:r>
    </w:p>
    <w:p>
      <w:pPr>
        <w:spacing w:before="122"/>
        <w:ind w:left="501" w:right="0" w:firstLine="0"/>
        <w:jc w:val="left"/>
        <w:rPr>
          <w:rFonts w:ascii="Franklin Gothic Medium"/>
          <w:sz w:val="15"/>
        </w:rPr>
      </w:pPr>
      <w:r>
        <w:rPr>
          <w:rFonts w:ascii="Franklin Gothic Medium"/>
          <w:color w:val="292425"/>
          <w:sz w:val="15"/>
        </w:rPr>
        <w:t>JIM SOKOL</w:t>
      </w:r>
    </w:p>
    <w:p>
      <w:pPr>
        <w:spacing w:before="24"/>
        <w:ind w:left="501" w:right="0" w:firstLine="0"/>
        <w:jc w:val="left"/>
        <w:rPr>
          <w:sz w:val="15"/>
        </w:rPr>
      </w:pPr>
      <w:r>
        <w:rPr>
          <w:color w:val="292425"/>
          <w:w w:val="105"/>
          <w:sz w:val="15"/>
        </w:rPr>
        <w:t>Vice President — Maintenance and  Engineering</w:t>
      </w:r>
    </w:p>
    <w:p>
      <w:pPr>
        <w:spacing w:before="122"/>
        <w:ind w:left="501" w:right="0" w:firstLine="0"/>
        <w:jc w:val="left"/>
        <w:rPr>
          <w:rFonts w:ascii="Franklin Gothic Medium"/>
          <w:sz w:val="15"/>
        </w:rPr>
      </w:pPr>
      <w:r>
        <w:rPr>
          <w:rFonts w:ascii="Franklin Gothic Medium"/>
          <w:color w:val="292425"/>
          <w:sz w:val="15"/>
        </w:rPr>
        <w:t>KEITH L. TAYLOR</w:t>
      </w:r>
    </w:p>
    <w:p>
      <w:pPr>
        <w:spacing w:before="24"/>
        <w:ind w:left="501" w:right="0" w:firstLine="0"/>
        <w:jc w:val="left"/>
        <w:rPr>
          <w:sz w:val="15"/>
        </w:rPr>
      </w:pPr>
      <w:r>
        <w:rPr>
          <w:color w:val="292425"/>
          <w:w w:val="105"/>
          <w:sz w:val="15"/>
        </w:rPr>
        <w:t>Vice President — Revenue  Management</w:t>
      </w:r>
    </w:p>
    <w:p>
      <w:pPr>
        <w:spacing w:before="121"/>
        <w:ind w:left="501" w:right="0" w:firstLine="0"/>
        <w:jc w:val="left"/>
        <w:rPr>
          <w:rFonts w:ascii="Franklin Gothic Medium"/>
          <w:sz w:val="15"/>
        </w:rPr>
      </w:pPr>
      <w:r>
        <w:rPr>
          <w:rFonts w:ascii="Franklin Gothic Medium"/>
          <w:color w:val="292425"/>
          <w:sz w:val="15"/>
        </w:rPr>
        <w:t>ELLEN TORBERT</w:t>
      </w:r>
    </w:p>
    <w:p>
      <w:pPr>
        <w:spacing w:before="24"/>
        <w:ind w:left="501" w:right="0" w:firstLine="0"/>
        <w:jc w:val="left"/>
        <w:rPr>
          <w:sz w:val="15"/>
        </w:rPr>
      </w:pPr>
      <w:r>
        <w:rPr>
          <w:color w:val="292425"/>
          <w:w w:val="110"/>
          <w:sz w:val="15"/>
        </w:rPr>
        <w:t>Vice President — Reservations</w:t>
      </w:r>
    </w:p>
    <w:p>
      <w:pPr>
        <w:spacing w:before="122"/>
        <w:ind w:left="501" w:right="0" w:firstLine="0"/>
        <w:jc w:val="left"/>
        <w:rPr>
          <w:rFonts w:ascii="Franklin Gothic Medium"/>
          <w:sz w:val="15"/>
        </w:rPr>
      </w:pPr>
      <w:r>
        <w:rPr>
          <w:rFonts w:ascii="Franklin Gothic Medium"/>
          <w:color w:val="292425"/>
          <w:sz w:val="15"/>
        </w:rPr>
        <w:t>MICHAEL G. VAN DE VEN</w:t>
      </w:r>
    </w:p>
    <w:p>
      <w:pPr>
        <w:spacing w:before="24"/>
        <w:ind w:left="501" w:right="0" w:firstLine="0"/>
        <w:jc w:val="left"/>
        <w:rPr>
          <w:sz w:val="15"/>
        </w:rPr>
      </w:pPr>
      <w:r>
        <w:rPr>
          <w:color w:val="292425"/>
          <w:w w:val="105"/>
          <w:sz w:val="15"/>
        </w:rPr>
        <w:t>Vice President — Financial Planning and     Analysis</w:t>
      </w:r>
    </w:p>
    <w:p>
      <w:pPr>
        <w:spacing w:before="122"/>
        <w:ind w:left="501" w:right="0" w:firstLine="0"/>
        <w:jc w:val="left"/>
        <w:rPr>
          <w:rFonts w:ascii="Franklin Gothic Medium"/>
          <w:sz w:val="15"/>
        </w:rPr>
      </w:pPr>
      <w:r>
        <w:rPr>
          <w:rFonts w:ascii="Franklin Gothic Medium"/>
          <w:color w:val="292425"/>
          <w:sz w:val="15"/>
        </w:rPr>
        <w:t>TAMMYE WALKER-JONES</w:t>
      </w:r>
    </w:p>
    <w:p>
      <w:pPr>
        <w:spacing w:before="24"/>
        <w:ind w:left="501" w:right="0" w:firstLine="0"/>
        <w:jc w:val="left"/>
        <w:rPr>
          <w:sz w:val="15"/>
        </w:rPr>
      </w:pPr>
      <w:r>
        <w:rPr>
          <w:color w:val="292425"/>
          <w:w w:val="105"/>
          <w:sz w:val="15"/>
        </w:rPr>
        <w:t>Vice President —  Inflight</w:t>
      </w:r>
    </w:p>
    <w:p>
      <w:pPr>
        <w:spacing w:before="121"/>
        <w:ind w:left="501" w:right="0" w:firstLine="0"/>
        <w:jc w:val="left"/>
        <w:rPr>
          <w:rFonts w:ascii="Franklin Gothic Medium"/>
          <w:sz w:val="15"/>
        </w:rPr>
      </w:pPr>
      <w:r>
        <w:rPr>
          <w:rFonts w:ascii="Franklin Gothic Medium"/>
          <w:color w:val="292425"/>
          <w:sz w:val="15"/>
        </w:rPr>
        <w:t>GREG WELLS</w:t>
      </w:r>
    </w:p>
    <w:p>
      <w:pPr>
        <w:spacing w:line="261" w:lineRule="auto" w:before="24"/>
        <w:ind w:left="501" w:right="1367" w:firstLine="0"/>
        <w:jc w:val="left"/>
        <w:rPr>
          <w:sz w:val="15"/>
        </w:rPr>
      </w:pPr>
      <w:r>
        <w:rPr>
          <w:color w:val="292425"/>
          <w:w w:val="105"/>
          <w:sz w:val="15"/>
        </w:rPr>
        <w:t>Vice President — Safety, Security, and Flight Dispatch</w:t>
      </w:r>
    </w:p>
    <w:p>
      <w:pPr>
        <w:spacing w:before="106"/>
        <w:ind w:left="501" w:right="0" w:firstLine="0"/>
        <w:jc w:val="left"/>
        <w:rPr>
          <w:rFonts w:ascii="Franklin Gothic Medium"/>
          <w:sz w:val="15"/>
        </w:rPr>
      </w:pPr>
      <w:r>
        <w:rPr>
          <w:rFonts w:ascii="Franklin Gothic Medium"/>
          <w:color w:val="292425"/>
          <w:sz w:val="15"/>
        </w:rPr>
        <w:t>STEVEN P. WHALEY</w:t>
      </w:r>
    </w:p>
    <w:p>
      <w:pPr>
        <w:spacing w:before="24"/>
        <w:ind w:left="501" w:right="0" w:firstLine="0"/>
        <w:jc w:val="left"/>
        <w:rPr>
          <w:sz w:val="15"/>
        </w:rPr>
      </w:pPr>
      <w:r>
        <w:rPr>
          <w:color w:val="292425"/>
          <w:w w:val="105"/>
          <w:sz w:val="15"/>
        </w:rPr>
        <w:t>Controller</w:t>
      </w:r>
    </w:p>
    <w:p>
      <w:pPr>
        <w:spacing w:before="121"/>
        <w:ind w:left="501" w:right="0" w:firstLine="0"/>
        <w:jc w:val="left"/>
        <w:rPr>
          <w:rFonts w:ascii="Franklin Gothic Medium"/>
          <w:sz w:val="15"/>
        </w:rPr>
      </w:pPr>
      <w:r>
        <w:rPr>
          <w:rFonts w:ascii="Franklin Gothic Medium"/>
          <w:color w:val="292425"/>
          <w:sz w:val="15"/>
        </w:rPr>
        <w:t>LAURA H. WRIGHT</w:t>
      </w:r>
    </w:p>
    <w:p>
      <w:pPr>
        <w:spacing w:before="24"/>
        <w:ind w:left="501" w:right="0" w:firstLine="0"/>
        <w:jc w:val="left"/>
        <w:rPr>
          <w:sz w:val="15"/>
        </w:rPr>
      </w:pPr>
      <w:r>
        <w:rPr>
          <w:color w:val="292425"/>
          <w:w w:val="105"/>
          <w:sz w:val="15"/>
        </w:rPr>
        <w:t>Vice President — Finance and   Treasurer</w:t>
      </w:r>
    </w:p>
    <w:p>
      <w:pPr>
        <w:pStyle w:val="BodyText"/>
        <w:spacing w:before="9"/>
        <w:rPr>
          <w:sz w:val="17"/>
        </w:rPr>
      </w:pPr>
    </w:p>
    <w:p>
      <w:pPr>
        <w:spacing w:before="0"/>
        <w:ind w:left="501" w:right="0" w:firstLine="0"/>
        <w:jc w:val="left"/>
        <w:rPr>
          <w:sz w:val="15"/>
        </w:rPr>
      </w:pPr>
      <w:r>
        <w:rPr>
          <w:color w:val="292425"/>
          <w:w w:val="105"/>
          <w:sz w:val="15"/>
        </w:rPr>
        <w:t>*Member of Executive Planning Committee</w:t>
      </w:r>
    </w:p>
    <w:p>
      <w:pPr>
        <w:spacing w:after="0"/>
        <w:jc w:val="left"/>
        <w:rPr>
          <w:sz w:val="15"/>
        </w:rPr>
        <w:sectPr>
          <w:type w:val="continuous"/>
          <w:pgSz w:w="12240" w:h="15840"/>
          <w:pgMar w:top="0" w:bottom="280" w:left="0" w:right="0"/>
          <w:cols w:num="3" w:equalWidth="0">
            <w:col w:w="4278" w:space="40"/>
            <w:col w:w="3246" w:space="40"/>
            <w:col w:w="4636"/>
          </w:cols>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
        <w:rPr>
          <w:sz w:val="19"/>
        </w:rPr>
      </w:pPr>
    </w:p>
    <w:p>
      <w:pPr>
        <w:pStyle w:val="BodyText"/>
        <w:spacing w:line="360" w:lineRule="auto" w:before="1"/>
        <w:ind w:left="971" w:right="876" w:hanging="77"/>
        <w:jc w:val="both"/>
        <w:rPr>
          <w:rFonts w:ascii="Franklin Gothic Medium" w:hAnsi="Franklin Gothic Medium"/>
        </w:rPr>
      </w:pPr>
      <w:r>
        <w:rPr/>
        <w:pict>
          <v:line style="position:absolute;mso-position-horizontal-relative:page;mso-position-vertical-relative:paragraph;z-index:6136" from=".0pt,-53.178333pt" to="612pt,-53.178333pt" stroked="true" strokeweight=".5pt" strokecolor="#292425">
            <v:stroke dashstyle="solid"/>
            <w10:wrap type="none"/>
          </v:line>
        </w:pict>
      </w:r>
      <w:r>
        <w:rPr>
          <w:rFonts w:ascii="Franklin Gothic Medium" w:hAnsi="Franklin Gothic Medium"/>
          <w:color w:val="989A9D"/>
          <w:position w:val="1"/>
        </w:rPr>
        <w:t>“</w:t>
      </w:r>
      <w:r>
        <w:rPr>
          <w:rFonts w:ascii="Franklin Gothic Medium" w:hAnsi="Franklin Gothic Medium"/>
          <w:color w:val="989A9D"/>
        </w:rPr>
        <w:t>Southwest Airlines has </w:t>
      </w:r>
      <w:r>
        <w:rPr>
          <w:rFonts w:ascii="Franklin Gothic Medium" w:hAnsi="Franklin Gothic Medium"/>
          <w:color w:val="989A9D"/>
          <w:spacing w:val="-4"/>
        </w:rPr>
        <w:t>always </w:t>
      </w:r>
      <w:r>
        <w:rPr>
          <w:rFonts w:ascii="Franklin Gothic Medium" w:hAnsi="Franklin Gothic Medium"/>
          <w:color w:val="989A9D"/>
        </w:rPr>
        <w:t>been the </w:t>
      </w:r>
      <w:r>
        <w:rPr>
          <w:rFonts w:ascii="Franklin Gothic Medium" w:hAnsi="Franklin Gothic Medium"/>
          <w:color w:val="989A9D"/>
          <w:spacing w:val="-3"/>
        </w:rPr>
        <w:t>country’s </w:t>
      </w:r>
      <w:r>
        <w:rPr>
          <w:rFonts w:ascii="Franklin Gothic Medium" w:hAnsi="Franklin Gothic Medium"/>
          <w:color w:val="989A9D"/>
        </w:rPr>
        <w:t>quirkiest </w:t>
      </w:r>
      <w:r>
        <w:rPr>
          <w:rFonts w:ascii="Franklin Gothic Medium" w:hAnsi="Franklin Gothic Medium"/>
          <w:color w:val="989A9D"/>
          <w:spacing w:val="-3"/>
        </w:rPr>
        <w:t>carrier, </w:t>
      </w:r>
      <w:r>
        <w:rPr>
          <w:rFonts w:ascii="Franklin Gothic Medium" w:hAnsi="Franklin Gothic Medium"/>
          <w:color w:val="989A9D"/>
        </w:rPr>
        <w:t>with its chain-smoking </w:t>
      </w:r>
      <w:r>
        <w:rPr>
          <w:rFonts w:ascii="Franklin Gothic Medium" w:hAnsi="Franklin Gothic Medium"/>
          <w:color w:val="989A9D"/>
          <w:spacing w:val="-4"/>
        </w:rPr>
        <w:t>founder, </w:t>
      </w:r>
      <w:r>
        <w:rPr>
          <w:rFonts w:ascii="Franklin Gothic Medium" w:hAnsi="Franklin Gothic Medium"/>
          <w:color w:val="989A9D"/>
        </w:rPr>
        <w:t>corny cabin </w:t>
      </w:r>
      <w:r>
        <w:rPr>
          <w:rFonts w:ascii="Franklin Gothic Medium" w:hAnsi="Franklin Gothic Medium"/>
          <w:color w:val="989A9D"/>
          <w:spacing w:val="-3"/>
        </w:rPr>
        <w:t>jokes, </w:t>
      </w:r>
      <w:r>
        <w:rPr>
          <w:rFonts w:ascii="Franklin Gothic Medium" w:hAnsi="Franklin Gothic Medium"/>
          <w:color w:val="989A9D"/>
          <w:spacing w:val="-2"/>
        </w:rPr>
        <w:t>and </w:t>
      </w:r>
      <w:r>
        <w:rPr>
          <w:rFonts w:ascii="Franklin Gothic Medium" w:hAnsi="Franklin Gothic Medium"/>
          <w:color w:val="989A9D"/>
        </w:rPr>
        <w:t>no-frills</w:t>
      </w:r>
      <w:r>
        <w:rPr>
          <w:rFonts w:ascii="Franklin Gothic Medium" w:hAnsi="Franklin Gothic Medium"/>
          <w:color w:val="989A9D"/>
          <w:spacing w:val="-5"/>
        </w:rPr>
        <w:t> </w:t>
      </w:r>
      <w:r>
        <w:rPr>
          <w:rFonts w:ascii="Franklin Gothic Medium" w:hAnsi="Franklin Gothic Medium"/>
          <w:color w:val="989A9D"/>
        </w:rPr>
        <w:t>flights.</w:t>
      </w:r>
      <w:r>
        <w:rPr>
          <w:rFonts w:ascii="Franklin Gothic Medium" w:hAnsi="Franklin Gothic Medium"/>
          <w:color w:val="989A9D"/>
          <w:spacing w:val="-5"/>
        </w:rPr>
        <w:t> </w:t>
      </w:r>
      <w:r>
        <w:rPr>
          <w:rFonts w:ascii="Franklin Gothic Medium" w:hAnsi="Franklin Gothic Medium"/>
          <w:color w:val="989A9D"/>
        </w:rPr>
        <w:t>But</w:t>
      </w:r>
      <w:r>
        <w:rPr>
          <w:rFonts w:ascii="Franklin Gothic Medium" w:hAnsi="Franklin Gothic Medium"/>
          <w:color w:val="989A9D"/>
          <w:spacing w:val="-5"/>
        </w:rPr>
        <w:t> </w:t>
      </w:r>
      <w:r>
        <w:rPr>
          <w:rFonts w:ascii="Franklin Gothic Medium" w:hAnsi="Franklin Gothic Medium"/>
          <w:color w:val="989A9D"/>
        </w:rPr>
        <w:t>amid</w:t>
      </w:r>
      <w:r>
        <w:rPr>
          <w:rFonts w:ascii="Franklin Gothic Medium" w:hAnsi="Franklin Gothic Medium"/>
          <w:color w:val="989A9D"/>
          <w:spacing w:val="-5"/>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rPr>
        <w:t>recent</w:t>
      </w:r>
      <w:r>
        <w:rPr>
          <w:rFonts w:ascii="Franklin Gothic Medium" w:hAnsi="Franklin Gothic Medium"/>
          <w:color w:val="989A9D"/>
          <w:spacing w:val="-5"/>
        </w:rPr>
        <w:t> </w:t>
      </w:r>
      <w:r>
        <w:rPr>
          <w:rFonts w:ascii="Franklin Gothic Medium" w:hAnsi="Franklin Gothic Medium"/>
          <w:color w:val="989A9D"/>
        </w:rPr>
        <w:t>turbulence,</w:t>
      </w:r>
      <w:r>
        <w:rPr>
          <w:rFonts w:ascii="Franklin Gothic Medium" w:hAnsi="Franklin Gothic Medium"/>
          <w:color w:val="989A9D"/>
          <w:spacing w:val="-14"/>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spacing w:val="-4"/>
        </w:rPr>
        <w:t>nation’s</w:t>
      </w:r>
      <w:r>
        <w:rPr>
          <w:rFonts w:ascii="Franklin Gothic Medium" w:hAnsi="Franklin Gothic Medium"/>
          <w:color w:val="989A9D"/>
          <w:spacing w:val="-5"/>
        </w:rPr>
        <w:t> </w:t>
      </w:r>
      <w:r>
        <w:rPr>
          <w:rFonts w:ascii="Franklin Gothic Medium" w:hAnsi="Franklin Gothic Medium"/>
          <w:color w:val="989A9D"/>
          <w:spacing w:val="-2"/>
        </w:rPr>
        <w:t>seventh-largest</w:t>
      </w:r>
      <w:r>
        <w:rPr>
          <w:rFonts w:ascii="Franklin Gothic Medium" w:hAnsi="Franklin Gothic Medium"/>
          <w:color w:val="989A9D"/>
          <w:spacing w:val="-5"/>
        </w:rPr>
        <w:t> </w:t>
      </w:r>
      <w:r>
        <w:rPr>
          <w:rFonts w:ascii="Franklin Gothic Medium" w:hAnsi="Franklin Gothic Medium"/>
          <w:color w:val="989A9D"/>
        </w:rPr>
        <w:t>airline</w:t>
      </w:r>
      <w:r>
        <w:rPr>
          <w:rFonts w:ascii="Franklin Gothic Medium" w:hAnsi="Franklin Gothic Medium"/>
          <w:color w:val="989A9D"/>
          <w:spacing w:val="-5"/>
        </w:rPr>
        <w:t> </w:t>
      </w:r>
      <w:r>
        <w:rPr>
          <w:rFonts w:ascii="Franklin Gothic Medium" w:hAnsi="Franklin Gothic Medium"/>
          <w:color w:val="989A9D"/>
        </w:rPr>
        <w:t>is</w:t>
      </w:r>
      <w:r>
        <w:rPr>
          <w:rFonts w:ascii="Franklin Gothic Medium" w:hAnsi="Franklin Gothic Medium"/>
          <w:color w:val="989A9D"/>
          <w:spacing w:val="-5"/>
        </w:rPr>
        <w:t> </w:t>
      </w:r>
      <w:r>
        <w:rPr>
          <w:rFonts w:ascii="Franklin Gothic Medium" w:hAnsi="Franklin Gothic Medium"/>
          <w:color w:val="989A9D"/>
        </w:rPr>
        <w:t>bucking</w:t>
      </w:r>
      <w:r>
        <w:rPr>
          <w:rFonts w:ascii="Franklin Gothic Medium" w:hAnsi="Franklin Gothic Medium"/>
          <w:color w:val="989A9D"/>
          <w:spacing w:val="-5"/>
        </w:rPr>
        <w:t> </w:t>
      </w:r>
      <w:r>
        <w:rPr>
          <w:rFonts w:ascii="Franklin Gothic Medium" w:hAnsi="Franklin Gothic Medium"/>
          <w:color w:val="989A9D"/>
        </w:rPr>
        <w:t>the</w:t>
      </w:r>
      <w:r>
        <w:rPr>
          <w:rFonts w:ascii="Franklin Gothic Medium" w:hAnsi="Franklin Gothic Medium"/>
          <w:color w:val="989A9D"/>
          <w:spacing w:val="-5"/>
        </w:rPr>
        <w:t> </w:t>
      </w:r>
      <w:r>
        <w:rPr>
          <w:rFonts w:ascii="Franklin Gothic Medium" w:hAnsi="Franklin Gothic Medium"/>
          <w:color w:val="989A9D"/>
        </w:rPr>
        <w:t>prevailing</w:t>
      </w:r>
      <w:r>
        <w:rPr>
          <w:rFonts w:ascii="Franklin Gothic Medium" w:hAnsi="Franklin Gothic Medium"/>
          <w:color w:val="989A9D"/>
          <w:spacing w:val="-5"/>
        </w:rPr>
        <w:t> </w:t>
      </w:r>
      <w:r>
        <w:rPr>
          <w:rFonts w:ascii="Franklin Gothic Medium" w:hAnsi="Franklin Gothic Medium"/>
          <w:color w:val="989A9D"/>
        </w:rPr>
        <w:t>industry</w:t>
      </w:r>
      <w:r>
        <w:rPr>
          <w:rFonts w:ascii="Franklin Gothic Medium" w:hAnsi="Franklin Gothic Medium"/>
          <w:color w:val="989A9D"/>
          <w:spacing w:val="-5"/>
        </w:rPr>
        <w:t> </w:t>
      </w:r>
      <w:r>
        <w:rPr>
          <w:rFonts w:ascii="Franklin Gothic Medium" w:hAnsi="Franklin Gothic Medium"/>
          <w:color w:val="989A9D"/>
        </w:rPr>
        <w:t>trends </w:t>
      </w:r>
      <w:r>
        <w:rPr>
          <w:rFonts w:ascii="Franklin Gothic Medium" w:hAnsi="Franklin Gothic Medium"/>
          <w:color w:val="989A9D"/>
          <w:spacing w:val="-3"/>
        </w:rPr>
        <w:t>by </w:t>
      </w:r>
      <w:r>
        <w:rPr>
          <w:rFonts w:ascii="Franklin Gothic Medium" w:hAnsi="Franklin Gothic Medium"/>
          <w:color w:val="989A9D"/>
        </w:rPr>
        <w:t>resuming growth, planning </w:t>
      </w:r>
      <w:r>
        <w:rPr>
          <w:rFonts w:ascii="Franklin Gothic Medium" w:hAnsi="Franklin Gothic Medium"/>
          <w:color w:val="989A9D"/>
          <w:spacing w:val="-3"/>
        </w:rPr>
        <w:t>for </w:t>
      </w:r>
      <w:r>
        <w:rPr>
          <w:rFonts w:ascii="Franklin Gothic Medium" w:hAnsi="Franklin Gothic Medium"/>
          <w:color w:val="989A9D"/>
        </w:rPr>
        <w:t>a full-year profit, and </w:t>
      </w:r>
      <w:r>
        <w:rPr>
          <w:rFonts w:ascii="Franklin Gothic Medium" w:hAnsi="Franklin Gothic Medium"/>
          <w:color w:val="989A9D"/>
          <w:spacing w:val="-3"/>
        </w:rPr>
        <w:t>watching </w:t>
      </w:r>
      <w:r>
        <w:rPr>
          <w:rFonts w:ascii="Franklin Gothic Medium" w:hAnsi="Franklin Gothic Medium"/>
          <w:color w:val="989A9D"/>
        </w:rPr>
        <w:t>its market value eclipse those of its giant</w:t>
      </w:r>
      <w:r>
        <w:rPr>
          <w:rFonts w:ascii="Franklin Gothic Medium" w:hAnsi="Franklin Gothic Medium"/>
          <w:color w:val="989A9D"/>
          <w:spacing w:val="27"/>
        </w:rPr>
        <w:t> </w:t>
      </w:r>
      <w:r>
        <w:rPr>
          <w:rFonts w:ascii="Franklin Gothic Medium" w:hAnsi="Franklin Gothic Medium"/>
          <w:color w:val="989A9D"/>
        </w:rPr>
        <w:t>rivals .”</w:t>
      </w:r>
    </w:p>
    <w:p>
      <w:pPr>
        <w:spacing w:before="12"/>
        <w:ind w:left="971" w:right="0" w:firstLine="0"/>
        <w:jc w:val="both"/>
        <w:rPr>
          <w:i/>
          <w:sz w:val="18"/>
        </w:rPr>
      </w:pPr>
      <w:r>
        <w:rPr>
          <w:i/>
          <w:color w:val="292425"/>
          <w:w w:val="105"/>
          <w:sz w:val="18"/>
        </w:rPr>
        <w:t>–The Boston Globe, January 3,  2002</w:t>
      </w:r>
    </w:p>
    <w:p>
      <w:pPr>
        <w:pStyle w:val="BodyText"/>
        <w:spacing w:before="11"/>
        <w:rPr>
          <w:i/>
          <w:sz w:val="28"/>
        </w:rPr>
      </w:pPr>
    </w:p>
    <w:p>
      <w:pPr>
        <w:pStyle w:val="BodyText"/>
        <w:spacing w:line="357" w:lineRule="auto" w:before="99"/>
        <w:ind w:left="971" w:right="876" w:hanging="77"/>
        <w:jc w:val="both"/>
        <w:rPr>
          <w:i/>
          <w:sz w:val="18"/>
        </w:rPr>
      </w:pPr>
      <w:r>
        <w:rPr>
          <w:rFonts w:ascii="Franklin Gothic Medium" w:hAnsi="Franklin Gothic Medium"/>
          <w:color w:val="989A9D"/>
        </w:rPr>
        <w:t>“Over the years, major airlines have improved just enough for most to survive </w:t>
      </w:r>
      <w:r>
        <w:rPr>
          <w:rFonts w:ascii="Franklin Gothic Medium" w:hAnsi="Franklin Gothic Medium"/>
          <w:color w:val="989A9D"/>
          <w:w w:val="120"/>
        </w:rPr>
        <w:t>— </w:t>
      </w:r>
      <w:r>
        <w:rPr>
          <w:rFonts w:ascii="Franklin Gothic Medium" w:hAnsi="Franklin Gothic Medium"/>
          <w:color w:val="989A9D"/>
        </w:rPr>
        <w:t>to limp from crisis to crisis, to turn a   small profit occasionally </w:t>
      </w:r>
      <w:r>
        <w:rPr>
          <w:rFonts w:ascii="Franklin Gothic Medium" w:hAnsi="Franklin Gothic Medium"/>
          <w:color w:val="989A9D"/>
          <w:w w:val="120"/>
        </w:rPr>
        <w:t>— </w:t>
      </w:r>
      <w:r>
        <w:rPr>
          <w:rFonts w:ascii="Franklin Gothic Medium" w:hAnsi="Franklin Gothic Medium"/>
          <w:color w:val="989A9D"/>
        </w:rPr>
        <w:t>but not to build lasting </w:t>
      </w:r>
      <w:r>
        <w:rPr>
          <w:rFonts w:ascii="Franklin Gothic Medium" w:hAnsi="Franklin Gothic Medium"/>
          <w:color w:val="989A9D"/>
          <w:spacing w:val="-4"/>
        </w:rPr>
        <w:t>equity. </w:t>
      </w:r>
      <w:r>
        <w:rPr>
          <w:rFonts w:ascii="Franklin Gothic Medium" w:hAnsi="Franklin Gothic Medium"/>
          <w:color w:val="989A9D"/>
        </w:rPr>
        <w:t>And increasingly they are haunted by Southwest, haunted because they can never match </w:t>
      </w:r>
      <w:r>
        <w:rPr>
          <w:rFonts w:ascii="Franklin Gothic Medium" w:hAnsi="Franklin Gothic Medium"/>
          <w:color w:val="989A9D"/>
          <w:spacing w:val="-8"/>
        </w:rPr>
        <w:t>it.”    </w:t>
      </w:r>
      <w:r>
        <w:rPr>
          <w:rFonts w:ascii="Franklin Gothic Medium" w:hAnsi="Franklin Gothic Medium"/>
          <w:color w:val="989A9D"/>
          <w:spacing w:val="23"/>
        </w:rPr>
        <w:t> </w:t>
      </w:r>
      <w:r>
        <w:rPr>
          <w:i/>
          <w:color w:val="292425"/>
          <w:sz w:val="18"/>
        </w:rPr>
        <w:t>–The  New </w:t>
      </w:r>
      <w:r>
        <w:rPr>
          <w:i/>
          <w:color w:val="292425"/>
          <w:spacing w:val="-3"/>
          <w:sz w:val="18"/>
        </w:rPr>
        <w:t>York </w:t>
      </w:r>
      <w:r>
        <w:rPr>
          <w:i/>
          <w:color w:val="292425"/>
          <w:sz w:val="18"/>
        </w:rPr>
        <w:t>Times, February  25, 2002</w:t>
      </w:r>
    </w:p>
    <w:p>
      <w:pPr>
        <w:pStyle w:val="BodyText"/>
        <w:spacing w:before="4"/>
        <w:rPr>
          <w:i/>
          <w:sz w:val="19"/>
        </w:rPr>
      </w:pPr>
    </w:p>
    <w:p>
      <w:pPr>
        <w:spacing w:line="355" w:lineRule="auto" w:before="92"/>
        <w:ind w:left="971" w:right="1131" w:hanging="71"/>
        <w:jc w:val="left"/>
        <w:rPr>
          <w:i/>
          <w:sz w:val="18"/>
        </w:rPr>
      </w:pPr>
      <w:r>
        <w:rPr>
          <w:rFonts w:ascii="Franklin Gothic Medium" w:hAnsi="Franklin Gothic Medium"/>
          <w:color w:val="989A9D"/>
          <w:sz w:val="20"/>
        </w:rPr>
        <w:t>“Q: Is there any product you would endorse? A: Southwest Airlines. Superb airline. The lowest fares, the highest </w:t>
      </w:r>
      <w:r>
        <w:rPr>
          <w:rFonts w:ascii="Franklin Gothic Medium" w:hAnsi="Franklin Gothic Medium"/>
          <w:color w:val="989A9D"/>
          <w:spacing w:val="2"/>
          <w:sz w:val="20"/>
        </w:rPr>
        <w:t>profits</w:t>
      </w:r>
      <w:r>
        <w:rPr>
          <w:rFonts w:ascii="Franklin Gothic Medium" w:hAnsi="Franklin Gothic Medium"/>
          <w:color w:val="989A9D"/>
          <w:spacing w:val="2"/>
          <w:position w:val="1"/>
          <w:sz w:val="20"/>
        </w:rPr>
        <w:t>,   </w:t>
      </w:r>
      <w:r>
        <w:rPr>
          <w:rFonts w:ascii="Franklin Gothic Medium" w:hAnsi="Franklin Gothic Medium"/>
          <w:color w:val="989A9D"/>
          <w:sz w:val="20"/>
        </w:rPr>
        <w:t>the  best  </w:t>
      </w:r>
      <w:r>
        <w:rPr>
          <w:rFonts w:ascii="Franklin Gothic Medium" w:hAnsi="Franklin Gothic Medium"/>
          <w:color w:val="989A9D"/>
          <w:spacing w:val="-3"/>
          <w:sz w:val="20"/>
        </w:rPr>
        <w:t>service.”  </w:t>
      </w:r>
      <w:r>
        <w:rPr>
          <w:i/>
          <w:color w:val="292425"/>
          <w:sz w:val="18"/>
        </w:rPr>
        <w:t>– Consumer  advocate  Ralph  Nader, June  20,</w:t>
      </w:r>
      <w:r>
        <w:rPr>
          <w:i/>
          <w:color w:val="292425"/>
          <w:spacing w:val="6"/>
          <w:sz w:val="18"/>
        </w:rPr>
        <w:t> </w:t>
      </w:r>
      <w:r>
        <w:rPr>
          <w:i/>
          <w:color w:val="292425"/>
          <w:sz w:val="18"/>
        </w:rPr>
        <w:t>2002</w:t>
      </w:r>
    </w:p>
    <w:p>
      <w:pPr>
        <w:pStyle w:val="BodyText"/>
        <w:spacing w:before="9"/>
        <w:rPr>
          <w:i/>
          <w:sz w:val="19"/>
        </w:rPr>
      </w:pPr>
    </w:p>
    <w:p>
      <w:pPr>
        <w:pStyle w:val="BodyText"/>
        <w:spacing w:line="340" w:lineRule="auto" w:before="93"/>
        <w:ind w:left="971" w:right="1131" w:hanging="75"/>
        <w:rPr>
          <w:rFonts w:ascii="Franklin Gothic Medium" w:hAnsi="Franklin Gothic Medium"/>
        </w:rPr>
      </w:pPr>
      <w:r>
        <w:rPr>
          <w:rFonts w:ascii="Franklin Gothic Medium" w:hAnsi="Franklin Gothic Medium"/>
          <w:color w:val="989A9D"/>
        </w:rPr>
        <w:t>“</w:t>
      </w:r>
      <w:r>
        <w:rPr>
          <w:rFonts w:ascii="Franklin Gothic Medium" w:hAnsi="Franklin Gothic Medium"/>
          <w:color w:val="989A9D"/>
          <w:position w:val="1"/>
        </w:rPr>
        <w:t>After 31 years and several economic downturns, Southwest continues to validate its founding philosophy: Maintaining </w:t>
      </w:r>
      <w:r>
        <w:rPr>
          <w:rFonts w:ascii="Franklin Gothic Medium" w:hAnsi="Franklin Gothic Medium"/>
          <w:color w:val="989A9D"/>
        </w:rPr>
        <w:t>permanently low costs as the basis for permanently low fares is the only way to run a permanently profitable airline</w:t>
      </w:r>
      <w:r>
        <w:rPr>
          <w:rFonts w:ascii="Franklin Gothic Medium" w:hAnsi="Franklin Gothic Medium"/>
          <w:color w:val="989A9D"/>
          <w:position w:val="1"/>
        </w:rPr>
        <w:t>.”</w:t>
      </w:r>
    </w:p>
    <w:p>
      <w:pPr>
        <w:spacing w:before="25"/>
        <w:ind w:left="971" w:right="0" w:firstLine="0"/>
        <w:jc w:val="left"/>
        <w:rPr>
          <w:i/>
          <w:sz w:val="18"/>
        </w:rPr>
      </w:pPr>
      <w:r>
        <w:rPr>
          <w:i/>
          <w:color w:val="292425"/>
          <w:w w:val="105"/>
          <w:sz w:val="18"/>
        </w:rPr>
        <w:t>– Air Transport World, July 22, 2002</w:t>
      </w:r>
    </w:p>
    <w:p>
      <w:pPr>
        <w:pStyle w:val="BodyText"/>
        <w:spacing w:before="10"/>
        <w:rPr>
          <w:i/>
          <w:sz w:val="28"/>
        </w:rPr>
      </w:pPr>
    </w:p>
    <w:p>
      <w:pPr>
        <w:pStyle w:val="BodyText"/>
        <w:spacing w:before="95"/>
        <w:ind w:left="877"/>
        <w:rPr>
          <w:rFonts w:ascii="Franklin Gothic Medium" w:hAnsi="Franklin Gothic Medium"/>
        </w:rPr>
      </w:pPr>
      <w:r>
        <w:rPr>
          <w:rFonts w:ascii="Franklin Gothic Medium" w:hAnsi="Franklin Gothic Medium"/>
          <w:color w:val="989A9D"/>
        </w:rPr>
        <w:t>“ </w:t>
      </w:r>
      <w:r>
        <w:rPr>
          <w:rFonts w:ascii="Franklin Gothic Medium" w:hAnsi="Franklin Gothic Medium"/>
          <w:color w:val="989A9D"/>
          <w:position w:val="1"/>
        </w:rPr>
        <w:t>At a time when most other airlines are retrenching amid red ink, Southwest Airlines is flying solo in the opposite direction.”</w:t>
      </w:r>
    </w:p>
    <w:p>
      <w:pPr>
        <w:spacing w:before="115"/>
        <w:ind w:left="971" w:right="0" w:firstLine="0"/>
        <w:jc w:val="left"/>
        <w:rPr>
          <w:i/>
          <w:sz w:val="18"/>
        </w:rPr>
      </w:pPr>
      <w:r>
        <w:rPr/>
        <w:pict>
          <v:line style="position:absolute;mso-position-horizontal-relative:page;mso-position-vertical-relative:paragraph;z-index:6160" from="0pt,76.425934pt" to="612pt,76.425934pt" stroked="true" strokeweight=".5pt" strokecolor="#292425">
            <v:stroke dashstyle="solid"/>
            <w10:wrap type="none"/>
          </v:line>
        </w:pict>
      </w:r>
      <w:r>
        <w:rPr>
          <w:i/>
          <w:color w:val="292425"/>
          <w:w w:val="105"/>
          <w:sz w:val="18"/>
        </w:rPr>
        <w:t>–The Houston Chronicle, August 30,  2002</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4"/>
        <w:rPr>
          <w:i/>
          <w:sz w:val="19"/>
        </w:rPr>
      </w:pPr>
      <w:r>
        <w:rPr/>
        <w:pict>
          <v:shape style="position:absolute;margin-left:226.770004pt;margin-top:13.022578pt;width:162pt;height:36pt;mso-position-horizontal-relative:page;mso-position-vertical-relative:paragraph;z-index:6112;mso-wrap-distance-left:0;mso-wrap-distance-right:0" type="#_x0000_t202" filled="true" fillcolor="#ed2232" stroked="false">
            <v:textbox inset="0,0,0,0">
              <w:txbxContent>
                <w:p>
                  <w:pPr>
                    <w:pStyle w:val="BodyText"/>
                    <w:spacing w:before="4"/>
                    <w:rPr>
                      <w:i/>
                      <w:sz w:val="22"/>
                    </w:rPr>
                  </w:pPr>
                </w:p>
                <w:p>
                  <w:pPr>
                    <w:spacing w:before="0"/>
                    <w:ind w:left="126" w:right="0" w:firstLine="0"/>
                    <w:jc w:val="left"/>
                    <w:rPr>
                      <w:sz w:val="16"/>
                    </w:rPr>
                  </w:pPr>
                  <w:r>
                    <w:rPr>
                      <w:color w:val="FFFFFF"/>
                      <w:w w:val="130"/>
                      <w:sz w:val="16"/>
                    </w:rPr>
                    <w:t>SOUTHWEST  AIRLINES  C O .</w:t>
                  </w:r>
                </w:p>
              </w:txbxContent>
            </v:textbox>
            <v:fill type="solid"/>
            <w10:wrap type="topAndBottom"/>
          </v:shape>
        </w:pict>
      </w:r>
    </w:p>
    <w:p>
      <w:pPr>
        <w:pStyle w:val="BodyText"/>
        <w:spacing w:before="9"/>
        <w:rPr>
          <w:i/>
          <w:sz w:val="13"/>
        </w:rPr>
      </w:pPr>
    </w:p>
    <w:p>
      <w:pPr>
        <w:spacing w:before="0"/>
        <w:ind w:left="5501" w:right="0" w:firstLine="0"/>
        <w:jc w:val="left"/>
        <w:rPr>
          <w:sz w:val="15"/>
        </w:rPr>
      </w:pPr>
      <w:r>
        <w:rPr>
          <w:color w:val="292425"/>
          <w:w w:val="120"/>
          <w:sz w:val="15"/>
        </w:rPr>
        <w:t>P.O.  BOX 36611</w:t>
      </w:r>
      <w:r>
        <w:rPr>
          <w:color w:val="292425"/>
          <w:sz w:val="15"/>
        </w:rPr>
        <w:t> </w:t>
      </w:r>
    </w:p>
    <w:p>
      <w:pPr>
        <w:spacing w:line="340" w:lineRule="auto" w:before="76"/>
        <w:ind w:left="5151" w:right="5037" w:firstLine="0"/>
        <w:jc w:val="center"/>
        <w:rPr>
          <w:sz w:val="15"/>
        </w:rPr>
      </w:pPr>
      <w:r>
        <w:rPr>
          <w:color w:val="292425"/>
          <w:w w:val="120"/>
          <w:sz w:val="15"/>
        </w:rPr>
        <w:t>DALLAS, TEXAS 75235-1611 214.792.4000</w:t>
      </w:r>
      <w:r>
        <w:rPr>
          <w:color w:val="292425"/>
          <w:sz w:val="15"/>
        </w:rPr>
        <w:t> </w:t>
      </w:r>
    </w:p>
    <w:p>
      <w:pPr>
        <w:spacing w:before="0"/>
        <w:ind w:left="5134" w:right="5037" w:firstLine="0"/>
        <w:jc w:val="center"/>
        <w:rPr>
          <w:sz w:val="15"/>
        </w:rPr>
      </w:pPr>
      <w:r>
        <w:rPr>
          <w:color w:val="292425"/>
          <w:w w:val="125"/>
          <w:sz w:val="15"/>
        </w:rPr>
        <w:t>1-800-I-FLY-SWA</w:t>
      </w:r>
    </w:p>
    <w:p>
      <w:pPr>
        <w:spacing w:before="67"/>
        <w:ind w:left="5150" w:right="5037" w:firstLine="0"/>
        <w:jc w:val="center"/>
        <w:rPr>
          <w:i/>
          <w:sz w:val="16"/>
        </w:rPr>
      </w:pPr>
      <w:r>
        <w:rPr>
          <w:i/>
          <w:color w:val="292425"/>
          <w:w w:val="105"/>
          <w:sz w:val="16"/>
        </w:rPr>
        <w:t>southwest.com</w:t>
      </w:r>
      <w:r>
        <w:rPr>
          <w:i/>
          <w:color w:val="292425"/>
          <w:sz w:val="16"/>
        </w:rPr>
        <w:t> </w:t>
      </w:r>
    </w:p>
    <w:p>
      <w:pPr>
        <w:spacing w:after="0"/>
        <w:jc w:val="center"/>
        <w:rPr>
          <w:sz w:val="16"/>
        </w:rPr>
        <w:sectPr>
          <w:headerReference w:type="default" r:id="rId50"/>
          <w:pgSz w:w="12240" w:h="15840"/>
          <w:pgMar w:header="0" w:footer="0" w:top="1500" w:bottom="280" w:left="0" w:right="0"/>
        </w:sectPr>
      </w:pPr>
    </w:p>
    <w:p>
      <w:pPr>
        <w:pStyle w:val="BodyText"/>
        <w:rPr>
          <w:i/>
          <w:sz w:val="22"/>
        </w:rPr>
      </w:pPr>
    </w:p>
    <w:p>
      <w:pPr>
        <w:pStyle w:val="BodyText"/>
        <w:rPr>
          <w:i/>
          <w:sz w:val="22"/>
        </w:rPr>
      </w:pPr>
    </w:p>
    <w:p>
      <w:pPr>
        <w:pStyle w:val="BodyText"/>
        <w:rPr>
          <w:i/>
          <w:sz w:val="19"/>
        </w:rPr>
      </w:pPr>
    </w:p>
    <w:p>
      <w:pPr>
        <w:pStyle w:val="BodyText"/>
        <w:spacing w:line="228" w:lineRule="exact"/>
        <w:ind w:left="240"/>
      </w:pPr>
      <w:bookmarkStart w:name="Form 10-K" w:id="17"/>
      <w:bookmarkEnd w:id="17"/>
      <w:r>
        <w:rPr/>
      </w:r>
      <w:bookmarkStart w:name="Cover Page" w:id="18"/>
      <w:bookmarkEnd w:id="18"/>
      <w:r>
        <w:rPr/>
      </w:r>
      <w:r>
        <w:rPr/>
        <w:t>(Mark  One)</w:t>
      </w:r>
    </w:p>
    <w:p>
      <w:pPr>
        <w:pStyle w:val="BodyText"/>
        <w:spacing w:line="220" w:lineRule="exact" w:before="76"/>
        <w:ind w:left="273" w:right="3266"/>
        <w:jc w:val="center"/>
        <w:rPr>
          <w:rFonts w:ascii="Franklin Gothic Medium"/>
        </w:rPr>
      </w:pPr>
      <w:r>
        <w:rPr/>
        <w:br w:type="column"/>
      </w:r>
      <w:r>
        <w:rPr>
          <w:rFonts w:ascii="Franklin Gothic Medium"/>
        </w:rPr>
        <w:t>SECURITIES  AND  EXCHANGE  COMMISSION</w:t>
      </w:r>
    </w:p>
    <w:p>
      <w:pPr>
        <w:pStyle w:val="BodyText"/>
        <w:spacing w:line="220" w:lineRule="exact"/>
        <w:ind w:left="271" w:right="3266"/>
        <w:jc w:val="center"/>
      </w:pPr>
      <w:r>
        <w:rPr/>
        <w:pict>
          <v:line style="position:absolute;mso-position-horizontal-relative:page;mso-position-vertical-relative:paragraph;z-index:6208" from="44pt,-12.325623pt" to="525pt,-12.325623pt" stroked="true" strokeweight="1pt" strokecolor="#000000">
            <v:stroke dashstyle="solid"/>
            <w10:wrap type="none"/>
          </v:line>
        </w:pict>
      </w:r>
      <w:r>
        <w:rPr>
          <w:w w:val="110"/>
        </w:rPr>
        <w:t>Washington,  D.C.  20549</w:t>
      </w:r>
    </w:p>
    <w:p>
      <w:pPr>
        <w:pStyle w:val="Heading1"/>
        <w:spacing w:line="255" w:lineRule="exact" w:before="0"/>
        <w:ind w:left="271" w:right="3266"/>
        <w:jc w:val="center"/>
      </w:pPr>
      <w:r>
        <w:rPr/>
        <w:t>Form</w:t>
      </w:r>
      <w:r>
        <w:rPr>
          <w:spacing w:val="55"/>
        </w:rPr>
        <w:t> </w:t>
      </w:r>
      <w:r>
        <w:rPr/>
        <w:t>10-K</w:t>
      </w:r>
    </w:p>
    <w:p>
      <w:pPr>
        <w:spacing w:after="0" w:line="255" w:lineRule="exact"/>
        <w:jc w:val="center"/>
        <w:sectPr>
          <w:headerReference w:type="default" r:id="rId51"/>
          <w:footerReference w:type="default" r:id="rId52"/>
          <w:footerReference w:type="even" r:id="rId53"/>
          <w:pgSz w:w="11520" w:h="14400"/>
          <w:pgMar w:header="0" w:footer="706" w:top="1080" w:bottom="900" w:left="660" w:right="640"/>
          <w:pgNumType w:start="1"/>
          <w:cols w:num="2" w:equalWidth="0">
            <w:col w:w="1264" w:space="1576"/>
            <w:col w:w="7380"/>
          </w:cols>
        </w:sectPr>
      </w:pPr>
    </w:p>
    <w:p>
      <w:pPr>
        <w:pStyle w:val="BodyText"/>
        <w:spacing w:line="224" w:lineRule="exact"/>
        <w:ind w:left="240"/>
        <w:rPr>
          <w:rFonts w:ascii="Franklin Gothic Medium"/>
        </w:rPr>
      </w:pPr>
      <w:r>
        <w:rPr/>
        <w:t>[X]  </w:t>
      </w:r>
      <w:r>
        <w:rPr>
          <w:rFonts w:ascii="Franklin Gothic Medium"/>
        </w:rPr>
        <w:t>ANNUAL REPORT PURSUANT TO SECTION 13 OR 15(d) OF THE SECURITIES EXCHANGE ACT OF 1934</w:t>
      </w:r>
    </w:p>
    <w:p>
      <w:pPr>
        <w:pStyle w:val="BodyText"/>
        <w:spacing w:line="220" w:lineRule="exact"/>
        <w:ind w:left="140"/>
      </w:pPr>
      <w:r>
        <w:rPr>
          <w:w w:val="105"/>
        </w:rPr>
        <w:t>For  the  Fiscal  Year  Ended  December  31,  2002  or</w:t>
      </w:r>
    </w:p>
    <w:p>
      <w:pPr>
        <w:pStyle w:val="BodyText"/>
        <w:spacing w:line="220" w:lineRule="exact" w:before="2"/>
        <w:ind w:left="600" w:right="781" w:hanging="360"/>
        <w:rPr>
          <w:rFonts w:ascii="Franklin Gothic Medium"/>
        </w:rPr>
      </w:pPr>
      <w:r>
        <w:rPr/>
        <w:t>[  ]   </w:t>
      </w:r>
      <w:r>
        <w:rPr>
          <w:rFonts w:ascii="Franklin Gothic Medium"/>
        </w:rPr>
        <w:t>TRANSITION REPORT PURSUANT TO SECTION 13 OR 15(d) OF THE SECURITIES EXCHANGE ACT OF   </w:t>
      </w:r>
      <w:r>
        <w:rPr>
          <w:rFonts w:ascii="Franklin Gothic Medium"/>
          <w:spacing w:val="3"/>
        </w:rPr>
        <w:t>1934</w:t>
      </w:r>
    </w:p>
    <w:p>
      <w:pPr>
        <w:pStyle w:val="BodyText"/>
        <w:tabs>
          <w:tab w:pos="4080" w:val="left" w:leader="none"/>
          <w:tab w:pos="5622" w:val="left" w:leader="none"/>
        </w:tabs>
        <w:spacing w:line="230" w:lineRule="exact"/>
        <w:ind w:left="140"/>
      </w:pPr>
      <w:r>
        <w:rPr/>
        <w:t>For  the  transition</w:t>
      </w:r>
      <w:r>
        <w:rPr>
          <w:spacing w:val="14"/>
        </w:rPr>
        <w:t> </w:t>
      </w:r>
      <w:r>
        <w:rPr/>
        <w:t>period</w:t>
      </w:r>
      <w:r>
        <w:rPr>
          <w:spacing w:val="35"/>
        </w:rPr>
        <w:t> </w:t>
      </w:r>
      <w:r>
        <w:rPr/>
        <w:t>from</w:t>
      </w:r>
      <w:r>
        <w:rPr>
          <w:u w:val="single"/>
        </w:rPr>
        <w:tab/>
      </w:r>
      <w:r>
        <w:rPr/>
        <w:t>to </w:t>
      </w:r>
      <w:r>
        <w:rPr>
          <w:spacing w:val="-14"/>
        </w:rPr>
        <w:t> </w:t>
      </w:r>
      <w:r>
        <w:rPr>
          <w:w w:val="132"/>
          <w:u w:val="single"/>
        </w:rPr>
        <w:t> </w:t>
      </w:r>
      <w:r>
        <w:rPr>
          <w:u w:val="single"/>
        </w:rPr>
        <w:tab/>
      </w:r>
    </w:p>
    <w:p>
      <w:pPr>
        <w:pStyle w:val="BodyText"/>
        <w:spacing w:line="217" w:lineRule="exact" w:before="116"/>
        <w:ind w:left="240"/>
      </w:pPr>
      <w:r>
        <w:rPr>
          <w:w w:val="110"/>
        </w:rPr>
        <w:t>Commission  File  No. 1-7259</w:t>
      </w:r>
    </w:p>
    <w:p>
      <w:pPr>
        <w:pStyle w:val="Heading1"/>
        <w:spacing w:line="264" w:lineRule="exact" w:before="0"/>
        <w:ind w:left="0" w:right="174"/>
        <w:jc w:val="center"/>
      </w:pPr>
      <w:r>
        <w:rPr>
          <w:spacing w:val="3"/>
        </w:rPr>
        <w:t>Southwest  Airlines</w:t>
      </w:r>
      <w:r>
        <w:rPr>
          <w:spacing w:val="61"/>
        </w:rPr>
        <w:t> </w:t>
      </w:r>
      <w:r>
        <w:rPr>
          <w:spacing w:val="4"/>
        </w:rPr>
        <w:t>Co.</w:t>
      </w:r>
    </w:p>
    <w:p>
      <w:pPr>
        <w:pStyle w:val="BodyText"/>
        <w:spacing w:line="234" w:lineRule="exact"/>
        <w:ind w:right="174"/>
        <w:jc w:val="center"/>
      </w:pPr>
      <w:r>
        <w:rPr>
          <w:w w:val="105"/>
        </w:rPr>
        <w:t>(Exact  name  of  registrant  as  specified  in  its  charter)</w:t>
      </w:r>
    </w:p>
    <w:p>
      <w:pPr>
        <w:pStyle w:val="BodyText"/>
        <w:tabs>
          <w:tab w:pos="4939" w:val="left" w:leader="none"/>
        </w:tabs>
        <w:spacing w:line="211" w:lineRule="exact"/>
        <w:ind w:right="135"/>
        <w:jc w:val="center"/>
        <w:rPr>
          <w:rFonts w:ascii="Franklin Gothic Medium"/>
        </w:rPr>
      </w:pPr>
      <w:r>
        <w:rPr>
          <w:rFonts w:ascii="Franklin Gothic Medium"/>
          <w:spacing w:val="5"/>
        </w:rPr>
        <w:t>TEXAS</w:t>
        <w:tab/>
      </w:r>
      <w:r>
        <w:rPr>
          <w:rFonts w:ascii="Franklin Gothic Medium"/>
          <w:spacing w:val="3"/>
        </w:rPr>
        <w:t>74-1563240</w:t>
      </w:r>
    </w:p>
    <w:p>
      <w:pPr>
        <w:pStyle w:val="BodyText"/>
        <w:tabs>
          <w:tab w:pos="6800" w:val="left" w:leader="none"/>
        </w:tabs>
        <w:spacing w:line="225" w:lineRule="exact"/>
        <w:ind w:left="1040"/>
      </w:pPr>
      <w:r>
        <w:rPr>
          <w:w w:val="105"/>
        </w:rPr>
        <w:t>(State  or  other</w:t>
      </w:r>
      <w:r>
        <w:rPr>
          <w:spacing w:val="12"/>
          <w:w w:val="105"/>
        </w:rPr>
        <w:t> </w:t>
      </w:r>
      <w:r>
        <w:rPr>
          <w:w w:val="105"/>
        </w:rPr>
        <w:t>jurisdiction</w:t>
      </w:r>
      <w:r>
        <w:rPr>
          <w:spacing w:val="35"/>
          <w:w w:val="105"/>
        </w:rPr>
        <w:t> </w:t>
      </w:r>
      <w:r>
        <w:rPr>
          <w:w w:val="105"/>
        </w:rPr>
        <w:t>of</w:t>
        <w:tab/>
        <w:t>(I.R.S. </w:t>
      </w:r>
      <w:r>
        <w:rPr>
          <w:spacing w:val="33"/>
          <w:w w:val="105"/>
        </w:rPr>
        <w:t> </w:t>
      </w:r>
      <w:r>
        <w:rPr>
          <w:w w:val="105"/>
        </w:rPr>
        <w:t>employer</w:t>
      </w:r>
    </w:p>
    <w:p>
      <w:pPr>
        <w:pStyle w:val="BodyText"/>
        <w:tabs>
          <w:tab w:pos="6799" w:val="left" w:leader="none"/>
        </w:tabs>
        <w:spacing w:line="232" w:lineRule="exact"/>
        <w:ind w:left="1040"/>
      </w:pPr>
      <w:r>
        <w:rPr>
          <w:spacing w:val="2"/>
          <w:w w:val="105"/>
        </w:rPr>
        <w:t>incorporation</w:t>
      </w:r>
      <w:r>
        <w:rPr>
          <w:spacing w:val="50"/>
          <w:w w:val="105"/>
        </w:rPr>
        <w:t> </w:t>
      </w:r>
      <w:r>
        <w:rPr>
          <w:w w:val="105"/>
        </w:rPr>
        <w:t>or </w:t>
      </w:r>
      <w:r>
        <w:rPr>
          <w:spacing w:val="2"/>
          <w:w w:val="105"/>
        </w:rPr>
        <w:t> organization)</w:t>
        <w:tab/>
      </w:r>
      <w:r>
        <w:rPr>
          <w:spacing w:val="4"/>
          <w:w w:val="105"/>
        </w:rPr>
        <w:t>identification </w:t>
      </w:r>
      <w:r>
        <w:rPr>
          <w:spacing w:val="18"/>
          <w:w w:val="105"/>
        </w:rPr>
        <w:t> </w:t>
      </w:r>
      <w:r>
        <w:rPr>
          <w:spacing w:val="5"/>
          <w:w w:val="105"/>
        </w:rPr>
        <w:t>no.)</w:t>
      </w:r>
    </w:p>
    <w:p>
      <w:pPr>
        <w:pStyle w:val="BodyText"/>
        <w:spacing w:before="7"/>
        <w:rPr>
          <w:sz w:val="16"/>
        </w:rPr>
      </w:pPr>
    </w:p>
    <w:p>
      <w:pPr>
        <w:pStyle w:val="BodyText"/>
        <w:spacing w:line="223" w:lineRule="exact"/>
        <w:ind w:left="1940"/>
        <w:rPr>
          <w:rFonts w:ascii="Franklin Gothic Medium"/>
        </w:rPr>
      </w:pPr>
      <w:r>
        <w:rPr>
          <w:rFonts w:ascii="Franklin Gothic Medium"/>
        </w:rPr>
        <w:t>P.O.  Box 36611</w:t>
      </w:r>
    </w:p>
    <w:p>
      <w:pPr>
        <w:pStyle w:val="BodyText"/>
        <w:tabs>
          <w:tab w:pos="4759" w:val="left" w:leader="none"/>
        </w:tabs>
        <w:spacing w:line="216" w:lineRule="exact"/>
        <w:ind w:right="235"/>
        <w:jc w:val="center"/>
        <w:rPr>
          <w:rFonts w:ascii="Franklin Gothic Medium"/>
        </w:rPr>
      </w:pPr>
      <w:r>
        <w:rPr>
          <w:rFonts w:ascii="Franklin Gothic Medium"/>
          <w:spacing w:val="3"/>
        </w:rPr>
        <w:t>Dallas, </w:t>
      </w:r>
      <w:r>
        <w:rPr>
          <w:rFonts w:ascii="Franklin Gothic Medium"/>
          <w:spacing w:val="16"/>
        </w:rPr>
        <w:t> </w:t>
      </w:r>
      <w:r>
        <w:rPr>
          <w:rFonts w:ascii="Franklin Gothic Medium"/>
          <w:spacing w:val="3"/>
        </w:rPr>
        <w:t>Texas</w:t>
        <w:tab/>
        <w:t>75235-1611</w:t>
      </w:r>
    </w:p>
    <w:p>
      <w:pPr>
        <w:pStyle w:val="BodyText"/>
        <w:tabs>
          <w:tab w:pos="6864" w:val="left" w:leader="none"/>
        </w:tabs>
        <w:spacing w:line="352" w:lineRule="auto"/>
        <w:ind w:left="1800" w:right="1972" w:hanging="760"/>
      </w:pPr>
      <w:r>
        <w:rPr>
          <w:spacing w:val="2"/>
          <w:w w:val="105"/>
        </w:rPr>
        <w:t>(Address  </w:t>
      </w:r>
      <w:r>
        <w:rPr>
          <w:w w:val="105"/>
        </w:rPr>
        <w:t>of  </w:t>
      </w:r>
      <w:r>
        <w:rPr>
          <w:spacing w:val="2"/>
          <w:w w:val="105"/>
        </w:rPr>
        <w:t>principal </w:t>
      </w:r>
      <w:r>
        <w:rPr>
          <w:spacing w:val="22"/>
          <w:w w:val="105"/>
        </w:rPr>
        <w:t> </w:t>
      </w:r>
      <w:r>
        <w:rPr>
          <w:spacing w:val="2"/>
          <w:w w:val="105"/>
        </w:rPr>
        <w:t>executive </w:t>
      </w:r>
      <w:r>
        <w:rPr>
          <w:spacing w:val="7"/>
          <w:w w:val="105"/>
        </w:rPr>
        <w:t> </w:t>
      </w:r>
      <w:r>
        <w:rPr>
          <w:spacing w:val="2"/>
          <w:w w:val="105"/>
        </w:rPr>
        <w:t>offices)</w:t>
        <w:tab/>
        <w:t>(Zip </w:t>
      </w:r>
      <w:r>
        <w:rPr>
          <w:spacing w:val="16"/>
          <w:w w:val="105"/>
        </w:rPr>
        <w:t> </w:t>
      </w:r>
      <w:r>
        <w:rPr>
          <w:spacing w:val="3"/>
          <w:w w:val="105"/>
        </w:rPr>
        <w:t>Code)</w:t>
      </w:r>
      <w:r>
        <w:rPr>
          <w:spacing w:val="3"/>
          <w:w w:val="106"/>
        </w:rPr>
        <w:t> </w:t>
      </w:r>
      <w:r>
        <w:rPr>
          <w:w w:val="105"/>
        </w:rPr>
        <w:t>Registrant's telephone number, including area code: </w:t>
      </w:r>
      <w:r>
        <w:rPr>
          <w:rFonts w:ascii="Franklin Gothic Medium"/>
          <w:spacing w:val="2"/>
          <w:w w:val="105"/>
        </w:rPr>
        <w:t>(214) </w:t>
      </w:r>
      <w:r>
        <w:rPr>
          <w:rFonts w:ascii="Franklin Gothic Medium"/>
          <w:spacing w:val="3"/>
          <w:w w:val="105"/>
        </w:rPr>
        <w:t>792-4000 </w:t>
      </w:r>
      <w:r>
        <w:rPr>
          <w:w w:val="105"/>
        </w:rPr>
        <w:t>SECURITIES  REGISTERED  PURSUANT  TO  SECTION  12(b)  OF  THE   </w:t>
      </w:r>
      <w:r>
        <w:rPr>
          <w:spacing w:val="11"/>
          <w:w w:val="105"/>
        </w:rPr>
        <w:t> </w:t>
      </w:r>
      <w:r>
        <w:rPr>
          <w:w w:val="105"/>
        </w:rPr>
        <w:t>ACT:</w:t>
      </w:r>
    </w:p>
    <w:p>
      <w:pPr>
        <w:spacing w:line="181" w:lineRule="exact" w:before="11"/>
        <w:ind w:left="5820" w:right="0" w:firstLine="0"/>
        <w:jc w:val="left"/>
        <w:rPr>
          <w:rFonts w:ascii="Franklin Gothic Medium"/>
          <w:sz w:val="16"/>
        </w:rPr>
      </w:pPr>
      <w:r>
        <w:rPr>
          <w:rFonts w:ascii="Franklin Gothic Medium"/>
          <w:sz w:val="16"/>
        </w:rPr>
        <w:t>Name  of  Each Exchange</w:t>
      </w:r>
    </w:p>
    <w:p>
      <w:pPr>
        <w:tabs>
          <w:tab w:pos="4139" w:val="left" w:leader="none"/>
        </w:tabs>
        <w:spacing w:line="181" w:lineRule="exact" w:before="0"/>
        <w:ind w:left="0" w:right="946" w:firstLine="0"/>
        <w:jc w:val="center"/>
        <w:rPr>
          <w:rFonts w:ascii="Franklin Gothic Medium"/>
          <w:sz w:val="16"/>
        </w:rPr>
      </w:pPr>
      <w:r>
        <w:rPr>
          <w:rFonts w:ascii="Franklin Gothic Medium"/>
          <w:sz w:val="16"/>
          <w:u w:val="single"/>
        </w:rPr>
        <w:t>Title  of</w:t>
      </w:r>
      <w:r>
        <w:rPr>
          <w:rFonts w:ascii="Franklin Gothic Medium"/>
          <w:spacing w:val="25"/>
          <w:sz w:val="16"/>
          <w:u w:val="single"/>
        </w:rPr>
        <w:t> </w:t>
      </w:r>
      <w:r>
        <w:rPr>
          <w:rFonts w:ascii="Franklin Gothic Medium"/>
          <w:sz w:val="16"/>
          <w:u w:val="single"/>
        </w:rPr>
        <w:t>Each </w:t>
      </w:r>
      <w:r>
        <w:rPr>
          <w:rFonts w:ascii="Franklin Gothic Medium"/>
          <w:spacing w:val="5"/>
          <w:sz w:val="16"/>
          <w:u w:val="single"/>
        </w:rPr>
        <w:t> </w:t>
      </w:r>
      <w:r>
        <w:rPr>
          <w:rFonts w:ascii="Franklin Gothic Medium"/>
          <w:spacing w:val="7"/>
          <w:sz w:val="16"/>
          <w:u w:val="single"/>
        </w:rPr>
        <w:t>Class</w:t>
      </w:r>
      <w:r>
        <w:rPr>
          <w:rFonts w:ascii="Franklin Gothic Medium"/>
          <w:spacing w:val="7"/>
          <w:sz w:val="16"/>
        </w:rPr>
        <w:tab/>
      </w:r>
      <w:r>
        <w:rPr>
          <w:rFonts w:ascii="Franklin Gothic Medium"/>
          <w:sz w:val="16"/>
          <w:u w:val="single"/>
        </w:rPr>
        <w:t>on  Which</w:t>
      </w:r>
      <w:r>
        <w:rPr>
          <w:rFonts w:ascii="Franklin Gothic Medium"/>
          <w:spacing w:val="34"/>
          <w:sz w:val="16"/>
          <w:u w:val="single"/>
        </w:rPr>
        <w:t> </w:t>
      </w:r>
      <w:r>
        <w:rPr>
          <w:rFonts w:ascii="Franklin Gothic Medium"/>
          <w:spacing w:val="11"/>
          <w:sz w:val="16"/>
          <w:u w:val="single"/>
        </w:rPr>
        <w:t>Registered</w:t>
      </w:r>
    </w:p>
    <w:p>
      <w:pPr>
        <w:pStyle w:val="BodyText"/>
        <w:tabs>
          <w:tab w:pos="5452" w:val="left" w:leader="none"/>
        </w:tabs>
        <w:spacing w:line="220" w:lineRule="exact" w:before="109"/>
        <w:ind w:left="1220" w:right="1915"/>
      </w:pPr>
      <w:r>
        <w:rPr>
          <w:w w:val="110"/>
        </w:rPr>
        <w:t>Common  Stock  ($1.00</w:t>
      </w:r>
      <w:r>
        <w:rPr>
          <w:spacing w:val="-4"/>
          <w:w w:val="110"/>
        </w:rPr>
        <w:t> </w:t>
      </w:r>
      <w:r>
        <w:rPr>
          <w:w w:val="110"/>
        </w:rPr>
        <w:t>par</w:t>
      </w:r>
      <w:r>
        <w:rPr>
          <w:spacing w:val="32"/>
          <w:w w:val="110"/>
        </w:rPr>
        <w:t> </w:t>
      </w:r>
      <w:r>
        <w:rPr>
          <w:w w:val="110"/>
        </w:rPr>
        <w:t>value)</w:t>
        <w:tab/>
        <w:t>New  York  Stock</w:t>
      </w:r>
      <w:r>
        <w:rPr>
          <w:spacing w:val="-7"/>
          <w:w w:val="110"/>
        </w:rPr>
        <w:t> </w:t>
      </w:r>
      <w:r>
        <w:rPr>
          <w:w w:val="110"/>
        </w:rPr>
        <w:t>Exchange,</w:t>
      </w:r>
      <w:r>
        <w:rPr>
          <w:spacing w:val="31"/>
          <w:w w:val="110"/>
        </w:rPr>
        <w:t> </w:t>
      </w:r>
      <w:r>
        <w:rPr>
          <w:w w:val="110"/>
        </w:rPr>
        <w:t>Inc.</w:t>
      </w:r>
      <w:r>
        <w:rPr>
          <w:spacing w:val="2"/>
          <w:w w:val="108"/>
        </w:rPr>
        <w:t> </w:t>
      </w:r>
      <w:r>
        <w:rPr>
          <w:w w:val="110"/>
        </w:rPr>
        <w:t>Common  Share</w:t>
      </w:r>
      <w:r>
        <w:rPr>
          <w:spacing w:val="34"/>
          <w:w w:val="110"/>
        </w:rPr>
        <w:t> </w:t>
      </w:r>
      <w:r>
        <w:rPr>
          <w:w w:val="110"/>
        </w:rPr>
        <w:t>Purchase</w:t>
      </w:r>
      <w:r>
        <w:rPr>
          <w:spacing w:val="42"/>
          <w:w w:val="110"/>
        </w:rPr>
        <w:t> </w:t>
      </w:r>
      <w:r>
        <w:rPr>
          <w:w w:val="110"/>
        </w:rPr>
        <w:t>Rights</w:t>
        <w:tab/>
        <w:t>New  York  Stock  Exchange,</w:t>
      </w:r>
      <w:r>
        <w:rPr>
          <w:spacing w:val="-21"/>
          <w:w w:val="110"/>
        </w:rPr>
        <w:t> </w:t>
      </w:r>
      <w:r>
        <w:rPr>
          <w:w w:val="110"/>
        </w:rPr>
        <w:t>Inc.</w:t>
      </w:r>
    </w:p>
    <w:p>
      <w:pPr>
        <w:pStyle w:val="BodyText"/>
        <w:spacing w:before="125"/>
        <w:ind w:right="155"/>
        <w:jc w:val="center"/>
      </w:pPr>
      <w:r>
        <w:rPr>
          <w:w w:val="110"/>
        </w:rPr>
        <w:t>SECURITIES REGISTERED PURSUANT TO SECTION 12(g) OF THE ACT:</w:t>
      </w:r>
    </w:p>
    <w:p>
      <w:pPr>
        <w:pStyle w:val="BodyText"/>
        <w:spacing w:before="115"/>
        <w:ind w:right="143"/>
        <w:jc w:val="center"/>
      </w:pPr>
      <w:r>
        <w:rPr>
          <w:w w:val="105"/>
        </w:rPr>
        <w:t>None</w:t>
      </w:r>
    </w:p>
    <w:p>
      <w:pPr>
        <w:pStyle w:val="BodyText"/>
        <w:spacing w:line="220" w:lineRule="exact" w:before="129"/>
        <w:ind w:left="240" w:right="390" w:firstLine="360"/>
        <w:jc w:val="both"/>
      </w:pPr>
      <w:r>
        <w:rPr>
          <w:w w:val="105"/>
        </w:rPr>
        <w:t>Indicate by check mark whether the registrant (1) has filed all reports required to be filed by  </w:t>
      </w:r>
      <w:r>
        <w:rPr>
          <w:spacing w:val="7"/>
          <w:w w:val="105"/>
        </w:rPr>
        <w:t>Section         </w:t>
      </w:r>
      <w:r>
        <w:rPr>
          <w:w w:val="105"/>
        </w:rPr>
        <w:t>13 or 15(d) of the Securities Exchange Act of 1934 during the preceding 12 months (or  for  such  </w:t>
      </w:r>
      <w:r>
        <w:rPr>
          <w:spacing w:val="3"/>
          <w:w w:val="105"/>
        </w:rPr>
        <w:t>shorter    </w:t>
      </w:r>
      <w:r>
        <w:rPr>
          <w:spacing w:val="2"/>
          <w:w w:val="105"/>
        </w:rPr>
        <w:t>period </w:t>
      </w:r>
      <w:r>
        <w:rPr>
          <w:w w:val="105"/>
        </w:rPr>
        <w:t>that the registrant was </w:t>
      </w:r>
      <w:r>
        <w:rPr>
          <w:spacing w:val="2"/>
          <w:w w:val="105"/>
        </w:rPr>
        <w:t>required </w:t>
      </w:r>
      <w:r>
        <w:rPr>
          <w:w w:val="105"/>
        </w:rPr>
        <w:t>to file such reports), and (2) has </w:t>
      </w:r>
      <w:r>
        <w:rPr>
          <w:spacing w:val="2"/>
          <w:w w:val="105"/>
        </w:rPr>
        <w:t>been </w:t>
      </w:r>
      <w:r>
        <w:rPr>
          <w:w w:val="105"/>
        </w:rPr>
        <w:t>subject to such </w:t>
      </w:r>
      <w:r>
        <w:rPr>
          <w:spacing w:val="5"/>
          <w:w w:val="105"/>
        </w:rPr>
        <w:t>filing </w:t>
      </w:r>
      <w:r>
        <w:rPr>
          <w:w w:val="105"/>
        </w:rPr>
        <w:t>requirements  for  the  past  90  days. Yes  [X]       No  [</w:t>
      </w:r>
      <w:r>
        <w:rPr>
          <w:spacing w:val="26"/>
          <w:w w:val="105"/>
        </w:rPr>
        <w:t> </w:t>
      </w:r>
      <w:r>
        <w:rPr>
          <w:w w:val="105"/>
        </w:rPr>
        <w:t>]</w:t>
      </w:r>
    </w:p>
    <w:p>
      <w:pPr>
        <w:pStyle w:val="BodyText"/>
        <w:spacing w:before="4"/>
        <w:rPr>
          <w:sz w:val="16"/>
        </w:rPr>
      </w:pPr>
    </w:p>
    <w:p>
      <w:pPr>
        <w:pStyle w:val="BodyText"/>
        <w:tabs>
          <w:tab w:pos="4618" w:val="left" w:leader="none"/>
        </w:tabs>
        <w:spacing w:line="220" w:lineRule="exact"/>
        <w:ind w:left="139" w:right="397" w:firstLine="460"/>
      </w:pPr>
      <w:r>
        <w:rPr>
          <w:w w:val="105"/>
        </w:rPr>
        <w:t>Indicate by  check  mark  whether  the  registrant  is  an  accelerated  filer  (as  </w:t>
      </w:r>
      <w:r>
        <w:rPr>
          <w:spacing w:val="3"/>
          <w:w w:val="105"/>
        </w:rPr>
        <w:t>defined</w:t>
      </w:r>
      <w:r>
        <w:rPr>
          <w:spacing w:val="53"/>
          <w:w w:val="105"/>
        </w:rPr>
        <w:t> </w:t>
      </w:r>
      <w:r>
        <w:rPr>
          <w:w w:val="105"/>
        </w:rPr>
        <w:t>in  Rule  12b-2  </w:t>
      </w:r>
      <w:r>
        <w:rPr>
          <w:spacing w:val="6"/>
          <w:w w:val="105"/>
        </w:rPr>
        <w:t>of </w:t>
      </w:r>
      <w:r>
        <w:rPr>
          <w:w w:val="105"/>
        </w:rPr>
        <w:t>the  Securities  Exchange  Act  of  1934). </w:t>
      </w:r>
      <w:r>
        <w:rPr>
          <w:spacing w:val="33"/>
          <w:w w:val="105"/>
        </w:rPr>
        <w:t> </w:t>
      </w:r>
      <w:r>
        <w:rPr>
          <w:w w:val="105"/>
        </w:rPr>
        <w:t>Yes </w:t>
      </w:r>
      <w:r>
        <w:rPr>
          <w:spacing w:val="3"/>
          <w:w w:val="105"/>
        </w:rPr>
        <w:t> </w:t>
      </w:r>
      <w:r>
        <w:rPr>
          <w:w w:val="105"/>
        </w:rPr>
        <w:t>[X]</w:t>
        <w:tab/>
        <w:t>No  [</w:t>
      </w:r>
      <w:r>
        <w:rPr>
          <w:spacing w:val="38"/>
          <w:w w:val="105"/>
        </w:rPr>
        <w:t> </w:t>
      </w:r>
      <w:r>
        <w:rPr>
          <w:w w:val="105"/>
        </w:rPr>
        <w:t>]</w:t>
      </w:r>
    </w:p>
    <w:p>
      <w:pPr>
        <w:pStyle w:val="BodyText"/>
        <w:spacing w:before="185"/>
        <w:ind w:right="713"/>
        <w:jc w:val="center"/>
      </w:pPr>
      <w:r>
        <w:rPr>
          <w:w w:val="110"/>
        </w:rPr>
        <w:t>Aggregate market value of Common Stock held by nonaffiliates as of December 31, 2002:</w:t>
      </w:r>
    </w:p>
    <w:p>
      <w:pPr>
        <w:pStyle w:val="BodyText"/>
        <w:spacing w:before="115"/>
        <w:ind w:right="159"/>
        <w:jc w:val="center"/>
      </w:pPr>
      <w:r>
        <w:rPr>
          <w:w w:val="120"/>
        </w:rPr>
        <w:t>$10,685,364,125</w:t>
      </w:r>
    </w:p>
    <w:p>
      <w:pPr>
        <w:pStyle w:val="BodyText"/>
        <w:spacing w:line="352" w:lineRule="auto" w:before="115"/>
        <w:ind w:left="63" w:right="235"/>
        <w:jc w:val="center"/>
      </w:pPr>
      <w:r>
        <w:rPr>
          <w:w w:val="110"/>
        </w:rPr>
        <w:t>Number of shares of Common Stock outstanding as of the close of business on December 31, 2002: 776,662,894   shares</w:t>
      </w:r>
    </w:p>
    <w:p>
      <w:pPr>
        <w:pStyle w:val="BodyText"/>
        <w:spacing w:before="7"/>
        <w:ind w:right="154"/>
        <w:jc w:val="center"/>
        <w:rPr>
          <w:rFonts w:ascii="Franklin Gothic Medium"/>
        </w:rPr>
      </w:pPr>
      <w:r>
        <w:rPr>
          <w:rFonts w:ascii="Franklin Gothic Medium"/>
        </w:rPr>
        <w:t>DOCUMENTS  INCORPORATED  BY  REFERENCE</w:t>
      </w:r>
    </w:p>
    <w:p>
      <w:pPr>
        <w:pStyle w:val="BodyText"/>
        <w:spacing w:line="232" w:lineRule="exact" w:before="125"/>
        <w:ind w:left="1219"/>
      </w:pPr>
      <w:r>
        <w:rPr>
          <w:w w:val="105"/>
        </w:rPr>
        <w:t>Proxy  Statement  for  Annual  Meeting of</w:t>
      </w:r>
    </w:p>
    <w:p>
      <w:pPr>
        <w:pStyle w:val="BodyText"/>
        <w:tabs>
          <w:tab w:pos="5939" w:val="left" w:leader="none"/>
        </w:tabs>
        <w:spacing w:line="232" w:lineRule="exact"/>
        <w:ind w:left="1219"/>
        <w:rPr>
          <w:rFonts w:ascii="Franklin Gothic Medium"/>
        </w:rPr>
      </w:pPr>
      <w:r>
        <w:rPr>
          <w:w w:val="110"/>
        </w:rPr>
        <w:t>Shareholders,  May</w:t>
      </w:r>
      <w:r>
        <w:rPr>
          <w:spacing w:val="17"/>
          <w:w w:val="110"/>
        </w:rPr>
        <w:t> </w:t>
      </w:r>
      <w:r>
        <w:rPr>
          <w:w w:val="110"/>
        </w:rPr>
        <w:t>14,</w:t>
      </w:r>
      <w:r>
        <w:rPr>
          <w:spacing w:val="33"/>
          <w:w w:val="110"/>
        </w:rPr>
        <w:t> </w:t>
      </w:r>
      <w:r>
        <w:rPr>
          <w:w w:val="110"/>
        </w:rPr>
        <w:t>2003:</w:t>
        <w:tab/>
      </w:r>
      <w:r>
        <w:rPr>
          <w:rFonts w:ascii="Franklin Gothic Medium"/>
          <w:w w:val="110"/>
        </w:rPr>
        <w:t>Part</w:t>
      </w:r>
      <w:r>
        <w:rPr>
          <w:rFonts w:ascii="Franklin Gothic Medium"/>
          <w:spacing w:val="-27"/>
          <w:w w:val="110"/>
        </w:rPr>
        <w:t> </w:t>
      </w:r>
      <w:r>
        <w:rPr>
          <w:rFonts w:ascii="Franklin Gothic Medium"/>
          <w:w w:val="110"/>
        </w:rPr>
        <w:t>III</w:t>
      </w:r>
    </w:p>
    <w:p>
      <w:pPr>
        <w:pStyle w:val="BodyText"/>
        <w:spacing w:line="220" w:lineRule="exact" w:before="130" w:after="15"/>
        <w:ind w:left="139" w:right="112" w:firstLine="460"/>
        <w:jc w:val="both"/>
      </w:pPr>
      <w:r>
        <w:rPr>
          <w:w w:val="105"/>
        </w:rPr>
        <w:t>Indicate by check mark if disclosure of delinquent filers pursuant to Item 405 of Regulation </w:t>
      </w:r>
      <w:r>
        <w:rPr>
          <w:spacing w:val="-3"/>
          <w:w w:val="105"/>
        </w:rPr>
        <w:t>S-K  </w:t>
      </w:r>
      <w:r>
        <w:rPr>
          <w:w w:val="105"/>
        </w:rPr>
        <w:t>is  </w:t>
      </w:r>
      <w:r>
        <w:rPr>
          <w:spacing w:val="6"/>
          <w:w w:val="105"/>
        </w:rPr>
        <w:t>not </w:t>
      </w:r>
      <w:r>
        <w:rPr>
          <w:spacing w:val="3"/>
          <w:w w:val="105"/>
        </w:rPr>
        <w:t>contained </w:t>
      </w:r>
      <w:r>
        <w:rPr>
          <w:spacing w:val="2"/>
          <w:w w:val="105"/>
        </w:rPr>
        <w:t>herein, </w:t>
      </w:r>
      <w:r>
        <w:rPr>
          <w:w w:val="105"/>
        </w:rPr>
        <w:t>and will not be </w:t>
      </w:r>
      <w:r>
        <w:rPr>
          <w:spacing w:val="3"/>
          <w:w w:val="105"/>
        </w:rPr>
        <w:t>contained, </w:t>
      </w:r>
      <w:r>
        <w:rPr>
          <w:w w:val="105"/>
        </w:rPr>
        <w:t>to the best of registrant's knowledge, in </w:t>
      </w:r>
      <w:r>
        <w:rPr>
          <w:spacing w:val="3"/>
          <w:w w:val="105"/>
        </w:rPr>
        <w:t>definitive </w:t>
      </w:r>
      <w:r>
        <w:rPr>
          <w:w w:val="105"/>
        </w:rPr>
        <w:t>proxy  </w:t>
      </w:r>
      <w:r>
        <w:rPr>
          <w:spacing w:val="4"/>
          <w:w w:val="105"/>
        </w:rPr>
        <w:t>or </w:t>
      </w:r>
      <w:r>
        <w:rPr>
          <w:spacing w:val="3"/>
          <w:w w:val="105"/>
        </w:rPr>
        <w:t>information </w:t>
      </w:r>
      <w:r>
        <w:rPr>
          <w:w w:val="105"/>
        </w:rPr>
        <w:t>statements </w:t>
      </w:r>
      <w:r>
        <w:rPr>
          <w:spacing w:val="3"/>
          <w:w w:val="105"/>
        </w:rPr>
        <w:t>incorporated </w:t>
      </w:r>
      <w:r>
        <w:rPr>
          <w:w w:val="105"/>
        </w:rPr>
        <w:t>by reference in Part  III  of  this  Form  10-K  or  any  </w:t>
      </w:r>
      <w:r>
        <w:rPr>
          <w:spacing w:val="4"/>
          <w:w w:val="105"/>
        </w:rPr>
        <w:t>amendment  </w:t>
      </w:r>
      <w:r>
        <w:rPr>
          <w:w w:val="105"/>
        </w:rPr>
        <w:t>to  </w:t>
      </w:r>
      <w:r>
        <w:rPr>
          <w:spacing w:val="5"/>
          <w:w w:val="105"/>
        </w:rPr>
        <w:t>this </w:t>
      </w:r>
      <w:r>
        <w:rPr>
          <w:w w:val="105"/>
        </w:rPr>
        <w:t>Form 10-K.  </w:t>
      </w:r>
      <w:r>
        <w:rPr>
          <w:spacing w:val="17"/>
          <w:w w:val="105"/>
        </w:rPr>
        <w:t> </w:t>
      </w:r>
      <w:r>
        <w:rPr>
          <w:w w:val="105"/>
        </w:rPr>
        <w:t>[X]</w:t>
      </w:r>
    </w:p>
    <w:p>
      <w:pPr>
        <w:pStyle w:val="BodyText"/>
        <w:spacing w:line="20" w:lineRule="exact"/>
        <w:ind w:left="110"/>
        <w:rPr>
          <w:sz w:val="2"/>
        </w:rPr>
      </w:pPr>
      <w:r>
        <w:rPr>
          <w:sz w:val="2"/>
        </w:rPr>
        <w:pict>
          <v:group style="width:500pt;height:1pt;mso-position-horizontal-relative:char;mso-position-vertical-relative:line" coordorigin="0,0" coordsize="10000,20">
            <v:line style="position:absolute" from="10,10" to="9990,10" stroked="true" strokeweight="1pt" strokecolor="#000000">
              <v:stroke dashstyle="solid"/>
            </v:line>
          </v:group>
        </w:pict>
      </w:r>
      <w:r>
        <w:rPr>
          <w:sz w:val="2"/>
        </w:rPr>
      </w:r>
    </w:p>
    <w:p>
      <w:pPr>
        <w:spacing w:after="0" w:line="20" w:lineRule="exact"/>
        <w:rPr>
          <w:sz w:val="2"/>
        </w:rPr>
        <w:sectPr>
          <w:type w:val="continuous"/>
          <w:pgSz w:w="11520" w:h="14400"/>
          <w:pgMar w:top="0" w:bottom="280" w:left="660" w:right="640"/>
        </w:sectPr>
      </w:pPr>
    </w:p>
    <w:p>
      <w:pPr>
        <w:pStyle w:val="Heading1"/>
      </w:pPr>
      <w:bookmarkStart w:name="Business" w:id="19"/>
      <w:bookmarkEnd w:id="19"/>
      <w:r>
        <w:rPr/>
      </w:r>
      <w:r>
        <w:rPr/>
        <w:t>PART I</w:t>
      </w:r>
    </w:p>
    <w:p>
      <w:pPr>
        <w:pStyle w:val="BodyText"/>
        <w:spacing w:before="7"/>
        <w:rPr>
          <w:rFonts w:ascii="Franklin Gothic Medium"/>
          <w:sz w:val="22"/>
        </w:rPr>
      </w:pPr>
    </w:p>
    <w:p>
      <w:pPr>
        <w:spacing w:before="1"/>
        <w:ind w:left="100" w:right="0" w:firstLine="0"/>
        <w:jc w:val="left"/>
        <w:rPr>
          <w:i/>
          <w:sz w:val="20"/>
        </w:rPr>
      </w:pPr>
      <w:r>
        <w:rPr>
          <w:rFonts w:ascii="Franklin Gothic Medium"/>
          <w:w w:val="105"/>
          <w:sz w:val="20"/>
        </w:rPr>
        <w:t>Item 1.   </w:t>
      </w:r>
      <w:r>
        <w:rPr>
          <w:i/>
          <w:w w:val="105"/>
          <w:sz w:val="20"/>
        </w:rPr>
        <w:t>Business</w:t>
      </w:r>
    </w:p>
    <w:p>
      <w:pPr>
        <w:pStyle w:val="BodyText"/>
        <w:spacing w:before="83"/>
        <w:ind w:left="100"/>
        <w:rPr>
          <w:rFonts w:ascii="Franklin Gothic Medium"/>
        </w:rPr>
      </w:pPr>
      <w:r>
        <w:rPr>
          <w:rFonts w:ascii="Franklin Gothic Medium"/>
        </w:rPr>
        <w:t>Description  of  Business</w:t>
      </w:r>
    </w:p>
    <w:p>
      <w:pPr>
        <w:pStyle w:val="BodyText"/>
        <w:spacing w:before="2"/>
        <w:rPr>
          <w:rFonts w:ascii="Franklin Gothic Medium"/>
          <w:sz w:val="18"/>
        </w:rPr>
      </w:pPr>
    </w:p>
    <w:p>
      <w:pPr>
        <w:pStyle w:val="BodyText"/>
        <w:tabs>
          <w:tab w:pos="559" w:val="left" w:leader="none"/>
          <w:tab w:pos="999" w:val="left" w:leader="none"/>
          <w:tab w:pos="1056" w:val="left" w:leader="none"/>
          <w:tab w:pos="1599" w:val="left" w:leader="none"/>
          <w:tab w:pos="1722" w:val="left" w:leader="none"/>
          <w:tab w:pos="1879" w:val="left" w:leader="none"/>
          <w:tab w:pos="2319" w:val="left" w:leader="none"/>
          <w:tab w:pos="2439" w:val="left" w:leader="none"/>
          <w:tab w:pos="2939" w:val="left" w:leader="none"/>
          <w:tab w:pos="3079" w:val="left" w:leader="none"/>
          <w:tab w:pos="3399" w:val="left" w:leader="none"/>
          <w:tab w:pos="3699" w:val="left" w:leader="none"/>
          <w:tab w:pos="4179" w:val="left" w:leader="none"/>
          <w:tab w:pos="4479" w:val="left" w:leader="none"/>
        </w:tabs>
        <w:spacing w:line="254" w:lineRule="auto"/>
        <w:ind w:left="100" w:firstLine="180"/>
        <w:jc w:val="right"/>
      </w:pPr>
      <w:r>
        <w:rPr>
          <w:w w:val="105"/>
        </w:rPr>
        <w:t>Southwest Airlines Co. (“Southwest”) is</w:t>
      </w:r>
      <w:r>
        <w:rPr>
          <w:spacing w:val="34"/>
          <w:w w:val="105"/>
        </w:rPr>
        <w:t> </w:t>
      </w:r>
      <w:r>
        <w:rPr>
          <w:w w:val="105"/>
        </w:rPr>
        <w:t>a</w:t>
      </w:r>
      <w:r>
        <w:rPr>
          <w:spacing w:val="15"/>
          <w:w w:val="105"/>
        </w:rPr>
        <w:t> </w:t>
      </w:r>
      <w:r>
        <w:rPr>
          <w:spacing w:val="8"/>
          <w:w w:val="105"/>
        </w:rPr>
        <w:t>major</w:t>
      </w:r>
      <w:r>
        <w:rPr>
          <w:spacing w:val="8"/>
          <w:w w:val="101"/>
        </w:rPr>
        <w:t> </w:t>
      </w:r>
      <w:r>
        <w:rPr>
          <w:spacing w:val="2"/>
          <w:w w:val="105"/>
        </w:rPr>
        <w:t>domestic   </w:t>
      </w:r>
      <w:r>
        <w:rPr>
          <w:spacing w:val="22"/>
          <w:w w:val="105"/>
        </w:rPr>
        <w:t> </w:t>
      </w:r>
      <w:r>
        <w:rPr>
          <w:spacing w:val="2"/>
          <w:w w:val="105"/>
        </w:rPr>
        <w:t>airline</w:t>
        <w:tab/>
        <w:tab/>
      </w:r>
      <w:r>
        <w:rPr>
          <w:w w:val="105"/>
        </w:rPr>
        <w:t>that   </w:t>
      </w:r>
      <w:r>
        <w:rPr>
          <w:spacing w:val="3"/>
          <w:w w:val="105"/>
        </w:rPr>
        <w:t> </w:t>
      </w:r>
      <w:r>
        <w:rPr>
          <w:spacing w:val="2"/>
          <w:w w:val="105"/>
        </w:rPr>
        <w:t>provides</w:t>
        <w:tab/>
      </w:r>
      <w:r>
        <w:rPr>
          <w:spacing w:val="6"/>
        </w:rPr>
        <w:t>predominantly </w:t>
      </w:r>
      <w:r>
        <w:rPr>
          <w:w w:val="105"/>
        </w:rPr>
        <w:t>shorthaul, </w:t>
      </w:r>
      <w:r>
        <w:rPr>
          <w:spacing w:val="2"/>
          <w:w w:val="105"/>
        </w:rPr>
        <w:t>high-frequency,</w:t>
      </w:r>
      <w:r>
        <w:rPr>
          <w:spacing w:val="8"/>
          <w:w w:val="105"/>
        </w:rPr>
        <w:t> </w:t>
      </w:r>
      <w:r>
        <w:rPr>
          <w:spacing w:val="2"/>
          <w:w w:val="105"/>
        </w:rPr>
        <w:t>point-to-point,</w:t>
      </w:r>
      <w:r>
        <w:rPr>
          <w:spacing w:val="25"/>
          <w:w w:val="105"/>
        </w:rPr>
        <w:t> </w:t>
      </w:r>
      <w:r>
        <w:rPr>
          <w:spacing w:val="4"/>
          <w:w w:val="105"/>
        </w:rPr>
        <w:t>low-fare</w:t>
      </w:r>
      <w:r>
        <w:rPr>
          <w:spacing w:val="4"/>
          <w:w w:val="98"/>
        </w:rPr>
        <w:t> </w:t>
      </w:r>
      <w:r>
        <w:rPr>
          <w:w w:val="105"/>
        </w:rPr>
        <w:t>service.  Southwest  was  </w:t>
      </w:r>
      <w:r>
        <w:rPr>
          <w:spacing w:val="3"/>
          <w:w w:val="105"/>
        </w:rPr>
        <w:t>incorporated  </w:t>
      </w:r>
      <w:r>
        <w:rPr>
          <w:spacing w:val="6"/>
          <w:w w:val="105"/>
        </w:rPr>
        <w:t> </w:t>
      </w:r>
      <w:r>
        <w:rPr>
          <w:w w:val="105"/>
        </w:rPr>
        <w:t>in  </w:t>
      </w:r>
      <w:r>
        <w:rPr>
          <w:spacing w:val="39"/>
          <w:w w:val="105"/>
        </w:rPr>
        <w:t> </w:t>
      </w:r>
      <w:r>
        <w:rPr>
          <w:spacing w:val="8"/>
          <w:w w:val="105"/>
        </w:rPr>
        <w:t>Texas</w:t>
      </w:r>
      <w:r>
        <w:rPr>
          <w:spacing w:val="8"/>
          <w:w w:val="111"/>
        </w:rPr>
        <w:t> </w:t>
      </w:r>
      <w:r>
        <w:rPr>
          <w:w w:val="105"/>
        </w:rPr>
        <w:t>and </w:t>
      </w:r>
      <w:r>
        <w:rPr>
          <w:spacing w:val="4"/>
          <w:w w:val="105"/>
        </w:rPr>
        <w:t>commenced </w:t>
      </w:r>
      <w:r>
        <w:rPr>
          <w:w w:val="105"/>
        </w:rPr>
        <w:t>Customer Service  on </w:t>
      </w:r>
      <w:r>
        <w:rPr>
          <w:spacing w:val="2"/>
          <w:w w:val="105"/>
        </w:rPr>
        <w:t> </w:t>
      </w:r>
      <w:r>
        <w:rPr>
          <w:w w:val="105"/>
        </w:rPr>
        <w:t>June </w:t>
      </w:r>
      <w:r>
        <w:rPr>
          <w:spacing w:val="7"/>
          <w:w w:val="105"/>
        </w:rPr>
        <w:t> </w:t>
      </w:r>
      <w:r>
        <w:rPr>
          <w:w w:val="105"/>
        </w:rPr>
        <w:t>18,</w:t>
      </w:r>
      <w:r>
        <w:rPr>
          <w:w w:val="120"/>
        </w:rPr>
        <w:t> </w:t>
      </w:r>
      <w:r>
        <w:rPr>
          <w:w w:val="105"/>
        </w:rPr>
        <w:t>1971, with three Boeing 737 aircraft</w:t>
      </w:r>
      <w:r>
        <w:rPr>
          <w:spacing w:val="21"/>
          <w:w w:val="105"/>
        </w:rPr>
        <w:t> </w:t>
      </w:r>
      <w:r>
        <w:rPr>
          <w:w w:val="105"/>
        </w:rPr>
        <w:t>serving</w:t>
      </w:r>
      <w:r>
        <w:rPr>
          <w:spacing w:val="15"/>
          <w:w w:val="105"/>
        </w:rPr>
        <w:t> </w:t>
      </w:r>
      <w:r>
        <w:rPr>
          <w:spacing w:val="7"/>
          <w:w w:val="105"/>
        </w:rPr>
        <w:t>three</w:t>
      </w:r>
      <w:r>
        <w:rPr>
          <w:spacing w:val="7"/>
          <w:w w:val="102"/>
        </w:rPr>
        <w:t> </w:t>
      </w:r>
      <w:r>
        <w:rPr>
          <w:w w:val="105"/>
        </w:rPr>
        <w:t>Texas  cities — Dallas,  Houston,  and</w:t>
      </w:r>
      <w:r>
        <w:rPr>
          <w:spacing w:val="45"/>
          <w:w w:val="105"/>
        </w:rPr>
        <w:t> </w:t>
      </w:r>
      <w:r>
        <w:rPr>
          <w:w w:val="105"/>
        </w:rPr>
        <w:t>San </w:t>
      </w:r>
      <w:r>
        <w:rPr>
          <w:spacing w:val="29"/>
          <w:w w:val="105"/>
        </w:rPr>
        <w:t> </w:t>
      </w:r>
      <w:r>
        <w:rPr>
          <w:w w:val="105"/>
        </w:rPr>
        <w:t>Antonio.</w:t>
      </w:r>
      <w:r>
        <w:rPr>
          <w:spacing w:val="2"/>
          <w:w w:val="102"/>
        </w:rPr>
        <w:t> </w:t>
      </w:r>
      <w:r>
        <w:rPr>
          <w:w w:val="105"/>
        </w:rPr>
        <w:t>At</w:t>
        <w:tab/>
      </w:r>
      <w:r>
        <w:rPr>
          <w:spacing w:val="2"/>
          <w:w w:val="105"/>
        </w:rPr>
        <w:t>yearend</w:t>
        <w:tab/>
      </w:r>
      <w:r>
        <w:rPr>
          <w:w w:val="105"/>
        </w:rPr>
        <w:t>2002,</w:t>
        <w:tab/>
        <w:tab/>
        <w:t>Southwest</w:t>
        <w:tab/>
        <w:tab/>
      </w:r>
      <w:r>
        <w:rPr>
          <w:spacing w:val="8"/>
        </w:rPr>
        <w:t>operated </w:t>
      </w:r>
      <w:r>
        <w:rPr>
          <w:w w:val="105"/>
        </w:rPr>
        <w:t>375 Boeing  737  aircraft  and  </w:t>
      </w:r>
      <w:r>
        <w:rPr>
          <w:spacing w:val="3"/>
          <w:w w:val="105"/>
        </w:rPr>
        <w:t>provided </w:t>
      </w:r>
      <w:r>
        <w:rPr>
          <w:spacing w:val="48"/>
          <w:w w:val="105"/>
        </w:rPr>
        <w:t> </w:t>
      </w:r>
      <w:r>
        <w:rPr>
          <w:w w:val="105"/>
        </w:rPr>
        <w:t>service </w:t>
      </w:r>
      <w:r>
        <w:rPr>
          <w:spacing w:val="4"/>
          <w:w w:val="105"/>
        </w:rPr>
        <w:t> to</w:t>
      </w:r>
      <w:r>
        <w:rPr>
          <w:w w:val="102"/>
        </w:rPr>
        <w:t> </w:t>
      </w:r>
      <w:r>
        <w:rPr>
          <w:w w:val="105"/>
        </w:rPr>
        <w:t>59 airports  in  58  cities  in  30 </w:t>
      </w:r>
      <w:r>
        <w:rPr>
          <w:spacing w:val="10"/>
          <w:w w:val="105"/>
        </w:rPr>
        <w:t> </w:t>
      </w:r>
      <w:r>
        <w:rPr>
          <w:w w:val="105"/>
        </w:rPr>
        <w:t>states </w:t>
      </w:r>
      <w:r>
        <w:rPr>
          <w:spacing w:val="23"/>
          <w:w w:val="105"/>
        </w:rPr>
        <w:t> </w:t>
      </w:r>
      <w:r>
        <w:rPr>
          <w:spacing w:val="6"/>
          <w:w w:val="105"/>
        </w:rPr>
        <w:t>throughout</w:t>
      </w:r>
      <w:r>
        <w:rPr>
          <w:spacing w:val="6"/>
          <w:w w:val="101"/>
        </w:rPr>
        <w:t> </w:t>
      </w:r>
      <w:r>
        <w:rPr>
          <w:w w:val="105"/>
        </w:rPr>
        <w:t>the </w:t>
      </w:r>
      <w:r>
        <w:rPr>
          <w:spacing w:val="2"/>
          <w:w w:val="105"/>
        </w:rPr>
        <w:t>United </w:t>
      </w:r>
      <w:r>
        <w:rPr>
          <w:w w:val="105"/>
        </w:rPr>
        <w:t>States. Based on  data </w:t>
      </w:r>
      <w:r>
        <w:rPr>
          <w:spacing w:val="12"/>
          <w:w w:val="105"/>
        </w:rPr>
        <w:t> </w:t>
      </w:r>
      <w:r>
        <w:rPr>
          <w:w w:val="105"/>
        </w:rPr>
        <w:t>for </w:t>
      </w:r>
      <w:r>
        <w:rPr>
          <w:spacing w:val="19"/>
          <w:w w:val="105"/>
        </w:rPr>
        <w:t> </w:t>
      </w:r>
      <w:r>
        <w:rPr>
          <w:spacing w:val="9"/>
          <w:w w:val="105"/>
        </w:rPr>
        <w:t>second</w:t>
      </w:r>
      <w:r>
        <w:rPr>
          <w:spacing w:val="9"/>
          <w:w w:val="109"/>
        </w:rPr>
        <w:t> </w:t>
      </w:r>
      <w:r>
        <w:rPr>
          <w:w w:val="105"/>
        </w:rPr>
        <w:t>quarter</w:t>
        <w:tab/>
        <w:t>2002</w:t>
        <w:tab/>
        <w:tab/>
        <w:t>(the</w:t>
        <w:tab/>
        <w:t>latest</w:t>
        <w:tab/>
        <w:tab/>
      </w:r>
      <w:r>
        <w:rPr>
          <w:spacing w:val="2"/>
          <w:w w:val="105"/>
        </w:rPr>
        <w:t>available</w:t>
        <w:tab/>
      </w:r>
      <w:r>
        <w:rPr>
          <w:spacing w:val="5"/>
          <w:w w:val="105"/>
        </w:rPr>
        <w:t>data), </w:t>
      </w:r>
      <w:r>
        <w:rPr>
          <w:w w:val="105"/>
        </w:rPr>
        <w:t>Southwest Airlines is the fourth  largest </w:t>
      </w:r>
      <w:r>
        <w:rPr>
          <w:spacing w:val="31"/>
          <w:w w:val="105"/>
        </w:rPr>
        <w:t> </w:t>
      </w:r>
      <w:r>
        <w:rPr>
          <w:w w:val="105"/>
        </w:rPr>
        <w:t>carrier </w:t>
      </w:r>
      <w:r>
        <w:rPr>
          <w:spacing w:val="29"/>
          <w:w w:val="105"/>
        </w:rPr>
        <w:t> </w:t>
      </w:r>
      <w:r>
        <w:rPr>
          <w:spacing w:val="12"/>
          <w:w w:val="105"/>
        </w:rPr>
        <w:t>in</w:t>
      </w:r>
      <w:r>
        <w:rPr>
          <w:w w:val="102"/>
        </w:rPr>
        <w:t> </w:t>
      </w:r>
      <w:r>
        <w:rPr>
          <w:w w:val="105"/>
        </w:rPr>
        <w:t>the United States based on</w:t>
      </w:r>
      <w:r>
        <w:rPr>
          <w:spacing w:val="10"/>
          <w:w w:val="105"/>
        </w:rPr>
        <w:t> </w:t>
      </w:r>
      <w:r>
        <w:rPr>
          <w:w w:val="105"/>
        </w:rPr>
        <w:t>domestic</w:t>
      </w:r>
      <w:r>
        <w:rPr>
          <w:spacing w:val="43"/>
          <w:w w:val="105"/>
        </w:rPr>
        <w:t> </w:t>
      </w:r>
      <w:r>
        <w:rPr>
          <w:spacing w:val="4"/>
          <w:w w:val="105"/>
        </w:rPr>
        <w:t>passengers</w:t>
      </w:r>
      <w:r>
        <w:rPr>
          <w:spacing w:val="4"/>
          <w:w w:val="112"/>
        </w:rPr>
        <w:t> </w:t>
      </w:r>
      <w:r>
        <w:rPr>
          <w:spacing w:val="2"/>
          <w:w w:val="105"/>
        </w:rPr>
        <w:t>boarded</w:t>
        <w:tab/>
        <w:tab/>
      </w:r>
      <w:r>
        <w:rPr>
          <w:w w:val="105"/>
        </w:rPr>
        <w:t>and</w:t>
        <w:tab/>
        <w:t>the   </w:t>
      </w:r>
      <w:r>
        <w:rPr>
          <w:spacing w:val="39"/>
          <w:w w:val="105"/>
        </w:rPr>
        <w:t> </w:t>
      </w:r>
      <w:r>
        <w:rPr>
          <w:w w:val="105"/>
        </w:rPr>
        <w:t>second</w:t>
        <w:tab/>
        <w:t>largest   </w:t>
      </w:r>
      <w:r>
        <w:rPr>
          <w:spacing w:val="45"/>
          <w:w w:val="105"/>
        </w:rPr>
        <w:t> </w:t>
      </w:r>
      <w:r>
        <w:rPr>
          <w:w w:val="105"/>
        </w:rPr>
        <w:t>based</w:t>
        <w:tab/>
      </w:r>
      <w:r>
        <w:rPr>
          <w:spacing w:val="12"/>
        </w:rPr>
        <w:t>on</w:t>
      </w:r>
    </w:p>
    <w:p>
      <w:pPr>
        <w:pStyle w:val="BodyText"/>
        <w:spacing w:before="1"/>
        <w:ind w:left="100"/>
      </w:pPr>
      <w:r>
        <w:rPr>
          <w:w w:val="105"/>
        </w:rPr>
        <w:t>scheduled   domestic  departures.</w:t>
      </w:r>
    </w:p>
    <w:p>
      <w:pPr>
        <w:pStyle w:val="BodyText"/>
        <w:spacing w:line="254" w:lineRule="auto" w:before="15"/>
        <w:ind w:left="100" w:right="18" w:firstLine="180"/>
        <w:jc w:val="both"/>
      </w:pPr>
      <w:r>
        <w:rPr>
          <w:w w:val="105"/>
        </w:rPr>
        <w:t>The business of the Company is somewhat seasonal. Quarterly operating income and,  to  a lesser extent, revenues  tend  to  be  lower  in  the first  quarter  (January  1–March 31).</w:t>
      </w:r>
    </w:p>
    <w:p>
      <w:pPr>
        <w:pStyle w:val="BodyText"/>
        <w:spacing w:line="254" w:lineRule="auto"/>
        <w:ind w:left="100" w:right="15" w:firstLine="180"/>
        <w:jc w:val="both"/>
      </w:pPr>
      <w:r>
        <w:rPr>
          <w:w w:val="105"/>
        </w:rPr>
        <w:t>Southwest’s filings with the Securities </w:t>
      </w:r>
      <w:r>
        <w:rPr>
          <w:spacing w:val="12"/>
          <w:w w:val="105"/>
        </w:rPr>
        <w:t>and </w:t>
      </w:r>
      <w:r>
        <w:rPr>
          <w:spacing w:val="2"/>
          <w:w w:val="105"/>
        </w:rPr>
        <w:t>Exchange  Commission,   including   </w:t>
      </w:r>
      <w:r>
        <w:rPr>
          <w:w w:val="105"/>
        </w:rPr>
        <w:t>its   </w:t>
      </w:r>
      <w:r>
        <w:rPr>
          <w:spacing w:val="10"/>
          <w:w w:val="105"/>
        </w:rPr>
        <w:t>annual </w:t>
      </w:r>
      <w:r>
        <w:rPr>
          <w:w w:val="105"/>
        </w:rPr>
        <w:t>report on Form 10-K, quarterly reports on  </w:t>
      </w:r>
      <w:r>
        <w:rPr>
          <w:spacing w:val="9"/>
          <w:w w:val="105"/>
        </w:rPr>
        <w:t>Form </w:t>
      </w:r>
      <w:r>
        <w:rPr>
          <w:w w:val="105"/>
        </w:rPr>
        <w:t>10-Q, current reports on Form 8-K, and </w:t>
      </w:r>
      <w:r>
        <w:rPr>
          <w:spacing w:val="12"/>
          <w:w w:val="105"/>
        </w:rPr>
        <w:t>amend- </w:t>
      </w:r>
      <w:r>
        <w:rPr>
          <w:w w:val="105"/>
        </w:rPr>
        <w:t>ments to those reports  are  accessible  free  </w:t>
      </w:r>
      <w:r>
        <w:rPr>
          <w:spacing w:val="6"/>
          <w:w w:val="105"/>
        </w:rPr>
        <w:t>of </w:t>
      </w:r>
      <w:r>
        <w:rPr>
          <w:w w:val="105"/>
        </w:rPr>
        <w:t>charge   at </w:t>
      </w:r>
      <w:r>
        <w:rPr>
          <w:spacing w:val="19"/>
          <w:w w:val="105"/>
        </w:rPr>
        <w:t> </w:t>
      </w:r>
      <w:r>
        <w:rPr>
          <w:w w:val="105"/>
        </w:rPr>
        <w:t>southwest.com.</w:t>
      </w:r>
    </w:p>
    <w:p>
      <w:pPr>
        <w:pStyle w:val="BodyText"/>
        <w:spacing w:before="187"/>
        <w:ind w:left="100"/>
        <w:rPr>
          <w:rFonts w:ascii="Franklin Gothic Medium"/>
        </w:rPr>
      </w:pPr>
      <w:r>
        <w:rPr>
          <w:rFonts w:ascii="Franklin Gothic Medium"/>
        </w:rPr>
        <w:t>Fuel</w:t>
      </w:r>
    </w:p>
    <w:p>
      <w:pPr>
        <w:pStyle w:val="BodyText"/>
        <w:spacing w:before="1"/>
        <w:rPr>
          <w:rFonts w:ascii="Franklin Gothic Medium"/>
          <w:sz w:val="18"/>
        </w:rPr>
      </w:pPr>
    </w:p>
    <w:p>
      <w:pPr>
        <w:pStyle w:val="BodyText"/>
        <w:spacing w:line="254" w:lineRule="auto"/>
        <w:ind w:left="100" w:firstLine="180"/>
        <w:jc w:val="both"/>
      </w:pPr>
      <w:r>
        <w:rPr>
          <w:w w:val="105"/>
        </w:rPr>
        <w:t>The cost of fuel is an item  </w:t>
      </w:r>
      <w:r>
        <w:rPr>
          <w:spacing w:val="2"/>
          <w:w w:val="105"/>
        </w:rPr>
        <w:t>having  </w:t>
      </w:r>
      <w:r>
        <w:rPr>
          <w:spacing w:val="6"/>
          <w:w w:val="105"/>
        </w:rPr>
        <w:t>significant </w:t>
      </w:r>
      <w:r>
        <w:rPr>
          <w:w w:val="105"/>
        </w:rPr>
        <w:t>impact on the Company’s </w:t>
      </w:r>
      <w:r>
        <w:rPr>
          <w:spacing w:val="2"/>
          <w:w w:val="105"/>
        </w:rPr>
        <w:t>operating </w:t>
      </w:r>
      <w:r>
        <w:rPr>
          <w:w w:val="105"/>
        </w:rPr>
        <w:t>results. </w:t>
      </w:r>
      <w:r>
        <w:rPr>
          <w:spacing w:val="8"/>
          <w:w w:val="105"/>
        </w:rPr>
        <w:t>The </w:t>
      </w:r>
      <w:r>
        <w:rPr>
          <w:spacing w:val="2"/>
          <w:w w:val="105"/>
        </w:rPr>
        <w:t>Company’s average </w:t>
      </w:r>
      <w:r>
        <w:rPr>
          <w:w w:val="105"/>
        </w:rPr>
        <w:t>cost of jet fuel  over  the  </w:t>
      </w:r>
      <w:r>
        <w:rPr>
          <w:spacing w:val="5"/>
          <w:w w:val="105"/>
        </w:rPr>
        <w:t>past  </w:t>
      </w:r>
      <w:r>
        <w:rPr>
          <w:w w:val="105"/>
        </w:rPr>
        <w:t>five  years  was  as</w:t>
      </w:r>
      <w:r>
        <w:rPr>
          <w:spacing w:val="30"/>
          <w:w w:val="105"/>
        </w:rPr>
        <w:t> </w:t>
      </w:r>
      <w:r>
        <w:rPr>
          <w:w w:val="105"/>
        </w:rPr>
        <w:t>follows:</w:t>
      </w:r>
    </w:p>
    <w:p>
      <w:pPr>
        <w:pStyle w:val="BodyText"/>
        <w:spacing w:before="5"/>
        <w:rPr>
          <w:sz w:val="7"/>
        </w:rPr>
      </w:pPr>
    </w:p>
    <w:tbl>
      <w:tblPr>
        <w:tblW w:w="0" w:type="auto"/>
        <w:jc w:val="left"/>
        <w:tblInd w:w="2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620"/>
        <w:gridCol w:w="880"/>
        <w:gridCol w:w="1240"/>
        <w:gridCol w:w="1800"/>
      </w:tblGrid>
      <w:tr>
        <w:trPr>
          <w:trHeight w:val="480" w:hRule="exact"/>
        </w:trPr>
        <w:tc>
          <w:tcPr>
            <w:tcW w:w="620" w:type="dxa"/>
          </w:tcPr>
          <w:p>
            <w:pPr>
              <w:pStyle w:val="TableParagraph"/>
              <w:spacing w:before="108"/>
              <w:ind w:left="90" w:right="85"/>
              <w:jc w:val="center"/>
              <w:rPr>
                <w:rFonts w:ascii="Franklin Gothic Medium"/>
                <w:sz w:val="16"/>
              </w:rPr>
            </w:pPr>
            <w:r>
              <w:rPr>
                <w:rFonts w:ascii="Franklin Gothic Medium"/>
                <w:sz w:val="16"/>
              </w:rPr>
              <w:t>Year</w:t>
            </w:r>
          </w:p>
        </w:tc>
        <w:tc>
          <w:tcPr>
            <w:tcW w:w="880" w:type="dxa"/>
          </w:tcPr>
          <w:p>
            <w:pPr>
              <w:pStyle w:val="TableParagraph"/>
              <w:spacing w:line="181" w:lineRule="exact" w:before="28"/>
              <w:ind w:left="102" w:right="74"/>
              <w:jc w:val="center"/>
              <w:rPr>
                <w:rFonts w:ascii="Franklin Gothic Medium"/>
                <w:sz w:val="16"/>
              </w:rPr>
            </w:pPr>
            <w:r>
              <w:rPr>
                <w:rFonts w:ascii="Franklin Gothic Medium"/>
                <w:sz w:val="16"/>
              </w:rPr>
              <w:t>Cost</w:t>
            </w:r>
          </w:p>
          <w:p>
            <w:pPr>
              <w:pStyle w:val="TableParagraph"/>
              <w:spacing w:line="181" w:lineRule="exact"/>
              <w:ind w:left="137" w:right="74"/>
              <w:jc w:val="center"/>
              <w:rPr>
                <w:rFonts w:ascii="Franklin Gothic Medium"/>
                <w:sz w:val="16"/>
              </w:rPr>
            </w:pPr>
            <w:r>
              <w:rPr>
                <w:rFonts w:ascii="Franklin Gothic Medium"/>
                <w:sz w:val="16"/>
              </w:rPr>
              <w:t>(Millions)</w:t>
            </w:r>
          </w:p>
        </w:tc>
        <w:tc>
          <w:tcPr>
            <w:tcW w:w="1240" w:type="dxa"/>
          </w:tcPr>
          <w:p>
            <w:pPr>
              <w:pStyle w:val="TableParagraph"/>
              <w:spacing w:before="48"/>
              <w:ind w:left="255" w:hanging="120"/>
              <w:rPr>
                <w:rFonts w:ascii="Franklin Gothic Medium"/>
                <w:sz w:val="16"/>
              </w:rPr>
            </w:pPr>
            <w:r>
              <w:rPr>
                <w:rFonts w:ascii="Franklin Gothic Medium"/>
                <w:sz w:val="16"/>
              </w:rPr>
              <w:t>Average Cost per  Gallon</w:t>
            </w:r>
          </w:p>
        </w:tc>
        <w:tc>
          <w:tcPr>
            <w:tcW w:w="1800" w:type="dxa"/>
          </w:tcPr>
          <w:p>
            <w:pPr>
              <w:pStyle w:val="TableParagraph"/>
              <w:spacing w:line="181" w:lineRule="exact" w:before="48"/>
              <w:ind w:left="172" w:right="172"/>
              <w:jc w:val="center"/>
              <w:rPr>
                <w:rFonts w:ascii="Franklin Gothic Medium"/>
                <w:sz w:val="16"/>
              </w:rPr>
            </w:pPr>
            <w:r>
              <w:rPr>
                <w:rFonts w:ascii="Franklin Gothic Medium"/>
                <w:sz w:val="16"/>
              </w:rPr>
              <w:t>Percent  of</w:t>
            </w:r>
          </w:p>
          <w:p>
            <w:pPr>
              <w:pStyle w:val="TableParagraph"/>
              <w:spacing w:line="181" w:lineRule="exact"/>
              <w:ind w:left="172" w:right="187"/>
              <w:jc w:val="center"/>
              <w:rPr>
                <w:rFonts w:ascii="Franklin Gothic Medium"/>
                <w:sz w:val="16"/>
              </w:rPr>
            </w:pPr>
            <w:r>
              <w:rPr>
                <w:rFonts w:ascii="Franklin Gothic Medium"/>
                <w:sz w:val="16"/>
              </w:rPr>
              <w:t>Operating  Expenses</w:t>
            </w:r>
          </w:p>
        </w:tc>
      </w:tr>
      <w:tr>
        <w:trPr>
          <w:trHeight w:val="280" w:hRule="exact"/>
        </w:trPr>
        <w:tc>
          <w:tcPr>
            <w:tcW w:w="620" w:type="dxa"/>
          </w:tcPr>
          <w:p>
            <w:pPr>
              <w:pStyle w:val="TableParagraph"/>
              <w:spacing w:before="83"/>
              <w:ind w:left="90" w:right="94"/>
              <w:jc w:val="center"/>
              <w:rPr>
                <w:sz w:val="16"/>
              </w:rPr>
            </w:pPr>
            <w:r>
              <w:rPr>
                <w:w w:val="120"/>
                <w:sz w:val="16"/>
              </w:rPr>
              <w:t>1998</w:t>
            </w:r>
          </w:p>
        </w:tc>
        <w:tc>
          <w:tcPr>
            <w:tcW w:w="880" w:type="dxa"/>
          </w:tcPr>
          <w:p>
            <w:pPr>
              <w:pStyle w:val="TableParagraph"/>
              <w:spacing w:before="83"/>
              <w:ind w:left="107" w:right="74"/>
              <w:jc w:val="center"/>
              <w:rPr>
                <w:sz w:val="16"/>
              </w:rPr>
            </w:pPr>
            <w:r>
              <w:rPr>
                <w:w w:val="120"/>
                <w:sz w:val="16"/>
              </w:rPr>
              <w:t>$388.3</w:t>
            </w:r>
          </w:p>
        </w:tc>
        <w:tc>
          <w:tcPr>
            <w:tcW w:w="1240" w:type="dxa"/>
          </w:tcPr>
          <w:p>
            <w:pPr>
              <w:pStyle w:val="TableParagraph"/>
              <w:spacing w:before="83"/>
              <w:ind w:left="435"/>
              <w:rPr>
                <w:sz w:val="16"/>
              </w:rPr>
            </w:pPr>
            <w:r>
              <w:rPr>
                <w:w w:val="120"/>
                <w:sz w:val="16"/>
              </w:rPr>
              <w:t>$0.46</w:t>
            </w:r>
          </w:p>
        </w:tc>
        <w:tc>
          <w:tcPr>
            <w:tcW w:w="1800" w:type="dxa"/>
          </w:tcPr>
          <w:p>
            <w:pPr>
              <w:pStyle w:val="TableParagraph"/>
              <w:spacing w:before="83"/>
              <w:ind w:left="172" w:right="129"/>
              <w:jc w:val="center"/>
              <w:rPr>
                <w:sz w:val="16"/>
              </w:rPr>
            </w:pPr>
            <w:r>
              <w:rPr>
                <w:w w:val="115"/>
                <w:sz w:val="16"/>
              </w:rPr>
              <w:t>11.2%</w:t>
            </w:r>
          </w:p>
        </w:tc>
      </w:tr>
      <w:tr>
        <w:trPr>
          <w:trHeight w:val="280" w:hRule="exact"/>
        </w:trPr>
        <w:tc>
          <w:tcPr>
            <w:tcW w:w="620" w:type="dxa"/>
          </w:tcPr>
          <w:p>
            <w:pPr>
              <w:pStyle w:val="TableParagraph"/>
              <w:spacing w:before="83"/>
              <w:ind w:left="90" w:right="94"/>
              <w:jc w:val="center"/>
              <w:rPr>
                <w:sz w:val="16"/>
              </w:rPr>
            </w:pPr>
            <w:r>
              <w:rPr>
                <w:w w:val="120"/>
                <w:sz w:val="16"/>
              </w:rPr>
              <w:t>1999</w:t>
            </w:r>
          </w:p>
        </w:tc>
        <w:tc>
          <w:tcPr>
            <w:tcW w:w="880" w:type="dxa"/>
          </w:tcPr>
          <w:p>
            <w:pPr>
              <w:pStyle w:val="TableParagraph"/>
              <w:spacing w:before="83"/>
              <w:ind w:left="107" w:right="74"/>
              <w:jc w:val="center"/>
              <w:rPr>
                <w:sz w:val="16"/>
              </w:rPr>
            </w:pPr>
            <w:r>
              <w:rPr>
                <w:w w:val="120"/>
                <w:sz w:val="16"/>
              </w:rPr>
              <w:t>$492.4</w:t>
            </w:r>
          </w:p>
        </w:tc>
        <w:tc>
          <w:tcPr>
            <w:tcW w:w="1240" w:type="dxa"/>
          </w:tcPr>
          <w:p>
            <w:pPr>
              <w:pStyle w:val="TableParagraph"/>
              <w:spacing w:before="83"/>
              <w:ind w:left="435"/>
              <w:rPr>
                <w:sz w:val="16"/>
              </w:rPr>
            </w:pPr>
            <w:r>
              <w:rPr>
                <w:w w:val="120"/>
                <w:sz w:val="16"/>
              </w:rPr>
              <w:t>$0.53</w:t>
            </w:r>
          </w:p>
        </w:tc>
        <w:tc>
          <w:tcPr>
            <w:tcW w:w="1800" w:type="dxa"/>
          </w:tcPr>
          <w:p>
            <w:pPr>
              <w:pStyle w:val="TableParagraph"/>
              <w:spacing w:before="83"/>
              <w:ind w:left="172" w:right="129"/>
              <w:jc w:val="center"/>
              <w:rPr>
                <w:sz w:val="16"/>
              </w:rPr>
            </w:pPr>
            <w:r>
              <w:rPr>
                <w:w w:val="115"/>
                <w:sz w:val="16"/>
              </w:rPr>
              <w:t>12.5%</w:t>
            </w:r>
          </w:p>
        </w:tc>
      </w:tr>
      <w:tr>
        <w:trPr>
          <w:trHeight w:val="280" w:hRule="exact"/>
        </w:trPr>
        <w:tc>
          <w:tcPr>
            <w:tcW w:w="620" w:type="dxa"/>
          </w:tcPr>
          <w:p>
            <w:pPr>
              <w:pStyle w:val="TableParagraph"/>
              <w:spacing w:before="83"/>
              <w:ind w:left="90" w:right="94"/>
              <w:jc w:val="center"/>
              <w:rPr>
                <w:sz w:val="16"/>
              </w:rPr>
            </w:pPr>
            <w:r>
              <w:rPr>
                <w:w w:val="120"/>
                <w:sz w:val="16"/>
              </w:rPr>
              <w:t>2000</w:t>
            </w:r>
          </w:p>
        </w:tc>
        <w:tc>
          <w:tcPr>
            <w:tcW w:w="880" w:type="dxa"/>
          </w:tcPr>
          <w:p>
            <w:pPr>
              <w:pStyle w:val="TableParagraph"/>
              <w:spacing w:before="83"/>
              <w:ind w:left="107" w:right="74"/>
              <w:jc w:val="center"/>
              <w:rPr>
                <w:sz w:val="16"/>
              </w:rPr>
            </w:pPr>
            <w:r>
              <w:rPr>
                <w:w w:val="120"/>
                <w:sz w:val="16"/>
              </w:rPr>
              <w:t>$804.4</w:t>
            </w:r>
          </w:p>
        </w:tc>
        <w:tc>
          <w:tcPr>
            <w:tcW w:w="1240" w:type="dxa"/>
          </w:tcPr>
          <w:p>
            <w:pPr>
              <w:pStyle w:val="TableParagraph"/>
              <w:spacing w:before="83"/>
              <w:ind w:left="435"/>
              <w:rPr>
                <w:sz w:val="16"/>
              </w:rPr>
            </w:pPr>
            <w:r>
              <w:rPr>
                <w:w w:val="120"/>
                <w:sz w:val="16"/>
              </w:rPr>
              <w:t>$0.79</w:t>
            </w:r>
          </w:p>
        </w:tc>
        <w:tc>
          <w:tcPr>
            <w:tcW w:w="1800" w:type="dxa"/>
          </w:tcPr>
          <w:p>
            <w:pPr>
              <w:pStyle w:val="TableParagraph"/>
              <w:spacing w:before="83"/>
              <w:ind w:left="172" w:right="129"/>
              <w:jc w:val="center"/>
              <w:rPr>
                <w:sz w:val="16"/>
              </w:rPr>
            </w:pPr>
            <w:r>
              <w:rPr>
                <w:w w:val="115"/>
                <w:sz w:val="16"/>
              </w:rPr>
              <w:t>17.4%</w:t>
            </w:r>
          </w:p>
        </w:tc>
      </w:tr>
      <w:tr>
        <w:trPr>
          <w:trHeight w:val="280" w:hRule="exact"/>
        </w:trPr>
        <w:tc>
          <w:tcPr>
            <w:tcW w:w="620" w:type="dxa"/>
          </w:tcPr>
          <w:p>
            <w:pPr>
              <w:pStyle w:val="TableParagraph"/>
              <w:spacing w:before="83"/>
              <w:ind w:left="90" w:right="94"/>
              <w:jc w:val="center"/>
              <w:rPr>
                <w:sz w:val="16"/>
              </w:rPr>
            </w:pPr>
            <w:r>
              <w:rPr>
                <w:w w:val="120"/>
                <w:sz w:val="16"/>
              </w:rPr>
              <w:t>2001</w:t>
            </w:r>
          </w:p>
        </w:tc>
        <w:tc>
          <w:tcPr>
            <w:tcW w:w="880" w:type="dxa"/>
          </w:tcPr>
          <w:p>
            <w:pPr>
              <w:pStyle w:val="TableParagraph"/>
              <w:spacing w:before="83"/>
              <w:ind w:left="107" w:right="74"/>
              <w:jc w:val="center"/>
              <w:rPr>
                <w:sz w:val="16"/>
              </w:rPr>
            </w:pPr>
            <w:r>
              <w:rPr>
                <w:w w:val="120"/>
                <w:sz w:val="16"/>
              </w:rPr>
              <w:t>$770.5</w:t>
            </w:r>
          </w:p>
        </w:tc>
        <w:tc>
          <w:tcPr>
            <w:tcW w:w="1240" w:type="dxa"/>
          </w:tcPr>
          <w:p>
            <w:pPr>
              <w:pStyle w:val="TableParagraph"/>
              <w:spacing w:before="83"/>
              <w:ind w:left="435"/>
              <w:rPr>
                <w:sz w:val="16"/>
              </w:rPr>
            </w:pPr>
            <w:r>
              <w:rPr>
                <w:w w:val="120"/>
                <w:sz w:val="16"/>
              </w:rPr>
              <w:t>$0.71</w:t>
            </w:r>
          </w:p>
        </w:tc>
        <w:tc>
          <w:tcPr>
            <w:tcW w:w="1800" w:type="dxa"/>
          </w:tcPr>
          <w:p>
            <w:pPr>
              <w:pStyle w:val="TableParagraph"/>
              <w:spacing w:before="83"/>
              <w:ind w:left="172" w:right="129"/>
              <w:jc w:val="center"/>
              <w:rPr>
                <w:sz w:val="16"/>
              </w:rPr>
            </w:pPr>
            <w:r>
              <w:rPr>
                <w:w w:val="115"/>
                <w:sz w:val="16"/>
              </w:rPr>
              <w:t>15.6%</w:t>
            </w:r>
          </w:p>
        </w:tc>
      </w:tr>
      <w:tr>
        <w:trPr>
          <w:trHeight w:val="300" w:hRule="exact"/>
        </w:trPr>
        <w:tc>
          <w:tcPr>
            <w:tcW w:w="620" w:type="dxa"/>
          </w:tcPr>
          <w:p>
            <w:pPr>
              <w:pStyle w:val="TableParagraph"/>
              <w:spacing w:before="83"/>
              <w:ind w:left="90" w:right="94"/>
              <w:jc w:val="center"/>
              <w:rPr>
                <w:sz w:val="16"/>
              </w:rPr>
            </w:pPr>
            <w:r>
              <w:rPr>
                <w:w w:val="120"/>
                <w:sz w:val="16"/>
              </w:rPr>
              <w:t>2002</w:t>
            </w:r>
          </w:p>
        </w:tc>
        <w:tc>
          <w:tcPr>
            <w:tcW w:w="880" w:type="dxa"/>
          </w:tcPr>
          <w:p>
            <w:pPr>
              <w:pStyle w:val="TableParagraph"/>
              <w:spacing w:before="83"/>
              <w:ind w:left="107" w:right="74"/>
              <w:jc w:val="center"/>
              <w:rPr>
                <w:sz w:val="16"/>
              </w:rPr>
            </w:pPr>
            <w:r>
              <w:rPr>
                <w:w w:val="120"/>
                <w:sz w:val="16"/>
              </w:rPr>
              <w:t>$762.1</w:t>
            </w:r>
          </w:p>
        </w:tc>
        <w:tc>
          <w:tcPr>
            <w:tcW w:w="1240" w:type="dxa"/>
          </w:tcPr>
          <w:p>
            <w:pPr>
              <w:pStyle w:val="TableParagraph"/>
              <w:spacing w:before="83"/>
              <w:ind w:left="415"/>
              <w:rPr>
                <w:sz w:val="16"/>
              </w:rPr>
            </w:pPr>
            <w:r>
              <w:rPr>
                <w:w w:val="120"/>
                <w:sz w:val="16"/>
              </w:rPr>
              <w:t>$0.68</w:t>
            </w:r>
          </w:p>
        </w:tc>
        <w:tc>
          <w:tcPr>
            <w:tcW w:w="1800" w:type="dxa"/>
          </w:tcPr>
          <w:p>
            <w:pPr>
              <w:pStyle w:val="TableParagraph"/>
              <w:spacing w:before="83"/>
              <w:ind w:left="172" w:right="129"/>
              <w:jc w:val="center"/>
              <w:rPr>
                <w:sz w:val="16"/>
              </w:rPr>
            </w:pPr>
            <w:r>
              <w:rPr>
                <w:w w:val="115"/>
                <w:sz w:val="16"/>
              </w:rPr>
              <w:t>14.9%</w:t>
            </w:r>
          </w:p>
        </w:tc>
      </w:tr>
    </w:tbl>
    <w:p>
      <w:pPr>
        <w:pStyle w:val="BodyText"/>
        <w:spacing w:line="254" w:lineRule="auto" w:before="109"/>
        <w:ind w:left="100" w:right="107" w:firstLine="180"/>
        <w:jc w:val="both"/>
      </w:pPr>
      <w:r>
        <w:rPr/>
        <w:br w:type="column"/>
      </w:r>
      <w:r>
        <w:rPr>
          <w:w w:val="105"/>
        </w:rPr>
        <w:t>From October 1, 2002, through </w:t>
      </w:r>
      <w:r>
        <w:rPr>
          <w:spacing w:val="3"/>
          <w:w w:val="105"/>
        </w:rPr>
        <w:t>December </w:t>
      </w:r>
      <w:r>
        <w:rPr>
          <w:w w:val="105"/>
        </w:rPr>
        <w:t>31,  2002, the </w:t>
      </w:r>
      <w:r>
        <w:rPr>
          <w:spacing w:val="2"/>
          <w:w w:val="105"/>
        </w:rPr>
        <w:t>average </w:t>
      </w:r>
      <w:r>
        <w:rPr>
          <w:w w:val="105"/>
        </w:rPr>
        <w:t>cost per gallon was $.71. </w:t>
      </w:r>
      <w:r>
        <w:rPr>
          <w:spacing w:val="6"/>
          <w:w w:val="105"/>
        </w:rPr>
        <w:t>See </w:t>
      </w:r>
      <w:r>
        <w:rPr>
          <w:spacing w:val="3"/>
          <w:w w:val="105"/>
        </w:rPr>
        <w:t>“Management’s </w:t>
      </w:r>
      <w:r>
        <w:rPr>
          <w:w w:val="105"/>
        </w:rPr>
        <w:t>Discussion  and  Analysis  </w:t>
      </w:r>
      <w:r>
        <w:rPr>
          <w:spacing w:val="6"/>
          <w:w w:val="105"/>
        </w:rPr>
        <w:t>of </w:t>
      </w:r>
      <w:r>
        <w:rPr>
          <w:spacing w:val="2"/>
          <w:w w:val="105"/>
        </w:rPr>
        <w:t>Financial  Condition  </w:t>
      </w:r>
      <w:r>
        <w:rPr>
          <w:w w:val="105"/>
        </w:rPr>
        <w:t>and  Results   of   </w:t>
      </w:r>
      <w:r>
        <w:rPr>
          <w:spacing w:val="7"/>
          <w:w w:val="105"/>
        </w:rPr>
        <w:t>Operations” </w:t>
      </w:r>
      <w:r>
        <w:rPr>
          <w:w w:val="105"/>
        </w:rPr>
        <w:t>for a </w:t>
      </w:r>
      <w:r>
        <w:rPr>
          <w:spacing w:val="2"/>
          <w:w w:val="105"/>
        </w:rPr>
        <w:t>discussion </w:t>
      </w:r>
      <w:r>
        <w:rPr>
          <w:w w:val="105"/>
        </w:rPr>
        <w:t>of Southwest’s fuel </w:t>
      </w:r>
      <w:r>
        <w:rPr>
          <w:spacing w:val="10"/>
          <w:w w:val="105"/>
        </w:rPr>
        <w:t>hedging </w:t>
      </w:r>
      <w:r>
        <w:rPr>
          <w:spacing w:val="6"/>
          <w:w w:val="105"/>
        </w:rPr>
        <w:t>activities.</w:t>
      </w:r>
    </w:p>
    <w:p>
      <w:pPr>
        <w:pStyle w:val="BodyText"/>
        <w:rPr>
          <w:sz w:val="17"/>
        </w:rPr>
      </w:pPr>
    </w:p>
    <w:p>
      <w:pPr>
        <w:pStyle w:val="BodyText"/>
        <w:ind w:left="100"/>
        <w:rPr>
          <w:rFonts w:ascii="Franklin Gothic Medium"/>
        </w:rPr>
      </w:pPr>
      <w:r>
        <w:rPr>
          <w:rFonts w:ascii="Franklin Gothic Medium"/>
        </w:rPr>
        <w:t>Regulation</w:t>
      </w:r>
    </w:p>
    <w:p>
      <w:pPr>
        <w:pStyle w:val="BodyText"/>
        <w:spacing w:before="10"/>
        <w:rPr>
          <w:rFonts w:ascii="Franklin Gothic Medium"/>
          <w:sz w:val="19"/>
        </w:rPr>
      </w:pPr>
    </w:p>
    <w:p>
      <w:pPr>
        <w:pStyle w:val="BodyText"/>
        <w:spacing w:line="254" w:lineRule="auto"/>
        <w:ind w:left="100" w:right="105" w:firstLine="180"/>
        <w:jc w:val="both"/>
      </w:pPr>
      <w:r>
        <w:rPr>
          <w:i/>
          <w:spacing w:val="3"/>
          <w:w w:val="105"/>
        </w:rPr>
        <w:t>Economic. </w:t>
      </w:r>
      <w:r>
        <w:rPr>
          <w:w w:val="105"/>
        </w:rPr>
        <w:t>The Dallas Love Field section of </w:t>
      </w:r>
      <w:r>
        <w:rPr>
          <w:spacing w:val="6"/>
          <w:w w:val="105"/>
        </w:rPr>
        <w:t>the </w:t>
      </w:r>
      <w:r>
        <w:rPr>
          <w:spacing w:val="2"/>
          <w:w w:val="105"/>
        </w:rPr>
        <w:t>International  </w:t>
      </w:r>
      <w:r>
        <w:rPr>
          <w:w w:val="105"/>
        </w:rPr>
        <w:t>Air  </w:t>
      </w:r>
      <w:r>
        <w:rPr>
          <w:spacing w:val="2"/>
          <w:w w:val="105"/>
        </w:rPr>
        <w:t>Transportation  </w:t>
      </w:r>
      <w:r>
        <w:rPr>
          <w:spacing w:val="3"/>
          <w:w w:val="105"/>
        </w:rPr>
        <w:t>Competition   </w:t>
      </w:r>
      <w:r>
        <w:rPr>
          <w:spacing w:val="4"/>
          <w:w w:val="105"/>
        </w:rPr>
        <w:t>Act </w:t>
      </w:r>
      <w:r>
        <w:rPr>
          <w:w w:val="105"/>
        </w:rPr>
        <w:t>of 1979, as </w:t>
      </w:r>
      <w:r>
        <w:rPr>
          <w:spacing w:val="4"/>
          <w:w w:val="105"/>
        </w:rPr>
        <w:t>amended  </w:t>
      </w:r>
      <w:r>
        <w:rPr>
          <w:w w:val="105"/>
        </w:rPr>
        <w:t>in  1997  </w:t>
      </w:r>
      <w:r>
        <w:rPr>
          <w:spacing w:val="2"/>
          <w:w w:val="105"/>
        </w:rPr>
        <w:t>(commonly  </w:t>
      </w:r>
      <w:r>
        <w:rPr>
          <w:spacing w:val="11"/>
          <w:w w:val="105"/>
        </w:rPr>
        <w:t>known  </w:t>
      </w:r>
      <w:r>
        <w:rPr>
          <w:w w:val="105"/>
        </w:rPr>
        <w:t>as the “Wright </w:t>
      </w:r>
      <w:r>
        <w:rPr>
          <w:spacing w:val="3"/>
          <w:w w:val="105"/>
        </w:rPr>
        <w:t>Amendment”), </w:t>
      </w:r>
      <w:r>
        <w:rPr>
          <w:w w:val="105"/>
        </w:rPr>
        <w:t>as it </w:t>
      </w:r>
      <w:r>
        <w:rPr>
          <w:spacing w:val="3"/>
          <w:w w:val="105"/>
        </w:rPr>
        <w:t>affects </w:t>
      </w:r>
      <w:r>
        <w:rPr>
          <w:w w:val="105"/>
        </w:rPr>
        <w:t>Southwest’s </w:t>
      </w:r>
      <w:r>
        <w:rPr>
          <w:spacing w:val="2"/>
          <w:w w:val="105"/>
        </w:rPr>
        <w:t>scheduled </w:t>
      </w:r>
      <w:r>
        <w:rPr>
          <w:w w:val="105"/>
        </w:rPr>
        <w:t>service, </w:t>
      </w:r>
      <w:r>
        <w:rPr>
          <w:spacing w:val="2"/>
          <w:w w:val="105"/>
        </w:rPr>
        <w:t>provides </w:t>
      </w:r>
      <w:r>
        <w:rPr>
          <w:w w:val="105"/>
        </w:rPr>
        <w:t>that </w:t>
      </w:r>
      <w:r>
        <w:rPr>
          <w:spacing w:val="12"/>
          <w:w w:val="105"/>
        </w:rPr>
        <w:t>no </w:t>
      </w:r>
      <w:r>
        <w:rPr>
          <w:spacing w:val="3"/>
          <w:w w:val="105"/>
        </w:rPr>
        <w:t>common</w:t>
      </w:r>
      <w:r>
        <w:rPr>
          <w:spacing w:val="53"/>
          <w:w w:val="105"/>
        </w:rPr>
        <w:t> </w:t>
      </w:r>
      <w:r>
        <w:rPr>
          <w:w w:val="105"/>
        </w:rPr>
        <w:t>carrier  may  </w:t>
      </w:r>
      <w:r>
        <w:rPr>
          <w:spacing w:val="3"/>
          <w:w w:val="105"/>
        </w:rPr>
        <w:t>provide</w:t>
      </w:r>
      <w:r>
        <w:rPr>
          <w:spacing w:val="53"/>
          <w:w w:val="105"/>
        </w:rPr>
        <w:t> </w:t>
      </w:r>
      <w:r>
        <w:rPr>
          <w:spacing w:val="8"/>
          <w:w w:val="105"/>
        </w:rPr>
        <w:t>scheduled  </w:t>
      </w:r>
      <w:r>
        <w:rPr>
          <w:w w:val="105"/>
        </w:rPr>
        <w:t>passenger air </w:t>
      </w:r>
      <w:r>
        <w:rPr>
          <w:spacing w:val="2"/>
          <w:w w:val="105"/>
        </w:rPr>
        <w:t>transportation </w:t>
      </w:r>
      <w:r>
        <w:rPr>
          <w:w w:val="105"/>
        </w:rPr>
        <w:t>for </w:t>
      </w:r>
      <w:r>
        <w:rPr>
          <w:spacing w:val="9"/>
          <w:w w:val="105"/>
        </w:rPr>
        <w:t>compensation </w:t>
      </w:r>
      <w:r>
        <w:rPr>
          <w:spacing w:val="2"/>
          <w:w w:val="105"/>
        </w:rPr>
        <w:t>between Love </w:t>
      </w:r>
      <w:r>
        <w:rPr>
          <w:w w:val="105"/>
        </w:rPr>
        <w:t>Field and one  or  more  </w:t>
      </w:r>
      <w:r>
        <w:rPr>
          <w:spacing w:val="8"/>
          <w:w w:val="105"/>
        </w:rPr>
        <w:t>points  </w:t>
      </w:r>
      <w:r>
        <w:rPr>
          <w:w w:val="105"/>
        </w:rPr>
        <w:t>outside Texas, </w:t>
      </w:r>
      <w:r>
        <w:rPr>
          <w:spacing w:val="2"/>
          <w:w w:val="105"/>
        </w:rPr>
        <w:t>except </w:t>
      </w:r>
      <w:r>
        <w:rPr>
          <w:w w:val="105"/>
        </w:rPr>
        <w:t>that an air carrier  </w:t>
      </w:r>
      <w:r>
        <w:rPr>
          <w:spacing w:val="7"/>
          <w:w w:val="105"/>
        </w:rPr>
        <w:t>may </w:t>
      </w:r>
      <w:r>
        <w:rPr>
          <w:w w:val="105"/>
        </w:rPr>
        <w:t>transport </w:t>
      </w:r>
      <w:r>
        <w:rPr>
          <w:spacing w:val="3"/>
          <w:w w:val="105"/>
        </w:rPr>
        <w:t>individuals </w:t>
      </w:r>
      <w:r>
        <w:rPr>
          <w:w w:val="105"/>
        </w:rPr>
        <w:t>by air on  a  flight  </w:t>
      </w:r>
      <w:r>
        <w:rPr>
          <w:spacing w:val="10"/>
          <w:w w:val="105"/>
        </w:rPr>
        <w:t>between </w:t>
      </w:r>
      <w:r>
        <w:rPr>
          <w:w w:val="105"/>
        </w:rPr>
        <w:t>Love Field  and  one  or  more  points  within  </w:t>
      </w:r>
      <w:r>
        <w:rPr>
          <w:spacing w:val="6"/>
          <w:w w:val="105"/>
        </w:rPr>
        <w:t>the </w:t>
      </w:r>
      <w:r>
        <w:rPr>
          <w:w w:val="105"/>
        </w:rPr>
        <w:t>states of </w:t>
      </w:r>
      <w:r>
        <w:rPr>
          <w:spacing w:val="2"/>
          <w:w w:val="105"/>
        </w:rPr>
        <w:t>Alabama, </w:t>
      </w:r>
      <w:r>
        <w:rPr>
          <w:w w:val="105"/>
        </w:rPr>
        <w:t>Arkansas, Kansas, </w:t>
      </w:r>
      <w:r>
        <w:rPr>
          <w:spacing w:val="8"/>
          <w:w w:val="105"/>
        </w:rPr>
        <w:t>Louisiana, </w:t>
      </w:r>
      <w:r>
        <w:rPr>
          <w:spacing w:val="2"/>
          <w:w w:val="105"/>
        </w:rPr>
        <w:t>Mississippi,  </w:t>
      </w:r>
      <w:r>
        <w:rPr>
          <w:w w:val="105"/>
        </w:rPr>
        <w:t>New   </w:t>
      </w:r>
      <w:r>
        <w:rPr>
          <w:spacing w:val="2"/>
          <w:w w:val="105"/>
        </w:rPr>
        <w:t>Mexico,   Oklahoma,   </w:t>
      </w:r>
      <w:r>
        <w:rPr>
          <w:w w:val="105"/>
        </w:rPr>
        <w:t>and   </w:t>
      </w:r>
      <w:r>
        <w:rPr>
          <w:spacing w:val="8"/>
          <w:w w:val="105"/>
        </w:rPr>
        <w:t>Texas </w:t>
      </w:r>
      <w:r>
        <w:rPr>
          <w:w w:val="105"/>
        </w:rPr>
        <w:t>if (a) “such air carrier  does  not  offer  or  </w:t>
      </w:r>
      <w:r>
        <w:rPr>
          <w:spacing w:val="11"/>
          <w:w w:val="105"/>
        </w:rPr>
        <w:t>provide  </w:t>
      </w:r>
      <w:r>
        <w:rPr>
          <w:w w:val="105"/>
        </w:rPr>
        <w:t>any through service or ticketing with </w:t>
      </w:r>
      <w:r>
        <w:rPr>
          <w:spacing w:val="2"/>
          <w:w w:val="105"/>
        </w:rPr>
        <w:t>another </w:t>
      </w:r>
      <w:r>
        <w:rPr>
          <w:spacing w:val="6"/>
          <w:w w:val="105"/>
        </w:rPr>
        <w:t>air </w:t>
      </w:r>
      <w:r>
        <w:rPr>
          <w:w w:val="105"/>
        </w:rPr>
        <w:t>carrier” and (b) “such air carrier does not offer </w:t>
      </w:r>
      <w:r>
        <w:rPr>
          <w:spacing w:val="2"/>
          <w:w w:val="105"/>
        </w:rPr>
        <w:t>for </w:t>
      </w:r>
      <w:r>
        <w:rPr>
          <w:w w:val="105"/>
        </w:rPr>
        <w:t>sale </w:t>
      </w:r>
      <w:r>
        <w:rPr>
          <w:spacing w:val="2"/>
          <w:w w:val="105"/>
        </w:rPr>
        <w:t>transportation </w:t>
      </w:r>
      <w:r>
        <w:rPr>
          <w:w w:val="105"/>
        </w:rPr>
        <w:t>to or from, and the flight </w:t>
      </w:r>
      <w:r>
        <w:rPr>
          <w:spacing w:val="4"/>
          <w:w w:val="105"/>
        </w:rPr>
        <w:t>or </w:t>
      </w:r>
      <w:r>
        <w:rPr>
          <w:w w:val="105"/>
        </w:rPr>
        <w:t>aircraft  does  not  serve,  any   point   </w:t>
      </w:r>
      <w:r>
        <w:rPr>
          <w:spacing w:val="2"/>
          <w:w w:val="105"/>
        </w:rPr>
        <w:t>which   </w:t>
      </w:r>
      <w:r>
        <w:rPr>
          <w:spacing w:val="4"/>
          <w:w w:val="105"/>
        </w:rPr>
        <w:t>is </w:t>
      </w:r>
      <w:r>
        <w:rPr>
          <w:w w:val="105"/>
        </w:rPr>
        <w:t>outside any such states.” The Wright </w:t>
      </w:r>
      <w:r>
        <w:rPr>
          <w:spacing w:val="12"/>
          <w:w w:val="105"/>
        </w:rPr>
        <w:t>Amendment </w:t>
      </w:r>
      <w:r>
        <w:rPr>
          <w:w w:val="105"/>
        </w:rPr>
        <w:t>does not restrict flights </w:t>
      </w:r>
      <w:r>
        <w:rPr>
          <w:spacing w:val="2"/>
          <w:w w:val="105"/>
        </w:rPr>
        <w:t>operated  </w:t>
      </w:r>
      <w:r>
        <w:rPr>
          <w:w w:val="105"/>
        </w:rPr>
        <w:t>with  </w:t>
      </w:r>
      <w:r>
        <w:rPr>
          <w:spacing w:val="4"/>
          <w:w w:val="105"/>
        </w:rPr>
        <w:t>aircraft </w:t>
      </w:r>
      <w:r>
        <w:rPr>
          <w:spacing w:val="2"/>
          <w:w w:val="105"/>
        </w:rPr>
        <w:t>having </w:t>
      </w:r>
      <w:r>
        <w:rPr>
          <w:w w:val="105"/>
        </w:rPr>
        <w:t>56 or fewer passenger seats. The </w:t>
      </w:r>
      <w:r>
        <w:rPr>
          <w:spacing w:val="6"/>
          <w:w w:val="105"/>
        </w:rPr>
        <w:t>Wright </w:t>
      </w:r>
      <w:r>
        <w:rPr>
          <w:spacing w:val="4"/>
          <w:w w:val="105"/>
        </w:rPr>
        <w:t>Amendment </w:t>
      </w:r>
      <w:r>
        <w:rPr>
          <w:w w:val="105"/>
        </w:rPr>
        <w:t>does  not  restrict  </w:t>
      </w:r>
      <w:r>
        <w:rPr>
          <w:spacing w:val="3"/>
          <w:w w:val="105"/>
        </w:rPr>
        <w:t>Southwest’s </w:t>
      </w:r>
      <w:r>
        <w:rPr>
          <w:w w:val="105"/>
        </w:rPr>
        <w:t>intrastate Texas  flights  or  its  air  service  </w:t>
      </w:r>
      <w:r>
        <w:rPr>
          <w:spacing w:val="8"/>
          <w:w w:val="105"/>
        </w:rPr>
        <w:t>from </w:t>
      </w:r>
      <w:r>
        <w:rPr>
          <w:w w:val="105"/>
        </w:rPr>
        <w:t>points  other  than  Love </w:t>
      </w:r>
      <w:r>
        <w:rPr>
          <w:spacing w:val="7"/>
          <w:w w:val="105"/>
        </w:rPr>
        <w:t> </w:t>
      </w:r>
      <w:r>
        <w:rPr>
          <w:spacing w:val="2"/>
          <w:w w:val="105"/>
        </w:rPr>
        <w:t>Field.</w:t>
      </w:r>
    </w:p>
    <w:p>
      <w:pPr>
        <w:pStyle w:val="BodyText"/>
        <w:spacing w:line="254" w:lineRule="auto"/>
        <w:ind w:left="100" w:right="109" w:firstLine="180"/>
        <w:jc w:val="both"/>
      </w:pPr>
      <w:r>
        <w:rPr>
          <w:w w:val="105"/>
        </w:rPr>
        <w:t>The </w:t>
      </w:r>
      <w:r>
        <w:rPr>
          <w:spacing w:val="2"/>
          <w:w w:val="105"/>
        </w:rPr>
        <w:t>Department </w:t>
      </w:r>
      <w:r>
        <w:rPr>
          <w:w w:val="105"/>
        </w:rPr>
        <w:t>of </w:t>
      </w:r>
      <w:r>
        <w:rPr>
          <w:spacing w:val="2"/>
          <w:w w:val="105"/>
        </w:rPr>
        <w:t>Transportation </w:t>
      </w:r>
      <w:r>
        <w:rPr>
          <w:w w:val="105"/>
        </w:rPr>
        <w:t>(“DOT”) </w:t>
      </w:r>
      <w:r>
        <w:rPr>
          <w:spacing w:val="6"/>
          <w:w w:val="105"/>
        </w:rPr>
        <w:t>has </w:t>
      </w:r>
      <w:r>
        <w:rPr>
          <w:spacing w:val="2"/>
          <w:w w:val="105"/>
        </w:rPr>
        <w:t>significant </w:t>
      </w:r>
      <w:r>
        <w:rPr>
          <w:w w:val="105"/>
        </w:rPr>
        <w:t>regulatory </w:t>
      </w:r>
      <w:r>
        <w:rPr>
          <w:spacing w:val="2"/>
          <w:w w:val="105"/>
        </w:rPr>
        <w:t>jurisdiction over </w:t>
      </w:r>
      <w:r>
        <w:rPr>
          <w:spacing w:val="6"/>
          <w:w w:val="105"/>
        </w:rPr>
        <w:t>passenger </w:t>
      </w:r>
      <w:r>
        <w:rPr>
          <w:w w:val="105"/>
        </w:rPr>
        <w:t>airlines. Unless  </w:t>
      </w:r>
      <w:r>
        <w:rPr>
          <w:spacing w:val="3"/>
          <w:w w:val="105"/>
        </w:rPr>
        <w:t>exempted,</w:t>
      </w:r>
      <w:r>
        <w:rPr>
          <w:spacing w:val="53"/>
          <w:w w:val="105"/>
        </w:rPr>
        <w:t> </w:t>
      </w:r>
      <w:r>
        <w:rPr>
          <w:w w:val="105"/>
        </w:rPr>
        <w:t>no  air  carrier  </w:t>
      </w:r>
      <w:r>
        <w:rPr>
          <w:spacing w:val="8"/>
          <w:w w:val="105"/>
        </w:rPr>
        <w:t>may </w:t>
      </w:r>
      <w:r>
        <w:rPr>
          <w:w w:val="105"/>
        </w:rPr>
        <w:t>furnish air transportation over any route without a DOT certificate of public  </w:t>
      </w:r>
      <w:r>
        <w:rPr>
          <w:spacing w:val="4"/>
          <w:w w:val="105"/>
        </w:rPr>
        <w:t>convenience  </w:t>
      </w:r>
      <w:r>
        <w:rPr>
          <w:spacing w:val="12"/>
          <w:w w:val="105"/>
        </w:rPr>
        <w:t>and  </w:t>
      </w:r>
      <w:r>
        <w:rPr>
          <w:w w:val="105"/>
        </w:rPr>
        <w:t>necessity, which does  not  confer  either  </w:t>
      </w:r>
      <w:r>
        <w:rPr>
          <w:spacing w:val="8"/>
          <w:w w:val="105"/>
        </w:rPr>
        <w:t>exclusive </w:t>
      </w:r>
      <w:r>
        <w:rPr>
          <w:w w:val="105"/>
        </w:rPr>
        <w:t>or proprietary rights.  The  Company’s  </w:t>
      </w:r>
      <w:r>
        <w:rPr>
          <w:spacing w:val="4"/>
          <w:w w:val="105"/>
        </w:rPr>
        <w:t>certificates </w:t>
      </w:r>
      <w:r>
        <w:rPr>
          <w:w w:val="105"/>
        </w:rPr>
        <w:t>are  </w:t>
      </w:r>
      <w:r>
        <w:rPr>
          <w:spacing w:val="2"/>
          <w:w w:val="105"/>
        </w:rPr>
        <w:t>unlimited  </w:t>
      </w:r>
      <w:r>
        <w:rPr>
          <w:w w:val="105"/>
        </w:rPr>
        <w:t>in  </w:t>
      </w:r>
      <w:r>
        <w:rPr>
          <w:spacing w:val="2"/>
          <w:w w:val="105"/>
        </w:rPr>
        <w:t>duration  </w:t>
      </w:r>
      <w:r>
        <w:rPr>
          <w:w w:val="105"/>
        </w:rPr>
        <w:t>and   permit   </w:t>
      </w:r>
      <w:r>
        <w:rPr>
          <w:spacing w:val="6"/>
          <w:w w:val="105"/>
        </w:rPr>
        <w:t>the </w:t>
      </w:r>
      <w:r>
        <w:rPr>
          <w:w w:val="105"/>
        </w:rPr>
        <w:t>Company to operate among any points within </w:t>
      </w:r>
      <w:r>
        <w:rPr>
          <w:spacing w:val="6"/>
          <w:w w:val="105"/>
        </w:rPr>
        <w:t>the </w:t>
      </w:r>
      <w:r>
        <w:rPr>
          <w:spacing w:val="2"/>
          <w:w w:val="105"/>
        </w:rPr>
        <w:t>United </w:t>
      </w:r>
      <w:r>
        <w:rPr>
          <w:w w:val="105"/>
        </w:rPr>
        <w:t>States, its territories,  and  </w:t>
      </w:r>
      <w:r>
        <w:rPr>
          <w:spacing w:val="4"/>
          <w:w w:val="105"/>
        </w:rPr>
        <w:t>possessions, </w:t>
      </w:r>
      <w:r>
        <w:rPr>
          <w:spacing w:val="2"/>
          <w:w w:val="105"/>
        </w:rPr>
        <w:t>except </w:t>
      </w:r>
      <w:r>
        <w:rPr>
          <w:w w:val="105"/>
        </w:rPr>
        <w:t>as  </w:t>
      </w:r>
      <w:r>
        <w:rPr>
          <w:spacing w:val="2"/>
          <w:w w:val="105"/>
        </w:rPr>
        <w:t>limited  </w:t>
      </w:r>
      <w:r>
        <w:rPr>
          <w:w w:val="105"/>
        </w:rPr>
        <w:t>by  the  Wright  </w:t>
      </w:r>
      <w:r>
        <w:rPr>
          <w:spacing w:val="3"/>
          <w:w w:val="105"/>
        </w:rPr>
        <w:t>Amendment,</w:t>
      </w:r>
      <w:r>
        <w:rPr>
          <w:spacing w:val="53"/>
          <w:w w:val="105"/>
        </w:rPr>
        <w:t> </w:t>
      </w:r>
      <w:r>
        <w:rPr>
          <w:spacing w:val="4"/>
          <w:w w:val="105"/>
        </w:rPr>
        <w:t>as </w:t>
      </w:r>
      <w:r>
        <w:rPr>
          <w:w w:val="105"/>
        </w:rPr>
        <w:t>do the certificates of all  other  U.S.  carriers.  </w:t>
      </w:r>
      <w:r>
        <w:rPr>
          <w:spacing w:val="5"/>
          <w:w w:val="105"/>
        </w:rPr>
        <w:t>DOT </w:t>
      </w:r>
      <w:r>
        <w:rPr>
          <w:w w:val="105"/>
        </w:rPr>
        <w:t>may  revoke  such  certificates,  in  whole  or  in  </w:t>
      </w:r>
      <w:r>
        <w:rPr>
          <w:spacing w:val="18"/>
          <w:w w:val="105"/>
        </w:rPr>
        <w:t> </w:t>
      </w:r>
      <w:r>
        <w:rPr>
          <w:spacing w:val="4"/>
          <w:w w:val="105"/>
        </w:rPr>
        <w:t>part,</w:t>
      </w:r>
    </w:p>
    <w:p>
      <w:pPr>
        <w:spacing w:after="0" w:line="254" w:lineRule="auto"/>
        <w:jc w:val="both"/>
        <w:sectPr>
          <w:headerReference w:type="default" r:id="rId54"/>
          <w:pgSz w:w="11520" w:h="14400"/>
          <w:pgMar w:header="0" w:footer="706" w:top="1180" w:bottom="900" w:left="700" w:right="840"/>
          <w:cols w:num="2" w:equalWidth="0">
            <w:col w:w="4730" w:space="410"/>
            <w:col w:w="4840"/>
          </w:cols>
        </w:sectPr>
      </w:pPr>
    </w:p>
    <w:p>
      <w:pPr>
        <w:pStyle w:val="BodyText"/>
        <w:spacing w:line="254" w:lineRule="auto" w:before="69"/>
        <w:ind w:left="100" w:right="4"/>
        <w:jc w:val="both"/>
      </w:pPr>
      <w:r>
        <w:rPr>
          <w:w w:val="105"/>
        </w:rPr>
        <w:t>for </w:t>
      </w:r>
      <w:r>
        <w:rPr>
          <w:spacing w:val="2"/>
          <w:w w:val="105"/>
        </w:rPr>
        <w:t>intentional </w:t>
      </w:r>
      <w:r>
        <w:rPr>
          <w:w w:val="105"/>
        </w:rPr>
        <w:t>failure to comply with </w:t>
      </w:r>
      <w:r>
        <w:rPr>
          <w:spacing w:val="7"/>
          <w:w w:val="105"/>
        </w:rPr>
        <w:t>certain </w:t>
      </w:r>
      <w:r>
        <w:rPr>
          <w:spacing w:val="2"/>
          <w:w w:val="105"/>
        </w:rPr>
        <w:t>provisions  </w:t>
      </w:r>
      <w:r>
        <w:rPr>
          <w:w w:val="105"/>
        </w:rPr>
        <w:t>of  the  U.S.  </w:t>
      </w:r>
      <w:r>
        <w:rPr>
          <w:spacing w:val="2"/>
          <w:w w:val="105"/>
        </w:rPr>
        <w:t>Transportation   </w:t>
      </w:r>
      <w:r>
        <w:rPr>
          <w:w w:val="105"/>
        </w:rPr>
        <w:t>Code,   </w:t>
      </w:r>
      <w:r>
        <w:rPr>
          <w:spacing w:val="4"/>
          <w:w w:val="105"/>
        </w:rPr>
        <w:t>or </w:t>
      </w:r>
      <w:r>
        <w:rPr>
          <w:w w:val="105"/>
        </w:rPr>
        <w:t>any order or regulation issued </w:t>
      </w:r>
      <w:r>
        <w:rPr>
          <w:spacing w:val="2"/>
          <w:w w:val="105"/>
        </w:rPr>
        <w:t>thereunder </w:t>
      </w:r>
      <w:r>
        <w:rPr>
          <w:w w:val="105"/>
        </w:rPr>
        <w:t>or </w:t>
      </w:r>
      <w:r>
        <w:rPr>
          <w:spacing w:val="6"/>
          <w:w w:val="105"/>
        </w:rPr>
        <w:t>any </w:t>
      </w:r>
      <w:r>
        <w:rPr>
          <w:w w:val="105"/>
        </w:rPr>
        <w:t>term of  such  certificate;  </w:t>
      </w:r>
      <w:r>
        <w:rPr>
          <w:spacing w:val="3"/>
          <w:w w:val="105"/>
        </w:rPr>
        <w:t>provided</w:t>
      </w:r>
      <w:r>
        <w:rPr>
          <w:spacing w:val="53"/>
          <w:w w:val="105"/>
        </w:rPr>
        <w:t> </w:t>
      </w:r>
      <w:r>
        <w:rPr>
          <w:w w:val="105"/>
        </w:rPr>
        <w:t>that,  </w:t>
      </w:r>
      <w:r>
        <w:rPr>
          <w:spacing w:val="9"/>
          <w:w w:val="105"/>
        </w:rPr>
        <w:t>with </w:t>
      </w:r>
      <w:r>
        <w:rPr>
          <w:w w:val="105"/>
        </w:rPr>
        <w:t>respect to </w:t>
      </w:r>
      <w:r>
        <w:rPr>
          <w:spacing w:val="2"/>
          <w:w w:val="105"/>
        </w:rPr>
        <w:t>revocation,  </w:t>
      </w:r>
      <w:r>
        <w:rPr>
          <w:w w:val="105"/>
        </w:rPr>
        <w:t>the  certificate  holder  </w:t>
      </w:r>
      <w:r>
        <w:rPr>
          <w:spacing w:val="6"/>
          <w:w w:val="105"/>
        </w:rPr>
        <w:t>has </w:t>
      </w:r>
      <w:r>
        <w:rPr>
          <w:w w:val="105"/>
        </w:rPr>
        <w:t>first </w:t>
      </w:r>
      <w:r>
        <w:rPr>
          <w:spacing w:val="2"/>
          <w:w w:val="105"/>
        </w:rPr>
        <w:t>been  advised  </w:t>
      </w:r>
      <w:r>
        <w:rPr>
          <w:w w:val="105"/>
        </w:rPr>
        <w:t>of  the  alleged  </w:t>
      </w:r>
      <w:r>
        <w:rPr>
          <w:spacing w:val="2"/>
          <w:w w:val="105"/>
        </w:rPr>
        <w:t>violation  </w:t>
      </w:r>
      <w:r>
        <w:rPr>
          <w:spacing w:val="12"/>
          <w:w w:val="105"/>
        </w:rPr>
        <w:t>and </w:t>
      </w:r>
      <w:r>
        <w:rPr>
          <w:w w:val="105"/>
        </w:rPr>
        <w:t>fails to  comply  after  </w:t>
      </w:r>
      <w:r>
        <w:rPr>
          <w:spacing w:val="2"/>
          <w:w w:val="105"/>
        </w:rPr>
        <w:t>being  given  </w:t>
      </w:r>
      <w:r>
        <w:rPr>
          <w:w w:val="105"/>
        </w:rPr>
        <w:t>a  </w:t>
      </w:r>
      <w:r>
        <w:rPr>
          <w:spacing w:val="7"/>
          <w:w w:val="105"/>
        </w:rPr>
        <w:t>reasonable </w:t>
      </w:r>
      <w:r>
        <w:rPr>
          <w:w w:val="105"/>
        </w:rPr>
        <w:t>time  to  do</w:t>
      </w:r>
      <w:r>
        <w:rPr>
          <w:spacing w:val="17"/>
          <w:w w:val="105"/>
        </w:rPr>
        <w:t> </w:t>
      </w:r>
      <w:r>
        <w:rPr>
          <w:w w:val="105"/>
        </w:rPr>
        <w:t>so.</w:t>
      </w:r>
    </w:p>
    <w:p>
      <w:pPr>
        <w:pStyle w:val="BodyText"/>
        <w:spacing w:line="254" w:lineRule="auto"/>
        <w:ind w:left="100" w:right="2" w:firstLine="180"/>
        <w:jc w:val="both"/>
      </w:pPr>
      <w:r>
        <w:rPr>
          <w:w w:val="105"/>
        </w:rPr>
        <w:t>DOT prescribes </w:t>
      </w:r>
      <w:r>
        <w:rPr>
          <w:spacing w:val="2"/>
          <w:w w:val="105"/>
        </w:rPr>
        <w:t>uniform </w:t>
      </w:r>
      <w:r>
        <w:rPr>
          <w:w w:val="105"/>
        </w:rPr>
        <w:t>disclosure </w:t>
      </w:r>
      <w:r>
        <w:rPr>
          <w:spacing w:val="5"/>
          <w:w w:val="105"/>
        </w:rPr>
        <w:t>standards </w:t>
      </w:r>
      <w:r>
        <w:rPr>
          <w:w w:val="105"/>
        </w:rPr>
        <w:t>regarding terms and </w:t>
      </w:r>
      <w:r>
        <w:rPr>
          <w:spacing w:val="3"/>
          <w:w w:val="105"/>
        </w:rPr>
        <w:t>conditions </w:t>
      </w:r>
      <w:r>
        <w:rPr>
          <w:w w:val="105"/>
        </w:rPr>
        <w:t>of carriage </w:t>
      </w:r>
      <w:r>
        <w:rPr>
          <w:spacing w:val="12"/>
          <w:w w:val="105"/>
        </w:rPr>
        <w:t>and </w:t>
      </w:r>
      <w:r>
        <w:rPr>
          <w:w w:val="105"/>
        </w:rPr>
        <w:t>prescribes that terms  </w:t>
      </w:r>
      <w:r>
        <w:rPr>
          <w:spacing w:val="3"/>
          <w:w w:val="105"/>
        </w:rPr>
        <w:t>incorporated</w:t>
      </w:r>
      <w:r>
        <w:rPr>
          <w:spacing w:val="53"/>
          <w:w w:val="105"/>
        </w:rPr>
        <w:t> </w:t>
      </w:r>
      <w:r>
        <w:rPr>
          <w:w w:val="105"/>
        </w:rPr>
        <w:t>into  </w:t>
      </w:r>
      <w:r>
        <w:rPr>
          <w:spacing w:val="6"/>
          <w:w w:val="105"/>
        </w:rPr>
        <w:t>the </w:t>
      </w:r>
      <w:r>
        <w:rPr>
          <w:w w:val="105"/>
        </w:rPr>
        <w:t>Contract of Carriage by reference are not </w:t>
      </w:r>
      <w:r>
        <w:rPr>
          <w:spacing w:val="12"/>
          <w:w w:val="105"/>
        </w:rPr>
        <w:t>binding </w:t>
      </w:r>
      <w:r>
        <w:rPr>
          <w:spacing w:val="2"/>
          <w:w w:val="105"/>
        </w:rPr>
        <w:t>upon </w:t>
      </w:r>
      <w:r>
        <w:rPr>
          <w:w w:val="105"/>
        </w:rPr>
        <w:t>passengers unless </w:t>
      </w:r>
      <w:r>
        <w:rPr>
          <w:spacing w:val="2"/>
          <w:w w:val="105"/>
        </w:rPr>
        <w:t>notice  </w:t>
      </w:r>
      <w:r>
        <w:rPr>
          <w:w w:val="105"/>
        </w:rPr>
        <w:t>is  </w:t>
      </w:r>
      <w:r>
        <w:rPr>
          <w:spacing w:val="2"/>
          <w:w w:val="105"/>
        </w:rPr>
        <w:t>given  </w:t>
      </w:r>
      <w:r>
        <w:rPr>
          <w:spacing w:val="12"/>
          <w:w w:val="105"/>
        </w:rPr>
        <w:t>in </w:t>
      </w:r>
      <w:r>
        <w:rPr>
          <w:w w:val="105"/>
        </w:rPr>
        <w:t>accordance  with  its   </w:t>
      </w:r>
      <w:r>
        <w:rPr>
          <w:spacing w:val="2"/>
          <w:w w:val="105"/>
        </w:rPr>
        <w:t>regulations.</w:t>
      </w:r>
    </w:p>
    <w:p>
      <w:pPr>
        <w:pStyle w:val="BodyText"/>
        <w:spacing w:before="4"/>
        <w:rPr>
          <w:sz w:val="21"/>
        </w:rPr>
      </w:pPr>
    </w:p>
    <w:p>
      <w:pPr>
        <w:pStyle w:val="BodyText"/>
        <w:spacing w:line="254" w:lineRule="auto"/>
        <w:ind w:left="100" w:right="2" w:firstLine="180"/>
        <w:jc w:val="both"/>
      </w:pPr>
      <w:r>
        <w:rPr>
          <w:i/>
          <w:w w:val="105"/>
        </w:rPr>
        <w:t>Safety.  </w:t>
      </w:r>
      <w:r>
        <w:rPr>
          <w:w w:val="105"/>
        </w:rPr>
        <w:t>The  Company  is  subject  to  </w:t>
      </w:r>
      <w:r>
        <w:rPr>
          <w:spacing w:val="6"/>
          <w:w w:val="105"/>
        </w:rPr>
        <w:t>the </w:t>
      </w:r>
      <w:r>
        <w:rPr>
          <w:w w:val="105"/>
        </w:rPr>
        <w:t>jurisdiction of the Federal Aviation </w:t>
      </w:r>
      <w:r>
        <w:rPr>
          <w:spacing w:val="8"/>
          <w:w w:val="105"/>
        </w:rPr>
        <w:t>Administration </w:t>
      </w:r>
      <w:r>
        <w:rPr>
          <w:w w:val="105"/>
        </w:rPr>
        <w:t>(“FAA”) with respect to  its  aircraft  </w:t>
      </w:r>
      <w:r>
        <w:rPr>
          <w:spacing w:val="11"/>
          <w:w w:val="105"/>
        </w:rPr>
        <w:t>maintenance </w:t>
      </w:r>
      <w:r>
        <w:rPr>
          <w:w w:val="105"/>
        </w:rPr>
        <w:t>and </w:t>
      </w:r>
      <w:r>
        <w:rPr>
          <w:spacing w:val="2"/>
          <w:w w:val="105"/>
        </w:rPr>
        <w:t>operations, including </w:t>
      </w:r>
      <w:r>
        <w:rPr>
          <w:spacing w:val="3"/>
          <w:w w:val="105"/>
        </w:rPr>
        <w:t>equipment, </w:t>
      </w:r>
      <w:r>
        <w:rPr>
          <w:spacing w:val="8"/>
          <w:w w:val="105"/>
        </w:rPr>
        <w:t>ground </w:t>
      </w:r>
      <w:r>
        <w:rPr>
          <w:w w:val="105"/>
        </w:rPr>
        <w:t>facilities,   dispatch,   </w:t>
      </w:r>
      <w:r>
        <w:rPr>
          <w:spacing w:val="4"/>
          <w:w w:val="105"/>
        </w:rPr>
        <w:t>communications,    </w:t>
      </w:r>
      <w:r>
        <w:rPr>
          <w:spacing w:val="2"/>
          <w:w w:val="105"/>
        </w:rPr>
        <w:t>flight </w:t>
      </w:r>
      <w:r>
        <w:rPr>
          <w:w w:val="105"/>
        </w:rPr>
        <w:t>training  personnel,  and  other   matters   </w:t>
      </w:r>
      <w:r>
        <w:rPr>
          <w:spacing w:val="6"/>
          <w:w w:val="105"/>
        </w:rPr>
        <w:t>affecting  </w:t>
      </w:r>
      <w:r>
        <w:rPr>
          <w:w w:val="105"/>
        </w:rPr>
        <w:t>air safety. To ensure  </w:t>
      </w:r>
      <w:r>
        <w:rPr>
          <w:spacing w:val="3"/>
          <w:w w:val="105"/>
        </w:rPr>
        <w:t>compliance</w:t>
      </w:r>
      <w:r>
        <w:rPr>
          <w:spacing w:val="53"/>
          <w:w w:val="105"/>
        </w:rPr>
        <w:t> </w:t>
      </w:r>
      <w:r>
        <w:rPr>
          <w:w w:val="105"/>
        </w:rPr>
        <w:t>with  </w:t>
      </w:r>
      <w:r>
        <w:rPr>
          <w:spacing w:val="2"/>
          <w:w w:val="105"/>
        </w:rPr>
        <w:t>its </w:t>
      </w:r>
      <w:r>
        <w:rPr>
          <w:w w:val="105"/>
        </w:rPr>
        <w:t>regulations, the FAA requires airlines to </w:t>
      </w:r>
      <w:r>
        <w:rPr>
          <w:spacing w:val="11"/>
          <w:w w:val="105"/>
        </w:rPr>
        <w:t>obtain </w:t>
      </w:r>
      <w:r>
        <w:rPr>
          <w:spacing w:val="2"/>
          <w:w w:val="105"/>
        </w:rPr>
        <w:t>operating, airworthiness, </w:t>
      </w:r>
      <w:r>
        <w:rPr>
          <w:w w:val="105"/>
        </w:rPr>
        <w:t>and other </w:t>
      </w:r>
      <w:r>
        <w:rPr>
          <w:spacing w:val="4"/>
          <w:w w:val="105"/>
        </w:rPr>
        <w:t>certificates, </w:t>
      </w:r>
      <w:r>
        <w:rPr>
          <w:w w:val="105"/>
        </w:rPr>
        <w:t>which are subject to suspension or </w:t>
      </w:r>
      <w:r>
        <w:rPr>
          <w:spacing w:val="3"/>
          <w:w w:val="105"/>
        </w:rPr>
        <w:t>revocation </w:t>
      </w:r>
      <w:r>
        <w:rPr>
          <w:spacing w:val="4"/>
          <w:w w:val="105"/>
        </w:rPr>
        <w:t>for </w:t>
      </w:r>
      <w:r>
        <w:rPr>
          <w:w w:val="105"/>
        </w:rPr>
        <w:t>cause. The  </w:t>
      </w:r>
      <w:r>
        <w:rPr>
          <w:spacing w:val="2"/>
          <w:w w:val="105"/>
        </w:rPr>
        <w:t>Company  </w:t>
      </w:r>
      <w:r>
        <w:rPr>
          <w:w w:val="105"/>
        </w:rPr>
        <w:t>has  </w:t>
      </w:r>
      <w:r>
        <w:rPr>
          <w:spacing w:val="3"/>
          <w:w w:val="105"/>
        </w:rPr>
        <w:t>obtained</w:t>
      </w:r>
      <w:r>
        <w:rPr>
          <w:spacing w:val="53"/>
          <w:w w:val="105"/>
        </w:rPr>
        <w:t> </w:t>
      </w:r>
      <w:r>
        <w:rPr>
          <w:spacing w:val="8"/>
          <w:w w:val="105"/>
        </w:rPr>
        <w:t>such </w:t>
      </w:r>
      <w:r>
        <w:rPr>
          <w:w w:val="105"/>
        </w:rPr>
        <w:t>certificates. The  FAA,  acting  through  its  </w:t>
      </w:r>
      <w:r>
        <w:rPr>
          <w:spacing w:val="10"/>
          <w:w w:val="105"/>
        </w:rPr>
        <w:t>own </w:t>
      </w:r>
      <w:r>
        <w:rPr>
          <w:w w:val="105"/>
        </w:rPr>
        <w:t>powers or through the </w:t>
      </w:r>
      <w:r>
        <w:rPr>
          <w:spacing w:val="3"/>
          <w:w w:val="105"/>
        </w:rPr>
        <w:t>appropriate </w:t>
      </w:r>
      <w:r>
        <w:rPr>
          <w:w w:val="105"/>
        </w:rPr>
        <w:t>U.S.  </w:t>
      </w:r>
      <w:r>
        <w:rPr>
          <w:spacing w:val="3"/>
          <w:w w:val="105"/>
        </w:rPr>
        <w:t>Attorney, </w:t>
      </w:r>
      <w:r>
        <w:rPr>
          <w:w w:val="105"/>
        </w:rPr>
        <w:t>also has the power to bring </w:t>
      </w:r>
      <w:r>
        <w:rPr>
          <w:spacing w:val="2"/>
          <w:w w:val="105"/>
        </w:rPr>
        <w:t>proceedings </w:t>
      </w:r>
      <w:r>
        <w:rPr>
          <w:w w:val="105"/>
        </w:rPr>
        <w:t>for </w:t>
      </w:r>
      <w:r>
        <w:rPr>
          <w:spacing w:val="6"/>
          <w:w w:val="105"/>
        </w:rPr>
        <w:t>the </w:t>
      </w:r>
      <w:r>
        <w:rPr>
          <w:spacing w:val="2"/>
          <w:w w:val="105"/>
        </w:rPr>
        <w:t>imposition </w:t>
      </w:r>
      <w:r>
        <w:rPr>
          <w:w w:val="105"/>
        </w:rPr>
        <w:t>and </w:t>
      </w:r>
      <w:r>
        <w:rPr>
          <w:spacing w:val="2"/>
          <w:w w:val="105"/>
        </w:rPr>
        <w:t>collection </w:t>
      </w:r>
      <w:r>
        <w:rPr>
          <w:w w:val="105"/>
        </w:rPr>
        <w:t>of fines for  </w:t>
      </w:r>
      <w:r>
        <w:rPr>
          <w:spacing w:val="2"/>
          <w:w w:val="105"/>
        </w:rPr>
        <w:t>violation  </w:t>
      </w:r>
      <w:r>
        <w:rPr>
          <w:spacing w:val="6"/>
          <w:w w:val="105"/>
        </w:rPr>
        <w:t>of </w:t>
      </w:r>
      <w:r>
        <w:rPr>
          <w:w w:val="105"/>
        </w:rPr>
        <w:t>the  Federal  Air </w:t>
      </w:r>
      <w:r>
        <w:rPr>
          <w:spacing w:val="9"/>
          <w:w w:val="105"/>
        </w:rPr>
        <w:t> </w:t>
      </w:r>
      <w:r>
        <w:rPr>
          <w:spacing w:val="2"/>
          <w:w w:val="105"/>
        </w:rPr>
        <w:t>Regulations.</w:t>
      </w:r>
    </w:p>
    <w:p>
      <w:pPr>
        <w:pStyle w:val="BodyText"/>
        <w:spacing w:line="254" w:lineRule="auto" w:before="1"/>
        <w:ind w:left="100" w:right="7" w:firstLine="360"/>
        <w:jc w:val="both"/>
      </w:pPr>
      <w:r>
        <w:rPr>
          <w:w w:val="105"/>
        </w:rPr>
        <w:t>The Company is subject  to  </w:t>
      </w:r>
      <w:r>
        <w:rPr>
          <w:spacing w:val="2"/>
          <w:w w:val="105"/>
        </w:rPr>
        <w:t>various  </w:t>
      </w:r>
      <w:r>
        <w:rPr>
          <w:spacing w:val="7"/>
          <w:w w:val="105"/>
        </w:rPr>
        <w:t>other </w:t>
      </w:r>
      <w:r>
        <w:rPr>
          <w:w w:val="105"/>
        </w:rPr>
        <w:t>federal, state, and local laws  and  </w:t>
      </w:r>
      <w:r>
        <w:rPr>
          <w:spacing w:val="5"/>
          <w:w w:val="105"/>
        </w:rPr>
        <w:t>regulations </w:t>
      </w:r>
      <w:r>
        <w:rPr>
          <w:w w:val="105"/>
        </w:rPr>
        <w:t>relating to </w:t>
      </w:r>
      <w:r>
        <w:rPr>
          <w:spacing w:val="3"/>
          <w:w w:val="105"/>
        </w:rPr>
        <w:t>occupational</w:t>
      </w:r>
      <w:r>
        <w:rPr>
          <w:spacing w:val="53"/>
          <w:w w:val="105"/>
        </w:rPr>
        <w:t> </w:t>
      </w:r>
      <w:r>
        <w:rPr>
          <w:w w:val="105"/>
        </w:rPr>
        <w:t>safety  and  </w:t>
      </w:r>
      <w:r>
        <w:rPr>
          <w:spacing w:val="6"/>
          <w:w w:val="105"/>
        </w:rPr>
        <w:t>health, </w:t>
      </w:r>
      <w:r>
        <w:rPr>
          <w:spacing w:val="2"/>
          <w:w w:val="105"/>
        </w:rPr>
        <w:t>including Occupational </w:t>
      </w:r>
      <w:r>
        <w:rPr>
          <w:w w:val="105"/>
        </w:rPr>
        <w:t>Safety and </w:t>
      </w:r>
      <w:r>
        <w:rPr>
          <w:spacing w:val="6"/>
          <w:w w:val="105"/>
        </w:rPr>
        <w:t>Health </w:t>
      </w:r>
      <w:r>
        <w:rPr>
          <w:spacing w:val="3"/>
          <w:w w:val="105"/>
        </w:rPr>
        <w:t>Administration </w:t>
      </w:r>
      <w:r>
        <w:rPr>
          <w:w w:val="105"/>
        </w:rPr>
        <w:t>(OSHA) and Food and </w:t>
      </w:r>
      <w:r>
        <w:rPr>
          <w:spacing w:val="5"/>
          <w:w w:val="105"/>
        </w:rPr>
        <w:t>Drug </w:t>
      </w:r>
      <w:r>
        <w:rPr>
          <w:spacing w:val="2"/>
          <w:w w:val="105"/>
        </w:rPr>
        <w:t>Administration  (FDA) </w:t>
      </w:r>
      <w:r>
        <w:rPr>
          <w:spacing w:val="4"/>
          <w:w w:val="105"/>
        </w:rPr>
        <w:t> </w:t>
      </w:r>
      <w:r>
        <w:rPr>
          <w:spacing w:val="3"/>
          <w:w w:val="105"/>
        </w:rPr>
        <w:t>regulations.</w:t>
      </w:r>
    </w:p>
    <w:p>
      <w:pPr>
        <w:pStyle w:val="BodyText"/>
        <w:spacing w:before="4"/>
        <w:rPr>
          <w:sz w:val="21"/>
        </w:rPr>
      </w:pPr>
    </w:p>
    <w:p>
      <w:pPr>
        <w:pStyle w:val="BodyText"/>
        <w:spacing w:line="254" w:lineRule="auto" w:before="1"/>
        <w:ind w:left="100" w:firstLine="180"/>
        <w:jc w:val="both"/>
      </w:pPr>
      <w:r>
        <w:rPr>
          <w:i/>
          <w:w w:val="105"/>
        </w:rPr>
        <w:t>Security.  </w:t>
      </w:r>
      <w:r>
        <w:rPr>
          <w:w w:val="105"/>
        </w:rPr>
        <w:t>On  </w:t>
      </w:r>
      <w:r>
        <w:rPr>
          <w:spacing w:val="3"/>
          <w:w w:val="105"/>
        </w:rPr>
        <w:t>November</w:t>
      </w:r>
      <w:r>
        <w:rPr>
          <w:spacing w:val="53"/>
          <w:w w:val="105"/>
        </w:rPr>
        <w:t> </w:t>
      </w:r>
      <w:r>
        <w:rPr>
          <w:w w:val="105"/>
        </w:rPr>
        <w:t>19,  2001,   </w:t>
      </w:r>
      <w:r>
        <w:rPr>
          <w:spacing w:val="7"/>
          <w:w w:val="105"/>
        </w:rPr>
        <w:t>President </w:t>
      </w:r>
      <w:r>
        <w:rPr>
          <w:w w:val="105"/>
        </w:rPr>
        <w:t>Bush signed into law the </w:t>
      </w:r>
      <w:r>
        <w:rPr>
          <w:spacing w:val="3"/>
          <w:w w:val="105"/>
        </w:rPr>
        <w:t>Aviation</w:t>
      </w:r>
      <w:r>
        <w:rPr>
          <w:spacing w:val="53"/>
          <w:w w:val="105"/>
        </w:rPr>
        <w:t> </w:t>
      </w:r>
      <w:r>
        <w:rPr>
          <w:spacing w:val="12"/>
          <w:w w:val="105"/>
        </w:rPr>
        <w:t>and </w:t>
      </w:r>
      <w:r>
        <w:rPr>
          <w:spacing w:val="2"/>
          <w:w w:val="105"/>
        </w:rPr>
        <w:t>Transportation </w:t>
      </w:r>
      <w:r>
        <w:rPr>
          <w:w w:val="105"/>
        </w:rPr>
        <w:t>Security Act (“Security Act”). </w:t>
      </w:r>
      <w:r>
        <w:rPr>
          <w:spacing w:val="8"/>
          <w:w w:val="105"/>
        </w:rPr>
        <w:t>The </w:t>
      </w:r>
      <w:r>
        <w:rPr>
          <w:w w:val="105"/>
        </w:rPr>
        <w:t>Security Act generally </w:t>
      </w:r>
      <w:r>
        <w:rPr>
          <w:spacing w:val="2"/>
          <w:w w:val="105"/>
        </w:rPr>
        <w:t>provides </w:t>
      </w:r>
      <w:r>
        <w:rPr>
          <w:w w:val="105"/>
        </w:rPr>
        <w:t>for </w:t>
      </w:r>
      <w:r>
        <w:rPr>
          <w:spacing w:val="12"/>
          <w:w w:val="105"/>
        </w:rPr>
        <w:t>enhanced </w:t>
      </w:r>
      <w:r>
        <w:rPr>
          <w:spacing w:val="3"/>
          <w:w w:val="105"/>
        </w:rPr>
        <w:t>aviation </w:t>
      </w:r>
      <w:r>
        <w:rPr>
          <w:w w:val="105"/>
        </w:rPr>
        <w:t>security measures. The Security Act </w:t>
      </w:r>
      <w:r>
        <w:rPr>
          <w:spacing w:val="2"/>
          <w:w w:val="105"/>
        </w:rPr>
        <w:t>established </w:t>
      </w:r>
      <w:r>
        <w:rPr>
          <w:w w:val="105"/>
        </w:rPr>
        <w:t>a new </w:t>
      </w:r>
      <w:r>
        <w:rPr>
          <w:spacing w:val="2"/>
          <w:w w:val="105"/>
        </w:rPr>
        <w:t>Transportation </w:t>
      </w:r>
      <w:r>
        <w:rPr>
          <w:spacing w:val="3"/>
          <w:w w:val="105"/>
        </w:rPr>
        <w:t>Security Administration </w:t>
      </w:r>
      <w:r>
        <w:rPr>
          <w:w w:val="105"/>
        </w:rPr>
        <w:t>(“TSA”), which has recently </w:t>
      </w:r>
      <w:r>
        <w:rPr>
          <w:spacing w:val="16"/>
          <w:w w:val="105"/>
        </w:rPr>
        <w:t>been </w:t>
      </w:r>
      <w:r>
        <w:rPr>
          <w:spacing w:val="3"/>
          <w:w w:val="105"/>
        </w:rPr>
        <w:t>moved </w:t>
      </w:r>
      <w:r>
        <w:rPr>
          <w:w w:val="105"/>
        </w:rPr>
        <w:t>to the new  Office  of  </w:t>
      </w:r>
      <w:r>
        <w:rPr>
          <w:spacing w:val="3"/>
          <w:w w:val="105"/>
        </w:rPr>
        <w:t>Homeland</w:t>
      </w:r>
      <w:r>
        <w:rPr>
          <w:spacing w:val="53"/>
          <w:w w:val="105"/>
        </w:rPr>
        <w:t> </w:t>
      </w:r>
      <w:r>
        <w:rPr>
          <w:spacing w:val="3"/>
          <w:w w:val="105"/>
        </w:rPr>
        <w:t>Security. </w:t>
      </w:r>
      <w:r>
        <w:rPr>
          <w:w w:val="105"/>
        </w:rPr>
        <w:t>The  TSA  </w:t>
      </w:r>
      <w:r>
        <w:rPr>
          <w:spacing w:val="2"/>
          <w:w w:val="105"/>
        </w:rPr>
        <w:t>assumed   </w:t>
      </w:r>
      <w:r>
        <w:rPr>
          <w:w w:val="105"/>
        </w:rPr>
        <w:t>the  </w:t>
      </w:r>
      <w:r>
        <w:rPr>
          <w:spacing w:val="3"/>
          <w:w w:val="105"/>
        </w:rPr>
        <w:t>aviation   </w:t>
      </w:r>
      <w:r>
        <w:rPr>
          <w:w w:val="105"/>
        </w:rPr>
        <w:t>security </w:t>
      </w:r>
      <w:r>
        <w:rPr>
          <w:spacing w:val="2"/>
          <w:w w:val="105"/>
        </w:rPr>
        <w:t> </w:t>
      </w:r>
      <w:r>
        <w:rPr>
          <w:spacing w:val="7"/>
          <w:w w:val="105"/>
        </w:rPr>
        <w:t>functions</w:t>
      </w:r>
    </w:p>
    <w:p>
      <w:pPr>
        <w:pStyle w:val="BodyText"/>
        <w:spacing w:line="254" w:lineRule="auto" w:before="69"/>
        <w:ind w:left="100" w:right="105"/>
        <w:jc w:val="both"/>
      </w:pPr>
      <w:r>
        <w:rPr/>
        <w:br w:type="column"/>
      </w:r>
      <w:r>
        <w:rPr>
          <w:w w:val="105"/>
        </w:rPr>
        <w:t>previously residing in the FAA and  </w:t>
      </w:r>
      <w:r>
        <w:rPr>
          <w:spacing w:val="9"/>
          <w:w w:val="105"/>
        </w:rPr>
        <w:t>assumed </w:t>
      </w:r>
      <w:r>
        <w:rPr>
          <w:w w:val="105"/>
        </w:rPr>
        <w:t>passenger screening contracts at U.S. airports </w:t>
      </w:r>
      <w:r>
        <w:rPr>
          <w:spacing w:val="12"/>
          <w:w w:val="105"/>
        </w:rPr>
        <w:t>on </w:t>
      </w:r>
      <w:r>
        <w:rPr>
          <w:w w:val="105"/>
        </w:rPr>
        <w:t>February 17, 2002. The TSA now </w:t>
      </w:r>
      <w:r>
        <w:rPr>
          <w:spacing w:val="2"/>
          <w:w w:val="105"/>
        </w:rPr>
        <w:t>provides </w:t>
      </w:r>
      <w:r>
        <w:rPr>
          <w:w w:val="105"/>
        </w:rPr>
        <w:t>for </w:t>
      </w:r>
      <w:r>
        <w:rPr>
          <w:spacing w:val="6"/>
          <w:w w:val="105"/>
        </w:rPr>
        <w:t>the </w:t>
      </w:r>
      <w:r>
        <w:rPr>
          <w:w w:val="105"/>
        </w:rPr>
        <w:t>screening  of  all  passengers  and  property,   </w:t>
      </w:r>
      <w:r>
        <w:rPr>
          <w:spacing w:val="12"/>
          <w:w w:val="105"/>
        </w:rPr>
        <w:t>which  </w:t>
      </w:r>
      <w:r>
        <w:rPr>
          <w:w w:val="105"/>
        </w:rPr>
        <w:t>is </w:t>
      </w:r>
      <w:r>
        <w:rPr>
          <w:spacing w:val="2"/>
          <w:w w:val="105"/>
        </w:rPr>
        <w:t>performed </w:t>
      </w:r>
      <w:r>
        <w:rPr>
          <w:w w:val="105"/>
        </w:rPr>
        <w:t>by federal </w:t>
      </w:r>
      <w:r>
        <w:rPr>
          <w:spacing w:val="2"/>
          <w:w w:val="105"/>
        </w:rPr>
        <w:t>employees. </w:t>
      </w:r>
      <w:r>
        <w:rPr>
          <w:spacing w:val="8"/>
          <w:w w:val="105"/>
        </w:rPr>
        <w:t>Beginning </w:t>
      </w:r>
      <w:r>
        <w:rPr>
          <w:w w:val="105"/>
        </w:rPr>
        <w:t>February 1, 2002,  a  $2.50  per  </w:t>
      </w:r>
      <w:r>
        <w:rPr>
          <w:spacing w:val="10"/>
          <w:w w:val="105"/>
        </w:rPr>
        <w:t>enplanement </w:t>
      </w:r>
      <w:r>
        <w:rPr>
          <w:w w:val="105"/>
        </w:rPr>
        <w:t>security  fee   is   </w:t>
      </w:r>
      <w:r>
        <w:rPr>
          <w:spacing w:val="3"/>
          <w:w w:val="105"/>
        </w:rPr>
        <w:t>imposed   </w:t>
      </w:r>
      <w:r>
        <w:rPr>
          <w:w w:val="105"/>
        </w:rPr>
        <w:t>on   </w:t>
      </w:r>
      <w:r>
        <w:rPr>
          <w:spacing w:val="4"/>
          <w:w w:val="105"/>
        </w:rPr>
        <w:t>passengers </w:t>
      </w:r>
      <w:r>
        <w:rPr>
          <w:w w:val="105"/>
        </w:rPr>
        <w:t>(maximum of $5.00 per one-way trip). Pursuant </w:t>
      </w:r>
      <w:r>
        <w:rPr>
          <w:spacing w:val="4"/>
          <w:w w:val="105"/>
        </w:rPr>
        <w:t>to </w:t>
      </w:r>
      <w:r>
        <w:rPr>
          <w:w w:val="105"/>
        </w:rPr>
        <w:t>authority granted to the TSA to </w:t>
      </w:r>
      <w:r>
        <w:rPr>
          <w:spacing w:val="2"/>
          <w:w w:val="105"/>
        </w:rPr>
        <w:t>impose </w:t>
      </w:r>
      <w:r>
        <w:rPr>
          <w:spacing w:val="9"/>
          <w:w w:val="105"/>
        </w:rPr>
        <w:t>additional </w:t>
      </w:r>
      <w:r>
        <w:rPr>
          <w:w w:val="105"/>
        </w:rPr>
        <w:t>fees  on  air  carriers  if  necessary  to   </w:t>
      </w:r>
      <w:r>
        <w:rPr>
          <w:spacing w:val="9"/>
          <w:w w:val="105"/>
        </w:rPr>
        <w:t>cover </w:t>
      </w:r>
      <w:r>
        <w:rPr>
          <w:w w:val="105"/>
        </w:rPr>
        <w:t>additional federal aviation security costs,  the  </w:t>
      </w:r>
      <w:r>
        <w:rPr>
          <w:spacing w:val="2"/>
          <w:w w:val="105"/>
        </w:rPr>
        <w:t>TSA  </w:t>
      </w:r>
      <w:r>
        <w:rPr>
          <w:w w:val="105"/>
        </w:rPr>
        <w:t>has  </w:t>
      </w:r>
      <w:r>
        <w:rPr>
          <w:spacing w:val="2"/>
          <w:w w:val="105"/>
        </w:rPr>
        <w:t>imposed  </w:t>
      </w:r>
      <w:r>
        <w:rPr>
          <w:w w:val="105"/>
        </w:rPr>
        <w:t>an   </w:t>
      </w:r>
      <w:r>
        <w:rPr>
          <w:spacing w:val="2"/>
          <w:w w:val="105"/>
        </w:rPr>
        <w:t>annual   </w:t>
      </w:r>
      <w:r>
        <w:rPr>
          <w:w w:val="105"/>
        </w:rPr>
        <w:t>Security   </w:t>
      </w:r>
      <w:r>
        <w:rPr>
          <w:spacing w:val="3"/>
          <w:w w:val="105"/>
        </w:rPr>
        <w:t>Infrastructure </w:t>
      </w:r>
      <w:r>
        <w:rPr>
          <w:w w:val="105"/>
        </w:rPr>
        <w:t>Fee  which  </w:t>
      </w:r>
      <w:r>
        <w:rPr>
          <w:spacing w:val="4"/>
          <w:w w:val="105"/>
        </w:rPr>
        <w:t>approximated  </w:t>
      </w:r>
      <w:r>
        <w:rPr>
          <w:w w:val="105"/>
        </w:rPr>
        <w:t>$23  million   </w:t>
      </w:r>
      <w:r>
        <w:rPr>
          <w:spacing w:val="2"/>
          <w:w w:val="105"/>
        </w:rPr>
        <w:t>for </w:t>
      </w:r>
      <w:r>
        <w:rPr>
          <w:w w:val="105"/>
        </w:rPr>
        <w:t>Southwest  in  2002  and  is  </w:t>
      </w:r>
      <w:r>
        <w:rPr>
          <w:spacing w:val="2"/>
          <w:w w:val="105"/>
        </w:rPr>
        <w:t>expected   </w:t>
      </w:r>
      <w:r>
        <w:rPr>
          <w:spacing w:val="4"/>
          <w:w w:val="105"/>
        </w:rPr>
        <w:t>to approximate  </w:t>
      </w:r>
      <w:r>
        <w:rPr>
          <w:w w:val="105"/>
        </w:rPr>
        <w:t>$26  million  in  2003.  Like  the  </w:t>
      </w:r>
      <w:r>
        <w:rPr>
          <w:spacing w:val="6"/>
          <w:w w:val="105"/>
        </w:rPr>
        <w:t>FAA, </w:t>
      </w:r>
      <w:r>
        <w:rPr>
          <w:w w:val="105"/>
        </w:rPr>
        <w:t>the  TSA  may  </w:t>
      </w:r>
      <w:r>
        <w:rPr>
          <w:spacing w:val="2"/>
          <w:w w:val="105"/>
        </w:rPr>
        <w:t>impose  </w:t>
      </w:r>
      <w:r>
        <w:rPr>
          <w:w w:val="105"/>
        </w:rPr>
        <w:t>and  collect  fines  </w:t>
      </w:r>
      <w:r>
        <w:rPr>
          <w:spacing w:val="2"/>
          <w:w w:val="105"/>
        </w:rPr>
        <w:t>for </w:t>
      </w:r>
      <w:r>
        <w:rPr>
          <w:w w:val="105"/>
        </w:rPr>
        <w:t>violations  of  its </w:t>
      </w:r>
      <w:r>
        <w:rPr>
          <w:spacing w:val="35"/>
          <w:w w:val="105"/>
        </w:rPr>
        <w:t> </w:t>
      </w:r>
      <w:r>
        <w:rPr>
          <w:spacing w:val="2"/>
          <w:w w:val="105"/>
        </w:rPr>
        <w:t>regulations.</w:t>
      </w:r>
    </w:p>
    <w:p>
      <w:pPr>
        <w:pStyle w:val="BodyText"/>
        <w:spacing w:before="4"/>
        <w:rPr>
          <w:sz w:val="21"/>
        </w:rPr>
      </w:pPr>
    </w:p>
    <w:p>
      <w:pPr>
        <w:pStyle w:val="BodyText"/>
        <w:spacing w:line="254" w:lineRule="auto"/>
        <w:ind w:left="100" w:right="109" w:firstLine="180"/>
        <w:jc w:val="both"/>
      </w:pPr>
      <w:r>
        <w:rPr>
          <w:i/>
          <w:spacing w:val="4"/>
          <w:w w:val="105"/>
        </w:rPr>
        <w:t>Environmental. </w:t>
      </w:r>
      <w:r>
        <w:rPr>
          <w:w w:val="105"/>
        </w:rPr>
        <w:t>Certain airports, </w:t>
      </w:r>
      <w:r>
        <w:rPr>
          <w:spacing w:val="2"/>
          <w:w w:val="105"/>
        </w:rPr>
        <w:t>including </w:t>
      </w:r>
      <w:r>
        <w:rPr>
          <w:spacing w:val="6"/>
          <w:w w:val="105"/>
        </w:rPr>
        <w:t>San </w:t>
      </w:r>
      <w:r>
        <w:rPr>
          <w:w w:val="105"/>
        </w:rPr>
        <w:t>Diego  and  Orange  County,  </w:t>
      </w:r>
      <w:r>
        <w:rPr>
          <w:spacing w:val="2"/>
          <w:w w:val="105"/>
        </w:rPr>
        <w:t>have  </w:t>
      </w:r>
      <w:r>
        <w:rPr>
          <w:spacing w:val="6"/>
          <w:w w:val="105"/>
        </w:rPr>
        <w:t>established </w:t>
      </w:r>
      <w:r>
        <w:rPr>
          <w:w w:val="105"/>
        </w:rPr>
        <w:t>airport restrictions to limit noise, </w:t>
      </w:r>
      <w:r>
        <w:rPr>
          <w:spacing w:val="8"/>
          <w:w w:val="105"/>
        </w:rPr>
        <w:t>including </w:t>
      </w:r>
      <w:r>
        <w:rPr>
          <w:w w:val="105"/>
        </w:rPr>
        <w:t>restrictions on aircraft types to be used and  </w:t>
      </w:r>
      <w:r>
        <w:rPr>
          <w:spacing w:val="4"/>
          <w:w w:val="105"/>
        </w:rPr>
        <w:t>limits   </w:t>
      </w:r>
      <w:r>
        <w:rPr>
          <w:w w:val="105"/>
        </w:rPr>
        <w:t>on the number of hourly or daily operations or </w:t>
      </w:r>
      <w:r>
        <w:rPr>
          <w:spacing w:val="6"/>
          <w:w w:val="105"/>
        </w:rPr>
        <w:t>the </w:t>
      </w:r>
      <w:r>
        <w:rPr>
          <w:w w:val="105"/>
        </w:rPr>
        <w:t>time  of  such  </w:t>
      </w:r>
      <w:r>
        <w:rPr>
          <w:spacing w:val="2"/>
          <w:w w:val="105"/>
        </w:rPr>
        <w:t>operations.   </w:t>
      </w:r>
      <w:r>
        <w:rPr>
          <w:w w:val="105"/>
        </w:rPr>
        <w:t>In   some   </w:t>
      </w:r>
      <w:r>
        <w:rPr>
          <w:spacing w:val="5"/>
          <w:w w:val="105"/>
        </w:rPr>
        <w:t>instances, </w:t>
      </w:r>
      <w:r>
        <w:rPr>
          <w:w w:val="105"/>
        </w:rPr>
        <w:t>these restrictions have caused  curtailments  </w:t>
      </w:r>
      <w:r>
        <w:rPr>
          <w:spacing w:val="12"/>
          <w:w w:val="105"/>
        </w:rPr>
        <w:t>in </w:t>
      </w:r>
      <w:r>
        <w:rPr>
          <w:w w:val="105"/>
        </w:rPr>
        <w:t>service or increases in </w:t>
      </w:r>
      <w:r>
        <w:rPr>
          <w:spacing w:val="2"/>
          <w:w w:val="105"/>
        </w:rPr>
        <w:t>operating </w:t>
      </w:r>
      <w:r>
        <w:rPr>
          <w:w w:val="105"/>
        </w:rPr>
        <w:t>costs and </w:t>
      </w:r>
      <w:r>
        <w:rPr>
          <w:spacing w:val="8"/>
          <w:w w:val="105"/>
        </w:rPr>
        <w:t>such </w:t>
      </w:r>
      <w:r>
        <w:rPr>
          <w:w w:val="105"/>
        </w:rPr>
        <w:t>restrictions could limit the ability of Southwest </w:t>
      </w:r>
      <w:r>
        <w:rPr>
          <w:spacing w:val="4"/>
          <w:w w:val="105"/>
        </w:rPr>
        <w:t>to </w:t>
      </w:r>
      <w:r>
        <w:rPr>
          <w:spacing w:val="3"/>
          <w:w w:val="105"/>
        </w:rPr>
        <w:t>expand </w:t>
      </w:r>
      <w:r>
        <w:rPr>
          <w:w w:val="105"/>
        </w:rPr>
        <w:t>its </w:t>
      </w:r>
      <w:r>
        <w:rPr>
          <w:spacing w:val="2"/>
          <w:w w:val="105"/>
        </w:rPr>
        <w:t>operations  </w:t>
      </w:r>
      <w:r>
        <w:rPr>
          <w:w w:val="105"/>
        </w:rPr>
        <w:t>at  the  affected  </w:t>
      </w:r>
      <w:r>
        <w:rPr>
          <w:spacing w:val="4"/>
          <w:w w:val="105"/>
        </w:rPr>
        <w:t>airports. </w:t>
      </w:r>
      <w:r>
        <w:rPr>
          <w:w w:val="105"/>
        </w:rPr>
        <w:t>Local </w:t>
      </w:r>
      <w:r>
        <w:rPr>
          <w:spacing w:val="2"/>
          <w:w w:val="105"/>
        </w:rPr>
        <w:t>authorities </w:t>
      </w:r>
      <w:r>
        <w:rPr>
          <w:w w:val="105"/>
        </w:rPr>
        <w:t>at other airports may </w:t>
      </w:r>
      <w:r>
        <w:rPr>
          <w:spacing w:val="8"/>
          <w:w w:val="105"/>
        </w:rPr>
        <w:t>consider </w:t>
      </w:r>
      <w:r>
        <w:rPr>
          <w:spacing w:val="2"/>
          <w:w w:val="105"/>
        </w:rPr>
        <w:t>adopting </w:t>
      </w:r>
      <w:r>
        <w:rPr>
          <w:w w:val="105"/>
        </w:rPr>
        <w:t>similar noise regulations, but </w:t>
      </w:r>
      <w:r>
        <w:rPr>
          <w:spacing w:val="8"/>
          <w:w w:val="105"/>
        </w:rPr>
        <w:t>such </w:t>
      </w:r>
      <w:r>
        <w:rPr>
          <w:w w:val="105"/>
        </w:rPr>
        <w:t>regulations are subject to the </w:t>
      </w:r>
      <w:r>
        <w:rPr>
          <w:spacing w:val="2"/>
          <w:w w:val="105"/>
        </w:rPr>
        <w:t>provisions </w:t>
      </w:r>
      <w:r>
        <w:rPr>
          <w:w w:val="105"/>
        </w:rPr>
        <w:t>of </w:t>
      </w:r>
      <w:r>
        <w:rPr>
          <w:spacing w:val="6"/>
          <w:w w:val="105"/>
        </w:rPr>
        <w:t>the </w:t>
      </w:r>
      <w:r>
        <w:rPr>
          <w:w w:val="105"/>
        </w:rPr>
        <w:t>Airport Noise and Capacity Act of 1990 </w:t>
      </w:r>
      <w:r>
        <w:rPr>
          <w:spacing w:val="12"/>
          <w:w w:val="105"/>
        </w:rPr>
        <w:t>and </w:t>
      </w:r>
      <w:r>
        <w:rPr>
          <w:spacing w:val="2"/>
          <w:w w:val="105"/>
        </w:rPr>
        <w:t>regulations  promulgated </w:t>
      </w:r>
      <w:r>
        <w:rPr>
          <w:spacing w:val="3"/>
          <w:w w:val="105"/>
        </w:rPr>
        <w:t> thereunder.</w:t>
      </w:r>
    </w:p>
    <w:p>
      <w:pPr>
        <w:pStyle w:val="BodyText"/>
        <w:spacing w:line="254" w:lineRule="auto" w:before="1"/>
        <w:ind w:left="100" w:right="105" w:firstLine="360"/>
        <w:jc w:val="both"/>
      </w:pPr>
      <w:r>
        <w:rPr>
          <w:spacing w:val="2"/>
          <w:w w:val="105"/>
        </w:rPr>
        <w:t>Operations </w:t>
      </w:r>
      <w:r>
        <w:rPr>
          <w:w w:val="105"/>
        </w:rPr>
        <w:t>at </w:t>
      </w:r>
      <w:r>
        <w:rPr>
          <w:spacing w:val="2"/>
          <w:w w:val="105"/>
        </w:rPr>
        <w:t>John Wayne </w:t>
      </w:r>
      <w:r>
        <w:rPr>
          <w:w w:val="105"/>
        </w:rPr>
        <w:t>Airport, </w:t>
      </w:r>
      <w:r>
        <w:rPr>
          <w:spacing w:val="8"/>
          <w:w w:val="105"/>
        </w:rPr>
        <w:t>Orange </w:t>
      </w:r>
      <w:r>
        <w:rPr>
          <w:w w:val="105"/>
        </w:rPr>
        <w:t>County, California, are </w:t>
      </w:r>
      <w:r>
        <w:rPr>
          <w:spacing w:val="2"/>
          <w:w w:val="105"/>
        </w:rPr>
        <w:t>governed </w:t>
      </w:r>
      <w:r>
        <w:rPr>
          <w:w w:val="105"/>
        </w:rPr>
        <w:t>by the </w:t>
      </w:r>
      <w:r>
        <w:rPr>
          <w:spacing w:val="3"/>
          <w:w w:val="105"/>
        </w:rPr>
        <w:t>Airport’s </w:t>
      </w:r>
      <w:r>
        <w:rPr>
          <w:w w:val="105"/>
        </w:rPr>
        <w:t>Phase 2 </w:t>
      </w:r>
      <w:r>
        <w:rPr>
          <w:spacing w:val="2"/>
          <w:w w:val="105"/>
        </w:rPr>
        <w:t>Commercial Airline </w:t>
      </w:r>
      <w:r>
        <w:rPr>
          <w:w w:val="105"/>
        </w:rPr>
        <w:t>Access Plan </w:t>
      </w:r>
      <w:r>
        <w:rPr>
          <w:spacing w:val="12"/>
          <w:w w:val="105"/>
        </w:rPr>
        <w:t>and </w:t>
      </w:r>
      <w:r>
        <w:rPr>
          <w:w w:val="105"/>
        </w:rPr>
        <w:t>Regulation  (the  “Plan”).  Pursuant  to  the   </w:t>
      </w:r>
      <w:r>
        <w:rPr>
          <w:spacing w:val="6"/>
          <w:w w:val="105"/>
        </w:rPr>
        <w:t>Plan, </w:t>
      </w:r>
      <w:r>
        <w:rPr>
          <w:w w:val="105"/>
        </w:rPr>
        <w:t>each  airline  is  allocated   total   </w:t>
      </w:r>
      <w:r>
        <w:rPr>
          <w:spacing w:val="2"/>
          <w:w w:val="105"/>
        </w:rPr>
        <w:t>annual   </w:t>
      </w:r>
      <w:r>
        <w:rPr>
          <w:spacing w:val="5"/>
          <w:w w:val="105"/>
        </w:rPr>
        <w:t>seat </w:t>
      </w:r>
      <w:r>
        <w:rPr>
          <w:w w:val="105"/>
        </w:rPr>
        <w:t>capacity to be </w:t>
      </w:r>
      <w:r>
        <w:rPr>
          <w:spacing w:val="2"/>
          <w:w w:val="105"/>
        </w:rPr>
        <w:t>operated </w:t>
      </w:r>
      <w:r>
        <w:rPr>
          <w:w w:val="105"/>
        </w:rPr>
        <w:t>at the airport, subject </w:t>
      </w:r>
      <w:r>
        <w:rPr>
          <w:spacing w:val="4"/>
          <w:w w:val="105"/>
        </w:rPr>
        <w:t>to </w:t>
      </w:r>
      <w:r>
        <w:rPr>
          <w:w w:val="105"/>
        </w:rPr>
        <w:t>renewal/reallocation  on  an  </w:t>
      </w:r>
      <w:r>
        <w:rPr>
          <w:spacing w:val="2"/>
          <w:w w:val="105"/>
        </w:rPr>
        <w:t>annual  </w:t>
      </w:r>
      <w:r>
        <w:rPr>
          <w:w w:val="105"/>
        </w:rPr>
        <w:t>basis.   </w:t>
      </w:r>
      <w:r>
        <w:rPr>
          <w:spacing w:val="7"/>
          <w:w w:val="105"/>
        </w:rPr>
        <w:t>Service </w:t>
      </w:r>
      <w:r>
        <w:rPr>
          <w:w w:val="105"/>
        </w:rPr>
        <w:t>at this airport may be adjusted annually to </w:t>
      </w:r>
      <w:r>
        <w:rPr>
          <w:spacing w:val="12"/>
          <w:w w:val="105"/>
        </w:rPr>
        <w:t>meet </w:t>
      </w:r>
      <w:r>
        <w:rPr>
          <w:spacing w:val="3"/>
          <w:w w:val="105"/>
        </w:rPr>
        <w:t>these </w:t>
      </w:r>
      <w:r>
        <w:rPr>
          <w:spacing w:val="34"/>
          <w:w w:val="105"/>
        </w:rPr>
        <w:t> </w:t>
      </w:r>
      <w:r>
        <w:rPr>
          <w:spacing w:val="4"/>
          <w:w w:val="105"/>
        </w:rPr>
        <w:t>requirements.</w:t>
      </w:r>
    </w:p>
    <w:p>
      <w:pPr>
        <w:pStyle w:val="BodyText"/>
        <w:spacing w:line="254" w:lineRule="auto" w:before="1"/>
        <w:ind w:left="100" w:right="109" w:firstLine="360"/>
        <w:jc w:val="both"/>
      </w:pPr>
      <w:r>
        <w:rPr>
          <w:w w:val="105"/>
        </w:rPr>
        <w:t>The Company is subject  to  </w:t>
      </w:r>
      <w:r>
        <w:rPr>
          <w:spacing w:val="2"/>
          <w:w w:val="105"/>
        </w:rPr>
        <w:t>various  </w:t>
      </w:r>
      <w:r>
        <w:rPr>
          <w:spacing w:val="7"/>
          <w:w w:val="105"/>
        </w:rPr>
        <w:t>other </w:t>
      </w:r>
      <w:r>
        <w:rPr>
          <w:w w:val="105"/>
        </w:rPr>
        <w:t>federal, state, and local laws  and  </w:t>
      </w:r>
      <w:r>
        <w:rPr>
          <w:spacing w:val="5"/>
          <w:w w:val="105"/>
        </w:rPr>
        <w:t>regulations </w:t>
      </w:r>
      <w:r>
        <w:rPr>
          <w:w w:val="105"/>
        </w:rPr>
        <w:t>relating to the </w:t>
      </w:r>
      <w:r>
        <w:rPr>
          <w:spacing w:val="2"/>
          <w:w w:val="105"/>
        </w:rPr>
        <w:t>protection </w:t>
      </w:r>
      <w:r>
        <w:rPr>
          <w:w w:val="105"/>
        </w:rPr>
        <w:t>of the </w:t>
      </w:r>
      <w:r>
        <w:rPr>
          <w:spacing w:val="9"/>
          <w:w w:val="105"/>
        </w:rPr>
        <w:t>environment, </w:t>
      </w:r>
      <w:r>
        <w:rPr>
          <w:spacing w:val="2"/>
          <w:w w:val="105"/>
        </w:rPr>
        <w:t>including </w:t>
      </w:r>
      <w:r>
        <w:rPr>
          <w:w w:val="105"/>
        </w:rPr>
        <w:t>the discharge  or  disposal  of  </w:t>
      </w:r>
      <w:r>
        <w:rPr>
          <w:spacing w:val="5"/>
          <w:w w:val="105"/>
        </w:rPr>
        <w:t>materials </w:t>
      </w:r>
      <w:r>
        <w:rPr>
          <w:w w:val="105"/>
        </w:rPr>
        <w:t>such  as  chemicals,  hazardous  waste,   and   </w:t>
      </w:r>
      <w:r>
        <w:rPr>
          <w:spacing w:val="24"/>
          <w:w w:val="105"/>
        </w:rPr>
        <w:t> </w:t>
      </w:r>
      <w:r>
        <w:rPr>
          <w:spacing w:val="4"/>
          <w:w w:val="105"/>
        </w:rPr>
        <w:t>aircraft</w:t>
      </w:r>
    </w:p>
    <w:p>
      <w:pPr>
        <w:spacing w:after="0" w:line="254" w:lineRule="auto"/>
        <w:jc w:val="both"/>
        <w:sectPr>
          <w:headerReference w:type="default" r:id="rId55"/>
          <w:footerReference w:type="default" r:id="rId56"/>
          <w:footerReference w:type="even" r:id="rId57"/>
          <w:pgSz w:w="11520" w:h="14400"/>
          <w:pgMar w:header="0" w:footer="706" w:top="960" w:bottom="900" w:left="700" w:right="840"/>
          <w:pgNumType w:start="3"/>
          <w:cols w:num="2" w:equalWidth="0">
            <w:col w:w="4737" w:space="403"/>
            <w:col w:w="4840"/>
          </w:cols>
        </w:sectPr>
      </w:pPr>
    </w:p>
    <w:p>
      <w:pPr>
        <w:pStyle w:val="BodyText"/>
        <w:spacing w:line="254" w:lineRule="auto" w:before="69"/>
        <w:ind w:left="100"/>
        <w:jc w:val="both"/>
      </w:pPr>
      <w:r>
        <w:rPr>
          <w:spacing w:val="2"/>
          <w:w w:val="105"/>
        </w:rPr>
        <w:t>deicing </w:t>
      </w:r>
      <w:r>
        <w:rPr>
          <w:w w:val="105"/>
        </w:rPr>
        <w:t>fluid. Potential future regulatory </w:t>
      </w:r>
      <w:r>
        <w:rPr>
          <w:spacing w:val="8"/>
          <w:w w:val="105"/>
        </w:rPr>
        <w:t>develop- </w:t>
      </w:r>
      <w:r>
        <w:rPr>
          <w:w w:val="105"/>
        </w:rPr>
        <w:t>ments </w:t>
      </w:r>
      <w:r>
        <w:rPr>
          <w:spacing w:val="2"/>
          <w:w w:val="105"/>
        </w:rPr>
        <w:t>pertaining </w:t>
      </w:r>
      <w:r>
        <w:rPr>
          <w:w w:val="105"/>
        </w:rPr>
        <w:t>to such  things  as  control  </w:t>
      </w:r>
      <w:r>
        <w:rPr>
          <w:spacing w:val="6"/>
          <w:w w:val="105"/>
        </w:rPr>
        <w:t>of </w:t>
      </w:r>
      <w:r>
        <w:rPr>
          <w:spacing w:val="2"/>
          <w:w w:val="105"/>
        </w:rPr>
        <w:t>engine exhaust emissions </w:t>
      </w:r>
      <w:r>
        <w:rPr>
          <w:w w:val="105"/>
        </w:rPr>
        <w:t>from ground </w:t>
      </w:r>
      <w:r>
        <w:rPr>
          <w:spacing w:val="6"/>
          <w:w w:val="105"/>
        </w:rPr>
        <w:t>support </w:t>
      </w:r>
      <w:r>
        <w:rPr>
          <w:spacing w:val="4"/>
          <w:w w:val="105"/>
        </w:rPr>
        <w:t>equipment </w:t>
      </w:r>
      <w:r>
        <w:rPr>
          <w:w w:val="105"/>
        </w:rPr>
        <w:t>and </w:t>
      </w:r>
      <w:r>
        <w:rPr>
          <w:spacing w:val="3"/>
          <w:w w:val="105"/>
        </w:rPr>
        <w:t>prevention </w:t>
      </w:r>
      <w:r>
        <w:rPr>
          <w:w w:val="105"/>
        </w:rPr>
        <w:t>of leaks </w:t>
      </w:r>
      <w:r>
        <w:rPr>
          <w:spacing w:val="8"/>
          <w:w w:val="105"/>
        </w:rPr>
        <w:t>from </w:t>
      </w:r>
      <w:r>
        <w:rPr>
          <w:spacing w:val="3"/>
          <w:w w:val="105"/>
        </w:rPr>
        <w:t>underground</w:t>
      </w:r>
      <w:r>
        <w:rPr>
          <w:spacing w:val="53"/>
          <w:w w:val="105"/>
        </w:rPr>
        <w:t> </w:t>
      </w:r>
      <w:r>
        <w:rPr>
          <w:w w:val="105"/>
        </w:rPr>
        <w:t>aircraft  fueling  systems  </w:t>
      </w:r>
      <w:r>
        <w:rPr>
          <w:spacing w:val="8"/>
          <w:w w:val="105"/>
        </w:rPr>
        <w:t>could </w:t>
      </w:r>
      <w:r>
        <w:rPr>
          <w:spacing w:val="2"/>
          <w:w w:val="105"/>
        </w:rPr>
        <w:t>increase  operating  </w:t>
      </w:r>
      <w:r>
        <w:rPr>
          <w:w w:val="105"/>
        </w:rPr>
        <w:t>costs  in  the  airline  </w:t>
      </w:r>
      <w:r>
        <w:rPr>
          <w:spacing w:val="4"/>
          <w:w w:val="105"/>
        </w:rPr>
        <w:t>industry. </w:t>
      </w:r>
      <w:r>
        <w:rPr>
          <w:w w:val="105"/>
        </w:rPr>
        <w:t>The Company  does  not  </w:t>
      </w:r>
      <w:r>
        <w:rPr>
          <w:spacing w:val="2"/>
          <w:w w:val="105"/>
        </w:rPr>
        <w:t>believe,  however,  </w:t>
      </w:r>
      <w:r>
        <w:rPr>
          <w:spacing w:val="5"/>
          <w:w w:val="105"/>
        </w:rPr>
        <w:t>that </w:t>
      </w:r>
      <w:r>
        <w:rPr>
          <w:w w:val="105"/>
        </w:rPr>
        <w:t>such </w:t>
      </w:r>
      <w:r>
        <w:rPr>
          <w:spacing w:val="3"/>
          <w:w w:val="105"/>
        </w:rPr>
        <w:t>environmental </w:t>
      </w:r>
      <w:r>
        <w:rPr>
          <w:w w:val="105"/>
        </w:rPr>
        <w:t>regulatory </w:t>
      </w:r>
      <w:r>
        <w:rPr>
          <w:spacing w:val="3"/>
          <w:w w:val="105"/>
        </w:rPr>
        <w:t>developments </w:t>
      </w:r>
      <w:r>
        <w:rPr>
          <w:w w:val="105"/>
        </w:rPr>
        <w:t>will have a material impact on the Company’s </w:t>
      </w:r>
      <w:r>
        <w:rPr>
          <w:spacing w:val="6"/>
          <w:w w:val="105"/>
        </w:rPr>
        <w:t>capital </w:t>
      </w:r>
      <w:r>
        <w:rPr>
          <w:spacing w:val="3"/>
          <w:w w:val="105"/>
        </w:rPr>
        <w:t>expenditures </w:t>
      </w:r>
      <w:r>
        <w:rPr>
          <w:w w:val="105"/>
        </w:rPr>
        <w:t>or otherwise adversely affect its </w:t>
      </w:r>
      <w:r>
        <w:rPr>
          <w:spacing w:val="2"/>
          <w:w w:val="105"/>
        </w:rPr>
        <w:t>operations, operating </w:t>
      </w:r>
      <w:r>
        <w:rPr>
          <w:w w:val="105"/>
        </w:rPr>
        <w:t>costs, or  </w:t>
      </w:r>
      <w:r>
        <w:rPr>
          <w:spacing w:val="9"/>
          <w:w w:val="105"/>
        </w:rPr>
        <w:t>competitive </w:t>
      </w:r>
      <w:r>
        <w:rPr>
          <w:spacing w:val="2"/>
          <w:w w:val="105"/>
        </w:rPr>
        <w:t>position. Additionally, </w:t>
      </w:r>
      <w:r>
        <w:rPr>
          <w:w w:val="105"/>
        </w:rPr>
        <w:t>in </w:t>
      </w:r>
      <w:r>
        <w:rPr>
          <w:spacing w:val="3"/>
          <w:w w:val="105"/>
        </w:rPr>
        <w:t>conjunction </w:t>
      </w:r>
      <w:r>
        <w:rPr>
          <w:w w:val="105"/>
        </w:rPr>
        <w:t>with </w:t>
      </w:r>
      <w:r>
        <w:rPr>
          <w:spacing w:val="6"/>
          <w:w w:val="105"/>
        </w:rPr>
        <w:t>airport </w:t>
      </w:r>
      <w:r>
        <w:rPr>
          <w:spacing w:val="2"/>
          <w:w w:val="105"/>
        </w:rPr>
        <w:t>authorities, </w:t>
      </w:r>
      <w:r>
        <w:rPr>
          <w:w w:val="105"/>
        </w:rPr>
        <w:t>other airlines, and state and </w:t>
      </w:r>
      <w:r>
        <w:rPr>
          <w:spacing w:val="3"/>
          <w:w w:val="105"/>
        </w:rPr>
        <w:t>local environmental</w:t>
      </w:r>
      <w:r>
        <w:rPr>
          <w:spacing w:val="53"/>
          <w:w w:val="105"/>
        </w:rPr>
        <w:t> </w:t>
      </w:r>
      <w:r>
        <w:rPr>
          <w:w w:val="105"/>
        </w:rPr>
        <w:t>regulatory  </w:t>
      </w:r>
      <w:r>
        <w:rPr>
          <w:spacing w:val="2"/>
          <w:w w:val="105"/>
        </w:rPr>
        <w:t>agencies,  </w:t>
      </w:r>
      <w:r>
        <w:rPr>
          <w:w w:val="105"/>
        </w:rPr>
        <w:t>the  </w:t>
      </w:r>
      <w:r>
        <w:rPr>
          <w:spacing w:val="9"/>
          <w:w w:val="105"/>
        </w:rPr>
        <w:t>Company </w:t>
      </w:r>
      <w:r>
        <w:rPr>
          <w:w w:val="105"/>
        </w:rPr>
        <w:t>is </w:t>
      </w:r>
      <w:r>
        <w:rPr>
          <w:spacing w:val="2"/>
          <w:w w:val="105"/>
        </w:rPr>
        <w:t>undertaking </w:t>
      </w:r>
      <w:r>
        <w:rPr>
          <w:w w:val="105"/>
        </w:rPr>
        <w:t>voluntary </w:t>
      </w:r>
      <w:r>
        <w:rPr>
          <w:spacing w:val="3"/>
          <w:w w:val="105"/>
        </w:rPr>
        <w:t>investigation </w:t>
      </w:r>
      <w:r>
        <w:rPr>
          <w:w w:val="105"/>
        </w:rPr>
        <w:t>or </w:t>
      </w:r>
      <w:r>
        <w:rPr>
          <w:spacing w:val="9"/>
          <w:w w:val="105"/>
        </w:rPr>
        <w:t>remedi- </w:t>
      </w:r>
      <w:r>
        <w:rPr>
          <w:w w:val="105"/>
        </w:rPr>
        <w:t>ation of soil or </w:t>
      </w:r>
      <w:r>
        <w:rPr>
          <w:spacing w:val="2"/>
          <w:w w:val="105"/>
        </w:rPr>
        <w:t>groundwater  </w:t>
      </w:r>
      <w:r>
        <w:rPr>
          <w:spacing w:val="4"/>
          <w:w w:val="105"/>
        </w:rPr>
        <w:t>contamination  at </w:t>
      </w:r>
      <w:r>
        <w:rPr>
          <w:w w:val="105"/>
        </w:rPr>
        <w:t>several airport sites. While the full extent of </w:t>
      </w:r>
      <w:r>
        <w:rPr>
          <w:spacing w:val="6"/>
          <w:w w:val="105"/>
        </w:rPr>
        <w:t>any </w:t>
      </w:r>
      <w:r>
        <w:rPr>
          <w:spacing w:val="4"/>
          <w:w w:val="105"/>
        </w:rPr>
        <w:t>contamination </w:t>
      </w:r>
      <w:r>
        <w:rPr>
          <w:w w:val="105"/>
        </w:rPr>
        <w:t>at such sites and the </w:t>
      </w:r>
      <w:r>
        <w:rPr>
          <w:spacing w:val="6"/>
          <w:w w:val="105"/>
        </w:rPr>
        <w:t>parties </w:t>
      </w:r>
      <w:r>
        <w:rPr>
          <w:spacing w:val="2"/>
          <w:w w:val="105"/>
        </w:rPr>
        <w:t>responsible  </w:t>
      </w:r>
      <w:r>
        <w:rPr>
          <w:w w:val="105"/>
        </w:rPr>
        <w:t>for  such  </w:t>
      </w:r>
      <w:r>
        <w:rPr>
          <w:spacing w:val="4"/>
          <w:w w:val="105"/>
        </w:rPr>
        <w:t>contamination  </w:t>
      </w:r>
      <w:r>
        <w:rPr>
          <w:spacing w:val="2"/>
          <w:w w:val="105"/>
        </w:rPr>
        <w:t>have  </w:t>
      </w:r>
      <w:r>
        <w:rPr>
          <w:spacing w:val="6"/>
          <w:w w:val="105"/>
        </w:rPr>
        <w:t>not </w:t>
      </w:r>
      <w:r>
        <w:rPr>
          <w:spacing w:val="2"/>
          <w:w w:val="105"/>
        </w:rPr>
        <w:t>been determined, </w:t>
      </w:r>
      <w:r>
        <w:rPr>
          <w:w w:val="105"/>
        </w:rPr>
        <w:t>the </w:t>
      </w:r>
      <w:r>
        <w:rPr>
          <w:spacing w:val="2"/>
          <w:w w:val="105"/>
        </w:rPr>
        <w:t>Company does </w:t>
      </w:r>
      <w:r>
        <w:rPr>
          <w:w w:val="105"/>
        </w:rPr>
        <w:t>not </w:t>
      </w:r>
      <w:r>
        <w:rPr>
          <w:spacing w:val="10"/>
          <w:w w:val="105"/>
        </w:rPr>
        <w:t>believe </w:t>
      </w:r>
      <w:r>
        <w:rPr>
          <w:w w:val="105"/>
        </w:rPr>
        <w:t>that any </w:t>
      </w:r>
      <w:r>
        <w:rPr>
          <w:spacing w:val="3"/>
          <w:w w:val="105"/>
        </w:rPr>
        <w:t>environmental </w:t>
      </w:r>
      <w:r>
        <w:rPr>
          <w:w w:val="105"/>
        </w:rPr>
        <w:t>liability </w:t>
      </w:r>
      <w:r>
        <w:rPr>
          <w:spacing w:val="2"/>
          <w:w w:val="105"/>
        </w:rPr>
        <w:t>associated  </w:t>
      </w:r>
      <w:r>
        <w:rPr>
          <w:spacing w:val="9"/>
          <w:w w:val="105"/>
        </w:rPr>
        <w:t>with  </w:t>
      </w:r>
      <w:r>
        <w:rPr>
          <w:w w:val="105"/>
        </w:rPr>
        <w:t>such sites will have  a  material  </w:t>
      </w:r>
      <w:r>
        <w:rPr>
          <w:spacing w:val="2"/>
          <w:w w:val="105"/>
        </w:rPr>
        <w:t>adverse  </w:t>
      </w:r>
      <w:r>
        <w:rPr>
          <w:w w:val="105"/>
        </w:rPr>
        <w:t>effect  </w:t>
      </w:r>
      <w:r>
        <w:rPr>
          <w:spacing w:val="12"/>
          <w:w w:val="105"/>
        </w:rPr>
        <w:t>on </w:t>
      </w:r>
      <w:r>
        <w:rPr>
          <w:w w:val="105"/>
        </w:rPr>
        <w:t>the  Company’s  operations,  costs,  or  </w:t>
      </w:r>
      <w:r>
        <w:rPr>
          <w:spacing w:val="27"/>
          <w:w w:val="105"/>
        </w:rPr>
        <w:t> </w:t>
      </w:r>
      <w:r>
        <w:rPr>
          <w:w w:val="105"/>
        </w:rPr>
        <w:t>profitability.</w:t>
      </w:r>
    </w:p>
    <w:p>
      <w:pPr>
        <w:pStyle w:val="BodyText"/>
        <w:spacing w:before="4"/>
        <w:rPr>
          <w:sz w:val="21"/>
        </w:rPr>
      </w:pPr>
    </w:p>
    <w:p>
      <w:pPr>
        <w:pStyle w:val="BodyText"/>
        <w:spacing w:line="254" w:lineRule="auto"/>
        <w:ind w:left="100" w:right="1" w:firstLine="180"/>
        <w:jc w:val="both"/>
      </w:pPr>
      <w:r>
        <w:rPr>
          <w:i/>
          <w:w w:val="105"/>
        </w:rPr>
        <w:t>Customer  Service   </w:t>
      </w:r>
      <w:r>
        <w:rPr>
          <w:i/>
          <w:spacing w:val="3"/>
          <w:w w:val="105"/>
        </w:rPr>
        <w:t>Commitment</w:t>
      </w:r>
      <w:r>
        <w:rPr>
          <w:spacing w:val="3"/>
          <w:w w:val="105"/>
        </w:rPr>
        <w:t>.   </w:t>
      </w:r>
      <w:r>
        <w:rPr>
          <w:w w:val="105"/>
        </w:rPr>
        <w:t>During   1999, the airline </w:t>
      </w:r>
      <w:r>
        <w:rPr>
          <w:spacing w:val="2"/>
          <w:w w:val="105"/>
        </w:rPr>
        <w:t>transportation </w:t>
      </w:r>
      <w:r>
        <w:rPr>
          <w:w w:val="105"/>
        </w:rPr>
        <w:t>industry faced </w:t>
      </w:r>
      <w:r>
        <w:rPr>
          <w:spacing w:val="6"/>
          <w:w w:val="105"/>
        </w:rPr>
        <w:t>possible </w:t>
      </w:r>
      <w:r>
        <w:rPr>
          <w:w w:val="105"/>
        </w:rPr>
        <w:t>legislation dealing with certain customer </w:t>
      </w:r>
      <w:r>
        <w:rPr>
          <w:spacing w:val="7"/>
          <w:w w:val="105"/>
        </w:rPr>
        <w:t>service </w:t>
      </w:r>
      <w:r>
        <w:rPr>
          <w:w w:val="105"/>
        </w:rPr>
        <w:t>practices. As a </w:t>
      </w:r>
      <w:r>
        <w:rPr>
          <w:spacing w:val="3"/>
          <w:w w:val="105"/>
        </w:rPr>
        <w:t>compromise </w:t>
      </w:r>
      <w:r>
        <w:rPr>
          <w:w w:val="105"/>
        </w:rPr>
        <w:t>with Congress, </w:t>
      </w:r>
      <w:r>
        <w:rPr>
          <w:spacing w:val="6"/>
          <w:w w:val="105"/>
        </w:rPr>
        <w:t>the </w:t>
      </w:r>
      <w:r>
        <w:rPr>
          <w:w w:val="105"/>
        </w:rPr>
        <w:t>industry, working with  the  Air  </w:t>
      </w:r>
      <w:r>
        <w:rPr>
          <w:spacing w:val="4"/>
          <w:w w:val="105"/>
        </w:rPr>
        <w:t>Transport </w:t>
      </w:r>
      <w:r>
        <w:rPr>
          <w:spacing w:val="2"/>
          <w:w w:val="105"/>
        </w:rPr>
        <w:t>Association,  responded  </w:t>
      </w:r>
      <w:r>
        <w:rPr>
          <w:w w:val="105"/>
        </w:rPr>
        <w:t>by  </w:t>
      </w:r>
      <w:r>
        <w:rPr>
          <w:spacing w:val="2"/>
          <w:w w:val="105"/>
        </w:rPr>
        <w:t>adopting  </w:t>
      </w:r>
      <w:r>
        <w:rPr>
          <w:w w:val="105"/>
        </w:rPr>
        <w:t>and   </w:t>
      </w:r>
      <w:r>
        <w:rPr>
          <w:spacing w:val="5"/>
          <w:w w:val="105"/>
        </w:rPr>
        <w:t>filing </w:t>
      </w:r>
      <w:r>
        <w:rPr>
          <w:w w:val="105"/>
        </w:rPr>
        <w:t>with the  DOT  written  plans  disclosing  how  </w:t>
      </w:r>
      <w:r>
        <w:rPr>
          <w:spacing w:val="4"/>
          <w:w w:val="105"/>
        </w:rPr>
        <w:t>it  </w:t>
      </w:r>
      <w:r>
        <w:rPr>
          <w:spacing w:val="2"/>
          <w:w w:val="105"/>
        </w:rPr>
        <w:t>would commit </w:t>
      </w:r>
      <w:r>
        <w:rPr>
          <w:w w:val="105"/>
        </w:rPr>
        <w:t>to </w:t>
      </w:r>
      <w:r>
        <w:rPr>
          <w:spacing w:val="3"/>
          <w:w w:val="105"/>
        </w:rPr>
        <w:t>improving </w:t>
      </w:r>
      <w:r>
        <w:rPr>
          <w:spacing w:val="7"/>
          <w:w w:val="105"/>
        </w:rPr>
        <w:t>performance. </w:t>
      </w:r>
      <w:r>
        <w:rPr>
          <w:w w:val="105"/>
        </w:rPr>
        <w:t>Southwest Airlines </w:t>
      </w:r>
      <w:r>
        <w:rPr>
          <w:spacing w:val="2"/>
          <w:w w:val="105"/>
        </w:rPr>
        <w:t>formalized </w:t>
      </w:r>
      <w:r>
        <w:rPr>
          <w:w w:val="105"/>
        </w:rPr>
        <w:t>its </w:t>
      </w:r>
      <w:r>
        <w:rPr>
          <w:spacing w:val="3"/>
          <w:w w:val="105"/>
        </w:rPr>
        <w:t>dedication </w:t>
      </w:r>
      <w:r>
        <w:rPr>
          <w:spacing w:val="4"/>
          <w:w w:val="105"/>
        </w:rPr>
        <w:t>to </w:t>
      </w:r>
      <w:r>
        <w:rPr>
          <w:w w:val="105"/>
        </w:rPr>
        <w:t>Customer Satisfaction by </w:t>
      </w:r>
      <w:r>
        <w:rPr>
          <w:spacing w:val="2"/>
          <w:w w:val="105"/>
        </w:rPr>
        <w:t>adopting </w:t>
      </w:r>
      <w:r>
        <w:rPr>
          <w:w w:val="105"/>
        </w:rPr>
        <w:t>its </w:t>
      </w:r>
      <w:r>
        <w:rPr>
          <w:spacing w:val="5"/>
          <w:w w:val="105"/>
        </w:rPr>
        <w:t>Customer </w:t>
      </w:r>
      <w:r>
        <w:rPr>
          <w:w w:val="105"/>
        </w:rPr>
        <w:t>Service  </w:t>
      </w:r>
      <w:r>
        <w:rPr>
          <w:spacing w:val="3"/>
          <w:w w:val="105"/>
        </w:rPr>
        <w:t>Commitment,</w:t>
      </w:r>
      <w:r>
        <w:rPr>
          <w:spacing w:val="53"/>
          <w:w w:val="105"/>
        </w:rPr>
        <w:t> </w:t>
      </w:r>
      <w:r>
        <w:rPr>
          <w:w w:val="105"/>
        </w:rPr>
        <w:t>a  </w:t>
      </w:r>
      <w:r>
        <w:rPr>
          <w:spacing w:val="4"/>
          <w:w w:val="105"/>
        </w:rPr>
        <w:t>comprehensive  </w:t>
      </w:r>
      <w:r>
        <w:rPr>
          <w:spacing w:val="9"/>
          <w:w w:val="105"/>
        </w:rPr>
        <w:t>plan  </w:t>
      </w:r>
      <w:r>
        <w:rPr>
          <w:spacing w:val="2"/>
          <w:w w:val="105"/>
        </w:rPr>
        <w:t>which </w:t>
      </w:r>
      <w:r>
        <w:rPr>
          <w:spacing w:val="3"/>
          <w:w w:val="105"/>
        </w:rPr>
        <w:t>embodies </w:t>
      </w:r>
      <w:r>
        <w:rPr>
          <w:w w:val="105"/>
        </w:rPr>
        <w:t>the  Mission  Statement  </w:t>
      </w:r>
      <w:r>
        <w:rPr>
          <w:spacing w:val="6"/>
          <w:w w:val="105"/>
        </w:rPr>
        <w:t>of </w:t>
      </w:r>
      <w:r>
        <w:rPr>
          <w:w w:val="105"/>
        </w:rPr>
        <w:t>Southwest Airlines:  </w:t>
      </w:r>
      <w:r>
        <w:rPr>
          <w:spacing w:val="3"/>
          <w:w w:val="105"/>
        </w:rPr>
        <w:t>dedication</w:t>
      </w:r>
      <w:r>
        <w:rPr>
          <w:spacing w:val="53"/>
          <w:w w:val="105"/>
        </w:rPr>
        <w:t> </w:t>
      </w:r>
      <w:r>
        <w:rPr>
          <w:w w:val="105"/>
        </w:rPr>
        <w:t>to  the  </w:t>
      </w:r>
      <w:r>
        <w:rPr>
          <w:spacing w:val="6"/>
          <w:w w:val="105"/>
        </w:rPr>
        <w:t>highest </w:t>
      </w:r>
      <w:r>
        <w:rPr>
          <w:w w:val="105"/>
        </w:rPr>
        <w:t>quality  of  Customer  Service  </w:t>
      </w:r>
      <w:r>
        <w:rPr>
          <w:spacing w:val="2"/>
          <w:w w:val="105"/>
        </w:rPr>
        <w:t>delivered  </w:t>
      </w:r>
      <w:r>
        <w:rPr>
          <w:w w:val="105"/>
        </w:rPr>
        <w:t>with   a  sense  of  warmth,  friendliness,  </w:t>
      </w:r>
      <w:r>
        <w:rPr>
          <w:spacing w:val="4"/>
          <w:w w:val="105"/>
        </w:rPr>
        <w:t>individual  </w:t>
      </w:r>
      <w:r>
        <w:rPr>
          <w:spacing w:val="8"/>
          <w:w w:val="105"/>
        </w:rPr>
        <w:t>pride, </w:t>
      </w:r>
      <w:r>
        <w:rPr>
          <w:w w:val="105"/>
        </w:rPr>
        <w:t>and </w:t>
      </w:r>
      <w:r>
        <w:rPr>
          <w:spacing w:val="2"/>
          <w:w w:val="105"/>
        </w:rPr>
        <w:t>Company </w:t>
      </w:r>
      <w:r>
        <w:rPr>
          <w:w w:val="105"/>
        </w:rPr>
        <w:t>Spirit. The Customer </w:t>
      </w:r>
      <w:r>
        <w:rPr>
          <w:spacing w:val="7"/>
          <w:w w:val="105"/>
        </w:rPr>
        <w:t>Service </w:t>
      </w:r>
      <w:r>
        <w:rPr>
          <w:spacing w:val="3"/>
          <w:w w:val="105"/>
        </w:rPr>
        <w:t>Commitment </w:t>
      </w:r>
      <w:r>
        <w:rPr>
          <w:w w:val="105"/>
        </w:rPr>
        <w:t>can be  </w:t>
      </w:r>
      <w:r>
        <w:rPr>
          <w:spacing w:val="3"/>
          <w:w w:val="105"/>
        </w:rPr>
        <w:t>reviewed</w:t>
      </w:r>
      <w:r>
        <w:rPr>
          <w:spacing w:val="53"/>
          <w:w w:val="105"/>
        </w:rPr>
        <w:t> </w:t>
      </w:r>
      <w:r>
        <w:rPr>
          <w:w w:val="105"/>
        </w:rPr>
        <w:t>by  clicking  </w:t>
      </w:r>
      <w:r>
        <w:rPr>
          <w:spacing w:val="12"/>
          <w:w w:val="105"/>
        </w:rPr>
        <w:t>on </w:t>
      </w:r>
      <w:r>
        <w:rPr>
          <w:w w:val="105"/>
        </w:rPr>
        <w:t>“About SWA” at </w:t>
      </w:r>
      <w:r>
        <w:rPr>
          <w:spacing w:val="2"/>
          <w:w w:val="105"/>
        </w:rPr>
        <w:t>southwest.com. </w:t>
      </w:r>
      <w:r>
        <w:rPr>
          <w:w w:val="105"/>
        </w:rPr>
        <w:t>Congress </w:t>
      </w:r>
      <w:r>
        <w:rPr>
          <w:spacing w:val="4"/>
          <w:w w:val="105"/>
        </w:rPr>
        <w:t>is </w:t>
      </w:r>
      <w:r>
        <w:rPr>
          <w:spacing w:val="2"/>
          <w:w w:val="105"/>
        </w:rPr>
        <w:t>expected </w:t>
      </w:r>
      <w:r>
        <w:rPr>
          <w:w w:val="105"/>
        </w:rPr>
        <w:t>to </w:t>
      </w:r>
      <w:r>
        <w:rPr>
          <w:spacing w:val="2"/>
          <w:w w:val="105"/>
        </w:rPr>
        <w:t>monitor </w:t>
      </w:r>
      <w:r>
        <w:rPr>
          <w:w w:val="105"/>
        </w:rPr>
        <w:t>the effects of the </w:t>
      </w:r>
      <w:r>
        <w:rPr>
          <w:spacing w:val="3"/>
          <w:w w:val="105"/>
        </w:rPr>
        <w:t>industry’s </w:t>
      </w:r>
      <w:r>
        <w:rPr>
          <w:w w:val="105"/>
        </w:rPr>
        <w:t>plans, and there can  be  no  assurance  </w:t>
      </w:r>
      <w:r>
        <w:rPr>
          <w:spacing w:val="5"/>
          <w:w w:val="105"/>
        </w:rPr>
        <w:t>that </w:t>
      </w:r>
      <w:r>
        <w:rPr>
          <w:w w:val="105"/>
        </w:rPr>
        <w:t>legislation will not be </w:t>
      </w:r>
      <w:r>
        <w:rPr>
          <w:spacing w:val="2"/>
          <w:w w:val="105"/>
        </w:rPr>
        <w:t>proposed </w:t>
      </w:r>
      <w:r>
        <w:rPr>
          <w:w w:val="105"/>
        </w:rPr>
        <w:t>in the future </w:t>
      </w:r>
      <w:r>
        <w:rPr>
          <w:spacing w:val="4"/>
          <w:w w:val="105"/>
        </w:rPr>
        <w:t>to </w:t>
      </w:r>
      <w:r>
        <w:rPr>
          <w:w w:val="105"/>
        </w:rPr>
        <w:t>regulate   airline   customer   service</w:t>
      </w:r>
      <w:r>
        <w:rPr>
          <w:spacing w:val="19"/>
          <w:w w:val="105"/>
        </w:rPr>
        <w:t> </w:t>
      </w:r>
      <w:r>
        <w:rPr>
          <w:w w:val="105"/>
        </w:rPr>
        <w:t>practices.</w:t>
      </w:r>
    </w:p>
    <w:p>
      <w:pPr>
        <w:pStyle w:val="BodyText"/>
        <w:spacing w:before="76"/>
        <w:ind w:left="100"/>
        <w:jc w:val="both"/>
        <w:rPr>
          <w:rFonts w:ascii="Franklin Gothic Medium"/>
        </w:rPr>
      </w:pPr>
      <w:r>
        <w:rPr/>
        <w:br w:type="column"/>
      </w:r>
      <w:r>
        <w:rPr>
          <w:rFonts w:ascii="Franklin Gothic Medium"/>
        </w:rPr>
        <w:t>Marketing  and Competition</w:t>
      </w:r>
    </w:p>
    <w:p>
      <w:pPr>
        <w:pStyle w:val="BodyText"/>
        <w:spacing w:before="1"/>
        <w:rPr>
          <w:rFonts w:ascii="Franklin Gothic Medium"/>
          <w:sz w:val="25"/>
        </w:rPr>
      </w:pPr>
    </w:p>
    <w:p>
      <w:pPr>
        <w:pStyle w:val="BodyText"/>
        <w:spacing w:line="254" w:lineRule="auto" w:before="1"/>
        <w:ind w:left="100" w:right="111" w:firstLine="180"/>
        <w:jc w:val="both"/>
      </w:pPr>
      <w:r>
        <w:rPr>
          <w:w w:val="105"/>
        </w:rPr>
        <w:t>Southwest focuses principally on </w:t>
      </w:r>
      <w:r>
        <w:rPr>
          <w:spacing w:val="6"/>
          <w:w w:val="105"/>
        </w:rPr>
        <w:t>point-to-point, </w:t>
      </w:r>
      <w:r>
        <w:rPr>
          <w:w w:val="105"/>
        </w:rPr>
        <w:t>rather  than  </w:t>
      </w:r>
      <w:r>
        <w:rPr>
          <w:spacing w:val="3"/>
          <w:w w:val="105"/>
        </w:rPr>
        <w:t>hub-and-spoke,</w:t>
      </w:r>
      <w:r>
        <w:rPr>
          <w:spacing w:val="53"/>
          <w:w w:val="105"/>
        </w:rPr>
        <w:t> </w:t>
      </w:r>
      <w:r>
        <w:rPr>
          <w:w w:val="105"/>
        </w:rPr>
        <w:t>service  in   </w:t>
      </w:r>
      <w:r>
        <w:rPr>
          <w:spacing w:val="4"/>
          <w:w w:val="105"/>
        </w:rPr>
        <w:t>markets </w:t>
      </w:r>
      <w:r>
        <w:rPr>
          <w:w w:val="105"/>
        </w:rPr>
        <w:t>with frequent, </w:t>
      </w:r>
      <w:r>
        <w:rPr>
          <w:spacing w:val="2"/>
          <w:w w:val="105"/>
        </w:rPr>
        <w:t>conveniently timed </w:t>
      </w:r>
      <w:r>
        <w:rPr>
          <w:w w:val="105"/>
        </w:rPr>
        <w:t>flights and </w:t>
      </w:r>
      <w:r>
        <w:rPr>
          <w:spacing w:val="3"/>
          <w:w w:val="105"/>
        </w:rPr>
        <w:t>low </w:t>
      </w:r>
      <w:r>
        <w:rPr>
          <w:w w:val="105"/>
        </w:rPr>
        <w:t>fares. For </w:t>
      </w:r>
      <w:r>
        <w:rPr>
          <w:spacing w:val="2"/>
          <w:w w:val="105"/>
        </w:rPr>
        <w:t>example,  </w:t>
      </w:r>
      <w:r>
        <w:rPr>
          <w:w w:val="105"/>
        </w:rPr>
        <w:t>Southwest’s  </w:t>
      </w:r>
      <w:r>
        <w:rPr>
          <w:spacing w:val="2"/>
          <w:w w:val="105"/>
        </w:rPr>
        <w:t>average  </w:t>
      </w:r>
      <w:r>
        <w:rPr>
          <w:spacing w:val="4"/>
          <w:w w:val="105"/>
        </w:rPr>
        <w:t>aircraft </w:t>
      </w:r>
      <w:r>
        <w:rPr>
          <w:w w:val="105"/>
        </w:rPr>
        <w:t>trip stage length in 2002 was 548 miles with </w:t>
      </w:r>
      <w:r>
        <w:rPr>
          <w:spacing w:val="12"/>
          <w:w w:val="105"/>
        </w:rPr>
        <w:t>an </w:t>
      </w:r>
      <w:r>
        <w:rPr>
          <w:spacing w:val="2"/>
          <w:w w:val="105"/>
        </w:rPr>
        <w:t>average duration </w:t>
      </w:r>
      <w:r>
        <w:rPr>
          <w:w w:val="105"/>
        </w:rPr>
        <w:t>of </w:t>
      </w:r>
      <w:r>
        <w:rPr>
          <w:spacing w:val="3"/>
          <w:w w:val="105"/>
        </w:rPr>
        <w:t>approximately </w:t>
      </w:r>
      <w:r>
        <w:rPr>
          <w:w w:val="105"/>
        </w:rPr>
        <w:t>1.5 hours. At yearend,  Southwest  served   338   nonstop   city </w:t>
      </w:r>
      <w:r>
        <w:rPr>
          <w:spacing w:val="5"/>
          <w:w w:val="105"/>
        </w:rPr>
        <w:t>pairs.</w:t>
      </w:r>
    </w:p>
    <w:p>
      <w:pPr>
        <w:pStyle w:val="BodyText"/>
        <w:spacing w:line="254" w:lineRule="auto" w:before="1"/>
        <w:ind w:left="100" w:right="105" w:firstLine="180"/>
        <w:jc w:val="both"/>
      </w:pPr>
      <w:r>
        <w:rPr>
          <w:w w:val="105"/>
        </w:rPr>
        <w:t>Southwest’s </w:t>
      </w:r>
      <w:r>
        <w:rPr>
          <w:spacing w:val="2"/>
          <w:w w:val="105"/>
        </w:rPr>
        <w:t>point-to-point </w:t>
      </w:r>
      <w:r>
        <w:rPr>
          <w:w w:val="105"/>
        </w:rPr>
        <w:t>route system, </w:t>
      </w:r>
      <w:r>
        <w:rPr>
          <w:spacing w:val="4"/>
          <w:w w:val="105"/>
        </w:rPr>
        <w:t>as </w:t>
      </w:r>
      <w:r>
        <w:rPr>
          <w:spacing w:val="2"/>
          <w:w w:val="105"/>
        </w:rPr>
        <w:t>compared </w:t>
      </w:r>
      <w:r>
        <w:rPr>
          <w:w w:val="105"/>
        </w:rPr>
        <w:t>to </w:t>
      </w:r>
      <w:r>
        <w:rPr>
          <w:spacing w:val="2"/>
          <w:w w:val="105"/>
        </w:rPr>
        <w:t>hub-and-spoke, provides </w:t>
      </w:r>
      <w:r>
        <w:rPr>
          <w:w w:val="105"/>
        </w:rPr>
        <w:t>for </w:t>
      </w:r>
      <w:r>
        <w:rPr>
          <w:spacing w:val="12"/>
          <w:w w:val="105"/>
        </w:rPr>
        <w:t>more </w:t>
      </w:r>
      <w:r>
        <w:rPr>
          <w:w w:val="105"/>
        </w:rPr>
        <w:t>direct nonstop routings for  Customers  </w:t>
      </w:r>
      <w:r>
        <w:rPr>
          <w:spacing w:val="12"/>
          <w:w w:val="105"/>
        </w:rPr>
        <w:t>and, </w:t>
      </w:r>
      <w:r>
        <w:rPr>
          <w:w w:val="105"/>
        </w:rPr>
        <w:t>therefore,  </w:t>
      </w:r>
      <w:r>
        <w:rPr>
          <w:spacing w:val="3"/>
          <w:w w:val="105"/>
        </w:rPr>
        <w:t>minimizes</w:t>
      </w:r>
      <w:r>
        <w:rPr>
          <w:spacing w:val="53"/>
          <w:w w:val="105"/>
        </w:rPr>
        <w:t> </w:t>
      </w:r>
      <w:r>
        <w:rPr>
          <w:spacing w:val="3"/>
          <w:w w:val="105"/>
        </w:rPr>
        <w:t>connections,</w:t>
      </w:r>
      <w:r>
        <w:rPr>
          <w:spacing w:val="53"/>
          <w:w w:val="105"/>
        </w:rPr>
        <w:t> </w:t>
      </w:r>
      <w:r>
        <w:rPr>
          <w:w w:val="105"/>
        </w:rPr>
        <w:t>delays,   </w:t>
      </w:r>
      <w:r>
        <w:rPr>
          <w:spacing w:val="12"/>
          <w:w w:val="105"/>
        </w:rPr>
        <w:t>and </w:t>
      </w:r>
      <w:r>
        <w:rPr>
          <w:w w:val="105"/>
        </w:rPr>
        <w:t>total  trip  time.  Southwest  focuses  on  </w:t>
      </w:r>
      <w:r>
        <w:rPr>
          <w:spacing w:val="7"/>
          <w:w w:val="105"/>
        </w:rPr>
        <w:t>nonstop,  </w:t>
      </w:r>
      <w:r>
        <w:rPr>
          <w:w w:val="105"/>
        </w:rPr>
        <w:t>not  connecting,  traffic.  As  a  result, </w:t>
      </w:r>
      <w:r>
        <w:rPr>
          <w:spacing w:val="20"/>
          <w:w w:val="105"/>
        </w:rPr>
        <w:t> </w:t>
      </w:r>
      <w:r>
        <w:rPr>
          <w:spacing w:val="7"/>
          <w:w w:val="105"/>
        </w:rPr>
        <w:t>approximately</w:t>
      </w:r>
    </w:p>
    <w:p>
      <w:pPr>
        <w:pStyle w:val="BodyText"/>
        <w:spacing w:line="254" w:lineRule="auto" w:before="1"/>
        <w:ind w:left="100" w:right="105"/>
        <w:jc w:val="both"/>
      </w:pPr>
      <w:r>
        <w:rPr>
          <w:w w:val="105"/>
        </w:rPr>
        <w:t>77 percent  of  the  Company’s  Customers  </w:t>
      </w:r>
      <w:r>
        <w:rPr>
          <w:spacing w:val="-4"/>
          <w:w w:val="105"/>
        </w:rPr>
        <w:t>fly </w:t>
      </w:r>
      <w:r>
        <w:rPr>
          <w:w w:val="105"/>
        </w:rPr>
        <w:t>nonstop. In </w:t>
      </w:r>
      <w:r>
        <w:rPr>
          <w:spacing w:val="3"/>
          <w:w w:val="105"/>
        </w:rPr>
        <w:t>addition, </w:t>
      </w:r>
      <w:r>
        <w:rPr>
          <w:w w:val="105"/>
        </w:rPr>
        <w:t>Southwest serves </w:t>
      </w:r>
      <w:r>
        <w:rPr>
          <w:spacing w:val="12"/>
          <w:w w:val="105"/>
        </w:rPr>
        <w:t>many </w:t>
      </w:r>
      <w:r>
        <w:rPr>
          <w:spacing w:val="2"/>
          <w:w w:val="105"/>
        </w:rPr>
        <w:t>conveniently </w:t>
      </w:r>
      <w:r>
        <w:rPr>
          <w:w w:val="105"/>
        </w:rPr>
        <w:t>located  satellite  or  </w:t>
      </w:r>
      <w:r>
        <w:rPr>
          <w:spacing w:val="10"/>
          <w:w w:val="105"/>
        </w:rPr>
        <w:t>downtown </w:t>
      </w:r>
      <w:r>
        <w:rPr>
          <w:w w:val="105"/>
        </w:rPr>
        <w:t>airports  such  as  Dallas  Love  Field,   </w:t>
      </w:r>
      <w:r>
        <w:rPr>
          <w:spacing w:val="8"/>
          <w:w w:val="105"/>
        </w:rPr>
        <w:t>Houston </w:t>
      </w:r>
      <w:r>
        <w:rPr>
          <w:w w:val="105"/>
        </w:rPr>
        <w:t>Hobby, Chicago Midway, </w:t>
      </w:r>
      <w:r>
        <w:rPr>
          <w:spacing w:val="6"/>
          <w:w w:val="105"/>
        </w:rPr>
        <w:t>Baltimore-Washington </w:t>
      </w:r>
      <w:r>
        <w:rPr>
          <w:spacing w:val="2"/>
          <w:w w:val="105"/>
        </w:rPr>
        <w:t>International,   </w:t>
      </w:r>
      <w:r>
        <w:rPr>
          <w:w w:val="105"/>
        </w:rPr>
        <w:t>Burbank,   </w:t>
      </w:r>
      <w:r>
        <w:rPr>
          <w:spacing w:val="2"/>
          <w:w w:val="105"/>
        </w:rPr>
        <w:t>Manchester,    </w:t>
      </w:r>
      <w:r>
        <w:rPr>
          <w:spacing w:val="6"/>
          <w:w w:val="105"/>
        </w:rPr>
        <w:t>Oakland, </w:t>
      </w:r>
      <w:r>
        <w:rPr>
          <w:w w:val="105"/>
        </w:rPr>
        <w:t>San Jose, </w:t>
      </w:r>
      <w:r>
        <w:rPr>
          <w:spacing w:val="3"/>
          <w:w w:val="105"/>
        </w:rPr>
        <w:t>Providence,</w:t>
      </w:r>
      <w:r>
        <w:rPr>
          <w:spacing w:val="53"/>
          <w:w w:val="105"/>
        </w:rPr>
        <w:t> </w:t>
      </w:r>
      <w:r>
        <w:rPr>
          <w:w w:val="105"/>
        </w:rPr>
        <w:t>Ft.  </w:t>
      </w:r>
      <w:r>
        <w:rPr>
          <w:spacing w:val="5"/>
          <w:w w:val="105"/>
        </w:rPr>
        <w:t>Lauderdale/Hollywood </w:t>
      </w:r>
      <w:r>
        <w:rPr>
          <w:w w:val="105"/>
        </w:rPr>
        <w:t>and Long Island airports, which are typically less congested than other airlines’ hub airports </w:t>
      </w:r>
      <w:r>
        <w:rPr>
          <w:spacing w:val="12"/>
          <w:w w:val="105"/>
        </w:rPr>
        <w:t>and </w:t>
      </w:r>
      <w:r>
        <w:rPr>
          <w:spacing w:val="3"/>
          <w:w w:val="105"/>
        </w:rPr>
        <w:t>enhance </w:t>
      </w:r>
      <w:r>
        <w:rPr>
          <w:w w:val="105"/>
        </w:rPr>
        <w:t>the Company’s ability to sustain </w:t>
      </w:r>
      <w:r>
        <w:rPr>
          <w:spacing w:val="12"/>
          <w:w w:val="105"/>
        </w:rPr>
        <w:t>high </w:t>
      </w:r>
      <w:r>
        <w:rPr>
          <w:spacing w:val="2"/>
          <w:w w:val="105"/>
        </w:rPr>
        <w:t>Employee productivity </w:t>
      </w:r>
      <w:r>
        <w:rPr>
          <w:w w:val="105"/>
        </w:rPr>
        <w:t>and reliable </w:t>
      </w:r>
      <w:r>
        <w:rPr>
          <w:spacing w:val="12"/>
          <w:w w:val="105"/>
        </w:rPr>
        <w:t>ontime </w:t>
      </w:r>
      <w:r>
        <w:rPr>
          <w:w w:val="105"/>
        </w:rPr>
        <w:t>performance. This operating strategy also  </w:t>
      </w:r>
      <w:r>
        <w:rPr>
          <w:spacing w:val="6"/>
          <w:w w:val="105"/>
        </w:rPr>
        <w:t>permits </w:t>
      </w:r>
      <w:r>
        <w:rPr>
          <w:w w:val="105"/>
        </w:rPr>
        <w:t>the </w:t>
      </w:r>
      <w:r>
        <w:rPr>
          <w:spacing w:val="2"/>
          <w:w w:val="105"/>
        </w:rPr>
        <w:t>Company </w:t>
      </w:r>
      <w:r>
        <w:rPr>
          <w:w w:val="105"/>
        </w:rPr>
        <w:t>to </w:t>
      </w:r>
      <w:r>
        <w:rPr>
          <w:spacing w:val="3"/>
          <w:w w:val="105"/>
        </w:rPr>
        <w:t>achieve </w:t>
      </w:r>
      <w:r>
        <w:rPr>
          <w:w w:val="105"/>
        </w:rPr>
        <w:t>high asset </w:t>
      </w:r>
      <w:r>
        <w:rPr>
          <w:spacing w:val="5"/>
          <w:w w:val="105"/>
        </w:rPr>
        <w:t>utilization. </w:t>
      </w:r>
      <w:r>
        <w:rPr>
          <w:w w:val="105"/>
        </w:rPr>
        <w:t>Aircraft are scheduled to minimize the </w:t>
      </w:r>
      <w:r>
        <w:rPr>
          <w:spacing w:val="2"/>
          <w:w w:val="105"/>
        </w:rPr>
        <w:t>amount  </w:t>
      </w:r>
      <w:r>
        <w:rPr>
          <w:spacing w:val="6"/>
          <w:w w:val="105"/>
        </w:rPr>
        <w:t>of </w:t>
      </w:r>
      <w:r>
        <w:rPr>
          <w:w w:val="105"/>
        </w:rPr>
        <w:t>time the aircraft are at the gate, currently </w:t>
      </w:r>
      <w:r>
        <w:rPr>
          <w:spacing w:val="3"/>
          <w:w w:val="105"/>
        </w:rPr>
        <w:t>approximately </w:t>
      </w:r>
      <w:r>
        <w:rPr>
          <w:w w:val="105"/>
        </w:rPr>
        <w:t>25 </w:t>
      </w:r>
      <w:r>
        <w:rPr>
          <w:spacing w:val="2"/>
          <w:w w:val="105"/>
        </w:rPr>
        <w:t>minutes, </w:t>
      </w:r>
      <w:r>
        <w:rPr>
          <w:w w:val="105"/>
        </w:rPr>
        <w:t>thereby </w:t>
      </w:r>
      <w:r>
        <w:rPr>
          <w:spacing w:val="2"/>
          <w:w w:val="105"/>
        </w:rPr>
        <w:t>reducing </w:t>
      </w:r>
      <w:r>
        <w:rPr>
          <w:spacing w:val="6"/>
          <w:w w:val="105"/>
        </w:rPr>
        <w:t>the </w:t>
      </w:r>
      <w:r>
        <w:rPr>
          <w:spacing w:val="2"/>
          <w:w w:val="105"/>
        </w:rPr>
        <w:t>number </w:t>
      </w:r>
      <w:r>
        <w:rPr>
          <w:w w:val="105"/>
        </w:rPr>
        <w:t>of aircraft and gate facilities that </w:t>
      </w:r>
      <w:r>
        <w:rPr>
          <w:spacing w:val="9"/>
          <w:w w:val="105"/>
        </w:rPr>
        <w:t>would </w:t>
      </w:r>
      <w:r>
        <w:rPr>
          <w:spacing w:val="2"/>
          <w:w w:val="105"/>
        </w:rPr>
        <w:t>otherwise </w:t>
      </w:r>
      <w:r>
        <w:rPr>
          <w:w w:val="105"/>
        </w:rPr>
        <w:t>be </w:t>
      </w:r>
      <w:r>
        <w:rPr>
          <w:spacing w:val="2"/>
          <w:w w:val="105"/>
        </w:rPr>
        <w:t>required.  </w:t>
      </w:r>
      <w:r>
        <w:rPr>
          <w:w w:val="105"/>
        </w:rPr>
        <w:t>Southwest  does  </w:t>
      </w:r>
      <w:r>
        <w:rPr>
          <w:spacing w:val="6"/>
          <w:w w:val="105"/>
        </w:rPr>
        <w:t>not </w:t>
      </w:r>
      <w:r>
        <w:rPr>
          <w:w w:val="105"/>
        </w:rPr>
        <w:t>interline or offer joint fares with other airlines, </w:t>
      </w:r>
      <w:r>
        <w:rPr>
          <w:spacing w:val="6"/>
          <w:w w:val="105"/>
        </w:rPr>
        <w:t>nor </w:t>
      </w:r>
      <w:r>
        <w:rPr>
          <w:spacing w:val="2"/>
          <w:w w:val="105"/>
        </w:rPr>
        <w:t>have  </w:t>
      </w:r>
      <w:r>
        <w:rPr>
          <w:w w:val="105"/>
        </w:rPr>
        <w:t>any  </w:t>
      </w:r>
      <w:r>
        <w:rPr>
          <w:spacing w:val="2"/>
          <w:w w:val="105"/>
        </w:rPr>
        <w:t>commuter  feeder </w:t>
      </w:r>
      <w:r>
        <w:rPr>
          <w:spacing w:val="23"/>
          <w:w w:val="105"/>
        </w:rPr>
        <w:t> </w:t>
      </w:r>
      <w:r>
        <w:rPr>
          <w:spacing w:val="3"/>
          <w:w w:val="105"/>
        </w:rPr>
        <w:t>relationships.</w:t>
      </w:r>
    </w:p>
    <w:p>
      <w:pPr>
        <w:pStyle w:val="BodyText"/>
        <w:spacing w:line="254" w:lineRule="auto" w:before="1"/>
        <w:ind w:left="100" w:right="108" w:firstLine="180"/>
        <w:jc w:val="both"/>
      </w:pPr>
      <w:r>
        <w:rPr>
          <w:w w:val="105"/>
        </w:rPr>
        <w:t>Southwest employs a relatively simple </w:t>
      </w:r>
      <w:r>
        <w:rPr>
          <w:spacing w:val="6"/>
          <w:w w:val="105"/>
        </w:rPr>
        <w:t>fare </w:t>
      </w:r>
      <w:r>
        <w:rPr>
          <w:w w:val="105"/>
        </w:rPr>
        <w:t>structure, featuring low, unrestricted, </w:t>
      </w:r>
      <w:r>
        <w:rPr>
          <w:spacing w:val="8"/>
          <w:w w:val="105"/>
        </w:rPr>
        <w:t>unlimited, </w:t>
      </w:r>
      <w:r>
        <w:rPr>
          <w:w w:val="105"/>
        </w:rPr>
        <w:t>everyday coach fares, as well as </w:t>
      </w:r>
      <w:r>
        <w:rPr>
          <w:spacing w:val="2"/>
          <w:w w:val="105"/>
        </w:rPr>
        <w:t>even </w:t>
      </w:r>
      <w:r>
        <w:rPr>
          <w:w w:val="105"/>
        </w:rPr>
        <w:t>lower </w:t>
      </w:r>
      <w:r>
        <w:rPr>
          <w:spacing w:val="4"/>
          <w:w w:val="105"/>
        </w:rPr>
        <w:t>fares </w:t>
      </w:r>
      <w:r>
        <w:rPr>
          <w:spacing w:val="2"/>
          <w:w w:val="105"/>
        </w:rPr>
        <w:t>available </w:t>
      </w:r>
      <w:r>
        <w:rPr>
          <w:w w:val="105"/>
        </w:rPr>
        <w:t>on a restricted basis. The </w:t>
      </w:r>
      <w:r>
        <w:rPr>
          <w:spacing w:val="9"/>
          <w:w w:val="105"/>
        </w:rPr>
        <w:t>Company </w:t>
      </w:r>
      <w:r>
        <w:rPr>
          <w:w w:val="105"/>
        </w:rPr>
        <w:t>operates only one aircraft type, the Boeing  737, </w:t>
      </w:r>
      <w:r>
        <w:rPr>
          <w:spacing w:val="2"/>
          <w:w w:val="105"/>
        </w:rPr>
        <w:t>which simplifies scheduling, </w:t>
      </w:r>
      <w:r>
        <w:rPr>
          <w:spacing w:val="4"/>
          <w:w w:val="105"/>
        </w:rPr>
        <w:t>maintenance, </w:t>
      </w:r>
      <w:r>
        <w:rPr>
          <w:spacing w:val="2"/>
          <w:w w:val="105"/>
        </w:rPr>
        <w:t>flight operations,  </w:t>
      </w:r>
      <w:r>
        <w:rPr>
          <w:w w:val="105"/>
        </w:rPr>
        <w:t>and  </w:t>
      </w:r>
      <w:r>
        <w:rPr>
          <w:spacing w:val="2"/>
          <w:w w:val="105"/>
        </w:rPr>
        <w:t>training  </w:t>
      </w:r>
      <w:r>
        <w:rPr>
          <w:spacing w:val="14"/>
          <w:w w:val="105"/>
        </w:rPr>
        <w:t> </w:t>
      </w:r>
      <w:r>
        <w:rPr>
          <w:spacing w:val="3"/>
          <w:w w:val="105"/>
        </w:rPr>
        <w:t>activities.</w:t>
      </w:r>
    </w:p>
    <w:p>
      <w:pPr>
        <w:pStyle w:val="BodyText"/>
        <w:spacing w:line="254" w:lineRule="auto" w:before="1"/>
        <w:ind w:left="100" w:right="108" w:firstLine="180"/>
        <w:jc w:val="both"/>
      </w:pPr>
      <w:r>
        <w:rPr>
          <w:w w:val="105"/>
        </w:rPr>
        <w:t>In January 1995, Southwest was the first </w:t>
      </w:r>
      <w:r>
        <w:rPr>
          <w:spacing w:val="8"/>
          <w:w w:val="105"/>
        </w:rPr>
        <w:t>major </w:t>
      </w:r>
      <w:r>
        <w:rPr>
          <w:spacing w:val="2"/>
          <w:w w:val="105"/>
        </w:rPr>
        <w:t>airline </w:t>
      </w:r>
      <w:r>
        <w:rPr>
          <w:w w:val="105"/>
        </w:rPr>
        <w:t>to </w:t>
      </w:r>
      <w:r>
        <w:rPr>
          <w:spacing w:val="2"/>
          <w:w w:val="105"/>
        </w:rPr>
        <w:t>introduce </w:t>
      </w:r>
      <w:r>
        <w:rPr>
          <w:w w:val="105"/>
        </w:rPr>
        <w:t>a Ticketless Travel </w:t>
      </w:r>
      <w:r>
        <w:rPr>
          <w:spacing w:val="9"/>
          <w:w w:val="105"/>
        </w:rPr>
        <w:t>option, </w:t>
      </w:r>
      <w:r>
        <w:rPr>
          <w:w w:val="105"/>
        </w:rPr>
        <w:t>eliminating the need to print and then process a  paper   ticket   altogether.   Southwest   also </w:t>
      </w:r>
      <w:r>
        <w:rPr>
          <w:spacing w:val="29"/>
          <w:w w:val="105"/>
        </w:rPr>
        <w:t> </w:t>
      </w:r>
      <w:r>
        <w:rPr>
          <w:spacing w:val="8"/>
          <w:w w:val="105"/>
        </w:rPr>
        <w:t>entered</w:t>
      </w:r>
    </w:p>
    <w:p>
      <w:pPr>
        <w:spacing w:after="0" w:line="254" w:lineRule="auto"/>
        <w:jc w:val="both"/>
        <w:sectPr>
          <w:headerReference w:type="default" r:id="rId58"/>
          <w:pgSz w:w="11520" w:h="14400"/>
          <w:pgMar w:header="0" w:footer="706" w:top="960" w:bottom="900" w:left="700" w:right="840"/>
          <w:cols w:num="2" w:equalWidth="0">
            <w:col w:w="4731" w:space="409"/>
            <w:col w:w="4840"/>
          </w:cols>
        </w:sectPr>
      </w:pPr>
    </w:p>
    <w:p>
      <w:pPr>
        <w:pStyle w:val="BodyText"/>
        <w:spacing w:line="254" w:lineRule="auto" w:before="69"/>
        <w:ind w:left="100"/>
        <w:jc w:val="both"/>
      </w:pPr>
      <w:r>
        <w:rPr>
          <w:w w:val="105"/>
        </w:rPr>
        <w:t>into an </w:t>
      </w:r>
      <w:r>
        <w:rPr>
          <w:spacing w:val="2"/>
          <w:w w:val="105"/>
        </w:rPr>
        <w:t>arrangement </w:t>
      </w:r>
      <w:r>
        <w:rPr>
          <w:w w:val="105"/>
        </w:rPr>
        <w:t>with SABRE, the </w:t>
      </w:r>
      <w:r>
        <w:rPr>
          <w:spacing w:val="8"/>
          <w:w w:val="105"/>
        </w:rPr>
        <w:t>computer </w:t>
      </w:r>
      <w:r>
        <w:rPr>
          <w:spacing w:val="2"/>
          <w:w w:val="105"/>
        </w:rPr>
        <w:t>reservation </w:t>
      </w:r>
      <w:r>
        <w:rPr>
          <w:w w:val="105"/>
        </w:rPr>
        <w:t>system in </w:t>
      </w:r>
      <w:r>
        <w:rPr>
          <w:spacing w:val="2"/>
          <w:w w:val="105"/>
        </w:rPr>
        <w:t>which </w:t>
      </w:r>
      <w:r>
        <w:rPr>
          <w:w w:val="105"/>
        </w:rPr>
        <w:t>Southwest </w:t>
      </w:r>
      <w:r>
        <w:rPr>
          <w:spacing w:val="6"/>
          <w:w w:val="105"/>
        </w:rPr>
        <w:t>has </w:t>
      </w:r>
      <w:r>
        <w:rPr>
          <w:w w:val="105"/>
        </w:rPr>
        <w:t>historically </w:t>
      </w:r>
      <w:r>
        <w:rPr>
          <w:spacing w:val="3"/>
          <w:w w:val="105"/>
        </w:rPr>
        <w:t>participated </w:t>
      </w:r>
      <w:r>
        <w:rPr>
          <w:w w:val="105"/>
        </w:rPr>
        <w:t>to a </w:t>
      </w:r>
      <w:r>
        <w:rPr>
          <w:spacing w:val="2"/>
          <w:w w:val="105"/>
        </w:rPr>
        <w:t>limited  </w:t>
      </w:r>
      <w:r>
        <w:rPr>
          <w:spacing w:val="6"/>
          <w:w w:val="105"/>
        </w:rPr>
        <w:t>extent,  </w:t>
      </w:r>
      <w:r>
        <w:rPr>
          <w:w w:val="105"/>
        </w:rPr>
        <w:t>providing for ticketing and automated booking </w:t>
      </w:r>
      <w:r>
        <w:rPr>
          <w:spacing w:val="12"/>
          <w:w w:val="105"/>
        </w:rPr>
        <w:t>on </w:t>
      </w:r>
      <w:r>
        <w:rPr>
          <w:w w:val="105"/>
        </w:rPr>
        <w:t>Southwest  in  a  very  cost-effective  </w:t>
      </w:r>
      <w:r>
        <w:rPr>
          <w:spacing w:val="2"/>
          <w:w w:val="105"/>
        </w:rPr>
        <w:t>manner.  </w:t>
      </w:r>
      <w:r>
        <w:rPr>
          <w:spacing w:val="10"/>
          <w:w w:val="105"/>
        </w:rPr>
        <w:t>In </w:t>
      </w:r>
      <w:r>
        <w:rPr>
          <w:w w:val="105"/>
        </w:rPr>
        <w:t>1996, Southwest began offering Ticketless </w:t>
      </w:r>
      <w:r>
        <w:rPr>
          <w:spacing w:val="4"/>
          <w:w w:val="105"/>
        </w:rPr>
        <w:t>Travel </w:t>
      </w:r>
      <w:r>
        <w:rPr>
          <w:w w:val="105"/>
        </w:rPr>
        <w:t>through  the  Company’s  </w:t>
      </w:r>
      <w:r>
        <w:rPr>
          <w:spacing w:val="2"/>
          <w:w w:val="105"/>
        </w:rPr>
        <w:t>home  page  </w:t>
      </w:r>
      <w:r>
        <w:rPr>
          <w:w w:val="105"/>
        </w:rPr>
        <w:t>on   </w:t>
      </w:r>
      <w:r>
        <w:rPr>
          <w:spacing w:val="6"/>
          <w:w w:val="105"/>
        </w:rPr>
        <w:t>the </w:t>
      </w:r>
      <w:r>
        <w:rPr>
          <w:w w:val="105"/>
        </w:rPr>
        <w:t>Internet at southwest.com. For the year </w:t>
      </w:r>
      <w:r>
        <w:rPr>
          <w:spacing w:val="15"/>
          <w:w w:val="105"/>
        </w:rPr>
        <w:t>ended </w:t>
      </w:r>
      <w:r>
        <w:rPr>
          <w:spacing w:val="3"/>
          <w:w w:val="105"/>
        </w:rPr>
        <w:t>December </w:t>
      </w:r>
      <w:r>
        <w:rPr>
          <w:w w:val="105"/>
        </w:rPr>
        <w:t>31, 2002, more than 85 percent </w:t>
      </w:r>
      <w:r>
        <w:rPr>
          <w:spacing w:val="6"/>
          <w:w w:val="105"/>
        </w:rPr>
        <w:t>of </w:t>
      </w:r>
      <w:r>
        <w:rPr>
          <w:w w:val="105"/>
        </w:rPr>
        <w:t>Southwest’s   Customers   chose   the    Ticketless Travel </w:t>
      </w:r>
      <w:r>
        <w:rPr>
          <w:spacing w:val="2"/>
          <w:w w:val="105"/>
        </w:rPr>
        <w:t>option, </w:t>
      </w:r>
      <w:r>
        <w:rPr>
          <w:w w:val="105"/>
        </w:rPr>
        <w:t>and </w:t>
      </w:r>
      <w:r>
        <w:rPr>
          <w:spacing w:val="3"/>
          <w:w w:val="105"/>
        </w:rPr>
        <w:t>approximately </w:t>
      </w:r>
      <w:r>
        <w:rPr>
          <w:w w:val="105"/>
        </w:rPr>
        <w:t>49 percent </w:t>
      </w:r>
      <w:r>
        <w:rPr>
          <w:spacing w:val="6"/>
          <w:w w:val="105"/>
        </w:rPr>
        <w:t>of </w:t>
      </w:r>
      <w:r>
        <w:rPr>
          <w:w w:val="105"/>
        </w:rPr>
        <w:t>Southwest’s   passenger   </w:t>
      </w:r>
      <w:r>
        <w:rPr>
          <w:spacing w:val="2"/>
          <w:w w:val="105"/>
        </w:rPr>
        <w:t>revenues   came   </w:t>
      </w:r>
      <w:r>
        <w:rPr>
          <w:spacing w:val="6"/>
          <w:w w:val="105"/>
        </w:rPr>
        <w:t>through </w:t>
      </w:r>
      <w:r>
        <w:rPr>
          <w:w w:val="105"/>
        </w:rPr>
        <w:t>its Internet site, which has  become  a  vital  part  </w:t>
      </w:r>
      <w:r>
        <w:rPr>
          <w:spacing w:val="6"/>
          <w:w w:val="105"/>
        </w:rPr>
        <w:t>of </w:t>
      </w:r>
      <w:r>
        <w:rPr>
          <w:w w:val="105"/>
        </w:rPr>
        <w:t>the  Company’s  distribution  </w:t>
      </w:r>
      <w:r>
        <w:rPr>
          <w:spacing w:val="9"/>
          <w:w w:val="105"/>
        </w:rPr>
        <w:t> </w:t>
      </w:r>
      <w:r>
        <w:rPr>
          <w:w w:val="105"/>
        </w:rPr>
        <w:t>strategy.</w:t>
      </w:r>
    </w:p>
    <w:p>
      <w:pPr>
        <w:pStyle w:val="BodyText"/>
        <w:spacing w:line="254" w:lineRule="auto"/>
        <w:ind w:left="100" w:firstLine="180"/>
        <w:jc w:val="both"/>
      </w:pPr>
      <w:r>
        <w:rPr>
          <w:w w:val="105"/>
        </w:rPr>
        <w:t>The airline industry is highly </w:t>
      </w:r>
      <w:r>
        <w:rPr>
          <w:spacing w:val="3"/>
          <w:w w:val="105"/>
        </w:rPr>
        <w:t>competitive </w:t>
      </w:r>
      <w:r>
        <w:rPr>
          <w:w w:val="105"/>
        </w:rPr>
        <w:t>as </w:t>
      </w:r>
      <w:r>
        <w:rPr>
          <w:spacing w:val="4"/>
          <w:w w:val="105"/>
        </w:rPr>
        <w:t>to </w:t>
      </w:r>
      <w:r>
        <w:rPr>
          <w:w w:val="105"/>
        </w:rPr>
        <w:t>fares, frequent flyer benefits, routes,  and  </w:t>
      </w:r>
      <w:r>
        <w:rPr>
          <w:spacing w:val="6"/>
          <w:w w:val="105"/>
        </w:rPr>
        <w:t>service, </w:t>
      </w:r>
      <w:r>
        <w:rPr>
          <w:w w:val="105"/>
        </w:rPr>
        <w:t>and some carriers </w:t>
      </w:r>
      <w:r>
        <w:rPr>
          <w:spacing w:val="3"/>
          <w:w w:val="105"/>
        </w:rPr>
        <w:t>competing </w:t>
      </w:r>
      <w:r>
        <w:rPr>
          <w:w w:val="105"/>
        </w:rPr>
        <w:t>with the  </w:t>
      </w:r>
      <w:r>
        <w:rPr>
          <w:spacing w:val="9"/>
          <w:w w:val="105"/>
        </w:rPr>
        <w:t>Company </w:t>
      </w:r>
      <w:r>
        <w:rPr>
          <w:spacing w:val="2"/>
          <w:w w:val="105"/>
        </w:rPr>
        <w:t>have </w:t>
      </w:r>
      <w:r>
        <w:rPr>
          <w:w w:val="105"/>
        </w:rPr>
        <w:t>larger fleets and </w:t>
      </w:r>
      <w:r>
        <w:rPr>
          <w:spacing w:val="2"/>
          <w:w w:val="105"/>
        </w:rPr>
        <w:t>wider name </w:t>
      </w:r>
      <w:r>
        <w:rPr>
          <w:spacing w:val="7"/>
          <w:w w:val="105"/>
        </w:rPr>
        <w:t>recognition. </w:t>
      </w:r>
      <w:r>
        <w:rPr>
          <w:w w:val="105"/>
        </w:rPr>
        <w:t>Certain major </w:t>
      </w:r>
      <w:r>
        <w:rPr>
          <w:spacing w:val="2"/>
          <w:w w:val="105"/>
        </w:rPr>
        <w:t>United </w:t>
      </w:r>
      <w:r>
        <w:rPr>
          <w:w w:val="105"/>
        </w:rPr>
        <w:t>States  airlines  </w:t>
      </w:r>
      <w:r>
        <w:rPr>
          <w:spacing w:val="16"/>
          <w:w w:val="105"/>
        </w:rPr>
        <w:t>have </w:t>
      </w:r>
      <w:r>
        <w:rPr>
          <w:spacing w:val="2"/>
          <w:w w:val="105"/>
        </w:rPr>
        <w:t>established marketing  </w:t>
      </w:r>
      <w:r>
        <w:rPr>
          <w:w w:val="105"/>
        </w:rPr>
        <w:t>or  </w:t>
      </w:r>
      <w:r>
        <w:rPr>
          <w:spacing w:val="2"/>
          <w:w w:val="105"/>
        </w:rPr>
        <w:t>codesharing  </w:t>
      </w:r>
      <w:r>
        <w:rPr>
          <w:spacing w:val="5"/>
          <w:w w:val="105"/>
        </w:rPr>
        <w:t>alliances  </w:t>
      </w:r>
      <w:r>
        <w:rPr>
          <w:w w:val="105"/>
        </w:rPr>
        <w:t>with each other, </w:t>
      </w:r>
      <w:r>
        <w:rPr>
          <w:spacing w:val="2"/>
          <w:w w:val="105"/>
        </w:rPr>
        <w:t>including </w:t>
      </w:r>
      <w:r>
        <w:rPr>
          <w:w w:val="105"/>
        </w:rPr>
        <w:t>Northwest </w:t>
      </w:r>
      <w:r>
        <w:rPr>
          <w:spacing w:val="4"/>
          <w:w w:val="105"/>
        </w:rPr>
        <w:t>Airlines/ </w:t>
      </w:r>
      <w:r>
        <w:rPr>
          <w:spacing w:val="2"/>
          <w:w w:val="105"/>
        </w:rPr>
        <w:t>Continental </w:t>
      </w:r>
      <w:r>
        <w:rPr>
          <w:w w:val="105"/>
        </w:rPr>
        <w:t>Airlines, </w:t>
      </w:r>
      <w:r>
        <w:rPr>
          <w:spacing w:val="3"/>
          <w:w w:val="105"/>
        </w:rPr>
        <w:t>American </w:t>
      </w:r>
      <w:r>
        <w:rPr>
          <w:spacing w:val="4"/>
          <w:w w:val="105"/>
        </w:rPr>
        <w:t>Airlines/Alaska </w:t>
      </w:r>
      <w:r>
        <w:rPr>
          <w:w w:val="105"/>
        </w:rPr>
        <w:t>Airlines,   and   </w:t>
      </w:r>
      <w:r>
        <w:rPr>
          <w:spacing w:val="2"/>
          <w:w w:val="105"/>
        </w:rPr>
        <w:t>United   </w:t>
      </w:r>
      <w:r>
        <w:rPr>
          <w:spacing w:val="3"/>
          <w:w w:val="105"/>
        </w:rPr>
        <w:t>Airlines/USAirways. </w:t>
      </w:r>
      <w:r>
        <w:rPr>
          <w:w w:val="105"/>
        </w:rPr>
        <w:t>Northwest Airlines and </w:t>
      </w:r>
      <w:r>
        <w:rPr>
          <w:spacing w:val="2"/>
          <w:w w:val="105"/>
        </w:rPr>
        <w:t>Continental </w:t>
      </w:r>
      <w:r>
        <w:rPr>
          <w:w w:val="105"/>
        </w:rPr>
        <w:t>Airlines </w:t>
      </w:r>
      <w:r>
        <w:rPr>
          <w:spacing w:val="16"/>
          <w:w w:val="105"/>
        </w:rPr>
        <w:t>have </w:t>
      </w:r>
      <w:r>
        <w:rPr>
          <w:spacing w:val="4"/>
          <w:w w:val="105"/>
        </w:rPr>
        <w:t>announced </w:t>
      </w:r>
      <w:r>
        <w:rPr>
          <w:w w:val="105"/>
        </w:rPr>
        <w:t>plans to add Delta Air Lines to </w:t>
      </w:r>
      <w:r>
        <w:rPr>
          <w:spacing w:val="7"/>
          <w:w w:val="105"/>
        </w:rPr>
        <w:t>their </w:t>
      </w:r>
      <w:r>
        <w:rPr>
          <w:w w:val="105"/>
        </w:rPr>
        <w:t>alliance in a transaction </w:t>
      </w:r>
      <w:r>
        <w:rPr>
          <w:spacing w:val="2"/>
          <w:w w:val="105"/>
        </w:rPr>
        <w:t>which </w:t>
      </w:r>
      <w:r>
        <w:rPr>
          <w:w w:val="105"/>
        </w:rPr>
        <w:t>is  subject  </w:t>
      </w:r>
      <w:r>
        <w:rPr>
          <w:spacing w:val="4"/>
          <w:w w:val="105"/>
        </w:rPr>
        <w:t>to </w:t>
      </w:r>
      <w:r>
        <w:rPr>
          <w:spacing w:val="3"/>
          <w:w w:val="105"/>
        </w:rPr>
        <w:t>conditions </w:t>
      </w:r>
      <w:r>
        <w:rPr>
          <w:spacing w:val="2"/>
          <w:w w:val="105"/>
        </w:rPr>
        <w:t>established </w:t>
      </w:r>
      <w:r>
        <w:rPr>
          <w:w w:val="105"/>
        </w:rPr>
        <w:t>by the </w:t>
      </w:r>
      <w:r>
        <w:rPr>
          <w:spacing w:val="2"/>
          <w:w w:val="105"/>
        </w:rPr>
        <w:t>Department </w:t>
      </w:r>
      <w:r>
        <w:rPr>
          <w:spacing w:val="6"/>
          <w:w w:val="105"/>
        </w:rPr>
        <w:t>of </w:t>
      </w:r>
      <w:r>
        <w:rPr>
          <w:spacing w:val="5"/>
          <w:w w:val="105"/>
        </w:rPr>
        <w:t>Transportation.</w:t>
      </w:r>
    </w:p>
    <w:p>
      <w:pPr>
        <w:pStyle w:val="BodyText"/>
        <w:spacing w:line="254" w:lineRule="auto"/>
        <w:ind w:left="100" w:firstLine="180"/>
        <w:jc w:val="both"/>
      </w:pPr>
      <w:r>
        <w:rPr>
          <w:w w:val="105"/>
        </w:rPr>
        <w:t>Since the terrorist acts of  </w:t>
      </w:r>
      <w:r>
        <w:rPr>
          <w:spacing w:val="2"/>
          <w:w w:val="105"/>
        </w:rPr>
        <w:t>September  </w:t>
      </w:r>
      <w:r>
        <w:rPr>
          <w:w w:val="105"/>
        </w:rPr>
        <w:t>11,  2001, and in the face of weak </w:t>
      </w:r>
      <w:r>
        <w:rPr>
          <w:spacing w:val="3"/>
          <w:w w:val="105"/>
        </w:rPr>
        <w:t>demand</w:t>
      </w:r>
      <w:r>
        <w:rPr>
          <w:spacing w:val="53"/>
          <w:w w:val="105"/>
        </w:rPr>
        <w:t> </w:t>
      </w:r>
      <w:r>
        <w:rPr>
          <w:w w:val="105"/>
        </w:rPr>
        <w:t>for  air  </w:t>
      </w:r>
      <w:r>
        <w:rPr>
          <w:spacing w:val="6"/>
          <w:w w:val="105"/>
        </w:rPr>
        <w:t>service, </w:t>
      </w:r>
      <w:r>
        <w:rPr>
          <w:w w:val="105"/>
        </w:rPr>
        <w:t>most  major  carriers  (not  </w:t>
      </w:r>
      <w:r>
        <w:rPr>
          <w:spacing w:val="2"/>
          <w:w w:val="105"/>
        </w:rPr>
        <w:t>including   </w:t>
      </w:r>
      <w:r>
        <w:rPr>
          <w:spacing w:val="4"/>
          <w:w w:val="105"/>
        </w:rPr>
        <w:t>Southwest) </w:t>
      </w:r>
      <w:r>
        <w:rPr>
          <w:w w:val="105"/>
        </w:rPr>
        <w:t>have significantly </w:t>
      </w:r>
      <w:r>
        <w:rPr>
          <w:spacing w:val="2"/>
          <w:w w:val="105"/>
        </w:rPr>
        <w:t>reduced </w:t>
      </w:r>
      <w:r>
        <w:rPr>
          <w:w w:val="105"/>
        </w:rPr>
        <w:t>service,  </w:t>
      </w:r>
      <w:r>
        <w:rPr>
          <w:spacing w:val="9"/>
          <w:w w:val="105"/>
        </w:rPr>
        <w:t>grounded </w:t>
      </w:r>
      <w:r>
        <w:rPr>
          <w:w w:val="105"/>
        </w:rPr>
        <w:t>aircraft, and  </w:t>
      </w:r>
      <w:r>
        <w:rPr>
          <w:spacing w:val="2"/>
          <w:w w:val="105"/>
        </w:rPr>
        <w:t>furloughed  employees.  </w:t>
      </w:r>
      <w:r>
        <w:rPr>
          <w:w w:val="105"/>
        </w:rPr>
        <w:t>UAL,  </w:t>
      </w:r>
      <w:r>
        <w:rPr>
          <w:spacing w:val="6"/>
          <w:w w:val="105"/>
        </w:rPr>
        <w:t>the </w:t>
      </w:r>
      <w:r>
        <w:rPr>
          <w:spacing w:val="2"/>
          <w:w w:val="105"/>
        </w:rPr>
        <w:t>parent </w:t>
      </w:r>
      <w:r>
        <w:rPr>
          <w:w w:val="105"/>
        </w:rPr>
        <w:t>of </w:t>
      </w:r>
      <w:r>
        <w:rPr>
          <w:spacing w:val="2"/>
          <w:w w:val="105"/>
        </w:rPr>
        <w:t>United </w:t>
      </w:r>
      <w:r>
        <w:rPr>
          <w:w w:val="105"/>
        </w:rPr>
        <w:t>Airlines, and USAirways  </w:t>
      </w:r>
      <w:r>
        <w:rPr>
          <w:spacing w:val="16"/>
          <w:w w:val="105"/>
        </w:rPr>
        <w:t>have </w:t>
      </w:r>
      <w:r>
        <w:rPr>
          <w:w w:val="105"/>
        </w:rPr>
        <w:t>sought relief from  </w:t>
      </w:r>
      <w:r>
        <w:rPr>
          <w:spacing w:val="2"/>
          <w:w w:val="105"/>
        </w:rPr>
        <w:t>financial  obligations  </w:t>
      </w:r>
      <w:r>
        <w:rPr>
          <w:spacing w:val="12"/>
          <w:w w:val="105"/>
        </w:rPr>
        <w:t>in </w:t>
      </w:r>
      <w:r>
        <w:rPr>
          <w:w w:val="105"/>
        </w:rPr>
        <w:t>bankruptcy  and  other,  smaller  carriers  </w:t>
      </w:r>
      <w:r>
        <w:rPr>
          <w:spacing w:val="16"/>
          <w:w w:val="105"/>
        </w:rPr>
        <w:t>have </w:t>
      </w:r>
      <w:r>
        <w:rPr>
          <w:spacing w:val="2"/>
          <w:w w:val="105"/>
        </w:rPr>
        <w:t>ceased </w:t>
      </w:r>
      <w:r>
        <w:rPr>
          <w:spacing w:val="3"/>
          <w:w w:val="105"/>
        </w:rPr>
        <w:t>operation </w:t>
      </w:r>
      <w:r>
        <w:rPr>
          <w:w w:val="105"/>
        </w:rPr>
        <w:t>entirely. </w:t>
      </w:r>
      <w:r>
        <w:rPr>
          <w:spacing w:val="2"/>
          <w:w w:val="105"/>
        </w:rPr>
        <w:t>America </w:t>
      </w:r>
      <w:r>
        <w:rPr>
          <w:w w:val="105"/>
        </w:rPr>
        <w:t>West  </w:t>
      </w:r>
      <w:r>
        <w:rPr>
          <w:spacing w:val="5"/>
          <w:w w:val="105"/>
        </w:rPr>
        <w:t>Airlines  </w:t>
      </w:r>
      <w:r>
        <w:rPr>
          <w:w w:val="105"/>
        </w:rPr>
        <w:t>and  others  </w:t>
      </w:r>
      <w:r>
        <w:rPr>
          <w:spacing w:val="2"/>
          <w:w w:val="105"/>
        </w:rPr>
        <w:t>have  </w:t>
      </w:r>
      <w:r>
        <w:rPr>
          <w:spacing w:val="3"/>
          <w:w w:val="105"/>
        </w:rPr>
        <w:t>received</w:t>
      </w:r>
      <w:r>
        <w:rPr>
          <w:spacing w:val="53"/>
          <w:w w:val="105"/>
        </w:rPr>
        <w:t> </w:t>
      </w:r>
      <w:r>
        <w:rPr>
          <w:w w:val="105"/>
        </w:rPr>
        <w:t>federal   </w:t>
      </w:r>
      <w:r>
        <w:rPr>
          <w:spacing w:val="9"/>
          <w:w w:val="105"/>
        </w:rPr>
        <w:t>loan   </w:t>
      </w:r>
      <w:r>
        <w:rPr>
          <w:spacing w:val="2"/>
          <w:w w:val="105"/>
        </w:rPr>
        <w:t>guarantees </w:t>
      </w:r>
      <w:r>
        <w:rPr>
          <w:w w:val="105"/>
        </w:rPr>
        <w:t>(or </w:t>
      </w:r>
      <w:r>
        <w:rPr>
          <w:spacing w:val="3"/>
          <w:w w:val="105"/>
        </w:rPr>
        <w:t>conditional </w:t>
      </w:r>
      <w:r>
        <w:rPr>
          <w:spacing w:val="2"/>
          <w:w w:val="105"/>
        </w:rPr>
        <w:t>approval </w:t>
      </w:r>
      <w:r>
        <w:rPr>
          <w:w w:val="105"/>
        </w:rPr>
        <w:t>for </w:t>
      </w:r>
      <w:r>
        <w:rPr>
          <w:spacing w:val="6"/>
          <w:w w:val="105"/>
        </w:rPr>
        <w:t>guaran- </w:t>
      </w:r>
      <w:r>
        <w:rPr>
          <w:w w:val="105"/>
        </w:rPr>
        <w:t>tees) </w:t>
      </w:r>
      <w:r>
        <w:rPr>
          <w:spacing w:val="2"/>
          <w:w w:val="105"/>
        </w:rPr>
        <w:t>authorized </w:t>
      </w:r>
      <w:r>
        <w:rPr>
          <w:w w:val="105"/>
        </w:rPr>
        <w:t>by federal law and </w:t>
      </w:r>
      <w:r>
        <w:rPr>
          <w:spacing w:val="9"/>
          <w:w w:val="105"/>
        </w:rPr>
        <w:t>additional </w:t>
      </w:r>
      <w:r>
        <w:rPr>
          <w:w w:val="105"/>
        </w:rPr>
        <w:t>airlines  may  do  so  in  the</w:t>
      </w:r>
      <w:r>
        <w:rPr>
          <w:spacing w:val="-1"/>
          <w:w w:val="105"/>
        </w:rPr>
        <w:t> </w:t>
      </w:r>
      <w:r>
        <w:rPr>
          <w:w w:val="105"/>
        </w:rPr>
        <w:t>future.</w:t>
      </w:r>
    </w:p>
    <w:p>
      <w:pPr>
        <w:pStyle w:val="BodyText"/>
        <w:spacing w:line="254" w:lineRule="auto"/>
        <w:ind w:left="100" w:right="2" w:firstLine="180"/>
        <w:jc w:val="both"/>
      </w:pPr>
      <w:r>
        <w:rPr>
          <w:w w:val="105"/>
        </w:rPr>
        <w:t>Enhanced   security   measures   have   had,   and will continue to have, a significant impact on the airport experience for passengers. Security requirements are still evolving on a daily basis; however, to date, they have not impacted Southwest’s   aircraft    utilization.    In    response   to</w:t>
      </w:r>
    </w:p>
    <w:p>
      <w:pPr>
        <w:pStyle w:val="BodyText"/>
        <w:spacing w:line="254" w:lineRule="auto" w:before="69"/>
        <w:ind w:left="100" w:right="109"/>
        <w:jc w:val="both"/>
      </w:pPr>
      <w:r>
        <w:rPr/>
        <w:br w:type="column"/>
      </w:r>
      <w:r>
        <w:rPr>
          <w:w w:val="110"/>
        </w:rPr>
        <w:t>these measures, the Company has </w:t>
      </w:r>
      <w:r>
        <w:rPr>
          <w:spacing w:val="3"/>
          <w:w w:val="110"/>
        </w:rPr>
        <w:t>introduced </w:t>
      </w:r>
      <w:r>
        <w:rPr>
          <w:w w:val="110"/>
        </w:rPr>
        <w:t>its new </w:t>
      </w:r>
      <w:r>
        <w:rPr>
          <w:spacing w:val="3"/>
          <w:w w:val="110"/>
        </w:rPr>
        <w:t>Automated </w:t>
      </w:r>
      <w:r>
        <w:rPr>
          <w:w w:val="110"/>
        </w:rPr>
        <w:t>Boarding Passes,  as  well  </w:t>
      </w:r>
      <w:r>
        <w:rPr>
          <w:spacing w:val="4"/>
          <w:w w:val="110"/>
        </w:rPr>
        <w:t>as  </w:t>
      </w:r>
      <w:r>
        <w:rPr>
          <w:w w:val="110"/>
        </w:rPr>
        <w:t>RAPID CHECK-IN Kiosks in  many  airports  and  </w:t>
      </w:r>
      <w:r>
        <w:rPr>
          <w:spacing w:val="4"/>
          <w:w w:val="110"/>
        </w:rPr>
        <w:t>it </w:t>
      </w:r>
      <w:r>
        <w:rPr>
          <w:w w:val="110"/>
        </w:rPr>
        <w:t>will continue to </w:t>
      </w:r>
      <w:r>
        <w:rPr>
          <w:spacing w:val="3"/>
          <w:w w:val="110"/>
        </w:rPr>
        <w:t>expand </w:t>
      </w:r>
      <w:r>
        <w:rPr>
          <w:w w:val="110"/>
        </w:rPr>
        <w:t>the latter service </w:t>
      </w:r>
      <w:r>
        <w:rPr>
          <w:spacing w:val="6"/>
          <w:w w:val="110"/>
        </w:rPr>
        <w:t>offering </w:t>
      </w:r>
      <w:r>
        <w:rPr>
          <w:spacing w:val="2"/>
          <w:w w:val="110"/>
        </w:rPr>
        <w:t>throughout </w:t>
      </w:r>
      <w:r>
        <w:rPr>
          <w:w w:val="110"/>
        </w:rPr>
        <w:t>2003. It is currently not possible </w:t>
      </w:r>
      <w:r>
        <w:rPr>
          <w:spacing w:val="4"/>
          <w:w w:val="110"/>
        </w:rPr>
        <w:t>to </w:t>
      </w:r>
      <w:r>
        <w:rPr>
          <w:w w:val="110"/>
        </w:rPr>
        <w:t>assess the ultimate impact of all of these  </w:t>
      </w:r>
      <w:r>
        <w:rPr>
          <w:spacing w:val="8"/>
          <w:w w:val="110"/>
        </w:rPr>
        <w:t>events  </w:t>
      </w:r>
      <w:r>
        <w:rPr>
          <w:w w:val="110"/>
        </w:rPr>
        <w:t>on </w:t>
      </w:r>
      <w:r>
        <w:rPr>
          <w:spacing w:val="3"/>
          <w:w w:val="110"/>
        </w:rPr>
        <w:t>airline</w:t>
      </w:r>
      <w:r>
        <w:rPr>
          <w:spacing w:val="18"/>
          <w:w w:val="110"/>
        </w:rPr>
        <w:t> </w:t>
      </w:r>
      <w:r>
        <w:rPr>
          <w:spacing w:val="4"/>
          <w:w w:val="110"/>
        </w:rPr>
        <w:t>competition.</w:t>
      </w:r>
    </w:p>
    <w:p>
      <w:pPr>
        <w:pStyle w:val="BodyText"/>
        <w:spacing w:line="254" w:lineRule="auto"/>
        <w:ind w:left="100" w:right="105" w:firstLine="180"/>
        <w:jc w:val="both"/>
      </w:pPr>
      <w:r>
        <w:rPr>
          <w:w w:val="105"/>
        </w:rPr>
        <w:t>The Company  is  also  subject  to  varying  </w:t>
      </w:r>
      <w:r>
        <w:rPr>
          <w:spacing w:val="6"/>
          <w:w w:val="105"/>
        </w:rPr>
        <w:t>degrees </w:t>
      </w:r>
      <w:r>
        <w:rPr>
          <w:w w:val="105"/>
        </w:rPr>
        <w:t>of </w:t>
      </w:r>
      <w:r>
        <w:rPr>
          <w:spacing w:val="3"/>
          <w:w w:val="105"/>
        </w:rPr>
        <w:t>competition </w:t>
      </w:r>
      <w:r>
        <w:rPr>
          <w:w w:val="105"/>
        </w:rPr>
        <w:t>from surface transportation in </w:t>
      </w:r>
      <w:r>
        <w:rPr>
          <w:spacing w:val="2"/>
          <w:w w:val="105"/>
        </w:rPr>
        <w:t>its </w:t>
      </w:r>
      <w:r>
        <w:rPr>
          <w:w w:val="105"/>
        </w:rPr>
        <w:t>shorthaul markets, particularly the </w:t>
      </w:r>
      <w:r>
        <w:rPr>
          <w:spacing w:val="2"/>
          <w:w w:val="105"/>
        </w:rPr>
        <w:t>private </w:t>
      </w:r>
      <w:r>
        <w:rPr>
          <w:spacing w:val="7"/>
          <w:w w:val="105"/>
        </w:rPr>
        <w:t>auto- </w:t>
      </w:r>
      <w:r>
        <w:rPr>
          <w:w w:val="105"/>
        </w:rPr>
        <w:t>mobile.  In  shorthaul  air  services  that  </w:t>
      </w:r>
      <w:r>
        <w:rPr>
          <w:spacing w:val="10"/>
          <w:w w:val="105"/>
        </w:rPr>
        <w:t>compete  </w:t>
      </w:r>
      <w:r>
        <w:rPr>
          <w:w w:val="105"/>
        </w:rPr>
        <w:t>with surface  transportation,  price  is  a  </w:t>
      </w:r>
      <w:r>
        <w:rPr>
          <w:spacing w:val="8"/>
          <w:w w:val="105"/>
        </w:rPr>
        <w:t>competi-  </w:t>
      </w:r>
      <w:r>
        <w:rPr>
          <w:w w:val="105"/>
        </w:rPr>
        <w:t>tive factor, but frequency and </w:t>
      </w:r>
      <w:r>
        <w:rPr>
          <w:spacing w:val="4"/>
          <w:w w:val="105"/>
        </w:rPr>
        <w:t>convenience </w:t>
      </w:r>
      <w:r>
        <w:rPr>
          <w:spacing w:val="6"/>
          <w:w w:val="105"/>
        </w:rPr>
        <w:t>of </w:t>
      </w:r>
      <w:r>
        <w:rPr>
          <w:spacing w:val="2"/>
          <w:w w:val="105"/>
        </w:rPr>
        <w:t>scheduling, </w:t>
      </w:r>
      <w:r>
        <w:rPr>
          <w:w w:val="105"/>
        </w:rPr>
        <w:t>facilities, </w:t>
      </w:r>
      <w:r>
        <w:rPr>
          <w:spacing w:val="2"/>
          <w:w w:val="105"/>
        </w:rPr>
        <w:t>transportation </w:t>
      </w:r>
      <w:r>
        <w:rPr>
          <w:w w:val="105"/>
        </w:rPr>
        <w:t>safety </w:t>
      </w:r>
      <w:r>
        <w:rPr>
          <w:spacing w:val="11"/>
          <w:w w:val="105"/>
        </w:rPr>
        <w:t>and </w:t>
      </w:r>
      <w:r>
        <w:rPr>
          <w:w w:val="105"/>
        </w:rPr>
        <w:t>security  </w:t>
      </w:r>
      <w:r>
        <w:rPr>
          <w:spacing w:val="2"/>
          <w:w w:val="105"/>
        </w:rPr>
        <w:t>procedures,  </w:t>
      </w:r>
      <w:r>
        <w:rPr>
          <w:w w:val="105"/>
        </w:rPr>
        <w:t>and   Customer   Service   </w:t>
      </w:r>
      <w:r>
        <w:rPr>
          <w:spacing w:val="8"/>
          <w:w w:val="105"/>
        </w:rPr>
        <w:t>may </w:t>
      </w:r>
      <w:r>
        <w:rPr>
          <w:w w:val="105"/>
        </w:rPr>
        <w:t>be of equal or greater </w:t>
      </w:r>
      <w:r>
        <w:rPr>
          <w:spacing w:val="3"/>
          <w:w w:val="105"/>
        </w:rPr>
        <w:t>importance </w:t>
      </w:r>
      <w:r>
        <w:rPr>
          <w:w w:val="105"/>
        </w:rPr>
        <w:t>to </w:t>
      </w:r>
      <w:r>
        <w:rPr>
          <w:spacing w:val="12"/>
          <w:w w:val="105"/>
        </w:rPr>
        <w:t>many </w:t>
      </w:r>
      <w:r>
        <w:rPr>
          <w:spacing w:val="4"/>
          <w:w w:val="105"/>
        </w:rPr>
        <w:t>passengers.</w:t>
      </w:r>
    </w:p>
    <w:p>
      <w:pPr>
        <w:pStyle w:val="BodyText"/>
        <w:spacing w:before="11"/>
        <w:rPr>
          <w:sz w:val="21"/>
        </w:rPr>
      </w:pPr>
    </w:p>
    <w:p>
      <w:pPr>
        <w:pStyle w:val="BodyText"/>
        <w:ind w:left="100"/>
        <w:jc w:val="both"/>
        <w:rPr>
          <w:rFonts w:ascii="Franklin Gothic Medium"/>
        </w:rPr>
      </w:pPr>
      <w:r>
        <w:rPr>
          <w:rFonts w:ascii="Franklin Gothic Medium"/>
        </w:rPr>
        <w:t>Insurance</w:t>
      </w:r>
    </w:p>
    <w:p>
      <w:pPr>
        <w:pStyle w:val="BodyText"/>
        <w:spacing w:before="2"/>
        <w:rPr>
          <w:rFonts w:ascii="Franklin Gothic Medium"/>
          <w:sz w:val="25"/>
        </w:rPr>
      </w:pPr>
    </w:p>
    <w:p>
      <w:pPr>
        <w:pStyle w:val="BodyText"/>
        <w:spacing w:line="254" w:lineRule="auto"/>
        <w:ind w:left="100" w:right="108" w:firstLine="180"/>
        <w:jc w:val="both"/>
      </w:pPr>
      <w:r>
        <w:rPr>
          <w:w w:val="105"/>
        </w:rPr>
        <w:t>The Company carries  </w:t>
      </w:r>
      <w:r>
        <w:rPr>
          <w:spacing w:val="2"/>
          <w:w w:val="105"/>
        </w:rPr>
        <w:t>insurance  </w:t>
      </w:r>
      <w:r>
        <w:rPr>
          <w:w w:val="105"/>
        </w:rPr>
        <w:t>of  </w:t>
      </w:r>
      <w:r>
        <w:rPr>
          <w:spacing w:val="3"/>
          <w:w w:val="105"/>
        </w:rPr>
        <w:t>types </w:t>
      </w:r>
      <w:r>
        <w:rPr>
          <w:w w:val="105"/>
        </w:rPr>
        <w:t>customary in the airline industry and at </w:t>
      </w:r>
      <w:r>
        <w:rPr>
          <w:spacing w:val="9"/>
          <w:w w:val="105"/>
        </w:rPr>
        <w:t>amounts </w:t>
      </w:r>
      <w:r>
        <w:rPr>
          <w:spacing w:val="3"/>
          <w:w w:val="105"/>
        </w:rPr>
        <w:t>deemed</w:t>
      </w:r>
      <w:r>
        <w:rPr>
          <w:spacing w:val="53"/>
          <w:w w:val="105"/>
        </w:rPr>
        <w:t> </w:t>
      </w:r>
      <w:r>
        <w:rPr>
          <w:spacing w:val="3"/>
          <w:w w:val="105"/>
        </w:rPr>
        <w:t>adequate</w:t>
      </w:r>
      <w:r>
        <w:rPr>
          <w:spacing w:val="53"/>
          <w:w w:val="105"/>
        </w:rPr>
        <w:t> </w:t>
      </w:r>
      <w:r>
        <w:rPr>
          <w:w w:val="105"/>
        </w:rPr>
        <w:t>to  protect  the  </w:t>
      </w:r>
      <w:r>
        <w:rPr>
          <w:spacing w:val="2"/>
          <w:w w:val="105"/>
        </w:rPr>
        <w:t>Company  </w:t>
      </w:r>
      <w:r>
        <w:rPr>
          <w:spacing w:val="12"/>
          <w:w w:val="105"/>
        </w:rPr>
        <w:t>and </w:t>
      </w:r>
      <w:r>
        <w:rPr>
          <w:w w:val="105"/>
        </w:rPr>
        <w:t>its property and to comply both with </w:t>
      </w:r>
      <w:r>
        <w:rPr>
          <w:spacing w:val="6"/>
          <w:w w:val="105"/>
        </w:rPr>
        <w:t>federal </w:t>
      </w:r>
      <w:r>
        <w:rPr>
          <w:w w:val="105"/>
        </w:rPr>
        <w:t>regulations and  certain  of  the  Company’s  </w:t>
      </w:r>
      <w:r>
        <w:rPr>
          <w:spacing w:val="6"/>
          <w:w w:val="105"/>
        </w:rPr>
        <w:t>credit </w:t>
      </w:r>
      <w:r>
        <w:rPr>
          <w:w w:val="105"/>
        </w:rPr>
        <w:t>and lease agreements. The policies  </w:t>
      </w:r>
      <w:r>
        <w:rPr>
          <w:spacing w:val="5"/>
          <w:w w:val="105"/>
        </w:rPr>
        <w:t>principally </w:t>
      </w:r>
      <w:r>
        <w:rPr>
          <w:spacing w:val="2"/>
          <w:w w:val="105"/>
        </w:rPr>
        <w:t>provide  coverage  </w:t>
      </w:r>
      <w:r>
        <w:rPr>
          <w:w w:val="105"/>
        </w:rPr>
        <w:t>for  public  and   </w:t>
      </w:r>
      <w:r>
        <w:rPr>
          <w:spacing w:val="6"/>
          <w:w w:val="105"/>
        </w:rPr>
        <w:t>passenger </w:t>
      </w:r>
      <w:r>
        <w:rPr>
          <w:w w:val="105"/>
        </w:rPr>
        <w:t>liability, property </w:t>
      </w:r>
      <w:r>
        <w:rPr>
          <w:spacing w:val="2"/>
          <w:w w:val="105"/>
        </w:rPr>
        <w:t>damage, </w:t>
      </w:r>
      <w:r>
        <w:rPr>
          <w:w w:val="105"/>
        </w:rPr>
        <w:t>cargo and </w:t>
      </w:r>
      <w:r>
        <w:rPr>
          <w:spacing w:val="8"/>
          <w:w w:val="105"/>
        </w:rPr>
        <w:t>baggage </w:t>
      </w:r>
      <w:r>
        <w:rPr>
          <w:w w:val="105"/>
        </w:rPr>
        <w:t>liability, loss or </w:t>
      </w:r>
      <w:r>
        <w:rPr>
          <w:spacing w:val="3"/>
          <w:w w:val="105"/>
        </w:rPr>
        <w:t>damage </w:t>
      </w:r>
      <w:r>
        <w:rPr>
          <w:w w:val="105"/>
        </w:rPr>
        <w:t>to aircraft, </w:t>
      </w:r>
      <w:r>
        <w:rPr>
          <w:spacing w:val="2"/>
          <w:w w:val="105"/>
        </w:rPr>
        <w:t>engines, </w:t>
      </w:r>
      <w:r>
        <w:rPr>
          <w:spacing w:val="12"/>
          <w:w w:val="105"/>
        </w:rPr>
        <w:t>and </w:t>
      </w:r>
      <w:r>
        <w:rPr>
          <w:w w:val="105"/>
        </w:rPr>
        <w:t>spare   parts,   and   workers’</w:t>
      </w:r>
      <w:r>
        <w:rPr>
          <w:spacing w:val="18"/>
          <w:w w:val="105"/>
        </w:rPr>
        <w:t> </w:t>
      </w:r>
      <w:r>
        <w:rPr>
          <w:w w:val="105"/>
        </w:rPr>
        <w:t>compensation.</w:t>
      </w:r>
    </w:p>
    <w:p>
      <w:pPr>
        <w:pStyle w:val="BodyText"/>
        <w:spacing w:line="254" w:lineRule="auto" w:before="1"/>
        <w:ind w:left="100" w:right="109" w:firstLine="180"/>
        <w:jc w:val="both"/>
      </w:pPr>
      <w:r>
        <w:rPr>
          <w:w w:val="105"/>
        </w:rPr>
        <w:t>Following the terrorist attacks, </w:t>
      </w:r>
      <w:r>
        <w:rPr>
          <w:spacing w:val="8"/>
          <w:w w:val="105"/>
        </w:rPr>
        <w:t>commercial </w:t>
      </w:r>
      <w:r>
        <w:rPr>
          <w:spacing w:val="3"/>
          <w:w w:val="105"/>
        </w:rPr>
        <w:t>aviation </w:t>
      </w:r>
      <w:r>
        <w:rPr>
          <w:w w:val="105"/>
        </w:rPr>
        <w:t>insurers significantly </w:t>
      </w:r>
      <w:r>
        <w:rPr>
          <w:spacing w:val="2"/>
          <w:w w:val="105"/>
        </w:rPr>
        <w:t>increased </w:t>
      </w:r>
      <w:r>
        <w:rPr>
          <w:spacing w:val="6"/>
          <w:w w:val="105"/>
        </w:rPr>
        <w:t>the </w:t>
      </w:r>
      <w:r>
        <w:rPr>
          <w:spacing w:val="2"/>
          <w:w w:val="105"/>
        </w:rPr>
        <w:t>premiums </w:t>
      </w:r>
      <w:r>
        <w:rPr>
          <w:w w:val="105"/>
        </w:rPr>
        <w:t>and </w:t>
      </w:r>
      <w:r>
        <w:rPr>
          <w:spacing w:val="2"/>
          <w:w w:val="105"/>
        </w:rPr>
        <w:t>reduced </w:t>
      </w:r>
      <w:r>
        <w:rPr>
          <w:w w:val="105"/>
        </w:rPr>
        <w:t>the </w:t>
      </w:r>
      <w:r>
        <w:rPr>
          <w:spacing w:val="2"/>
          <w:w w:val="105"/>
        </w:rPr>
        <w:t>amount </w:t>
      </w:r>
      <w:r>
        <w:rPr>
          <w:w w:val="105"/>
        </w:rPr>
        <w:t>of war-risk coverage available to commercial carriers. At </w:t>
      </w:r>
      <w:r>
        <w:rPr>
          <w:spacing w:val="5"/>
          <w:w w:val="105"/>
        </w:rPr>
        <w:t>that </w:t>
      </w:r>
      <w:r>
        <w:rPr>
          <w:w w:val="105"/>
        </w:rPr>
        <w:t>time, the  federal  </w:t>
      </w:r>
      <w:r>
        <w:rPr>
          <w:spacing w:val="3"/>
          <w:w w:val="105"/>
        </w:rPr>
        <w:t>government</w:t>
      </w:r>
      <w:r>
        <w:rPr>
          <w:spacing w:val="53"/>
          <w:w w:val="105"/>
        </w:rPr>
        <w:t> </w:t>
      </w:r>
      <w:r>
        <w:rPr>
          <w:spacing w:val="2"/>
          <w:w w:val="105"/>
        </w:rPr>
        <w:t>stepped  </w:t>
      </w:r>
      <w:r>
        <w:rPr>
          <w:w w:val="105"/>
        </w:rPr>
        <w:t>in  </w:t>
      </w:r>
      <w:r>
        <w:rPr>
          <w:spacing w:val="4"/>
          <w:w w:val="105"/>
        </w:rPr>
        <w:t>to </w:t>
      </w:r>
      <w:r>
        <w:rPr>
          <w:spacing w:val="2"/>
          <w:w w:val="105"/>
        </w:rPr>
        <w:t>provide supplemental   </w:t>
      </w:r>
      <w:r>
        <w:rPr>
          <w:w w:val="105"/>
        </w:rPr>
        <w:t>third-party  war-risk  </w:t>
      </w:r>
      <w:r>
        <w:rPr>
          <w:spacing w:val="2"/>
          <w:w w:val="105"/>
        </w:rPr>
        <w:t>insurance coverage </w:t>
      </w:r>
      <w:r>
        <w:rPr>
          <w:w w:val="105"/>
        </w:rPr>
        <w:t>to </w:t>
      </w:r>
      <w:r>
        <w:rPr>
          <w:spacing w:val="2"/>
          <w:w w:val="105"/>
        </w:rPr>
        <w:t>commercial </w:t>
      </w:r>
      <w:r>
        <w:rPr>
          <w:w w:val="105"/>
        </w:rPr>
        <w:t>carriers </w:t>
      </w:r>
      <w:r>
        <w:rPr>
          <w:spacing w:val="2"/>
          <w:w w:val="105"/>
        </w:rPr>
        <w:t>for renewable </w:t>
      </w:r>
      <w:r>
        <w:rPr>
          <w:w w:val="105"/>
        </w:rPr>
        <w:t>60-day </w:t>
      </w:r>
      <w:r>
        <w:rPr>
          <w:spacing w:val="2"/>
          <w:w w:val="105"/>
        </w:rPr>
        <w:t>periods </w:t>
      </w:r>
      <w:r>
        <w:rPr>
          <w:w w:val="105"/>
        </w:rPr>
        <w:t>at substantially </w:t>
      </w:r>
      <w:r>
        <w:rPr>
          <w:spacing w:val="5"/>
          <w:w w:val="105"/>
        </w:rPr>
        <w:t>lower </w:t>
      </w:r>
      <w:r>
        <w:rPr>
          <w:spacing w:val="3"/>
          <w:w w:val="105"/>
        </w:rPr>
        <w:t>premiums</w:t>
      </w:r>
      <w:r>
        <w:rPr>
          <w:spacing w:val="53"/>
          <w:w w:val="105"/>
        </w:rPr>
        <w:t> </w:t>
      </w:r>
      <w:r>
        <w:rPr>
          <w:w w:val="105"/>
        </w:rPr>
        <w:t>than  </w:t>
      </w:r>
      <w:r>
        <w:rPr>
          <w:spacing w:val="2"/>
          <w:w w:val="105"/>
        </w:rPr>
        <w:t>prevailing  commercial  </w:t>
      </w:r>
      <w:r>
        <w:rPr>
          <w:w w:val="105"/>
        </w:rPr>
        <w:t>rates  </w:t>
      </w:r>
      <w:r>
        <w:rPr>
          <w:spacing w:val="12"/>
          <w:w w:val="105"/>
        </w:rPr>
        <w:t>and </w:t>
      </w:r>
      <w:r>
        <w:rPr>
          <w:w w:val="105"/>
        </w:rPr>
        <w:t>for levels of </w:t>
      </w:r>
      <w:r>
        <w:rPr>
          <w:spacing w:val="2"/>
          <w:w w:val="105"/>
        </w:rPr>
        <w:t>coverage </w:t>
      </w:r>
      <w:r>
        <w:rPr>
          <w:w w:val="105"/>
        </w:rPr>
        <w:t>not </w:t>
      </w:r>
      <w:r>
        <w:rPr>
          <w:spacing w:val="2"/>
          <w:w w:val="105"/>
        </w:rPr>
        <w:t>available </w:t>
      </w:r>
      <w:r>
        <w:rPr>
          <w:w w:val="105"/>
        </w:rPr>
        <w:t>in  </w:t>
      </w:r>
      <w:r>
        <w:rPr>
          <w:spacing w:val="6"/>
          <w:w w:val="105"/>
        </w:rPr>
        <w:t>the </w:t>
      </w:r>
      <w:r>
        <w:rPr>
          <w:w w:val="105"/>
        </w:rPr>
        <w:t>commercial market. In November 2002, Congress passed  the  </w:t>
      </w:r>
      <w:r>
        <w:rPr>
          <w:spacing w:val="3"/>
          <w:w w:val="105"/>
        </w:rPr>
        <w:t>Homeland   </w:t>
      </w:r>
      <w:r>
        <w:rPr>
          <w:w w:val="105"/>
        </w:rPr>
        <w:t>Security   Act   of   2002, </w:t>
      </w:r>
      <w:r>
        <w:rPr>
          <w:spacing w:val="2"/>
          <w:w w:val="105"/>
        </w:rPr>
        <w:t>which </w:t>
      </w:r>
      <w:r>
        <w:rPr>
          <w:spacing w:val="3"/>
          <w:w w:val="105"/>
        </w:rPr>
        <w:t>mandated </w:t>
      </w:r>
      <w:r>
        <w:rPr>
          <w:w w:val="105"/>
        </w:rPr>
        <w:t>the  federal  </w:t>
      </w:r>
      <w:r>
        <w:rPr>
          <w:spacing w:val="3"/>
          <w:w w:val="105"/>
        </w:rPr>
        <w:t>government</w:t>
      </w:r>
      <w:r>
        <w:rPr>
          <w:spacing w:val="53"/>
          <w:w w:val="105"/>
        </w:rPr>
        <w:t> </w:t>
      </w:r>
      <w:r>
        <w:rPr>
          <w:spacing w:val="4"/>
          <w:w w:val="105"/>
        </w:rPr>
        <w:t>to  </w:t>
      </w:r>
      <w:r>
        <w:rPr>
          <w:spacing w:val="3"/>
          <w:w w:val="105"/>
        </w:rPr>
        <w:t>provide </w:t>
      </w:r>
      <w:r>
        <w:rPr>
          <w:w w:val="105"/>
        </w:rPr>
        <w:t>third-party, passenger, and hull war-risk </w:t>
      </w:r>
      <w:r>
        <w:rPr>
          <w:spacing w:val="2"/>
          <w:w w:val="105"/>
        </w:rPr>
        <w:t>insurance  coverage  </w:t>
      </w:r>
      <w:r>
        <w:rPr>
          <w:w w:val="105"/>
        </w:rPr>
        <w:t>to  </w:t>
      </w:r>
      <w:r>
        <w:rPr>
          <w:spacing w:val="2"/>
          <w:w w:val="105"/>
        </w:rPr>
        <w:t>commercial   </w:t>
      </w:r>
      <w:r>
        <w:rPr>
          <w:spacing w:val="3"/>
          <w:w w:val="105"/>
        </w:rPr>
        <w:t>carriers  </w:t>
      </w:r>
      <w:r>
        <w:rPr>
          <w:w w:val="105"/>
        </w:rPr>
        <w:t>through  August  31,  2003,  which  may  be  </w:t>
      </w:r>
      <w:r>
        <w:rPr>
          <w:spacing w:val="8"/>
          <w:w w:val="105"/>
        </w:rPr>
        <w:t>extend- </w:t>
      </w:r>
      <w:r>
        <w:rPr>
          <w:w w:val="105"/>
        </w:rPr>
        <w:t>ed   by   the   </w:t>
      </w:r>
      <w:r>
        <w:rPr>
          <w:spacing w:val="3"/>
          <w:w w:val="105"/>
        </w:rPr>
        <w:t>government    </w:t>
      </w:r>
      <w:r>
        <w:rPr>
          <w:w w:val="105"/>
        </w:rPr>
        <w:t>through   </w:t>
      </w:r>
      <w:r>
        <w:rPr>
          <w:spacing w:val="3"/>
          <w:w w:val="105"/>
        </w:rPr>
        <w:t>December   </w:t>
      </w:r>
      <w:r>
        <w:rPr>
          <w:spacing w:val="5"/>
          <w:w w:val="105"/>
        </w:rPr>
        <w:t> </w:t>
      </w:r>
      <w:r>
        <w:rPr>
          <w:w w:val="105"/>
        </w:rPr>
        <w:t>31,</w:t>
      </w:r>
    </w:p>
    <w:p>
      <w:pPr>
        <w:spacing w:after="0" w:line="254" w:lineRule="auto"/>
        <w:jc w:val="both"/>
        <w:sectPr>
          <w:headerReference w:type="default" r:id="rId59"/>
          <w:footerReference w:type="default" r:id="rId60"/>
          <w:footerReference w:type="even" r:id="rId61"/>
          <w:pgSz w:w="11520" w:h="14400"/>
          <w:pgMar w:header="0" w:footer="706" w:top="960" w:bottom="900" w:left="700" w:right="840"/>
          <w:pgNumType w:start="5"/>
          <w:cols w:num="2" w:equalWidth="0">
            <w:col w:w="4737" w:space="403"/>
            <w:col w:w="4840"/>
          </w:cols>
        </w:sectPr>
      </w:pPr>
    </w:p>
    <w:p>
      <w:pPr>
        <w:pStyle w:val="BodyText"/>
        <w:spacing w:line="254" w:lineRule="auto" w:before="69"/>
        <w:ind w:left="100" w:right="2"/>
        <w:jc w:val="both"/>
      </w:pPr>
      <w:r>
        <w:rPr>
          <w:w w:val="105"/>
        </w:rPr>
        <w:t>2003. The Company is unable  to  predict  </w:t>
      </w:r>
      <w:r>
        <w:rPr>
          <w:spacing w:val="8"/>
          <w:w w:val="105"/>
        </w:rPr>
        <w:t>whether </w:t>
      </w:r>
      <w:r>
        <w:rPr>
          <w:w w:val="105"/>
        </w:rPr>
        <w:t>the </w:t>
      </w:r>
      <w:r>
        <w:rPr>
          <w:spacing w:val="3"/>
          <w:w w:val="105"/>
        </w:rPr>
        <w:t>government </w:t>
      </w:r>
      <w:r>
        <w:rPr>
          <w:w w:val="105"/>
        </w:rPr>
        <w:t>will  </w:t>
      </w:r>
      <w:r>
        <w:rPr>
          <w:spacing w:val="2"/>
          <w:w w:val="105"/>
        </w:rPr>
        <w:t>extend  </w:t>
      </w:r>
      <w:r>
        <w:rPr>
          <w:w w:val="105"/>
        </w:rPr>
        <w:t>this  </w:t>
      </w:r>
      <w:r>
        <w:rPr>
          <w:spacing w:val="8"/>
          <w:w w:val="105"/>
        </w:rPr>
        <w:t>insurance </w:t>
      </w:r>
      <w:r>
        <w:rPr>
          <w:spacing w:val="2"/>
          <w:w w:val="105"/>
        </w:rPr>
        <w:t>coverage </w:t>
      </w:r>
      <w:r>
        <w:rPr>
          <w:w w:val="105"/>
        </w:rPr>
        <w:t>past  August  31,  2003,  </w:t>
      </w:r>
      <w:r>
        <w:rPr>
          <w:spacing w:val="8"/>
          <w:w w:val="105"/>
        </w:rPr>
        <w:t>whether </w:t>
      </w:r>
      <w:r>
        <w:rPr>
          <w:spacing w:val="2"/>
          <w:w w:val="105"/>
        </w:rPr>
        <w:t>alternative commercial insurance  </w:t>
      </w:r>
      <w:r>
        <w:rPr>
          <w:w w:val="105"/>
        </w:rPr>
        <w:t>with  </w:t>
      </w:r>
      <w:r>
        <w:rPr>
          <w:spacing w:val="8"/>
          <w:w w:val="105"/>
        </w:rPr>
        <w:t>compar- </w:t>
      </w:r>
      <w:r>
        <w:rPr>
          <w:w w:val="105"/>
        </w:rPr>
        <w:t>able  </w:t>
      </w:r>
      <w:r>
        <w:rPr>
          <w:spacing w:val="2"/>
          <w:w w:val="105"/>
        </w:rPr>
        <w:t>coverage  </w:t>
      </w:r>
      <w:r>
        <w:rPr>
          <w:w w:val="105"/>
        </w:rPr>
        <w:t>will  </w:t>
      </w:r>
      <w:r>
        <w:rPr>
          <w:spacing w:val="2"/>
          <w:w w:val="105"/>
        </w:rPr>
        <w:t>become  available    </w:t>
      </w:r>
      <w:r>
        <w:rPr>
          <w:spacing w:val="4"/>
          <w:w w:val="105"/>
        </w:rPr>
        <w:t>at </w:t>
      </w:r>
      <w:r>
        <w:rPr>
          <w:spacing w:val="2"/>
          <w:w w:val="105"/>
        </w:rPr>
        <w:t>reasonable premiums, </w:t>
      </w:r>
      <w:r>
        <w:rPr>
          <w:w w:val="105"/>
        </w:rPr>
        <w:t>and what impact this  will  have on the Company’s </w:t>
      </w:r>
      <w:r>
        <w:rPr>
          <w:spacing w:val="2"/>
          <w:w w:val="105"/>
        </w:rPr>
        <w:t>ongoing  operations  </w:t>
      </w:r>
      <w:r>
        <w:rPr>
          <w:spacing w:val="4"/>
          <w:w w:val="105"/>
        </w:rPr>
        <w:t>or </w:t>
      </w:r>
      <w:r>
        <w:rPr>
          <w:spacing w:val="2"/>
          <w:w w:val="105"/>
        </w:rPr>
        <w:t>future  financial </w:t>
      </w:r>
      <w:r>
        <w:rPr>
          <w:spacing w:val="8"/>
          <w:w w:val="105"/>
        </w:rPr>
        <w:t> </w:t>
      </w:r>
      <w:r>
        <w:rPr>
          <w:spacing w:val="3"/>
          <w:w w:val="105"/>
        </w:rPr>
        <w:t>performance.</w:t>
      </w:r>
    </w:p>
    <w:p>
      <w:pPr>
        <w:pStyle w:val="BodyText"/>
        <w:spacing w:before="11"/>
        <w:rPr>
          <w:sz w:val="21"/>
        </w:rPr>
      </w:pPr>
    </w:p>
    <w:p>
      <w:pPr>
        <w:pStyle w:val="BodyText"/>
        <w:ind w:left="100"/>
        <w:jc w:val="both"/>
        <w:rPr>
          <w:rFonts w:ascii="Franklin Gothic Medium"/>
        </w:rPr>
      </w:pPr>
      <w:r>
        <w:rPr>
          <w:rFonts w:ascii="Franklin Gothic Medium"/>
        </w:rPr>
        <w:t>Frequent  Flyer Awards</w:t>
      </w:r>
    </w:p>
    <w:p>
      <w:pPr>
        <w:pStyle w:val="BodyText"/>
        <w:spacing w:before="2"/>
        <w:rPr>
          <w:rFonts w:ascii="Franklin Gothic Medium"/>
          <w:sz w:val="25"/>
        </w:rPr>
      </w:pPr>
    </w:p>
    <w:p>
      <w:pPr>
        <w:pStyle w:val="BodyText"/>
        <w:spacing w:line="254" w:lineRule="auto"/>
        <w:ind w:left="100" w:firstLine="180"/>
        <w:jc w:val="both"/>
      </w:pPr>
      <w:r>
        <w:rPr>
          <w:w w:val="105"/>
        </w:rPr>
        <w:t>Southwest’s frequent flyer program, </w:t>
      </w:r>
      <w:r>
        <w:rPr>
          <w:spacing w:val="11"/>
          <w:w w:val="105"/>
        </w:rPr>
        <w:t>Rapid </w:t>
      </w:r>
      <w:r>
        <w:rPr>
          <w:w w:val="105"/>
        </w:rPr>
        <w:t>Rewards, is based on trips flown rather  </w:t>
      </w:r>
      <w:r>
        <w:rPr>
          <w:spacing w:val="10"/>
          <w:w w:val="105"/>
        </w:rPr>
        <w:t>than </w:t>
      </w:r>
      <w:r>
        <w:rPr>
          <w:spacing w:val="2"/>
          <w:w w:val="105"/>
        </w:rPr>
        <w:t>mileage. Rapid </w:t>
      </w:r>
      <w:r>
        <w:rPr>
          <w:w w:val="105"/>
        </w:rPr>
        <w:t>Rewards Customers earn a </w:t>
      </w:r>
      <w:r>
        <w:rPr>
          <w:spacing w:val="2"/>
          <w:w w:val="105"/>
        </w:rPr>
        <w:t>flight </w:t>
      </w:r>
      <w:r>
        <w:rPr>
          <w:w w:val="105"/>
        </w:rPr>
        <w:t>segment credit for each one-way trip flown or </w:t>
      </w:r>
      <w:r>
        <w:rPr>
          <w:spacing w:val="5"/>
          <w:w w:val="105"/>
        </w:rPr>
        <w:t>two </w:t>
      </w:r>
      <w:r>
        <w:rPr>
          <w:w w:val="105"/>
        </w:rPr>
        <w:t>credits for </w:t>
      </w:r>
      <w:r>
        <w:rPr>
          <w:spacing w:val="2"/>
          <w:w w:val="105"/>
        </w:rPr>
        <w:t>each roundtrip </w:t>
      </w:r>
      <w:r>
        <w:rPr>
          <w:w w:val="105"/>
        </w:rPr>
        <w:t>flown. Rapid </w:t>
      </w:r>
      <w:r>
        <w:rPr>
          <w:spacing w:val="5"/>
          <w:w w:val="105"/>
        </w:rPr>
        <w:t>Rewards </w:t>
      </w:r>
      <w:r>
        <w:rPr>
          <w:w w:val="105"/>
        </w:rPr>
        <w:t>Customers can  also  receive  flight  segment  </w:t>
      </w:r>
      <w:r>
        <w:rPr>
          <w:spacing w:val="4"/>
          <w:w w:val="105"/>
        </w:rPr>
        <w:t>credits </w:t>
      </w:r>
      <w:r>
        <w:rPr>
          <w:w w:val="105"/>
        </w:rPr>
        <w:t>by  using  the  services  of  </w:t>
      </w:r>
      <w:r>
        <w:rPr>
          <w:spacing w:val="2"/>
          <w:w w:val="105"/>
        </w:rPr>
        <w:t>non-airline   </w:t>
      </w:r>
      <w:r>
        <w:rPr>
          <w:spacing w:val="3"/>
          <w:w w:val="105"/>
        </w:rPr>
        <w:t>partners, </w:t>
      </w:r>
      <w:r>
        <w:rPr>
          <w:spacing w:val="2"/>
          <w:w w:val="105"/>
        </w:rPr>
        <w:t>which include </w:t>
      </w:r>
      <w:r>
        <w:rPr>
          <w:w w:val="105"/>
        </w:rPr>
        <w:t>a </w:t>
      </w:r>
      <w:r>
        <w:rPr>
          <w:spacing w:val="2"/>
          <w:w w:val="105"/>
        </w:rPr>
        <w:t>telephone company, </w:t>
      </w:r>
      <w:r>
        <w:rPr>
          <w:w w:val="105"/>
        </w:rPr>
        <w:t>car </w:t>
      </w:r>
      <w:r>
        <w:rPr>
          <w:spacing w:val="4"/>
          <w:w w:val="105"/>
        </w:rPr>
        <w:t>rental </w:t>
      </w:r>
      <w:r>
        <w:rPr>
          <w:spacing w:val="2"/>
          <w:w w:val="105"/>
        </w:rPr>
        <w:t>agencies, </w:t>
      </w:r>
      <w:r>
        <w:rPr>
          <w:w w:val="105"/>
        </w:rPr>
        <w:t>hotels,  and  credit  card  </w:t>
      </w:r>
      <w:r>
        <w:rPr>
          <w:spacing w:val="4"/>
          <w:w w:val="105"/>
        </w:rPr>
        <w:t>partners, </w:t>
      </w:r>
      <w:r>
        <w:rPr>
          <w:spacing w:val="2"/>
          <w:w w:val="105"/>
        </w:rPr>
        <w:t>including </w:t>
      </w:r>
      <w:r>
        <w:rPr>
          <w:w w:val="105"/>
        </w:rPr>
        <w:t>the Southwest  Airlines  First  USA  </w:t>
      </w:r>
      <w:r>
        <w:rPr>
          <w:spacing w:val="9"/>
          <w:w w:val="105"/>
        </w:rPr>
        <w:t>Visa </w:t>
      </w:r>
      <w:r>
        <w:rPr>
          <w:w w:val="105"/>
        </w:rPr>
        <w:t>card. Rapid Rewards offers two types of  </w:t>
      </w:r>
      <w:r>
        <w:rPr>
          <w:spacing w:val="4"/>
          <w:w w:val="105"/>
        </w:rPr>
        <w:t>travel </w:t>
      </w:r>
      <w:r>
        <w:rPr>
          <w:w w:val="105"/>
        </w:rPr>
        <w:t>awards. The Rapid Rewards Award Ticket </w:t>
      </w:r>
      <w:r>
        <w:rPr>
          <w:spacing w:val="7"/>
          <w:w w:val="105"/>
        </w:rPr>
        <w:t>(“Award </w:t>
      </w:r>
      <w:r>
        <w:rPr>
          <w:w w:val="105"/>
        </w:rPr>
        <w:t>Ticket”) offers one free </w:t>
      </w:r>
      <w:r>
        <w:rPr>
          <w:spacing w:val="2"/>
          <w:w w:val="105"/>
        </w:rPr>
        <w:t>roundtrip  </w:t>
      </w:r>
      <w:r>
        <w:rPr>
          <w:w w:val="105"/>
        </w:rPr>
        <w:t>travel  award  </w:t>
      </w:r>
      <w:r>
        <w:rPr>
          <w:spacing w:val="4"/>
          <w:w w:val="105"/>
        </w:rPr>
        <w:t>to </w:t>
      </w:r>
      <w:r>
        <w:rPr>
          <w:w w:val="105"/>
        </w:rPr>
        <w:t>any  Southwest   </w:t>
      </w:r>
      <w:r>
        <w:rPr>
          <w:spacing w:val="3"/>
          <w:w w:val="105"/>
        </w:rPr>
        <w:t>destination   </w:t>
      </w:r>
      <w:r>
        <w:rPr>
          <w:w w:val="105"/>
        </w:rPr>
        <w:t>after   </w:t>
      </w:r>
      <w:r>
        <w:rPr>
          <w:spacing w:val="6"/>
          <w:w w:val="105"/>
        </w:rPr>
        <w:t>the </w:t>
      </w:r>
      <w:r>
        <w:rPr>
          <w:spacing w:val="3"/>
          <w:w w:val="105"/>
        </w:rPr>
        <w:t>accumulation</w:t>
      </w:r>
      <w:r>
        <w:rPr>
          <w:spacing w:val="53"/>
          <w:w w:val="105"/>
        </w:rPr>
        <w:t> </w:t>
      </w:r>
      <w:r>
        <w:rPr>
          <w:w w:val="105"/>
        </w:rPr>
        <w:t>of  16  flight  segment   credits  </w:t>
      </w:r>
      <w:r>
        <w:rPr>
          <w:spacing w:val="10"/>
          <w:w w:val="105"/>
        </w:rPr>
        <w:t>within </w:t>
      </w:r>
      <w:r>
        <w:rPr>
          <w:w w:val="105"/>
        </w:rPr>
        <w:t>a  </w:t>
      </w:r>
      <w:r>
        <w:rPr>
          <w:spacing w:val="3"/>
          <w:w w:val="105"/>
        </w:rPr>
        <w:t>consecutive</w:t>
      </w:r>
      <w:r>
        <w:rPr>
          <w:spacing w:val="53"/>
          <w:w w:val="105"/>
        </w:rPr>
        <w:t> </w:t>
      </w:r>
      <w:r>
        <w:rPr>
          <w:w w:val="105"/>
        </w:rPr>
        <w:t>12-month  period.  The  </w:t>
      </w:r>
      <w:r>
        <w:rPr>
          <w:spacing w:val="11"/>
          <w:w w:val="105"/>
        </w:rPr>
        <w:t>Rapid </w:t>
      </w:r>
      <w:r>
        <w:rPr>
          <w:w w:val="105"/>
        </w:rPr>
        <w:t>Rewards Companion Pass (“Companion Pass”) </w:t>
      </w:r>
      <w:r>
        <w:rPr>
          <w:spacing w:val="4"/>
          <w:w w:val="105"/>
        </w:rPr>
        <w:t>is </w:t>
      </w:r>
      <w:r>
        <w:rPr>
          <w:w w:val="105"/>
        </w:rPr>
        <w:t>granted for flying 50 roundtrips (or 100  </w:t>
      </w:r>
      <w:r>
        <w:rPr>
          <w:spacing w:val="8"/>
          <w:w w:val="105"/>
        </w:rPr>
        <w:t>one-way </w:t>
      </w:r>
      <w:r>
        <w:rPr>
          <w:w w:val="105"/>
        </w:rPr>
        <w:t>trips)  on  Southwest  </w:t>
      </w:r>
      <w:r>
        <w:rPr>
          <w:spacing w:val="2"/>
          <w:w w:val="105"/>
        </w:rPr>
        <w:t>within  </w:t>
      </w:r>
      <w:r>
        <w:rPr>
          <w:w w:val="105"/>
        </w:rPr>
        <w:t>a  </w:t>
      </w:r>
      <w:r>
        <w:rPr>
          <w:spacing w:val="8"/>
          <w:w w:val="105"/>
        </w:rPr>
        <w:t>consecutive </w:t>
      </w:r>
      <w:r>
        <w:rPr>
          <w:w w:val="105"/>
        </w:rPr>
        <w:t>12-month period. The </w:t>
      </w:r>
      <w:r>
        <w:rPr>
          <w:spacing w:val="4"/>
          <w:w w:val="105"/>
        </w:rPr>
        <w:t>Companion </w:t>
      </w:r>
      <w:r>
        <w:rPr>
          <w:w w:val="105"/>
        </w:rPr>
        <w:t>Pass </w:t>
      </w:r>
      <w:r>
        <w:rPr>
          <w:spacing w:val="3"/>
          <w:w w:val="105"/>
        </w:rPr>
        <w:t>offers unlimited </w:t>
      </w:r>
      <w:r>
        <w:rPr>
          <w:w w:val="105"/>
        </w:rPr>
        <w:t>free </w:t>
      </w:r>
      <w:r>
        <w:rPr>
          <w:spacing w:val="2"/>
          <w:w w:val="105"/>
        </w:rPr>
        <w:t>roundtrip </w:t>
      </w:r>
      <w:r>
        <w:rPr>
          <w:w w:val="105"/>
        </w:rPr>
        <w:t>travel to any </w:t>
      </w:r>
      <w:r>
        <w:rPr>
          <w:spacing w:val="5"/>
          <w:w w:val="105"/>
        </w:rPr>
        <w:t>Southwest </w:t>
      </w:r>
      <w:r>
        <w:rPr>
          <w:spacing w:val="3"/>
          <w:w w:val="105"/>
        </w:rPr>
        <w:t>destination </w:t>
      </w:r>
      <w:r>
        <w:rPr>
          <w:w w:val="105"/>
        </w:rPr>
        <w:t>for a  </w:t>
      </w:r>
      <w:r>
        <w:rPr>
          <w:spacing w:val="4"/>
          <w:w w:val="105"/>
        </w:rPr>
        <w:t>companion  </w:t>
      </w:r>
      <w:r>
        <w:rPr>
          <w:w w:val="105"/>
        </w:rPr>
        <w:t>of  the  </w:t>
      </w:r>
      <w:r>
        <w:rPr>
          <w:spacing w:val="6"/>
          <w:w w:val="105"/>
        </w:rPr>
        <w:t>qualifying </w:t>
      </w:r>
      <w:r>
        <w:rPr>
          <w:w w:val="105"/>
        </w:rPr>
        <w:t>Rapid Rewards </w:t>
      </w:r>
      <w:r>
        <w:rPr>
          <w:spacing w:val="2"/>
          <w:w w:val="105"/>
        </w:rPr>
        <w:t>member. </w:t>
      </w:r>
      <w:r>
        <w:rPr>
          <w:w w:val="105"/>
        </w:rPr>
        <w:t>In  order  for  </w:t>
      </w:r>
      <w:r>
        <w:rPr>
          <w:spacing w:val="6"/>
          <w:w w:val="105"/>
        </w:rPr>
        <w:t>the </w:t>
      </w:r>
      <w:r>
        <w:rPr>
          <w:spacing w:val="4"/>
          <w:w w:val="105"/>
        </w:rPr>
        <w:t>companion </w:t>
      </w:r>
      <w:r>
        <w:rPr>
          <w:w w:val="105"/>
        </w:rPr>
        <w:t>to use this pass, the Rapid </w:t>
      </w:r>
      <w:r>
        <w:rPr>
          <w:spacing w:val="5"/>
          <w:w w:val="105"/>
        </w:rPr>
        <w:t>Rewards </w:t>
      </w:r>
      <w:r>
        <w:rPr>
          <w:w w:val="105"/>
        </w:rPr>
        <w:t>member must purchase a ticket or use an </w:t>
      </w:r>
      <w:r>
        <w:rPr>
          <w:spacing w:val="9"/>
          <w:w w:val="105"/>
        </w:rPr>
        <w:t>Award </w:t>
      </w:r>
      <w:r>
        <w:rPr>
          <w:w w:val="105"/>
        </w:rPr>
        <w:t>Ticket. </w:t>
      </w:r>
      <w:r>
        <w:rPr>
          <w:spacing w:val="2"/>
          <w:w w:val="105"/>
        </w:rPr>
        <w:t>Additionally, </w:t>
      </w:r>
      <w:r>
        <w:rPr>
          <w:w w:val="105"/>
        </w:rPr>
        <w:t>the Rapid Rewards  </w:t>
      </w:r>
      <w:r>
        <w:rPr>
          <w:spacing w:val="12"/>
          <w:w w:val="105"/>
        </w:rPr>
        <w:t>member  </w:t>
      </w:r>
      <w:r>
        <w:rPr>
          <w:w w:val="105"/>
        </w:rPr>
        <w:t>and  </w:t>
      </w:r>
      <w:r>
        <w:rPr>
          <w:spacing w:val="4"/>
          <w:w w:val="105"/>
        </w:rPr>
        <w:t>companion  </w:t>
      </w:r>
      <w:r>
        <w:rPr>
          <w:w w:val="105"/>
        </w:rPr>
        <w:t>must  travel   together   on   </w:t>
      </w:r>
      <w:r>
        <w:rPr>
          <w:spacing w:val="6"/>
          <w:w w:val="105"/>
        </w:rPr>
        <w:t>the </w:t>
      </w:r>
      <w:r>
        <w:rPr>
          <w:w w:val="105"/>
        </w:rPr>
        <w:t>same </w:t>
      </w:r>
      <w:r>
        <w:rPr>
          <w:spacing w:val="36"/>
          <w:w w:val="105"/>
        </w:rPr>
        <w:t> </w:t>
      </w:r>
      <w:r>
        <w:rPr>
          <w:w w:val="105"/>
        </w:rPr>
        <w:t>flight.</w:t>
      </w:r>
    </w:p>
    <w:p>
      <w:pPr>
        <w:pStyle w:val="BodyText"/>
        <w:spacing w:line="254" w:lineRule="auto" w:before="1"/>
        <w:ind w:left="100" w:firstLine="180"/>
        <w:jc w:val="both"/>
      </w:pPr>
      <w:r>
        <w:rPr>
          <w:w w:val="105"/>
        </w:rPr>
        <w:t>Trips flown are valid for flight segment </w:t>
      </w:r>
      <w:r>
        <w:rPr>
          <w:spacing w:val="4"/>
          <w:w w:val="105"/>
        </w:rPr>
        <w:t>credits </w:t>
      </w:r>
      <w:r>
        <w:rPr>
          <w:w w:val="105"/>
        </w:rPr>
        <w:t>toward Award  Tickets  and  </w:t>
      </w:r>
      <w:r>
        <w:rPr>
          <w:spacing w:val="4"/>
          <w:w w:val="105"/>
        </w:rPr>
        <w:t>Companion  </w:t>
      </w:r>
      <w:r>
        <w:rPr>
          <w:w w:val="105"/>
        </w:rPr>
        <w:t>Passes  </w:t>
      </w:r>
      <w:r>
        <w:rPr>
          <w:spacing w:val="2"/>
          <w:w w:val="105"/>
        </w:rPr>
        <w:t>for </w:t>
      </w:r>
      <w:r>
        <w:rPr>
          <w:w w:val="105"/>
        </w:rPr>
        <w:t>12 months only; Award Tickets and </w:t>
      </w:r>
      <w:r>
        <w:rPr>
          <w:spacing w:val="12"/>
          <w:w w:val="105"/>
        </w:rPr>
        <w:t>Companion </w:t>
      </w:r>
      <w:r>
        <w:rPr>
          <w:w w:val="105"/>
        </w:rPr>
        <w:t>Passes are  automatically  generated  when  </w:t>
      </w:r>
      <w:r>
        <w:rPr>
          <w:spacing w:val="11"/>
          <w:w w:val="105"/>
        </w:rPr>
        <w:t>earned </w:t>
      </w:r>
      <w:r>
        <w:rPr>
          <w:w w:val="105"/>
        </w:rPr>
        <w:t>by the  Customer  rather  than  allowing  </w:t>
      </w:r>
      <w:r>
        <w:rPr>
          <w:spacing w:val="6"/>
          <w:w w:val="105"/>
        </w:rPr>
        <w:t>the </w:t>
      </w:r>
      <w:r>
        <w:rPr>
          <w:w w:val="105"/>
        </w:rPr>
        <w:t>Customer to bank credits </w:t>
      </w:r>
      <w:r>
        <w:rPr>
          <w:spacing w:val="2"/>
          <w:w w:val="105"/>
        </w:rPr>
        <w:t>indefinitely; </w:t>
      </w:r>
      <w:r>
        <w:rPr>
          <w:w w:val="105"/>
        </w:rPr>
        <w:t>and </w:t>
      </w:r>
      <w:r>
        <w:rPr>
          <w:spacing w:val="9"/>
          <w:w w:val="105"/>
        </w:rPr>
        <w:t>Award </w:t>
      </w:r>
      <w:r>
        <w:rPr>
          <w:w w:val="105"/>
        </w:rPr>
        <w:t>Tickets  and  </w:t>
      </w:r>
      <w:r>
        <w:rPr>
          <w:spacing w:val="4"/>
          <w:w w:val="105"/>
        </w:rPr>
        <w:t>Companion   </w:t>
      </w:r>
      <w:r>
        <w:rPr>
          <w:w w:val="105"/>
        </w:rPr>
        <w:t>Passes  are  valid   for  </w:t>
      </w:r>
      <w:r>
        <w:rPr>
          <w:spacing w:val="3"/>
          <w:w w:val="105"/>
        </w:rPr>
        <w:t> </w:t>
      </w:r>
      <w:r>
        <w:rPr>
          <w:spacing w:val="12"/>
          <w:w w:val="105"/>
        </w:rPr>
        <w:t>one</w:t>
      </w:r>
    </w:p>
    <w:p>
      <w:pPr>
        <w:pStyle w:val="BodyText"/>
        <w:spacing w:line="254" w:lineRule="auto" w:before="69"/>
        <w:ind w:left="100" w:right="114"/>
        <w:jc w:val="both"/>
      </w:pPr>
      <w:r>
        <w:rPr/>
        <w:br w:type="column"/>
      </w:r>
      <w:r>
        <w:rPr>
          <w:w w:val="105"/>
        </w:rPr>
        <w:t>year with an automatic expiration date. Blackout dates  apply  during  peak  holiday   periods.</w:t>
      </w:r>
    </w:p>
    <w:p>
      <w:pPr>
        <w:pStyle w:val="BodyText"/>
        <w:spacing w:line="254" w:lineRule="auto"/>
        <w:ind w:left="100" w:right="105" w:firstLine="180"/>
        <w:jc w:val="both"/>
      </w:pPr>
      <w:r>
        <w:rPr>
          <w:w w:val="110"/>
        </w:rPr>
        <w:t>The Company  also  sells  flight  segment  credits to business partners including credit card companies, phone companies, hotels, and car rental agencies. These credits may be redeemed for Award Tickets having the same program characteristics as those earned by   flying.</w:t>
      </w:r>
    </w:p>
    <w:p>
      <w:pPr>
        <w:pStyle w:val="BodyText"/>
        <w:tabs>
          <w:tab w:pos="1839" w:val="left" w:leader="none"/>
          <w:tab w:pos="3399" w:val="left" w:leader="none"/>
        </w:tabs>
        <w:ind w:left="280"/>
      </w:pPr>
      <w:r>
        <w:rPr>
          <w:w w:val="105"/>
        </w:rPr>
        <w:t>Customers</w:t>
        <w:tab/>
      </w:r>
      <w:r>
        <w:rPr>
          <w:spacing w:val="3"/>
          <w:w w:val="105"/>
        </w:rPr>
        <w:t>redeemed</w:t>
        <w:tab/>
      </w:r>
      <w:r>
        <w:rPr>
          <w:spacing w:val="7"/>
          <w:w w:val="105"/>
        </w:rPr>
        <w:t>approximately</w:t>
      </w:r>
    </w:p>
    <w:p>
      <w:pPr>
        <w:pStyle w:val="BodyText"/>
        <w:spacing w:line="254" w:lineRule="auto" w:before="15"/>
        <w:ind w:left="100" w:right="125"/>
        <w:jc w:val="both"/>
      </w:pPr>
      <w:r>
        <w:rPr>
          <w:w w:val="105"/>
        </w:rPr>
        <w:t>2.2 million, 1.7 million, and  1.6  million  Award Tickets and flights on Companion Passes  during 2002,  2001,  and  2000,  respectively.  The  amount of  free  travel  award  usage  as  a  percentage  of total  Southwest   revenue   passengers   carried  was</w:t>
      </w:r>
    </w:p>
    <w:p>
      <w:pPr>
        <w:pStyle w:val="BodyText"/>
        <w:spacing w:before="1"/>
        <w:ind w:left="100"/>
        <w:jc w:val="both"/>
      </w:pPr>
      <w:r>
        <w:rPr>
          <w:w w:val="110"/>
        </w:rPr>
        <w:t>6.8  percent   in   2002,  5.4  percent   in   2001, and</w:t>
      </w:r>
    </w:p>
    <w:p>
      <w:pPr>
        <w:pStyle w:val="BodyText"/>
        <w:spacing w:line="254" w:lineRule="auto" w:before="16"/>
        <w:ind w:left="100" w:right="128"/>
        <w:jc w:val="both"/>
      </w:pPr>
      <w:r>
        <w:rPr>
          <w:w w:val="105"/>
        </w:rPr>
        <w:t>4.9  percent  in  2000.  The  </w:t>
      </w:r>
      <w:r>
        <w:rPr>
          <w:spacing w:val="2"/>
          <w:w w:val="105"/>
        </w:rPr>
        <w:t>number  </w:t>
      </w:r>
      <w:r>
        <w:rPr>
          <w:w w:val="105"/>
        </w:rPr>
        <w:t>of  </w:t>
      </w:r>
      <w:r>
        <w:rPr>
          <w:spacing w:val="9"/>
          <w:w w:val="105"/>
        </w:rPr>
        <w:t>Award </w:t>
      </w:r>
      <w:r>
        <w:rPr>
          <w:w w:val="105"/>
        </w:rPr>
        <w:t>Tickets </w:t>
      </w:r>
      <w:r>
        <w:rPr>
          <w:spacing w:val="2"/>
          <w:w w:val="105"/>
        </w:rPr>
        <w:t>outstanding </w:t>
      </w:r>
      <w:r>
        <w:rPr>
          <w:w w:val="105"/>
        </w:rPr>
        <w:t>at </w:t>
      </w:r>
      <w:r>
        <w:rPr>
          <w:spacing w:val="2"/>
          <w:w w:val="105"/>
        </w:rPr>
        <w:t>December </w:t>
      </w:r>
      <w:r>
        <w:rPr>
          <w:w w:val="105"/>
        </w:rPr>
        <w:t>31,  2002  </w:t>
      </w:r>
      <w:r>
        <w:rPr>
          <w:spacing w:val="12"/>
          <w:w w:val="105"/>
        </w:rPr>
        <w:t>and </w:t>
      </w:r>
      <w:r>
        <w:rPr>
          <w:w w:val="105"/>
        </w:rPr>
        <w:t>2001,     was     </w:t>
      </w:r>
      <w:r>
        <w:rPr>
          <w:spacing w:val="3"/>
          <w:w w:val="105"/>
        </w:rPr>
        <w:t>approximately      </w:t>
      </w:r>
      <w:r>
        <w:rPr>
          <w:w w:val="105"/>
        </w:rPr>
        <w:t>1.4     million     </w:t>
      </w:r>
      <w:r>
        <w:rPr>
          <w:spacing w:val="3"/>
          <w:w w:val="105"/>
        </w:rPr>
        <w:t> </w:t>
      </w:r>
      <w:r>
        <w:rPr>
          <w:spacing w:val="12"/>
          <w:w w:val="105"/>
        </w:rPr>
        <w:t>and</w:t>
      </w:r>
    </w:p>
    <w:p>
      <w:pPr>
        <w:pStyle w:val="BodyText"/>
        <w:spacing w:line="254" w:lineRule="auto" w:before="1"/>
        <w:ind w:left="100" w:right="128"/>
        <w:jc w:val="both"/>
      </w:pPr>
      <w:r>
        <w:rPr>
          <w:w w:val="105"/>
        </w:rPr>
        <w:t>1.3 million, respectively. These numbers do </w:t>
      </w:r>
      <w:r>
        <w:rPr>
          <w:spacing w:val="6"/>
          <w:w w:val="105"/>
        </w:rPr>
        <w:t>not </w:t>
      </w:r>
      <w:r>
        <w:rPr>
          <w:spacing w:val="2"/>
          <w:w w:val="105"/>
        </w:rPr>
        <w:t>include </w:t>
      </w:r>
      <w:r>
        <w:rPr>
          <w:w w:val="105"/>
        </w:rPr>
        <w:t>partially </w:t>
      </w:r>
      <w:r>
        <w:rPr>
          <w:spacing w:val="2"/>
          <w:w w:val="105"/>
        </w:rPr>
        <w:t>earned Award </w:t>
      </w:r>
      <w:r>
        <w:rPr>
          <w:w w:val="105"/>
        </w:rPr>
        <w:t>Tickets.  </w:t>
      </w:r>
      <w:r>
        <w:rPr>
          <w:spacing w:val="8"/>
          <w:w w:val="105"/>
        </w:rPr>
        <w:t>The </w:t>
      </w:r>
      <w:r>
        <w:rPr>
          <w:spacing w:val="2"/>
          <w:w w:val="105"/>
        </w:rPr>
        <w:t>Company </w:t>
      </w:r>
      <w:r>
        <w:rPr>
          <w:w w:val="105"/>
        </w:rPr>
        <w:t>currently does not </w:t>
      </w:r>
      <w:r>
        <w:rPr>
          <w:spacing w:val="2"/>
          <w:w w:val="105"/>
        </w:rPr>
        <w:t>have </w:t>
      </w:r>
      <w:r>
        <w:rPr>
          <w:w w:val="105"/>
        </w:rPr>
        <w:t>a system </w:t>
      </w:r>
      <w:r>
        <w:rPr>
          <w:spacing w:val="4"/>
          <w:w w:val="105"/>
        </w:rPr>
        <w:t>to </w:t>
      </w:r>
      <w:r>
        <w:rPr>
          <w:w w:val="105"/>
        </w:rPr>
        <w:t>accurately  estimate  partially   </w:t>
      </w:r>
      <w:r>
        <w:rPr>
          <w:spacing w:val="2"/>
          <w:w w:val="105"/>
        </w:rPr>
        <w:t>earned   </w:t>
      </w:r>
      <w:r>
        <w:rPr>
          <w:spacing w:val="9"/>
          <w:w w:val="105"/>
        </w:rPr>
        <w:t>Award </w:t>
      </w:r>
      <w:r>
        <w:rPr>
          <w:w w:val="105"/>
        </w:rPr>
        <w:t>Tickets. </w:t>
      </w:r>
      <w:r>
        <w:rPr>
          <w:spacing w:val="2"/>
          <w:w w:val="105"/>
        </w:rPr>
        <w:t>However, </w:t>
      </w:r>
      <w:r>
        <w:rPr>
          <w:w w:val="105"/>
        </w:rPr>
        <w:t>these partially </w:t>
      </w:r>
      <w:r>
        <w:rPr>
          <w:spacing w:val="2"/>
          <w:w w:val="105"/>
        </w:rPr>
        <w:t>earned </w:t>
      </w:r>
      <w:r>
        <w:rPr>
          <w:spacing w:val="9"/>
          <w:w w:val="105"/>
        </w:rPr>
        <w:t>Award </w:t>
      </w:r>
      <w:r>
        <w:rPr>
          <w:w w:val="105"/>
        </w:rPr>
        <w:t>Tickets may equal 60 percent  or  more  of  </w:t>
      </w:r>
      <w:r>
        <w:rPr>
          <w:spacing w:val="6"/>
          <w:w w:val="105"/>
        </w:rPr>
        <w:t>the </w:t>
      </w:r>
      <w:r>
        <w:rPr>
          <w:w w:val="105"/>
        </w:rPr>
        <w:t>current </w:t>
      </w:r>
      <w:r>
        <w:rPr>
          <w:spacing w:val="2"/>
          <w:w w:val="105"/>
        </w:rPr>
        <w:t>outstanding </w:t>
      </w:r>
      <w:r>
        <w:rPr>
          <w:w w:val="105"/>
        </w:rPr>
        <w:t>Award Tickets. Since </w:t>
      </w:r>
      <w:r>
        <w:rPr>
          <w:spacing w:val="6"/>
          <w:w w:val="105"/>
        </w:rPr>
        <w:t>the </w:t>
      </w:r>
      <w:r>
        <w:rPr>
          <w:spacing w:val="3"/>
          <w:w w:val="105"/>
        </w:rPr>
        <w:t>inception</w:t>
      </w:r>
      <w:r>
        <w:rPr>
          <w:spacing w:val="53"/>
          <w:w w:val="105"/>
        </w:rPr>
        <w:t> </w:t>
      </w:r>
      <w:r>
        <w:rPr>
          <w:w w:val="105"/>
        </w:rPr>
        <w:t>of  Rapid  Rewards  in  1987, </w:t>
      </w:r>
      <w:r>
        <w:rPr>
          <w:spacing w:val="5"/>
          <w:w w:val="105"/>
        </w:rPr>
        <w:t>approximately  </w:t>
      </w:r>
      <w:r>
        <w:rPr>
          <w:w w:val="105"/>
        </w:rPr>
        <w:t>14  percent  of  all  Award  Tickets </w:t>
      </w:r>
      <w:r>
        <w:rPr>
          <w:spacing w:val="2"/>
          <w:w w:val="105"/>
        </w:rPr>
        <w:t>have expired without being </w:t>
      </w:r>
      <w:r>
        <w:rPr>
          <w:w w:val="105"/>
        </w:rPr>
        <w:t>used. The </w:t>
      </w:r>
      <w:r>
        <w:rPr>
          <w:spacing w:val="2"/>
          <w:w w:val="105"/>
        </w:rPr>
        <w:t>number </w:t>
      </w:r>
      <w:r>
        <w:rPr>
          <w:spacing w:val="6"/>
          <w:w w:val="105"/>
        </w:rPr>
        <w:t>of </w:t>
      </w:r>
      <w:r>
        <w:rPr>
          <w:spacing w:val="2"/>
          <w:w w:val="105"/>
        </w:rPr>
        <w:t>Companion Passes </w:t>
      </w:r>
      <w:r>
        <w:rPr>
          <w:w w:val="105"/>
        </w:rPr>
        <w:t>for Southwest </w:t>
      </w:r>
      <w:r>
        <w:rPr>
          <w:spacing w:val="2"/>
          <w:w w:val="105"/>
        </w:rPr>
        <w:t>outstanding </w:t>
      </w:r>
      <w:r>
        <w:rPr>
          <w:spacing w:val="4"/>
          <w:w w:val="105"/>
        </w:rPr>
        <w:t>at </w:t>
      </w:r>
      <w:r>
        <w:rPr>
          <w:spacing w:val="3"/>
          <w:w w:val="105"/>
        </w:rPr>
        <w:t>December </w:t>
      </w:r>
      <w:r>
        <w:rPr>
          <w:w w:val="105"/>
        </w:rPr>
        <w:t>31, 2002  and  2001,  was  </w:t>
      </w:r>
      <w:r>
        <w:rPr>
          <w:spacing w:val="9"/>
          <w:w w:val="105"/>
        </w:rPr>
        <w:t>approxi-  </w:t>
      </w:r>
      <w:r>
        <w:rPr>
          <w:w w:val="105"/>
        </w:rPr>
        <w:t>mately 55,000 and 48,000, respectively.  </w:t>
      </w:r>
      <w:r>
        <w:rPr>
          <w:spacing w:val="8"/>
          <w:w w:val="105"/>
        </w:rPr>
        <w:t>The </w:t>
      </w:r>
      <w:r>
        <w:rPr>
          <w:spacing w:val="2"/>
          <w:w w:val="105"/>
        </w:rPr>
        <w:t>Company </w:t>
      </w:r>
      <w:r>
        <w:rPr>
          <w:w w:val="105"/>
        </w:rPr>
        <w:t>currently estimates that  three  to  </w:t>
      </w:r>
      <w:r>
        <w:rPr>
          <w:spacing w:val="6"/>
          <w:w w:val="105"/>
        </w:rPr>
        <w:t>four </w:t>
      </w:r>
      <w:r>
        <w:rPr>
          <w:w w:val="105"/>
        </w:rPr>
        <w:t>trips will  be  </w:t>
      </w:r>
      <w:r>
        <w:rPr>
          <w:spacing w:val="3"/>
          <w:w w:val="105"/>
        </w:rPr>
        <w:t>redeemed</w:t>
      </w:r>
      <w:r>
        <w:rPr>
          <w:spacing w:val="53"/>
          <w:w w:val="105"/>
        </w:rPr>
        <w:t> </w:t>
      </w:r>
      <w:r>
        <w:rPr>
          <w:w w:val="105"/>
        </w:rPr>
        <w:t>per  </w:t>
      </w:r>
      <w:r>
        <w:rPr>
          <w:spacing w:val="7"/>
          <w:w w:val="105"/>
        </w:rPr>
        <w:t>outstanding </w:t>
      </w:r>
      <w:r>
        <w:rPr>
          <w:spacing w:val="3"/>
          <w:w w:val="105"/>
        </w:rPr>
        <w:t>Companion  </w:t>
      </w:r>
      <w:r>
        <w:rPr>
          <w:spacing w:val="34"/>
          <w:w w:val="105"/>
        </w:rPr>
        <w:t> </w:t>
      </w:r>
      <w:r>
        <w:rPr>
          <w:spacing w:val="4"/>
          <w:w w:val="105"/>
        </w:rPr>
        <w:t>Pass.</w:t>
      </w:r>
    </w:p>
    <w:p>
      <w:pPr>
        <w:pStyle w:val="BodyText"/>
        <w:spacing w:line="254" w:lineRule="auto" w:before="1"/>
        <w:ind w:left="100" w:right="109" w:firstLine="180"/>
        <w:jc w:val="both"/>
      </w:pPr>
      <w:r>
        <w:rPr>
          <w:w w:val="105"/>
        </w:rPr>
        <w:t>The Company accounts for its frequent flyer program obligations by recording a liability for </w:t>
      </w:r>
      <w:r>
        <w:rPr>
          <w:spacing w:val="6"/>
          <w:w w:val="105"/>
        </w:rPr>
        <w:t>the </w:t>
      </w:r>
      <w:r>
        <w:rPr>
          <w:spacing w:val="2"/>
          <w:w w:val="105"/>
        </w:rPr>
        <w:t>estimated incremental </w:t>
      </w:r>
      <w:r>
        <w:rPr>
          <w:w w:val="105"/>
        </w:rPr>
        <w:t>cost of flight awards </w:t>
      </w:r>
      <w:r>
        <w:rPr>
          <w:spacing w:val="6"/>
          <w:w w:val="105"/>
        </w:rPr>
        <w:t>the </w:t>
      </w:r>
      <w:r>
        <w:rPr>
          <w:w w:val="105"/>
        </w:rPr>
        <w:t>Company expects  to  be  </w:t>
      </w:r>
      <w:r>
        <w:rPr>
          <w:spacing w:val="3"/>
          <w:w w:val="105"/>
        </w:rPr>
        <w:t>redeemed</w:t>
      </w:r>
      <w:r>
        <w:rPr>
          <w:spacing w:val="53"/>
          <w:w w:val="105"/>
        </w:rPr>
        <w:t> </w:t>
      </w:r>
      <w:r>
        <w:rPr>
          <w:spacing w:val="2"/>
          <w:w w:val="105"/>
        </w:rPr>
        <w:t>(except  </w:t>
      </w:r>
      <w:r>
        <w:rPr>
          <w:spacing w:val="3"/>
          <w:w w:val="105"/>
        </w:rPr>
        <w:t>for </w:t>
      </w:r>
      <w:r>
        <w:rPr>
          <w:w w:val="105"/>
        </w:rPr>
        <w:t>flight segment credits sold  to  business  </w:t>
      </w:r>
      <w:r>
        <w:rPr>
          <w:spacing w:val="3"/>
          <w:w w:val="105"/>
        </w:rPr>
        <w:t>partners). </w:t>
      </w:r>
      <w:r>
        <w:rPr>
          <w:w w:val="105"/>
        </w:rPr>
        <w:t>This </w:t>
      </w:r>
      <w:r>
        <w:rPr>
          <w:spacing w:val="2"/>
          <w:w w:val="105"/>
        </w:rPr>
        <w:t>method </w:t>
      </w:r>
      <w:r>
        <w:rPr>
          <w:w w:val="105"/>
        </w:rPr>
        <w:t>recognizes  an  average  </w:t>
      </w:r>
      <w:r>
        <w:rPr>
          <w:spacing w:val="7"/>
          <w:w w:val="105"/>
        </w:rPr>
        <w:t>incremental </w:t>
      </w:r>
      <w:r>
        <w:rPr>
          <w:w w:val="105"/>
        </w:rPr>
        <w:t>cost to </w:t>
      </w:r>
      <w:r>
        <w:rPr>
          <w:spacing w:val="2"/>
          <w:w w:val="105"/>
        </w:rPr>
        <w:t>provide roundtrip transportation </w:t>
      </w:r>
      <w:r>
        <w:rPr>
          <w:w w:val="105"/>
        </w:rPr>
        <w:t>to </w:t>
      </w:r>
      <w:r>
        <w:rPr>
          <w:spacing w:val="12"/>
          <w:w w:val="105"/>
        </w:rPr>
        <w:t>one </w:t>
      </w:r>
      <w:r>
        <w:rPr>
          <w:spacing w:val="2"/>
          <w:w w:val="105"/>
        </w:rPr>
        <w:t>additional passenger. </w:t>
      </w:r>
      <w:r>
        <w:rPr>
          <w:w w:val="105"/>
        </w:rPr>
        <w:t>The </w:t>
      </w:r>
      <w:r>
        <w:rPr>
          <w:spacing w:val="2"/>
          <w:w w:val="105"/>
        </w:rPr>
        <w:t>estimated </w:t>
      </w:r>
      <w:r>
        <w:rPr>
          <w:spacing w:val="7"/>
          <w:w w:val="105"/>
        </w:rPr>
        <w:t>incremental </w:t>
      </w:r>
      <w:r>
        <w:rPr>
          <w:w w:val="105"/>
        </w:rPr>
        <w:t>cost includes direct passenger costs such as </w:t>
      </w:r>
      <w:r>
        <w:rPr>
          <w:spacing w:val="4"/>
          <w:w w:val="105"/>
        </w:rPr>
        <w:t>fuel,  </w:t>
      </w:r>
      <w:r>
        <w:rPr>
          <w:w w:val="105"/>
        </w:rPr>
        <w:t>food, and other </w:t>
      </w:r>
      <w:r>
        <w:rPr>
          <w:spacing w:val="2"/>
          <w:w w:val="105"/>
        </w:rPr>
        <w:t>operational </w:t>
      </w:r>
      <w:r>
        <w:rPr>
          <w:w w:val="105"/>
        </w:rPr>
        <w:t>costs, but does </w:t>
      </w:r>
      <w:r>
        <w:rPr>
          <w:spacing w:val="6"/>
          <w:w w:val="105"/>
        </w:rPr>
        <w:t>not </w:t>
      </w:r>
      <w:r>
        <w:rPr>
          <w:spacing w:val="2"/>
          <w:w w:val="105"/>
        </w:rPr>
        <w:t>include </w:t>
      </w:r>
      <w:r>
        <w:rPr>
          <w:w w:val="105"/>
        </w:rPr>
        <w:t>any </w:t>
      </w:r>
      <w:r>
        <w:rPr>
          <w:spacing w:val="3"/>
          <w:w w:val="105"/>
        </w:rPr>
        <w:t>contribution</w:t>
      </w:r>
      <w:r>
        <w:rPr>
          <w:spacing w:val="53"/>
          <w:w w:val="105"/>
        </w:rPr>
        <w:t> </w:t>
      </w:r>
      <w:r>
        <w:rPr>
          <w:w w:val="105"/>
        </w:rPr>
        <w:t>to  </w:t>
      </w:r>
      <w:r>
        <w:rPr>
          <w:spacing w:val="3"/>
          <w:w w:val="105"/>
        </w:rPr>
        <w:t>overhead</w:t>
      </w:r>
      <w:r>
        <w:rPr>
          <w:spacing w:val="53"/>
          <w:w w:val="105"/>
        </w:rPr>
        <w:t> </w:t>
      </w:r>
      <w:r>
        <w:rPr>
          <w:w w:val="105"/>
        </w:rPr>
        <w:t>or  </w:t>
      </w:r>
      <w:r>
        <w:rPr>
          <w:spacing w:val="4"/>
          <w:w w:val="105"/>
        </w:rPr>
        <w:t>profit. </w:t>
      </w:r>
      <w:r>
        <w:rPr>
          <w:w w:val="105"/>
        </w:rPr>
        <w:t>The  </w:t>
      </w:r>
      <w:r>
        <w:rPr>
          <w:spacing w:val="2"/>
          <w:w w:val="105"/>
        </w:rPr>
        <w:t>incremental   </w:t>
      </w:r>
      <w:r>
        <w:rPr>
          <w:w w:val="105"/>
        </w:rPr>
        <w:t>cost  is  </w:t>
      </w:r>
      <w:r>
        <w:rPr>
          <w:spacing w:val="2"/>
          <w:w w:val="105"/>
        </w:rPr>
        <w:t>accrued   </w:t>
      </w:r>
      <w:r>
        <w:rPr>
          <w:w w:val="105"/>
        </w:rPr>
        <w:t>at  the   time  </w:t>
      </w:r>
      <w:r>
        <w:rPr>
          <w:spacing w:val="18"/>
          <w:w w:val="105"/>
        </w:rPr>
        <w:t> </w:t>
      </w:r>
      <w:r>
        <w:rPr>
          <w:spacing w:val="12"/>
          <w:w w:val="105"/>
        </w:rPr>
        <w:t>an</w:t>
      </w:r>
    </w:p>
    <w:p>
      <w:pPr>
        <w:spacing w:after="0" w:line="254" w:lineRule="auto"/>
        <w:jc w:val="both"/>
        <w:sectPr>
          <w:headerReference w:type="default" r:id="rId62"/>
          <w:pgSz w:w="11520" w:h="14400"/>
          <w:pgMar w:header="0" w:footer="706" w:top="960" w:bottom="900" w:left="700" w:right="840"/>
          <w:cols w:num="2" w:equalWidth="0">
            <w:col w:w="4734" w:space="406"/>
            <w:col w:w="4840"/>
          </w:cols>
        </w:sectPr>
      </w:pPr>
    </w:p>
    <w:p>
      <w:pPr>
        <w:pStyle w:val="BodyText"/>
        <w:spacing w:line="254" w:lineRule="auto" w:before="69"/>
        <w:ind w:left="100"/>
        <w:jc w:val="both"/>
      </w:pPr>
      <w:r>
        <w:rPr>
          <w:spacing w:val="2"/>
          <w:w w:val="105"/>
        </w:rPr>
        <w:t>award </w:t>
      </w:r>
      <w:r>
        <w:rPr>
          <w:w w:val="105"/>
        </w:rPr>
        <w:t>is </w:t>
      </w:r>
      <w:r>
        <w:rPr>
          <w:spacing w:val="2"/>
          <w:w w:val="105"/>
        </w:rPr>
        <w:t>earned </w:t>
      </w:r>
      <w:r>
        <w:rPr>
          <w:w w:val="105"/>
        </w:rPr>
        <w:t>and </w:t>
      </w:r>
      <w:r>
        <w:rPr>
          <w:spacing w:val="2"/>
          <w:w w:val="105"/>
        </w:rPr>
        <w:t>revenue </w:t>
      </w:r>
      <w:r>
        <w:rPr>
          <w:w w:val="105"/>
        </w:rPr>
        <w:t>is </w:t>
      </w:r>
      <w:r>
        <w:rPr>
          <w:spacing w:val="5"/>
          <w:w w:val="105"/>
        </w:rPr>
        <w:t>subsequently </w:t>
      </w:r>
      <w:r>
        <w:rPr>
          <w:spacing w:val="2"/>
          <w:w w:val="105"/>
        </w:rPr>
        <w:t>recognized,  </w:t>
      </w:r>
      <w:r>
        <w:rPr>
          <w:w w:val="105"/>
        </w:rPr>
        <w:t>at  the  </w:t>
      </w:r>
      <w:r>
        <w:rPr>
          <w:spacing w:val="2"/>
          <w:w w:val="105"/>
        </w:rPr>
        <w:t>amount  accrued,  when  </w:t>
      </w:r>
      <w:r>
        <w:rPr>
          <w:spacing w:val="6"/>
          <w:w w:val="105"/>
        </w:rPr>
        <w:t>the  </w:t>
      </w:r>
      <w:r>
        <w:rPr>
          <w:w w:val="105"/>
        </w:rPr>
        <w:t>free travel  award  is  used.  </w:t>
      </w:r>
      <w:r>
        <w:rPr>
          <w:spacing w:val="3"/>
          <w:w w:val="105"/>
        </w:rPr>
        <w:t>Revenue</w:t>
      </w:r>
      <w:r>
        <w:rPr>
          <w:spacing w:val="53"/>
          <w:w w:val="105"/>
        </w:rPr>
        <w:t> </w:t>
      </w:r>
      <w:r>
        <w:rPr>
          <w:w w:val="105"/>
        </w:rPr>
        <w:t>from  the  </w:t>
      </w:r>
      <w:r>
        <w:rPr>
          <w:spacing w:val="4"/>
          <w:w w:val="105"/>
        </w:rPr>
        <w:t>sale </w:t>
      </w:r>
      <w:r>
        <w:rPr>
          <w:w w:val="105"/>
        </w:rPr>
        <w:t>of flight  segment  credits  and  </w:t>
      </w:r>
      <w:r>
        <w:rPr>
          <w:spacing w:val="2"/>
          <w:w w:val="105"/>
        </w:rPr>
        <w:t>associated  </w:t>
      </w:r>
      <w:r>
        <w:rPr>
          <w:spacing w:val="9"/>
          <w:w w:val="105"/>
        </w:rPr>
        <w:t>with </w:t>
      </w:r>
      <w:r>
        <w:rPr>
          <w:w w:val="105"/>
        </w:rPr>
        <w:t>future travel is deferred and </w:t>
      </w:r>
      <w:r>
        <w:rPr>
          <w:spacing w:val="2"/>
          <w:w w:val="105"/>
        </w:rPr>
        <w:t>recognized when </w:t>
      </w:r>
      <w:r>
        <w:rPr>
          <w:spacing w:val="6"/>
          <w:w w:val="105"/>
        </w:rPr>
        <w:t>the</w:t>
      </w:r>
      <w:r>
        <w:rPr>
          <w:spacing w:val="59"/>
          <w:w w:val="105"/>
        </w:rPr>
        <w:t> </w:t>
      </w:r>
      <w:r>
        <w:rPr>
          <w:w w:val="105"/>
        </w:rPr>
        <w:t>ultimate free travel award is flown or the </w:t>
      </w:r>
      <w:r>
        <w:rPr>
          <w:spacing w:val="4"/>
          <w:w w:val="105"/>
        </w:rPr>
        <w:t>credits </w:t>
      </w:r>
      <w:r>
        <w:rPr>
          <w:spacing w:val="2"/>
          <w:w w:val="105"/>
        </w:rPr>
        <w:t>expire unused. </w:t>
      </w:r>
      <w:r>
        <w:rPr>
          <w:w w:val="105"/>
        </w:rPr>
        <w:t>Accordingly, Southwest does </w:t>
      </w:r>
      <w:r>
        <w:rPr>
          <w:spacing w:val="6"/>
          <w:w w:val="105"/>
        </w:rPr>
        <w:t>not </w:t>
      </w:r>
      <w:r>
        <w:rPr>
          <w:w w:val="105"/>
        </w:rPr>
        <w:t>accrue </w:t>
      </w:r>
      <w:r>
        <w:rPr>
          <w:spacing w:val="2"/>
          <w:w w:val="105"/>
        </w:rPr>
        <w:t>incremental </w:t>
      </w:r>
      <w:r>
        <w:rPr>
          <w:w w:val="105"/>
        </w:rPr>
        <w:t>cost for the  </w:t>
      </w:r>
      <w:r>
        <w:rPr>
          <w:spacing w:val="10"/>
          <w:w w:val="105"/>
        </w:rPr>
        <w:t>expected </w:t>
      </w:r>
      <w:r>
        <w:rPr>
          <w:spacing w:val="3"/>
          <w:w w:val="105"/>
        </w:rPr>
        <w:t>redemption </w:t>
      </w:r>
      <w:r>
        <w:rPr>
          <w:w w:val="105"/>
        </w:rPr>
        <w:t>of free travel  awards  for  credits  </w:t>
      </w:r>
      <w:r>
        <w:rPr>
          <w:spacing w:val="4"/>
          <w:w w:val="105"/>
        </w:rPr>
        <w:t>sold  </w:t>
      </w:r>
      <w:r>
        <w:rPr>
          <w:w w:val="105"/>
        </w:rPr>
        <w:t>to business partners. The liability for free </w:t>
      </w:r>
      <w:r>
        <w:rPr>
          <w:spacing w:val="4"/>
          <w:w w:val="105"/>
        </w:rPr>
        <w:t>travel </w:t>
      </w:r>
      <w:r>
        <w:rPr>
          <w:w w:val="105"/>
        </w:rPr>
        <w:t>awards </w:t>
      </w:r>
      <w:r>
        <w:rPr>
          <w:spacing w:val="2"/>
          <w:w w:val="105"/>
        </w:rPr>
        <w:t>earned  </w:t>
      </w:r>
      <w:r>
        <w:rPr>
          <w:w w:val="105"/>
        </w:rPr>
        <w:t>but  not  used  at  </w:t>
      </w:r>
      <w:r>
        <w:rPr>
          <w:spacing w:val="3"/>
          <w:w w:val="105"/>
        </w:rPr>
        <w:t>December</w:t>
      </w:r>
      <w:r>
        <w:rPr>
          <w:spacing w:val="53"/>
          <w:w w:val="105"/>
        </w:rPr>
        <w:t> </w:t>
      </w:r>
      <w:r>
        <w:rPr>
          <w:w w:val="105"/>
        </w:rPr>
        <w:t>31, 2002  and  2001,  was  not  </w:t>
      </w:r>
      <w:r>
        <w:rPr>
          <w:spacing w:val="11"/>
          <w:w w:val="105"/>
        </w:rPr>
        <w:t> </w:t>
      </w:r>
      <w:r>
        <w:rPr>
          <w:w w:val="105"/>
        </w:rPr>
        <w:t>material.</w:t>
      </w:r>
    </w:p>
    <w:p>
      <w:pPr>
        <w:pStyle w:val="BodyText"/>
        <w:spacing w:before="76"/>
        <w:ind w:left="100"/>
        <w:rPr>
          <w:rFonts w:ascii="Franklin Gothic Medium"/>
        </w:rPr>
      </w:pPr>
      <w:r>
        <w:rPr/>
        <w:br w:type="column"/>
      </w:r>
      <w:r>
        <w:rPr>
          <w:rFonts w:ascii="Franklin Gothic Medium"/>
        </w:rPr>
        <w:t>Employees</w:t>
      </w:r>
    </w:p>
    <w:p>
      <w:pPr>
        <w:pStyle w:val="BodyText"/>
        <w:spacing w:line="254" w:lineRule="auto" w:before="145"/>
        <w:ind w:left="100" w:right="187" w:firstLine="180"/>
        <w:jc w:val="both"/>
      </w:pPr>
      <w:r>
        <w:rPr>
          <w:w w:val="105"/>
        </w:rPr>
        <w:t>At </w:t>
      </w:r>
      <w:r>
        <w:rPr>
          <w:spacing w:val="3"/>
          <w:w w:val="105"/>
        </w:rPr>
        <w:t>December </w:t>
      </w:r>
      <w:r>
        <w:rPr>
          <w:w w:val="105"/>
        </w:rPr>
        <w:t>31, 2002, Southwest had 33,705 active  employees,  consisting  of  10,920   flight,  1,900   </w:t>
      </w:r>
      <w:r>
        <w:rPr>
          <w:spacing w:val="4"/>
          <w:w w:val="105"/>
        </w:rPr>
        <w:t>maintenance,   </w:t>
      </w:r>
      <w:r>
        <w:rPr>
          <w:w w:val="105"/>
        </w:rPr>
        <w:t>16,405   ground   </w:t>
      </w:r>
      <w:r>
        <w:rPr>
          <w:spacing w:val="6"/>
          <w:w w:val="105"/>
        </w:rPr>
        <w:t>customer </w:t>
      </w:r>
      <w:r>
        <w:rPr>
          <w:w w:val="105"/>
        </w:rPr>
        <w:t>and fleet service, and 4,480 </w:t>
      </w:r>
      <w:r>
        <w:rPr>
          <w:spacing w:val="10"/>
          <w:w w:val="105"/>
        </w:rPr>
        <w:t>management, </w:t>
      </w:r>
      <w:r>
        <w:rPr>
          <w:w w:val="105"/>
        </w:rPr>
        <w:t>accounting,   marketing,   and   clerical</w:t>
      </w:r>
      <w:r>
        <w:rPr>
          <w:spacing w:val="30"/>
          <w:w w:val="105"/>
        </w:rPr>
        <w:t> </w:t>
      </w:r>
      <w:r>
        <w:rPr>
          <w:w w:val="105"/>
        </w:rPr>
        <w:t>personnel.</w:t>
      </w:r>
    </w:p>
    <w:p>
      <w:pPr>
        <w:pStyle w:val="BodyText"/>
        <w:spacing w:line="254" w:lineRule="auto"/>
        <w:ind w:left="100" w:right="188" w:firstLine="180"/>
        <w:jc w:val="both"/>
      </w:pPr>
      <w:r>
        <w:rPr>
          <w:w w:val="105"/>
        </w:rPr>
        <w:t>Southwest has ten collective </w:t>
      </w:r>
      <w:r>
        <w:rPr>
          <w:spacing w:val="8"/>
          <w:w w:val="105"/>
        </w:rPr>
        <w:t>bargaining </w:t>
      </w:r>
      <w:r>
        <w:rPr>
          <w:spacing w:val="2"/>
          <w:w w:val="105"/>
        </w:rPr>
        <w:t>agreements covering </w:t>
      </w:r>
      <w:r>
        <w:rPr>
          <w:spacing w:val="3"/>
          <w:w w:val="105"/>
        </w:rPr>
        <w:t>approximately</w:t>
      </w:r>
      <w:r>
        <w:rPr>
          <w:spacing w:val="53"/>
          <w:w w:val="105"/>
        </w:rPr>
        <w:t> </w:t>
      </w:r>
      <w:r>
        <w:rPr>
          <w:w w:val="105"/>
        </w:rPr>
        <w:t>80.6  </w:t>
      </w:r>
      <w:r>
        <w:rPr>
          <w:spacing w:val="7"/>
          <w:w w:val="105"/>
        </w:rPr>
        <w:t>percent </w:t>
      </w:r>
      <w:r>
        <w:rPr>
          <w:w w:val="105"/>
        </w:rPr>
        <w:t>of  its </w:t>
      </w:r>
      <w:r>
        <w:rPr>
          <w:spacing w:val="34"/>
          <w:w w:val="105"/>
        </w:rPr>
        <w:t> </w:t>
      </w:r>
      <w:r>
        <w:rPr>
          <w:w w:val="105"/>
        </w:rPr>
        <w:t>employees.</w:t>
      </w:r>
    </w:p>
    <w:p>
      <w:pPr>
        <w:spacing w:after="0" w:line="254" w:lineRule="auto"/>
        <w:jc w:val="both"/>
        <w:sectPr>
          <w:headerReference w:type="default" r:id="rId63"/>
          <w:footerReference w:type="default" r:id="rId64"/>
          <w:footerReference w:type="even" r:id="rId65"/>
          <w:pgSz w:w="11520" w:h="14400"/>
          <w:pgMar w:header="0" w:footer="706" w:top="960" w:bottom="900" w:left="700" w:right="760"/>
          <w:pgNumType w:start="7"/>
          <w:cols w:num="2" w:equalWidth="0">
            <w:col w:w="4731" w:space="409"/>
            <w:col w:w="4920"/>
          </w:cols>
        </w:sectPr>
      </w:pPr>
    </w:p>
    <w:p>
      <w:pPr>
        <w:pStyle w:val="BodyText"/>
        <w:spacing w:before="3"/>
        <w:rPr>
          <w:sz w:val="25"/>
        </w:rPr>
      </w:pPr>
    </w:p>
    <w:p>
      <w:pPr>
        <w:pStyle w:val="BodyText"/>
        <w:spacing w:before="92"/>
        <w:ind w:left="280"/>
      </w:pPr>
      <w:r>
        <w:rPr>
          <w:w w:val="105"/>
        </w:rPr>
        <w:t>The  following  table  sets  forth  the  Company’s  employee  groups  and  collective  bargaining   status:</w:t>
      </w:r>
    </w:p>
    <w:p>
      <w:pPr>
        <w:pStyle w:val="BodyText"/>
        <w:spacing w:before="1"/>
      </w:pPr>
    </w:p>
    <w:tbl>
      <w:tblPr>
        <w:tblW w:w="0" w:type="auto"/>
        <w:jc w:val="left"/>
        <w:tblInd w:w="16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940"/>
        <w:gridCol w:w="3780"/>
        <w:gridCol w:w="3060"/>
      </w:tblGrid>
      <w:tr>
        <w:trPr>
          <w:trHeight w:val="340" w:hRule="exact"/>
        </w:trPr>
        <w:tc>
          <w:tcPr>
            <w:tcW w:w="2940" w:type="dxa"/>
          </w:tcPr>
          <w:p>
            <w:pPr>
              <w:pStyle w:val="TableParagraph"/>
              <w:spacing w:before="88"/>
              <w:ind w:left="135"/>
              <w:rPr>
                <w:rFonts w:ascii="Franklin Gothic Medium"/>
                <w:sz w:val="16"/>
              </w:rPr>
            </w:pPr>
            <w:r>
              <w:rPr>
                <w:rFonts w:ascii="Franklin Gothic Medium"/>
                <w:sz w:val="16"/>
              </w:rPr>
              <w:t>Employee  group</w:t>
            </w:r>
          </w:p>
        </w:tc>
        <w:tc>
          <w:tcPr>
            <w:tcW w:w="3780" w:type="dxa"/>
          </w:tcPr>
          <w:p>
            <w:pPr>
              <w:pStyle w:val="TableParagraph"/>
              <w:spacing w:before="88"/>
              <w:ind w:left="133"/>
              <w:rPr>
                <w:rFonts w:ascii="Franklin Gothic Medium"/>
                <w:sz w:val="16"/>
              </w:rPr>
            </w:pPr>
            <w:r>
              <w:rPr>
                <w:rFonts w:ascii="Franklin Gothic Medium"/>
                <w:sz w:val="16"/>
              </w:rPr>
              <w:t>Represented  by</w:t>
            </w:r>
          </w:p>
        </w:tc>
        <w:tc>
          <w:tcPr>
            <w:tcW w:w="3060" w:type="dxa"/>
          </w:tcPr>
          <w:p>
            <w:pPr>
              <w:pStyle w:val="TableParagraph"/>
              <w:spacing w:before="88"/>
              <w:ind w:left="135"/>
              <w:rPr>
                <w:rFonts w:ascii="Franklin Gothic Medium"/>
                <w:sz w:val="16"/>
              </w:rPr>
            </w:pPr>
            <w:r>
              <w:rPr>
                <w:rFonts w:ascii="Franklin Gothic Medium"/>
                <w:sz w:val="16"/>
              </w:rPr>
              <w:t>Agreement   amendable  on</w:t>
            </w:r>
          </w:p>
        </w:tc>
      </w:tr>
      <w:tr>
        <w:trPr>
          <w:trHeight w:val="860" w:hRule="exact"/>
        </w:trPr>
        <w:tc>
          <w:tcPr>
            <w:tcW w:w="2940" w:type="dxa"/>
          </w:tcPr>
          <w:p>
            <w:pPr>
              <w:pStyle w:val="TableParagraph"/>
              <w:spacing w:before="7"/>
              <w:rPr>
                <w:sz w:val="16"/>
              </w:rPr>
            </w:pPr>
          </w:p>
          <w:p>
            <w:pPr>
              <w:pStyle w:val="TableParagraph"/>
              <w:spacing w:line="319" w:lineRule="auto"/>
              <w:ind w:left="135" w:right="414"/>
              <w:rPr>
                <w:sz w:val="16"/>
              </w:rPr>
            </w:pPr>
            <w:r>
              <w:rPr>
                <w:w w:val="110"/>
                <w:sz w:val="16"/>
              </w:rPr>
              <w:t>Customer Service and Reservations</w:t>
            </w:r>
          </w:p>
        </w:tc>
        <w:tc>
          <w:tcPr>
            <w:tcW w:w="3780" w:type="dxa"/>
          </w:tcPr>
          <w:p>
            <w:pPr>
              <w:pStyle w:val="TableParagraph"/>
              <w:spacing w:before="7"/>
              <w:rPr>
                <w:sz w:val="16"/>
              </w:rPr>
            </w:pPr>
          </w:p>
          <w:p>
            <w:pPr>
              <w:pStyle w:val="TableParagraph"/>
              <w:spacing w:line="319" w:lineRule="auto"/>
              <w:ind w:left="135"/>
              <w:rPr>
                <w:sz w:val="16"/>
              </w:rPr>
            </w:pPr>
            <w:r>
              <w:rPr>
                <w:w w:val="105"/>
                <w:sz w:val="16"/>
              </w:rPr>
              <w:t>International Association of Machinists and Aerospace   Workers,  AFL-CIO</w:t>
            </w:r>
          </w:p>
        </w:tc>
        <w:tc>
          <w:tcPr>
            <w:tcW w:w="3060" w:type="dxa"/>
          </w:tcPr>
          <w:p>
            <w:pPr>
              <w:pStyle w:val="TableParagraph"/>
              <w:spacing w:line="319" w:lineRule="auto" w:before="83"/>
              <w:ind w:left="135" w:right="632"/>
              <w:rPr>
                <w:sz w:val="16"/>
              </w:rPr>
            </w:pPr>
            <w:r>
              <w:rPr>
                <w:w w:val="105"/>
                <w:sz w:val="16"/>
              </w:rPr>
              <w:t>November 2008 (or 2006 at the </w:t>
            </w:r>
            <w:r>
              <w:rPr>
                <w:spacing w:val="2"/>
                <w:w w:val="105"/>
                <w:sz w:val="16"/>
              </w:rPr>
              <w:t>union’s  option  under  </w:t>
            </w:r>
            <w:r>
              <w:rPr>
                <w:spacing w:val="3"/>
                <w:w w:val="105"/>
                <w:sz w:val="16"/>
              </w:rPr>
              <w:t>certain  </w:t>
            </w:r>
            <w:r>
              <w:rPr>
                <w:w w:val="105"/>
                <w:sz w:val="16"/>
              </w:rPr>
              <w:t>co</w:t>
            </w:r>
            <w:r>
              <w:rPr>
                <w:spacing w:val="-11"/>
                <w:w w:val="105"/>
                <w:sz w:val="16"/>
              </w:rPr>
              <w:t> </w:t>
            </w:r>
            <w:r>
              <w:rPr>
                <w:spacing w:val="6"/>
                <w:w w:val="105"/>
                <w:sz w:val="16"/>
              </w:rPr>
              <w:t>nditions)</w:t>
            </w:r>
          </w:p>
        </w:tc>
      </w:tr>
      <w:tr>
        <w:trPr>
          <w:trHeight w:val="600" w:hRule="exact"/>
        </w:trPr>
        <w:tc>
          <w:tcPr>
            <w:tcW w:w="2940" w:type="dxa"/>
          </w:tcPr>
          <w:p>
            <w:pPr>
              <w:pStyle w:val="TableParagraph"/>
              <w:spacing w:before="7"/>
              <w:rPr>
                <w:sz w:val="16"/>
              </w:rPr>
            </w:pPr>
          </w:p>
          <w:p>
            <w:pPr>
              <w:pStyle w:val="TableParagraph"/>
              <w:ind w:left="135"/>
              <w:rPr>
                <w:sz w:val="16"/>
              </w:rPr>
            </w:pPr>
            <w:r>
              <w:rPr>
                <w:w w:val="105"/>
                <w:sz w:val="16"/>
              </w:rPr>
              <w:t>Flight  Attendants</w:t>
            </w:r>
          </w:p>
        </w:tc>
        <w:tc>
          <w:tcPr>
            <w:tcW w:w="3780" w:type="dxa"/>
          </w:tcPr>
          <w:p>
            <w:pPr>
              <w:pStyle w:val="TableParagraph"/>
              <w:spacing w:line="319" w:lineRule="auto" w:before="83"/>
              <w:ind w:left="135" w:right="245"/>
              <w:rPr>
                <w:sz w:val="16"/>
              </w:rPr>
            </w:pPr>
            <w:r>
              <w:rPr>
                <w:w w:val="105"/>
                <w:sz w:val="16"/>
              </w:rPr>
              <w:t>Transportation Workers of America, AFL-CIO (“TWU”)</w:t>
            </w:r>
          </w:p>
        </w:tc>
        <w:tc>
          <w:tcPr>
            <w:tcW w:w="3060" w:type="dxa"/>
          </w:tcPr>
          <w:p>
            <w:pPr>
              <w:pStyle w:val="TableParagraph"/>
              <w:spacing w:before="7"/>
              <w:rPr>
                <w:sz w:val="16"/>
              </w:rPr>
            </w:pPr>
          </w:p>
          <w:p>
            <w:pPr>
              <w:pStyle w:val="TableParagraph"/>
              <w:ind w:left="135"/>
              <w:rPr>
                <w:sz w:val="16"/>
              </w:rPr>
            </w:pPr>
            <w:r>
              <w:rPr>
                <w:w w:val="105"/>
                <w:sz w:val="16"/>
              </w:rPr>
              <w:t>In  negotiations</w:t>
            </w:r>
          </w:p>
        </w:tc>
      </w:tr>
      <w:tr>
        <w:trPr>
          <w:trHeight w:val="600" w:hRule="exact"/>
        </w:trPr>
        <w:tc>
          <w:tcPr>
            <w:tcW w:w="2940" w:type="dxa"/>
          </w:tcPr>
          <w:p>
            <w:pPr>
              <w:pStyle w:val="TableParagraph"/>
              <w:spacing w:line="319" w:lineRule="auto" w:before="83"/>
              <w:ind w:left="135" w:right="414"/>
              <w:rPr>
                <w:sz w:val="16"/>
              </w:rPr>
            </w:pPr>
            <w:r>
              <w:rPr>
                <w:w w:val="105"/>
                <w:sz w:val="16"/>
              </w:rPr>
              <w:t>Ramp, Operations, and Provisioning</w:t>
            </w:r>
          </w:p>
        </w:tc>
        <w:tc>
          <w:tcPr>
            <w:tcW w:w="3780" w:type="dxa"/>
          </w:tcPr>
          <w:p>
            <w:pPr>
              <w:pStyle w:val="TableParagraph"/>
              <w:spacing w:before="7"/>
              <w:rPr>
                <w:sz w:val="16"/>
              </w:rPr>
            </w:pPr>
          </w:p>
          <w:p>
            <w:pPr>
              <w:pStyle w:val="TableParagraph"/>
              <w:ind w:left="135"/>
              <w:rPr>
                <w:sz w:val="16"/>
              </w:rPr>
            </w:pPr>
            <w:r>
              <w:rPr>
                <w:sz w:val="16"/>
              </w:rPr>
              <w:t>TWU</w:t>
            </w:r>
          </w:p>
        </w:tc>
        <w:tc>
          <w:tcPr>
            <w:tcW w:w="3060" w:type="dxa"/>
          </w:tcPr>
          <w:p>
            <w:pPr>
              <w:pStyle w:val="TableParagraph"/>
              <w:spacing w:line="319" w:lineRule="auto" w:before="83"/>
              <w:ind w:left="135" w:right="206"/>
              <w:rPr>
                <w:sz w:val="16"/>
              </w:rPr>
            </w:pPr>
            <w:r>
              <w:rPr>
                <w:w w:val="105"/>
                <w:sz w:val="16"/>
              </w:rPr>
              <w:t>June 2008 (or 2006 at the union’s option  under  certain  conditions)</w:t>
            </w:r>
          </w:p>
        </w:tc>
      </w:tr>
      <w:tr>
        <w:trPr>
          <w:trHeight w:val="400" w:hRule="exact"/>
        </w:trPr>
        <w:tc>
          <w:tcPr>
            <w:tcW w:w="2940" w:type="dxa"/>
          </w:tcPr>
          <w:p>
            <w:pPr>
              <w:pStyle w:val="TableParagraph"/>
              <w:spacing w:before="103"/>
              <w:ind w:left="135"/>
              <w:rPr>
                <w:sz w:val="16"/>
              </w:rPr>
            </w:pPr>
            <w:r>
              <w:rPr>
                <w:w w:val="110"/>
                <w:sz w:val="16"/>
              </w:rPr>
              <w:t>Pilots</w:t>
            </w:r>
          </w:p>
        </w:tc>
        <w:tc>
          <w:tcPr>
            <w:tcW w:w="3780" w:type="dxa"/>
          </w:tcPr>
          <w:p>
            <w:pPr>
              <w:pStyle w:val="TableParagraph"/>
              <w:spacing w:before="103"/>
              <w:ind w:left="135"/>
              <w:rPr>
                <w:sz w:val="16"/>
              </w:rPr>
            </w:pPr>
            <w:r>
              <w:rPr>
                <w:w w:val="110"/>
                <w:sz w:val="16"/>
              </w:rPr>
              <w:t>Southwest  Airlines  Pilots’ Association</w:t>
            </w:r>
          </w:p>
        </w:tc>
        <w:tc>
          <w:tcPr>
            <w:tcW w:w="3060" w:type="dxa"/>
          </w:tcPr>
          <w:p>
            <w:pPr>
              <w:pStyle w:val="TableParagraph"/>
              <w:spacing w:before="103"/>
              <w:ind w:left="135"/>
              <w:rPr>
                <w:sz w:val="16"/>
              </w:rPr>
            </w:pPr>
            <w:r>
              <w:rPr>
                <w:w w:val="110"/>
                <w:sz w:val="16"/>
              </w:rPr>
              <w:t>September 2006</w:t>
            </w:r>
          </w:p>
        </w:tc>
      </w:tr>
      <w:tr>
        <w:trPr>
          <w:trHeight w:val="400" w:hRule="exact"/>
        </w:trPr>
        <w:tc>
          <w:tcPr>
            <w:tcW w:w="2940" w:type="dxa"/>
          </w:tcPr>
          <w:p>
            <w:pPr>
              <w:pStyle w:val="TableParagraph"/>
              <w:spacing w:before="103"/>
              <w:ind w:left="135"/>
              <w:rPr>
                <w:sz w:val="16"/>
              </w:rPr>
            </w:pPr>
            <w:r>
              <w:rPr>
                <w:w w:val="105"/>
                <w:sz w:val="16"/>
              </w:rPr>
              <w:t>Flight   Dispatchers</w:t>
            </w:r>
          </w:p>
        </w:tc>
        <w:tc>
          <w:tcPr>
            <w:tcW w:w="3780" w:type="dxa"/>
          </w:tcPr>
          <w:p>
            <w:pPr>
              <w:pStyle w:val="TableParagraph"/>
              <w:spacing w:before="103"/>
              <w:ind w:left="135"/>
              <w:rPr>
                <w:sz w:val="16"/>
              </w:rPr>
            </w:pPr>
            <w:r>
              <w:rPr>
                <w:w w:val="105"/>
                <w:sz w:val="16"/>
              </w:rPr>
              <w:t>Southwest   Airlines   Employee Association</w:t>
            </w:r>
          </w:p>
        </w:tc>
        <w:tc>
          <w:tcPr>
            <w:tcW w:w="3060" w:type="dxa"/>
          </w:tcPr>
          <w:p>
            <w:pPr>
              <w:pStyle w:val="TableParagraph"/>
              <w:spacing w:before="103"/>
              <w:ind w:left="135"/>
              <w:rPr>
                <w:sz w:val="16"/>
              </w:rPr>
            </w:pPr>
            <w:r>
              <w:rPr>
                <w:w w:val="110"/>
                <w:sz w:val="16"/>
              </w:rPr>
              <w:t>November 2009</w:t>
            </w:r>
          </w:p>
        </w:tc>
      </w:tr>
      <w:tr>
        <w:trPr>
          <w:trHeight w:val="600" w:hRule="exact"/>
        </w:trPr>
        <w:tc>
          <w:tcPr>
            <w:tcW w:w="2940" w:type="dxa"/>
          </w:tcPr>
          <w:p>
            <w:pPr>
              <w:pStyle w:val="TableParagraph"/>
              <w:spacing w:before="7"/>
              <w:rPr>
                <w:sz w:val="16"/>
              </w:rPr>
            </w:pPr>
          </w:p>
          <w:p>
            <w:pPr>
              <w:pStyle w:val="TableParagraph"/>
              <w:ind w:left="135"/>
              <w:rPr>
                <w:sz w:val="16"/>
              </w:rPr>
            </w:pPr>
            <w:r>
              <w:rPr>
                <w:w w:val="105"/>
                <w:sz w:val="16"/>
              </w:rPr>
              <w:t>Aircraft  Appearance  Technicians</w:t>
            </w:r>
          </w:p>
        </w:tc>
        <w:tc>
          <w:tcPr>
            <w:tcW w:w="3780" w:type="dxa"/>
          </w:tcPr>
          <w:p>
            <w:pPr>
              <w:pStyle w:val="TableParagraph"/>
              <w:spacing w:line="319" w:lineRule="auto" w:before="83"/>
              <w:ind w:left="135" w:right="245"/>
              <w:rPr>
                <w:sz w:val="16"/>
              </w:rPr>
            </w:pPr>
            <w:r>
              <w:rPr>
                <w:w w:val="105"/>
                <w:sz w:val="16"/>
              </w:rPr>
              <w:t>Aircraft Mechanics Fraternal Association (“AMFA”)</w:t>
            </w:r>
          </w:p>
        </w:tc>
        <w:tc>
          <w:tcPr>
            <w:tcW w:w="3060" w:type="dxa"/>
          </w:tcPr>
          <w:p>
            <w:pPr>
              <w:pStyle w:val="TableParagraph"/>
              <w:spacing w:before="7"/>
              <w:rPr>
                <w:sz w:val="16"/>
              </w:rPr>
            </w:pPr>
          </w:p>
          <w:p>
            <w:pPr>
              <w:pStyle w:val="TableParagraph"/>
              <w:ind w:left="135"/>
              <w:rPr>
                <w:sz w:val="16"/>
              </w:rPr>
            </w:pPr>
            <w:r>
              <w:rPr>
                <w:w w:val="110"/>
                <w:sz w:val="16"/>
              </w:rPr>
              <w:t>February 2009</w:t>
            </w:r>
          </w:p>
        </w:tc>
      </w:tr>
      <w:tr>
        <w:trPr>
          <w:trHeight w:val="600" w:hRule="exact"/>
        </w:trPr>
        <w:tc>
          <w:tcPr>
            <w:tcW w:w="2940" w:type="dxa"/>
          </w:tcPr>
          <w:p>
            <w:pPr>
              <w:pStyle w:val="TableParagraph"/>
              <w:spacing w:before="7"/>
              <w:rPr>
                <w:sz w:val="16"/>
              </w:rPr>
            </w:pPr>
          </w:p>
          <w:p>
            <w:pPr>
              <w:pStyle w:val="TableParagraph"/>
              <w:ind w:left="135"/>
              <w:rPr>
                <w:sz w:val="16"/>
              </w:rPr>
            </w:pPr>
            <w:r>
              <w:rPr>
                <w:w w:val="110"/>
                <w:sz w:val="16"/>
              </w:rPr>
              <w:t>Stock  Clerks</w:t>
            </w:r>
          </w:p>
        </w:tc>
        <w:tc>
          <w:tcPr>
            <w:tcW w:w="3780" w:type="dxa"/>
          </w:tcPr>
          <w:p>
            <w:pPr>
              <w:pStyle w:val="TableParagraph"/>
              <w:spacing w:line="319" w:lineRule="auto" w:before="83"/>
              <w:ind w:left="135"/>
              <w:rPr>
                <w:sz w:val="16"/>
              </w:rPr>
            </w:pPr>
            <w:r>
              <w:rPr>
                <w:w w:val="105"/>
                <w:sz w:val="16"/>
              </w:rPr>
              <w:t>International Brotherhood of Teamsters (“Teamsters”)</w:t>
            </w:r>
          </w:p>
        </w:tc>
        <w:tc>
          <w:tcPr>
            <w:tcW w:w="3060" w:type="dxa"/>
          </w:tcPr>
          <w:p>
            <w:pPr>
              <w:pStyle w:val="TableParagraph"/>
              <w:spacing w:before="7"/>
              <w:rPr>
                <w:sz w:val="16"/>
              </w:rPr>
            </w:pPr>
          </w:p>
          <w:p>
            <w:pPr>
              <w:pStyle w:val="TableParagraph"/>
              <w:ind w:left="135"/>
              <w:rPr>
                <w:sz w:val="16"/>
              </w:rPr>
            </w:pPr>
            <w:r>
              <w:rPr>
                <w:w w:val="115"/>
                <w:sz w:val="16"/>
              </w:rPr>
              <w:t>August 2008</w:t>
            </w:r>
          </w:p>
        </w:tc>
      </w:tr>
      <w:tr>
        <w:trPr>
          <w:trHeight w:val="400" w:hRule="exact"/>
        </w:trPr>
        <w:tc>
          <w:tcPr>
            <w:tcW w:w="2940" w:type="dxa"/>
          </w:tcPr>
          <w:p>
            <w:pPr>
              <w:pStyle w:val="TableParagraph"/>
              <w:spacing w:before="103"/>
              <w:ind w:left="135"/>
              <w:rPr>
                <w:sz w:val="16"/>
              </w:rPr>
            </w:pPr>
            <w:r>
              <w:rPr>
                <w:w w:val="110"/>
                <w:sz w:val="16"/>
              </w:rPr>
              <w:t>Mechanics</w:t>
            </w:r>
          </w:p>
        </w:tc>
        <w:tc>
          <w:tcPr>
            <w:tcW w:w="3780" w:type="dxa"/>
          </w:tcPr>
          <w:p>
            <w:pPr>
              <w:pStyle w:val="TableParagraph"/>
              <w:spacing w:before="103"/>
              <w:ind w:left="135"/>
              <w:rPr>
                <w:sz w:val="16"/>
              </w:rPr>
            </w:pPr>
            <w:r>
              <w:rPr>
                <w:sz w:val="16"/>
              </w:rPr>
              <w:t>AMFA</w:t>
            </w:r>
          </w:p>
        </w:tc>
        <w:tc>
          <w:tcPr>
            <w:tcW w:w="3060" w:type="dxa"/>
          </w:tcPr>
          <w:p>
            <w:pPr>
              <w:pStyle w:val="TableParagraph"/>
              <w:spacing w:before="103"/>
              <w:ind w:left="135"/>
              <w:rPr>
                <w:sz w:val="16"/>
              </w:rPr>
            </w:pPr>
            <w:r>
              <w:rPr>
                <w:w w:val="115"/>
                <w:sz w:val="16"/>
              </w:rPr>
              <w:t>August 2005</w:t>
            </w:r>
          </w:p>
        </w:tc>
      </w:tr>
      <w:tr>
        <w:trPr>
          <w:trHeight w:val="400" w:hRule="exact"/>
        </w:trPr>
        <w:tc>
          <w:tcPr>
            <w:tcW w:w="2940" w:type="dxa"/>
          </w:tcPr>
          <w:p>
            <w:pPr>
              <w:pStyle w:val="TableParagraph"/>
              <w:spacing w:before="103"/>
              <w:ind w:left="135"/>
              <w:rPr>
                <w:sz w:val="16"/>
              </w:rPr>
            </w:pPr>
            <w:r>
              <w:rPr>
                <w:w w:val="105"/>
                <w:sz w:val="16"/>
              </w:rPr>
              <w:t>Flight   Simulator  Technicians</w:t>
            </w:r>
          </w:p>
        </w:tc>
        <w:tc>
          <w:tcPr>
            <w:tcW w:w="3780" w:type="dxa"/>
          </w:tcPr>
          <w:p>
            <w:pPr>
              <w:pStyle w:val="TableParagraph"/>
              <w:spacing w:before="103"/>
              <w:ind w:left="135"/>
              <w:rPr>
                <w:sz w:val="16"/>
              </w:rPr>
            </w:pPr>
            <w:r>
              <w:rPr>
                <w:w w:val="110"/>
                <w:sz w:val="16"/>
              </w:rPr>
              <w:t>Teamsters</w:t>
            </w:r>
          </w:p>
        </w:tc>
        <w:tc>
          <w:tcPr>
            <w:tcW w:w="3060" w:type="dxa"/>
          </w:tcPr>
          <w:p>
            <w:pPr>
              <w:pStyle w:val="TableParagraph"/>
              <w:spacing w:before="103"/>
              <w:ind w:left="135"/>
              <w:rPr>
                <w:sz w:val="16"/>
              </w:rPr>
            </w:pPr>
            <w:r>
              <w:rPr>
                <w:w w:val="110"/>
                <w:sz w:val="16"/>
              </w:rPr>
              <w:t>November 2008</w:t>
            </w:r>
          </w:p>
        </w:tc>
      </w:tr>
      <w:tr>
        <w:trPr>
          <w:trHeight w:val="860" w:hRule="exact"/>
        </w:trPr>
        <w:tc>
          <w:tcPr>
            <w:tcW w:w="2940" w:type="dxa"/>
          </w:tcPr>
          <w:p>
            <w:pPr>
              <w:pStyle w:val="TableParagraph"/>
              <w:spacing w:line="319" w:lineRule="auto" w:before="83"/>
              <w:ind w:left="135" w:right="414"/>
              <w:rPr>
                <w:sz w:val="16"/>
              </w:rPr>
            </w:pPr>
            <w:r>
              <w:rPr>
                <w:w w:val="105"/>
                <w:sz w:val="16"/>
              </w:rPr>
              <w:t>Flight/Ground School Instructors and  Flight  Crew  Training</w:t>
            </w:r>
          </w:p>
          <w:p>
            <w:pPr>
              <w:pStyle w:val="TableParagraph"/>
              <w:ind w:left="135"/>
              <w:rPr>
                <w:sz w:val="16"/>
              </w:rPr>
            </w:pPr>
            <w:r>
              <w:rPr>
                <w:w w:val="105"/>
                <w:sz w:val="16"/>
              </w:rPr>
              <w:t>Instructors</w:t>
            </w:r>
          </w:p>
        </w:tc>
        <w:tc>
          <w:tcPr>
            <w:tcW w:w="3780" w:type="dxa"/>
          </w:tcPr>
          <w:p>
            <w:pPr>
              <w:pStyle w:val="TableParagraph"/>
              <w:spacing w:before="7"/>
              <w:rPr>
                <w:sz w:val="16"/>
              </w:rPr>
            </w:pPr>
          </w:p>
          <w:p>
            <w:pPr>
              <w:pStyle w:val="TableParagraph"/>
              <w:spacing w:line="319" w:lineRule="auto"/>
              <w:ind w:left="135"/>
              <w:rPr>
                <w:sz w:val="16"/>
              </w:rPr>
            </w:pPr>
            <w:r>
              <w:rPr>
                <w:w w:val="105"/>
                <w:sz w:val="16"/>
              </w:rPr>
              <w:t>Southwest Airlines Professional Instructors Association</w:t>
            </w:r>
          </w:p>
        </w:tc>
        <w:tc>
          <w:tcPr>
            <w:tcW w:w="3060" w:type="dxa"/>
          </w:tcPr>
          <w:p>
            <w:pPr>
              <w:pStyle w:val="TableParagraph"/>
              <w:rPr>
                <w:sz w:val="18"/>
              </w:rPr>
            </w:pPr>
          </w:p>
          <w:p>
            <w:pPr>
              <w:pStyle w:val="TableParagraph"/>
              <w:spacing w:before="123"/>
              <w:ind w:left="135"/>
              <w:rPr>
                <w:sz w:val="16"/>
              </w:rPr>
            </w:pPr>
            <w:r>
              <w:rPr>
                <w:w w:val="110"/>
                <w:sz w:val="16"/>
              </w:rPr>
              <w:t>December 2012</w:t>
            </w:r>
          </w:p>
        </w:tc>
      </w:tr>
    </w:tbl>
    <w:p>
      <w:pPr>
        <w:spacing w:after="0"/>
        <w:rPr>
          <w:sz w:val="16"/>
        </w:rPr>
        <w:sectPr>
          <w:type w:val="continuous"/>
          <w:pgSz w:w="11520" w:h="14400"/>
          <w:pgMar w:top="0" w:bottom="280" w:left="700" w:right="760"/>
        </w:sectPr>
      </w:pPr>
    </w:p>
    <w:p>
      <w:pPr>
        <w:spacing w:before="69"/>
        <w:ind w:left="100" w:right="0" w:firstLine="0"/>
        <w:jc w:val="left"/>
        <w:rPr>
          <w:i/>
          <w:sz w:val="20"/>
        </w:rPr>
      </w:pPr>
      <w:bookmarkStart w:name="Properties" w:id="20"/>
      <w:bookmarkEnd w:id="20"/>
      <w:r>
        <w:rPr/>
      </w:r>
      <w:r>
        <w:rPr>
          <w:rFonts w:ascii="Franklin Gothic Medium"/>
          <w:w w:val="105"/>
          <w:sz w:val="20"/>
        </w:rPr>
        <w:t>Item 2.  </w:t>
      </w:r>
      <w:r>
        <w:rPr>
          <w:i/>
          <w:w w:val="105"/>
          <w:sz w:val="20"/>
        </w:rPr>
        <w:t>Properties</w:t>
      </w:r>
    </w:p>
    <w:p>
      <w:pPr>
        <w:pStyle w:val="BodyText"/>
        <w:spacing w:before="1"/>
        <w:rPr>
          <w:i/>
          <w:sz w:val="23"/>
        </w:rPr>
      </w:pPr>
    </w:p>
    <w:p>
      <w:pPr>
        <w:pStyle w:val="BodyText"/>
        <w:ind w:left="100"/>
        <w:rPr>
          <w:rFonts w:ascii="Franklin Gothic Medium"/>
        </w:rPr>
      </w:pPr>
      <w:r>
        <w:rPr>
          <w:rFonts w:ascii="Franklin Gothic Medium"/>
        </w:rPr>
        <w:t>Aircraft</w:t>
      </w:r>
    </w:p>
    <w:p>
      <w:pPr>
        <w:pStyle w:val="BodyText"/>
        <w:spacing w:before="2"/>
        <w:rPr>
          <w:rFonts w:ascii="Franklin Gothic Medium"/>
          <w:sz w:val="25"/>
        </w:rPr>
      </w:pPr>
    </w:p>
    <w:p>
      <w:pPr>
        <w:pStyle w:val="BodyText"/>
        <w:spacing w:line="254" w:lineRule="auto"/>
        <w:ind w:left="100" w:firstLine="180"/>
        <w:jc w:val="both"/>
      </w:pPr>
      <w:r>
        <w:rPr>
          <w:w w:val="110"/>
        </w:rPr>
        <w:t>Southwest operated a total of 375 Boeing 737 aircraft as of December 31,  2002,  of  which  90 and seven were under operating and  capital leases, respectively. The remaining 278 aircraft </w:t>
      </w:r>
      <w:r>
        <w:rPr>
          <w:w w:val="105"/>
        </w:rPr>
        <w:t>were owned.</w:t>
      </w:r>
    </w:p>
    <w:p>
      <w:pPr>
        <w:pStyle w:val="BodyText"/>
        <w:spacing w:line="254" w:lineRule="auto" w:before="69"/>
        <w:ind w:left="100" w:right="109" w:firstLine="180"/>
        <w:jc w:val="both"/>
      </w:pPr>
      <w:r>
        <w:rPr/>
        <w:br w:type="column"/>
      </w:r>
      <w:r>
        <w:rPr>
          <w:w w:val="105"/>
        </w:rPr>
        <w:t>Southwest was the launch  customer  for  the Boeing 737-700 aircraft, the newest  generation  of the Boeing 737 aircraft type. The  first  737-700 aircraft was delivered in December  1997  and entered revenue service in January 1998. At December 31, 2002, Southwest had 129 Boeing 737-700 aircraft in service. In total, at February 1, 2003, the  Company  had  firm  orders  and  options to  purchase  Boeing  737  aircraft  as  follows:</w:t>
      </w:r>
    </w:p>
    <w:p>
      <w:pPr>
        <w:spacing w:after="0" w:line="254" w:lineRule="auto"/>
        <w:jc w:val="both"/>
        <w:sectPr>
          <w:headerReference w:type="default" r:id="rId66"/>
          <w:pgSz w:w="11520" w:h="14400"/>
          <w:pgMar w:header="0" w:footer="706" w:top="960" w:bottom="900" w:left="700" w:right="840"/>
          <w:cols w:num="2" w:equalWidth="0">
            <w:col w:w="4727" w:space="413"/>
            <w:col w:w="4840"/>
          </w:cols>
        </w:sectPr>
      </w:pPr>
    </w:p>
    <w:p>
      <w:pPr>
        <w:pStyle w:val="BodyText"/>
        <w:spacing w:before="1"/>
        <w:rPr>
          <w:sz w:val="14"/>
        </w:rPr>
      </w:pPr>
    </w:p>
    <w:p>
      <w:pPr>
        <w:pStyle w:val="BodyText"/>
        <w:spacing w:before="96"/>
        <w:ind w:left="100"/>
        <w:rPr>
          <w:rFonts w:ascii="Franklin Gothic Medium"/>
        </w:rPr>
      </w:pPr>
      <w:r>
        <w:rPr>
          <w:rFonts w:ascii="Franklin Gothic Medium"/>
        </w:rPr>
        <w:t>Firm Orders and Options to Purchase Boeing 737-700 Aircraft</w:t>
      </w:r>
    </w:p>
    <w:p>
      <w:pPr>
        <w:pStyle w:val="BodyText"/>
        <w:spacing w:before="9"/>
        <w:rPr>
          <w:rFonts w:ascii="Franklin Gothic Medium"/>
          <w:sz w:val="13"/>
        </w:rPr>
      </w:pPr>
    </w:p>
    <w:tbl>
      <w:tblPr>
        <w:tblW w:w="0" w:type="auto"/>
        <w:jc w:val="left"/>
        <w:tblInd w:w="78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2520"/>
        <w:gridCol w:w="2480"/>
        <w:gridCol w:w="1760"/>
        <w:gridCol w:w="1780"/>
      </w:tblGrid>
      <w:tr>
        <w:trPr>
          <w:trHeight w:val="260" w:hRule="exact"/>
        </w:trPr>
        <w:tc>
          <w:tcPr>
            <w:tcW w:w="2520" w:type="dxa"/>
          </w:tcPr>
          <w:p>
            <w:pPr>
              <w:pStyle w:val="TableParagraph"/>
              <w:spacing w:before="88"/>
              <w:ind w:left="720" w:right="819"/>
              <w:jc w:val="center"/>
              <w:rPr>
                <w:rFonts w:ascii="Franklin Gothic Medium"/>
                <w:sz w:val="16"/>
              </w:rPr>
            </w:pPr>
            <w:r>
              <w:rPr>
                <w:rFonts w:ascii="Franklin Gothic Medium"/>
                <w:sz w:val="16"/>
              </w:rPr>
              <w:t>Delivery  Year</w:t>
            </w:r>
          </w:p>
        </w:tc>
        <w:tc>
          <w:tcPr>
            <w:tcW w:w="2480" w:type="dxa"/>
          </w:tcPr>
          <w:p>
            <w:pPr>
              <w:pStyle w:val="TableParagraph"/>
              <w:spacing w:before="88"/>
              <w:ind w:left="705" w:right="884"/>
              <w:jc w:val="center"/>
              <w:rPr>
                <w:rFonts w:ascii="Franklin Gothic Medium"/>
                <w:sz w:val="16"/>
              </w:rPr>
            </w:pPr>
            <w:r>
              <w:rPr>
                <w:rFonts w:ascii="Franklin Gothic Medium"/>
                <w:sz w:val="16"/>
              </w:rPr>
              <w:t>Firm  Orders</w:t>
            </w:r>
          </w:p>
        </w:tc>
        <w:tc>
          <w:tcPr>
            <w:tcW w:w="1760" w:type="dxa"/>
          </w:tcPr>
          <w:p>
            <w:pPr>
              <w:pStyle w:val="TableParagraph"/>
              <w:spacing w:before="88"/>
              <w:ind w:left="529" w:right="662"/>
              <w:jc w:val="center"/>
              <w:rPr>
                <w:rFonts w:ascii="Franklin Gothic Medium"/>
                <w:sz w:val="16"/>
              </w:rPr>
            </w:pPr>
            <w:r>
              <w:rPr>
                <w:rFonts w:ascii="Franklin Gothic Medium"/>
                <w:sz w:val="16"/>
              </w:rPr>
              <w:t>Options</w:t>
            </w:r>
          </w:p>
        </w:tc>
        <w:tc>
          <w:tcPr>
            <w:tcW w:w="1780" w:type="dxa"/>
          </w:tcPr>
          <w:p>
            <w:pPr>
              <w:pStyle w:val="TableParagraph"/>
              <w:spacing w:before="88"/>
              <w:ind w:left="241" w:right="338"/>
              <w:jc w:val="center"/>
              <w:rPr>
                <w:rFonts w:ascii="Franklin Gothic Medium"/>
                <w:sz w:val="16"/>
              </w:rPr>
            </w:pPr>
            <w:r>
              <w:rPr>
                <w:rFonts w:ascii="Franklin Gothic Medium"/>
                <w:sz w:val="16"/>
              </w:rPr>
              <w:t>Purchase  Rights</w:t>
            </w:r>
          </w:p>
        </w:tc>
      </w:tr>
      <w:tr>
        <w:trPr>
          <w:trHeight w:val="260" w:hRule="exact"/>
        </w:trPr>
        <w:tc>
          <w:tcPr>
            <w:tcW w:w="2520" w:type="dxa"/>
          </w:tcPr>
          <w:p>
            <w:pPr>
              <w:pStyle w:val="TableParagraph"/>
              <w:spacing w:before="83"/>
              <w:ind w:left="714" w:right="819"/>
              <w:jc w:val="center"/>
              <w:rPr>
                <w:sz w:val="16"/>
              </w:rPr>
            </w:pPr>
            <w:r>
              <w:rPr>
                <w:w w:val="120"/>
                <w:sz w:val="16"/>
              </w:rPr>
              <w:t>2003</w:t>
            </w:r>
          </w:p>
        </w:tc>
        <w:tc>
          <w:tcPr>
            <w:tcW w:w="2480" w:type="dxa"/>
          </w:tcPr>
          <w:p>
            <w:pPr>
              <w:pStyle w:val="TableParagraph"/>
              <w:spacing w:before="83"/>
              <w:ind w:left="702" w:right="884"/>
              <w:jc w:val="center"/>
              <w:rPr>
                <w:sz w:val="16"/>
              </w:rPr>
            </w:pPr>
            <w:r>
              <w:rPr>
                <w:w w:val="120"/>
                <w:sz w:val="16"/>
              </w:rPr>
              <w:t>17</w:t>
            </w:r>
          </w:p>
        </w:tc>
        <w:tc>
          <w:tcPr>
            <w:tcW w:w="1760" w:type="dxa"/>
          </w:tcPr>
          <w:p>
            <w:pPr>
              <w:pStyle w:val="TableParagraph"/>
              <w:spacing w:before="83"/>
              <w:ind w:right="127"/>
              <w:jc w:val="center"/>
              <w:rPr>
                <w:sz w:val="16"/>
              </w:rPr>
            </w:pPr>
            <w:r>
              <w:rPr>
                <w:w w:val="71"/>
                <w:sz w:val="16"/>
              </w:rPr>
              <w:t>-</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2004</w:t>
            </w:r>
          </w:p>
        </w:tc>
        <w:tc>
          <w:tcPr>
            <w:tcW w:w="2480" w:type="dxa"/>
          </w:tcPr>
          <w:p>
            <w:pPr>
              <w:pStyle w:val="TableParagraph"/>
              <w:spacing w:before="83"/>
              <w:ind w:left="702" w:right="884"/>
              <w:jc w:val="center"/>
              <w:rPr>
                <w:sz w:val="16"/>
              </w:rPr>
            </w:pPr>
            <w:r>
              <w:rPr>
                <w:w w:val="120"/>
                <w:sz w:val="16"/>
              </w:rPr>
              <w:t>23</w:t>
            </w:r>
          </w:p>
        </w:tc>
        <w:tc>
          <w:tcPr>
            <w:tcW w:w="1760" w:type="dxa"/>
          </w:tcPr>
          <w:p>
            <w:pPr>
              <w:pStyle w:val="TableParagraph"/>
              <w:spacing w:before="83"/>
              <w:ind w:left="519" w:right="662"/>
              <w:jc w:val="center"/>
              <w:rPr>
                <w:sz w:val="16"/>
              </w:rPr>
            </w:pPr>
            <w:r>
              <w:rPr>
                <w:w w:val="120"/>
                <w:sz w:val="16"/>
              </w:rPr>
              <w:t>11</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2005</w:t>
            </w:r>
          </w:p>
        </w:tc>
        <w:tc>
          <w:tcPr>
            <w:tcW w:w="2480" w:type="dxa"/>
          </w:tcPr>
          <w:p>
            <w:pPr>
              <w:pStyle w:val="TableParagraph"/>
              <w:spacing w:before="83"/>
              <w:ind w:left="702" w:right="884"/>
              <w:jc w:val="center"/>
              <w:rPr>
                <w:sz w:val="16"/>
              </w:rPr>
            </w:pPr>
            <w:r>
              <w:rPr>
                <w:w w:val="120"/>
                <w:sz w:val="16"/>
              </w:rPr>
              <w:t>24</w:t>
            </w:r>
          </w:p>
        </w:tc>
        <w:tc>
          <w:tcPr>
            <w:tcW w:w="1760" w:type="dxa"/>
          </w:tcPr>
          <w:p>
            <w:pPr>
              <w:pStyle w:val="TableParagraph"/>
              <w:spacing w:before="83"/>
              <w:ind w:left="519" w:right="662"/>
              <w:jc w:val="center"/>
              <w:rPr>
                <w:sz w:val="16"/>
              </w:rPr>
            </w:pPr>
            <w:r>
              <w:rPr>
                <w:w w:val="120"/>
                <w:sz w:val="16"/>
              </w:rPr>
              <w:t>18</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2006</w:t>
            </w:r>
          </w:p>
        </w:tc>
        <w:tc>
          <w:tcPr>
            <w:tcW w:w="2480" w:type="dxa"/>
          </w:tcPr>
          <w:p>
            <w:pPr>
              <w:pStyle w:val="TableParagraph"/>
              <w:spacing w:before="83"/>
              <w:ind w:left="702" w:right="884"/>
              <w:jc w:val="center"/>
              <w:rPr>
                <w:sz w:val="16"/>
              </w:rPr>
            </w:pPr>
            <w:r>
              <w:rPr>
                <w:w w:val="120"/>
                <w:sz w:val="16"/>
              </w:rPr>
              <w:t>22</w:t>
            </w:r>
          </w:p>
        </w:tc>
        <w:tc>
          <w:tcPr>
            <w:tcW w:w="1760" w:type="dxa"/>
          </w:tcPr>
          <w:p>
            <w:pPr>
              <w:pStyle w:val="TableParagraph"/>
              <w:spacing w:before="83"/>
              <w:ind w:left="519" w:right="662"/>
              <w:jc w:val="center"/>
              <w:rPr>
                <w:sz w:val="16"/>
              </w:rPr>
            </w:pPr>
            <w:r>
              <w:rPr>
                <w:w w:val="120"/>
                <w:sz w:val="16"/>
              </w:rPr>
              <w:t>16</w:t>
            </w:r>
          </w:p>
        </w:tc>
        <w:tc>
          <w:tcPr>
            <w:tcW w:w="1780" w:type="dxa"/>
          </w:tcPr>
          <w:p>
            <w:pPr>
              <w:pStyle w:val="TableParagraph"/>
              <w:spacing w:before="83"/>
              <w:ind w:right="107"/>
              <w:jc w:val="center"/>
              <w:rPr>
                <w:sz w:val="16"/>
              </w:rPr>
            </w:pPr>
            <w:r>
              <w:rPr>
                <w:w w:val="71"/>
                <w:sz w:val="16"/>
              </w:rPr>
              <w:t>-</w:t>
            </w:r>
          </w:p>
        </w:tc>
      </w:tr>
      <w:tr>
        <w:trPr>
          <w:trHeight w:val="260" w:hRule="exact"/>
        </w:trPr>
        <w:tc>
          <w:tcPr>
            <w:tcW w:w="2520" w:type="dxa"/>
          </w:tcPr>
          <w:p>
            <w:pPr>
              <w:pStyle w:val="TableParagraph"/>
              <w:spacing w:before="83"/>
              <w:ind w:left="714" w:right="819"/>
              <w:jc w:val="center"/>
              <w:rPr>
                <w:sz w:val="16"/>
              </w:rPr>
            </w:pPr>
            <w:r>
              <w:rPr>
                <w:w w:val="120"/>
                <w:sz w:val="16"/>
              </w:rPr>
              <w:t>2007</w:t>
            </w:r>
          </w:p>
        </w:tc>
        <w:tc>
          <w:tcPr>
            <w:tcW w:w="2480" w:type="dxa"/>
          </w:tcPr>
          <w:p>
            <w:pPr>
              <w:pStyle w:val="TableParagraph"/>
              <w:spacing w:before="83"/>
              <w:ind w:left="702" w:right="884"/>
              <w:jc w:val="center"/>
              <w:rPr>
                <w:sz w:val="16"/>
              </w:rPr>
            </w:pPr>
            <w:r>
              <w:rPr>
                <w:w w:val="120"/>
                <w:sz w:val="16"/>
              </w:rPr>
              <w:t>25</w:t>
            </w:r>
          </w:p>
        </w:tc>
        <w:tc>
          <w:tcPr>
            <w:tcW w:w="1760" w:type="dxa"/>
          </w:tcPr>
          <w:p>
            <w:pPr>
              <w:pStyle w:val="TableParagraph"/>
              <w:spacing w:before="83"/>
              <w:ind w:right="148"/>
              <w:jc w:val="center"/>
              <w:rPr>
                <w:sz w:val="16"/>
              </w:rPr>
            </w:pPr>
            <w:r>
              <w:rPr>
                <w:w w:val="118"/>
                <w:sz w:val="16"/>
              </w:rPr>
              <w:t>9</w:t>
            </w:r>
          </w:p>
        </w:tc>
        <w:tc>
          <w:tcPr>
            <w:tcW w:w="1780" w:type="dxa"/>
          </w:tcPr>
          <w:p>
            <w:pPr>
              <w:pStyle w:val="TableParagraph"/>
              <w:spacing w:before="83"/>
              <w:ind w:left="215" w:right="338"/>
              <w:jc w:val="center"/>
              <w:rPr>
                <w:sz w:val="16"/>
              </w:rPr>
            </w:pPr>
            <w:r>
              <w:rPr>
                <w:w w:val="120"/>
                <w:sz w:val="16"/>
              </w:rPr>
              <w:t>20</w:t>
            </w:r>
          </w:p>
        </w:tc>
      </w:tr>
      <w:tr>
        <w:trPr>
          <w:trHeight w:val="260" w:hRule="exact"/>
        </w:trPr>
        <w:tc>
          <w:tcPr>
            <w:tcW w:w="2520" w:type="dxa"/>
          </w:tcPr>
          <w:p>
            <w:pPr>
              <w:pStyle w:val="TableParagraph"/>
              <w:spacing w:before="83"/>
              <w:ind w:left="696" w:right="819"/>
              <w:jc w:val="center"/>
              <w:rPr>
                <w:sz w:val="16"/>
              </w:rPr>
            </w:pPr>
            <w:r>
              <w:rPr>
                <w:w w:val="115"/>
                <w:sz w:val="16"/>
              </w:rPr>
              <w:t>2008–2012</w:t>
            </w:r>
          </w:p>
        </w:tc>
        <w:tc>
          <w:tcPr>
            <w:tcW w:w="2480" w:type="dxa"/>
          </w:tcPr>
          <w:p>
            <w:pPr>
              <w:pStyle w:val="TableParagraph"/>
              <w:spacing w:before="83"/>
              <w:ind w:right="146"/>
              <w:jc w:val="center"/>
              <w:rPr>
                <w:sz w:val="16"/>
              </w:rPr>
            </w:pPr>
            <w:r>
              <w:rPr>
                <w:w w:val="118"/>
                <w:sz w:val="16"/>
              </w:rPr>
              <w:t>6</w:t>
            </w:r>
          </w:p>
        </w:tc>
        <w:tc>
          <w:tcPr>
            <w:tcW w:w="1760" w:type="dxa"/>
          </w:tcPr>
          <w:p>
            <w:pPr>
              <w:pStyle w:val="TableParagraph"/>
              <w:spacing w:before="83"/>
              <w:ind w:left="520" w:right="662"/>
              <w:jc w:val="center"/>
              <w:rPr>
                <w:sz w:val="16"/>
              </w:rPr>
            </w:pPr>
            <w:r>
              <w:rPr>
                <w:w w:val="120"/>
                <w:sz w:val="16"/>
              </w:rPr>
              <w:t>25</w:t>
            </w:r>
          </w:p>
        </w:tc>
        <w:tc>
          <w:tcPr>
            <w:tcW w:w="1780" w:type="dxa"/>
          </w:tcPr>
          <w:p>
            <w:pPr>
              <w:pStyle w:val="TableParagraph"/>
              <w:spacing w:before="83"/>
              <w:ind w:left="236" w:right="338"/>
              <w:jc w:val="center"/>
              <w:rPr>
                <w:sz w:val="16"/>
              </w:rPr>
            </w:pPr>
            <w:r>
              <w:rPr>
                <w:w w:val="120"/>
                <w:sz w:val="16"/>
              </w:rPr>
              <w:t>197</w:t>
            </w:r>
          </w:p>
        </w:tc>
      </w:tr>
      <w:tr>
        <w:trPr>
          <w:trHeight w:val="260" w:hRule="exact"/>
        </w:trPr>
        <w:tc>
          <w:tcPr>
            <w:tcW w:w="2520" w:type="dxa"/>
          </w:tcPr>
          <w:p>
            <w:pPr>
              <w:pStyle w:val="TableParagraph"/>
              <w:spacing w:before="88"/>
              <w:ind w:left="720" w:right="812"/>
              <w:jc w:val="center"/>
              <w:rPr>
                <w:rFonts w:ascii="Franklin Gothic Medium"/>
                <w:sz w:val="16"/>
              </w:rPr>
            </w:pPr>
            <w:r>
              <w:rPr>
                <w:rFonts w:ascii="Franklin Gothic Medium"/>
                <w:sz w:val="16"/>
              </w:rPr>
              <w:t>Totals</w:t>
            </w:r>
          </w:p>
        </w:tc>
        <w:tc>
          <w:tcPr>
            <w:tcW w:w="2480" w:type="dxa"/>
          </w:tcPr>
          <w:p>
            <w:pPr>
              <w:pStyle w:val="TableParagraph"/>
              <w:spacing w:before="88"/>
              <w:ind w:left="705" w:right="867"/>
              <w:jc w:val="center"/>
              <w:rPr>
                <w:rFonts w:ascii="Franklin Gothic Medium"/>
                <w:sz w:val="16"/>
              </w:rPr>
            </w:pPr>
            <w:r>
              <w:rPr>
                <w:rFonts w:ascii="Franklin Gothic Medium"/>
                <w:sz w:val="16"/>
              </w:rPr>
              <w:t>117</w:t>
            </w:r>
          </w:p>
        </w:tc>
        <w:tc>
          <w:tcPr>
            <w:tcW w:w="1760" w:type="dxa"/>
          </w:tcPr>
          <w:p>
            <w:pPr>
              <w:pStyle w:val="TableParagraph"/>
              <w:spacing w:before="88"/>
              <w:ind w:left="519" w:right="662"/>
              <w:jc w:val="center"/>
              <w:rPr>
                <w:rFonts w:ascii="Franklin Gothic Medium"/>
                <w:sz w:val="16"/>
              </w:rPr>
            </w:pPr>
            <w:r>
              <w:rPr>
                <w:rFonts w:ascii="Franklin Gothic Medium"/>
                <w:sz w:val="16"/>
              </w:rPr>
              <w:t>79</w:t>
            </w:r>
          </w:p>
        </w:tc>
        <w:tc>
          <w:tcPr>
            <w:tcW w:w="1780" w:type="dxa"/>
          </w:tcPr>
          <w:p>
            <w:pPr>
              <w:pStyle w:val="TableParagraph"/>
              <w:spacing w:before="88"/>
              <w:ind w:left="235" w:right="338"/>
              <w:jc w:val="center"/>
              <w:rPr>
                <w:rFonts w:ascii="Franklin Gothic Medium"/>
                <w:sz w:val="16"/>
              </w:rPr>
            </w:pPr>
            <w:r>
              <w:rPr>
                <w:rFonts w:ascii="Franklin Gothic Medium"/>
                <w:sz w:val="16"/>
              </w:rPr>
              <w:t>217</w:t>
            </w:r>
          </w:p>
        </w:tc>
      </w:tr>
    </w:tbl>
    <w:p>
      <w:pPr>
        <w:pStyle w:val="BodyText"/>
        <w:spacing w:before="8"/>
        <w:rPr>
          <w:rFonts w:ascii="Franklin Gothic Medium"/>
          <w:sz w:val="18"/>
        </w:rPr>
      </w:pPr>
    </w:p>
    <w:p>
      <w:pPr>
        <w:spacing w:after="0"/>
        <w:rPr>
          <w:rFonts w:ascii="Franklin Gothic Medium"/>
          <w:sz w:val="18"/>
        </w:rPr>
        <w:sectPr>
          <w:type w:val="continuous"/>
          <w:pgSz w:w="11520" w:h="14400"/>
          <w:pgMar w:top="0" w:bottom="280" w:left="700" w:right="840"/>
        </w:sectPr>
      </w:pPr>
    </w:p>
    <w:p>
      <w:pPr>
        <w:pStyle w:val="BodyText"/>
        <w:spacing w:line="254" w:lineRule="auto" w:before="92"/>
        <w:ind w:left="100" w:firstLine="180"/>
        <w:jc w:val="both"/>
      </w:pPr>
      <w:r>
        <w:rPr>
          <w:w w:val="110"/>
        </w:rPr>
        <w:t>The Company currently intends to retire its fleet of 27 Boeing 737-200 aircraft over the next three years. The average age of the Company’s fleet at December  31,  2002,  was  9.2 years.</w:t>
      </w:r>
    </w:p>
    <w:p>
      <w:pPr>
        <w:pStyle w:val="BodyText"/>
        <w:spacing w:before="11"/>
        <w:rPr>
          <w:sz w:val="21"/>
        </w:rPr>
      </w:pPr>
    </w:p>
    <w:p>
      <w:pPr>
        <w:pStyle w:val="BodyText"/>
        <w:ind w:left="100"/>
        <w:rPr>
          <w:rFonts w:ascii="Franklin Gothic Medium"/>
        </w:rPr>
      </w:pPr>
      <w:r>
        <w:rPr>
          <w:rFonts w:ascii="Franklin Gothic Medium"/>
        </w:rPr>
        <w:t>Ground  Facilities  and Services</w:t>
      </w:r>
    </w:p>
    <w:p>
      <w:pPr>
        <w:pStyle w:val="BodyText"/>
        <w:spacing w:before="2"/>
        <w:rPr>
          <w:rFonts w:ascii="Franklin Gothic Medium"/>
          <w:sz w:val="25"/>
        </w:rPr>
      </w:pPr>
    </w:p>
    <w:p>
      <w:pPr>
        <w:pStyle w:val="BodyText"/>
        <w:spacing w:line="254" w:lineRule="auto"/>
        <w:ind w:left="100" w:firstLine="180"/>
        <w:jc w:val="both"/>
      </w:pPr>
      <w:r>
        <w:rPr>
          <w:w w:val="105"/>
        </w:rPr>
        <w:t>Southwest leases terminal passenger </w:t>
      </w:r>
      <w:r>
        <w:rPr>
          <w:spacing w:val="7"/>
          <w:w w:val="105"/>
        </w:rPr>
        <w:t>service </w:t>
      </w:r>
      <w:r>
        <w:rPr>
          <w:w w:val="105"/>
        </w:rPr>
        <w:t>facilities  at  each  of  the  airports  it   serves,   </w:t>
      </w:r>
      <w:r>
        <w:rPr>
          <w:spacing w:val="4"/>
          <w:w w:val="105"/>
        </w:rPr>
        <w:t>to </w:t>
      </w:r>
      <w:r>
        <w:rPr>
          <w:w w:val="105"/>
        </w:rPr>
        <w:t>which it has </w:t>
      </w:r>
      <w:r>
        <w:rPr>
          <w:spacing w:val="2"/>
          <w:w w:val="105"/>
        </w:rPr>
        <w:t>added various </w:t>
      </w:r>
      <w:r>
        <w:rPr>
          <w:w w:val="105"/>
        </w:rPr>
        <w:t>leasehold </w:t>
      </w:r>
      <w:r>
        <w:rPr>
          <w:spacing w:val="9"/>
          <w:w w:val="105"/>
        </w:rPr>
        <w:t>improve- </w:t>
      </w:r>
      <w:r>
        <w:rPr>
          <w:w w:val="105"/>
        </w:rPr>
        <w:t>ments. The </w:t>
      </w:r>
      <w:r>
        <w:rPr>
          <w:spacing w:val="2"/>
          <w:w w:val="105"/>
        </w:rPr>
        <w:t>Company </w:t>
      </w:r>
      <w:r>
        <w:rPr>
          <w:w w:val="105"/>
        </w:rPr>
        <w:t>leases land on a  </w:t>
      </w:r>
      <w:r>
        <w:rPr>
          <w:spacing w:val="4"/>
          <w:w w:val="105"/>
        </w:rPr>
        <w:t>long-term </w:t>
      </w:r>
      <w:r>
        <w:rPr>
          <w:w w:val="105"/>
        </w:rPr>
        <w:t>basis  for  its  </w:t>
      </w:r>
      <w:r>
        <w:rPr>
          <w:spacing w:val="4"/>
          <w:w w:val="105"/>
        </w:rPr>
        <w:t>maintenance  </w:t>
      </w:r>
      <w:r>
        <w:rPr>
          <w:w w:val="105"/>
        </w:rPr>
        <w:t>centers  located  </w:t>
      </w:r>
      <w:r>
        <w:rPr>
          <w:spacing w:val="4"/>
          <w:w w:val="105"/>
        </w:rPr>
        <w:t>at  </w:t>
      </w:r>
      <w:r>
        <w:rPr>
          <w:w w:val="105"/>
        </w:rPr>
        <w:t>Dallas Love Field, Houston Hobby, </w:t>
      </w:r>
      <w:r>
        <w:rPr>
          <w:spacing w:val="3"/>
          <w:w w:val="105"/>
        </w:rPr>
        <w:t>Phoenix</w:t>
      </w:r>
      <w:r>
        <w:rPr>
          <w:spacing w:val="53"/>
          <w:w w:val="105"/>
        </w:rPr>
        <w:t> </w:t>
      </w:r>
      <w:r>
        <w:rPr>
          <w:spacing w:val="-4"/>
          <w:w w:val="105"/>
        </w:rPr>
        <w:t>Sky </w:t>
      </w:r>
      <w:r>
        <w:rPr>
          <w:w w:val="105"/>
        </w:rPr>
        <w:t>Harbor, and </w:t>
      </w:r>
      <w:r>
        <w:rPr>
          <w:spacing w:val="2"/>
          <w:w w:val="105"/>
        </w:rPr>
        <w:t>Chicago Midway; </w:t>
      </w:r>
      <w:r>
        <w:rPr>
          <w:w w:val="105"/>
        </w:rPr>
        <w:t>its  training  </w:t>
      </w:r>
      <w:r>
        <w:rPr>
          <w:spacing w:val="6"/>
          <w:w w:val="105"/>
        </w:rPr>
        <w:t>center </w:t>
      </w:r>
      <w:r>
        <w:rPr>
          <w:w w:val="105"/>
        </w:rPr>
        <w:t>near  Love  Field,  which  houses  six  737   </w:t>
      </w:r>
      <w:r>
        <w:rPr>
          <w:spacing w:val="6"/>
          <w:w w:val="105"/>
        </w:rPr>
        <w:t>simula- </w:t>
      </w:r>
      <w:r>
        <w:rPr>
          <w:w w:val="105"/>
        </w:rPr>
        <w:t>tors; and its corporate headquarters, also </w:t>
      </w:r>
      <w:r>
        <w:rPr>
          <w:spacing w:val="6"/>
          <w:w w:val="105"/>
        </w:rPr>
        <w:t>located </w:t>
      </w:r>
      <w:r>
        <w:rPr>
          <w:w w:val="105"/>
        </w:rPr>
        <w:t>near  Love  Field.  The  </w:t>
      </w:r>
      <w:r>
        <w:rPr>
          <w:spacing w:val="4"/>
          <w:w w:val="105"/>
        </w:rPr>
        <w:t>maintenance,   </w:t>
      </w:r>
      <w:r>
        <w:rPr>
          <w:spacing w:val="7"/>
          <w:w w:val="105"/>
        </w:rPr>
        <w:t>training </w:t>
      </w:r>
      <w:r>
        <w:rPr>
          <w:w w:val="105"/>
        </w:rPr>
        <w:t>center, and corporate </w:t>
      </w:r>
      <w:r>
        <w:rPr>
          <w:spacing w:val="2"/>
          <w:w w:val="105"/>
        </w:rPr>
        <w:t>headquarters buildings </w:t>
      </w:r>
      <w:r>
        <w:rPr>
          <w:spacing w:val="12"/>
          <w:w w:val="105"/>
        </w:rPr>
        <w:t>on </w:t>
      </w:r>
      <w:r>
        <w:rPr>
          <w:w w:val="105"/>
        </w:rPr>
        <w:t>these sites  were  built  and  are  </w:t>
      </w:r>
      <w:r>
        <w:rPr>
          <w:spacing w:val="2"/>
          <w:w w:val="105"/>
        </w:rPr>
        <w:t>owned  </w:t>
      </w:r>
      <w:r>
        <w:rPr>
          <w:spacing w:val="4"/>
          <w:w w:val="105"/>
        </w:rPr>
        <w:t>by </w:t>
      </w:r>
      <w:r>
        <w:rPr>
          <w:w w:val="105"/>
        </w:rPr>
        <w:t>Southwest. At </w:t>
      </w:r>
      <w:r>
        <w:rPr>
          <w:spacing w:val="3"/>
          <w:w w:val="105"/>
        </w:rPr>
        <w:t>December </w:t>
      </w:r>
      <w:r>
        <w:rPr>
          <w:w w:val="105"/>
        </w:rPr>
        <w:t>31, 2002, the </w:t>
      </w:r>
      <w:r>
        <w:rPr>
          <w:spacing w:val="9"/>
          <w:w w:val="105"/>
        </w:rPr>
        <w:t>Company </w:t>
      </w:r>
      <w:r>
        <w:rPr>
          <w:spacing w:val="2"/>
          <w:w w:val="105"/>
        </w:rPr>
        <w:t>operated  nine  </w:t>
      </w:r>
      <w:r>
        <w:rPr>
          <w:w w:val="105"/>
        </w:rPr>
        <w:t>reservations centers.  </w:t>
      </w:r>
      <w:r>
        <w:rPr>
          <w:spacing w:val="7"/>
          <w:w w:val="105"/>
        </w:rPr>
        <w:t>The </w:t>
      </w:r>
      <w:r>
        <w:rPr>
          <w:w w:val="105"/>
        </w:rPr>
        <w:t>reservations centers  located  in  Little  </w:t>
      </w:r>
      <w:r>
        <w:rPr>
          <w:spacing w:val="3"/>
          <w:w w:val="105"/>
        </w:rPr>
        <w:t>Rock, </w:t>
      </w:r>
      <w:r>
        <w:rPr>
          <w:w w:val="105"/>
        </w:rPr>
        <w:t>Arkansas; Chicago, Illinois; </w:t>
      </w:r>
      <w:r>
        <w:rPr>
          <w:spacing w:val="3"/>
          <w:w w:val="105"/>
        </w:rPr>
        <w:t>Albuquerque, </w:t>
      </w:r>
      <w:r>
        <w:rPr>
          <w:spacing w:val="9"/>
          <w:w w:val="105"/>
        </w:rPr>
        <w:t>New </w:t>
      </w:r>
      <w:r>
        <w:rPr>
          <w:spacing w:val="2"/>
          <w:w w:val="105"/>
        </w:rPr>
        <w:t>Mexico; </w:t>
      </w:r>
      <w:r>
        <w:rPr>
          <w:w w:val="105"/>
        </w:rPr>
        <w:t>and </w:t>
      </w:r>
      <w:r>
        <w:rPr>
          <w:spacing w:val="2"/>
          <w:w w:val="105"/>
        </w:rPr>
        <w:t>Oklahoma </w:t>
      </w:r>
      <w:r>
        <w:rPr>
          <w:w w:val="105"/>
        </w:rPr>
        <w:t>City, </w:t>
      </w:r>
      <w:r>
        <w:rPr>
          <w:spacing w:val="2"/>
          <w:w w:val="105"/>
        </w:rPr>
        <w:t>Oklahoma, </w:t>
      </w:r>
      <w:r>
        <w:rPr>
          <w:spacing w:val="8"/>
          <w:w w:val="105"/>
        </w:rPr>
        <w:t>occupy </w:t>
      </w:r>
      <w:r>
        <w:rPr>
          <w:w w:val="105"/>
        </w:rPr>
        <w:t>leased    space.    The    Company    owns    its   </w:t>
      </w:r>
      <w:r>
        <w:rPr>
          <w:spacing w:val="39"/>
          <w:w w:val="105"/>
        </w:rPr>
        <w:t> </w:t>
      </w:r>
      <w:r>
        <w:rPr>
          <w:w w:val="105"/>
        </w:rPr>
        <w:t>Dallas,</w:t>
      </w:r>
    </w:p>
    <w:p>
      <w:pPr>
        <w:pStyle w:val="BodyText"/>
        <w:spacing w:line="254" w:lineRule="auto" w:before="92"/>
        <w:ind w:left="100" w:right="111"/>
        <w:jc w:val="both"/>
      </w:pPr>
      <w:r>
        <w:rPr/>
        <w:br w:type="column"/>
      </w:r>
      <w:r>
        <w:rPr>
          <w:w w:val="110"/>
        </w:rPr>
        <w:t>Texas; Houston, Texas;  </w:t>
      </w:r>
      <w:r>
        <w:rPr>
          <w:spacing w:val="3"/>
          <w:w w:val="110"/>
        </w:rPr>
        <w:t>Phoenix,</w:t>
      </w:r>
      <w:r>
        <w:rPr>
          <w:spacing w:val="55"/>
          <w:w w:val="110"/>
        </w:rPr>
        <w:t> </w:t>
      </w:r>
      <w:r>
        <w:rPr>
          <w:w w:val="110"/>
        </w:rPr>
        <w:t>Arizona;  Salt Lake City, Utah; and San </w:t>
      </w:r>
      <w:r>
        <w:rPr>
          <w:spacing w:val="2"/>
          <w:w w:val="110"/>
        </w:rPr>
        <w:t>Antonio, </w:t>
      </w:r>
      <w:r>
        <w:rPr>
          <w:spacing w:val="6"/>
          <w:w w:val="110"/>
        </w:rPr>
        <w:t>Texas, </w:t>
      </w:r>
      <w:r>
        <w:rPr>
          <w:spacing w:val="2"/>
          <w:w w:val="110"/>
        </w:rPr>
        <w:t>reservations</w:t>
      </w:r>
      <w:r>
        <w:rPr>
          <w:spacing w:val="19"/>
          <w:w w:val="110"/>
        </w:rPr>
        <w:t> </w:t>
      </w:r>
      <w:r>
        <w:rPr>
          <w:spacing w:val="3"/>
          <w:w w:val="110"/>
        </w:rPr>
        <w:t>centers.</w:t>
      </w:r>
    </w:p>
    <w:p>
      <w:pPr>
        <w:pStyle w:val="BodyText"/>
        <w:spacing w:line="254" w:lineRule="auto"/>
        <w:ind w:left="100" w:right="105" w:firstLine="180"/>
        <w:jc w:val="both"/>
      </w:pPr>
      <w:r>
        <w:rPr>
          <w:w w:val="105"/>
        </w:rPr>
        <w:t>Southwest has entered into a </w:t>
      </w:r>
      <w:r>
        <w:rPr>
          <w:spacing w:val="8"/>
          <w:w w:val="105"/>
        </w:rPr>
        <w:t>concession </w:t>
      </w:r>
      <w:r>
        <w:rPr>
          <w:spacing w:val="2"/>
          <w:w w:val="105"/>
        </w:rPr>
        <w:t>agreement </w:t>
      </w:r>
      <w:r>
        <w:rPr>
          <w:w w:val="105"/>
        </w:rPr>
        <w:t>with  the  Town  of  Islip,  New  </w:t>
      </w:r>
      <w:r>
        <w:rPr>
          <w:spacing w:val="4"/>
          <w:w w:val="105"/>
        </w:rPr>
        <w:t>York,  </w:t>
      </w:r>
      <w:r>
        <w:rPr>
          <w:w w:val="105"/>
        </w:rPr>
        <w:t>which gives the </w:t>
      </w:r>
      <w:r>
        <w:rPr>
          <w:spacing w:val="2"/>
          <w:w w:val="105"/>
        </w:rPr>
        <w:t>Company </w:t>
      </w:r>
      <w:r>
        <w:rPr>
          <w:w w:val="105"/>
        </w:rPr>
        <w:t>the right to </w:t>
      </w:r>
      <w:r>
        <w:rPr>
          <w:spacing w:val="3"/>
          <w:w w:val="105"/>
        </w:rPr>
        <w:t>construct, </w:t>
      </w:r>
      <w:r>
        <w:rPr>
          <w:w w:val="105"/>
        </w:rPr>
        <w:t>furnish,  occupy,  and  </w:t>
      </w:r>
      <w:r>
        <w:rPr>
          <w:spacing w:val="3"/>
          <w:w w:val="105"/>
        </w:rPr>
        <w:t>maintain</w:t>
      </w:r>
      <w:r>
        <w:rPr>
          <w:spacing w:val="53"/>
          <w:w w:val="105"/>
        </w:rPr>
        <w:t> </w:t>
      </w:r>
      <w:r>
        <w:rPr>
          <w:w w:val="105"/>
        </w:rPr>
        <w:t>a   new   </w:t>
      </w:r>
      <w:r>
        <w:rPr>
          <w:spacing w:val="7"/>
          <w:w w:val="105"/>
        </w:rPr>
        <w:t>concourse </w:t>
      </w:r>
      <w:r>
        <w:rPr>
          <w:w w:val="105"/>
        </w:rPr>
        <w:t>at the airport. Once all phases of the project </w:t>
      </w:r>
      <w:r>
        <w:rPr>
          <w:spacing w:val="6"/>
          <w:w w:val="105"/>
        </w:rPr>
        <w:t>are </w:t>
      </w:r>
      <w:r>
        <w:rPr>
          <w:spacing w:val="2"/>
          <w:w w:val="105"/>
        </w:rPr>
        <w:t>completed,  </w:t>
      </w:r>
      <w:r>
        <w:rPr>
          <w:w w:val="105"/>
        </w:rPr>
        <w:t>the  concourse  would  have  up  to  a total of eight gates and is </w:t>
      </w:r>
      <w:r>
        <w:rPr>
          <w:spacing w:val="2"/>
          <w:w w:val="105"/>
        </w:rPr>
        <w:t>expected </w:t>
      </w:r>
      <w:r>
        <w:rPr>
          <w:w w:val="105"/>
        </w:rPr>
        <w:t>to cost </w:t>
      </w:r>
      <w:r>
        <w:rPr>
          <w:spacing w:val="3"/>
          <w:w w:val="105"/>
        </w:rPr>
        <w:t>approximately </w:t>
      </w:r>
      <w:r>
        <w:rPr>
          <w:w w:val="105"/>
        </w:rPr>
        <w:t>$65  million.  The  </w:t>
      </w:r>
      <w:r>
        <w:rPr>
          <w:spacing w:val="2"/>
          <w:w w:val="105"/>
        </w:rPr>
        <w:t>Company  </w:t>
      </w:r>
      <w:r>
        <w:rPr>
          <w:spacing w:val="4"/>
          <w:w w:val="105"/>
        </w:rPr>
        <w:t>is </w:t>
      </w:r>
      <w:r>
        <w:rPr>
          <w:w w:val="105"/>
        </w:rPr>
        <w:t>currently expected to be able to begin </w:t>
      </w:r>
      <w:r>
        <w:rPr>
          <w:spacing w:val="8"/>
          <w:w w:val="105"/>
        </w:rPr>
        <w:t>operations </w:t>
      </w:r>
      <w:r>
        <w:rPr>
          <w:w w:val="105"/>
        </w:rPr>
        <w:t>from this new </w:t>
      </w:r>
      <w:r>
        <w:rPr>
          <w:spacing w:val="2"/>
          <w:w w:val="105"/>
        </w:rPr>
        <w:t>concourse </w:t>
      </w:r>
      <w:r>
        <w:rPr>
          <w:w w:val="105"/>
        </w:rPr>
        <w:t>in  2004,  at  </w:t>
      </w:r>
      <w:r>
        <w:rPr>
          <w:spacing w:val="2"/>
          <w:w w:val="105"/>
        </w:rPr>
        <w:t>which  </w:t>
      </w:r>
      <w:r>
        <w:rPr>
          <w:spacing w:val="12"/>
          <w:w w:val="105"/>
        </w:rPr>
        <w:t>time </w:t>
      </w:r>
      <w:r>
        <w:rPr>
          <w:w w:val="105"/>
        </w:rPr>
        <w:t>the new </w:t>
      </w:r>
      <w:r>
        <w:rPr>
          <w:spacing w:val="2"/>
          <w:w w:val="105"/>
        </w:rPr>
        <w:t>concourse </w:t>
      </w:r>
      <w:r>
        <w:rPr>
          <w:w w:val="105"/>
        </w:rPr>
        <w:t>will  </w:t>
      </w:r>
      <w:r>
        <w:rPr>
          <w:spacing w:val="3"/>
          <w:w w:val="105"/>
        </w:rPr>
        <w:t>become</w:t>
      </w:r>
      <w:r>
        <w:rPr>
          <w:spacing w:val="53"/>
          <w:w w:val="105"/>
        </w:rPr>
        <w:t> </w:t>
      </w:r>
      <w:r>
        <w:rPr>
          <w:w w:val="105"/>
        </w:rPr>
        <w:t>the  property  </w:t>
      </w:r>
      <w:r>
        <w:rPr>
          <w:spacing w:val="6"/>
          <w:w w:val="105"/>
        </w:rPr>
        <w:t>of  </w:t>
      </w:r>
      <w:r>
        <w:rPr>
          <w:w w:val="105"/>
        </w:rPr>
        <w:t>the Town of Islip.  In  return  for  constructing  </w:t>
      </w:r>
      <w:r>
        <w:rPr>
          <w:spacing w:val="6"/>
          <w:w w:val="105"/>
        </w:rPr>
        <w:t>the  </w:t>
      </w:r>
      <w:r>
        <w:rPr>
          <w:w w:val="105"/>
        </w:rPr>
        <w:t>new concourse, Southwest will </w:t>
      </w:r>
      <w:r>
        <w:rPr>
          <w:spacing w:val="2"/>
          <w:w w:val="105"/>
        </w:rPr>
        <w:t>receive </w:t>
      </w:r>
      <w:r>
        <w:rPr>
          <w:spacing w:val="6"/>
          <w:w w:val="105"/>
        </w:rPr>
        <w:t>fixed-rent </w:t>
      </w:r>
      <w:r>
        <w:rPr>
          <w:spacing w:val="2"/>
          <w:w w:val="105"/>
        </w:rPr>
        <w:t>abatements </w:t>
      </w:r>
      <w:r>
        <w:rPr>
          <w:w w:val="105"/>
        </w:rPr>
        <w:t>for a total of 25 years; </w:t>
      </w:r>
      <w:r>
        <w:rPr>
          <w:spacing w:val="2"/>
          <w:w w:val="105"/>
        </w:rPr>
        <w:t>however, </w:t>
      </w:r>
      <w:r>
        <w:rPr>
          <w:spacing w:val="6"/>
          <w:w w:val="105"/>
        </w:rPr>
        <w:t>the </w:t>
      </w:r>
      <w:r>
        <w:rPr>
          <w:spacing w:val="2"/>
          <w:w w:val="105"/>
        </w:rPr>
        <w:t>Company </w:t>
      </w:r>
      <w:r>
        <w:rPr>
          <w:w w:val="105"/>
        </w:rPr>
        <w:t>will </w:t>
      </w:r>
      <w:r>
        <w:rPr>
          <w:spacing w:val="-3"/>
          <w:w w:val="105"/>
        </w:rPr>
        <w:t>still </w:t>
      </w:r>
      <w:r>
        <w:rPr>
          <w:w w:val="105"/>
        </w:rPr>
        <w:t>be  </w:t>
      </w:r>
      <w:r>
        <w:rPr>
          <w:spacing w:val="2"/>
          <w:w w:val="105"/>
        </w:rPr>
        <w:t>required  </w:t>
      </w:r>
      <w:r>
        <w:rPr>
          <w:w w:val="105"/>
        </w:rPr>
        <w:t>to  pay  </w:t>
      </w:r>
      <w:r>
        <w:rPr>
          <w:spacing w:val="8"/>
          <w:w w:val="105"/>
        </w:rPr>
        <w:t>variable  </w:t>
      </w:r>
      <w:r>
        <w:rPr>
          <w:w w:val="105"/>
        </w:rPr>
        <w:t>rents  for  common  use </w:t>
      </w:r>
      <w:r>
        <w:rPr>
          <w:spacing w:val="32"/>
          <w:w w:val="105"/>
        </w:rPr>
        <w:t> </w:t>
      </w:r>
      <w:r>
        <w:rPr>
          <w:spacing w:val="2"/>
          <w:w w:val="105"/>
        </w:rPr>
        <w:t>areas.</w:t>
      </w:r>
    </w:p>
    <w:p>
      <w:pPr>
        <w:pStyle w:val="BodyText"/>
        <w:spacing w:line="254" w:lineRule="auto"/>
        <w:ind w:left="100" w:right="108" w:firstLine="180"/>
        <w:jc w:val="both"/>
      </w:pPr>
      <w:r>
        <w:rPr>
          <w:w w:val="105"/>
        </w:rPr>
        <w:t>The Company performs substantially all line maintenance on its aircraft and provides ground support services at most of the airports it serves. However, the Company has arrangements with certain aircraft maintenance firms for major component     inspections     and     repairs     for     its</w:t>
      </w:r>
    </w:p>
    <w:p>
      <w:pPr>
        <w:spacing w:after="0" w:line="254" w:lineRule="auto"/>
        <w:jc w:val="both"/>
        <w:sectPr>
          <w:type w:val="continuous"/>
          <w:pgSz w:w="11520" w:h="14400"/>
          <w:pgMar w:top="0" w:bottom="280" w:left="700" w:right="840"/>
          <w:cols w:num="2" w:equalWidth="0">
            <w:col w:w="4730" w:space="410"/>
            <w:col w:w="4840"/>
          </w:cols>
        </w:sectPr>
      </w:pPr>
    </w:p>
    <w:p>
      <w:pPr>
        <w:pStyle w:val="BodyText"/>
        <w:spacing w:line="254" w:lineRule="auto" w:before="69"/>
        <w:ind w:left="100" w:right="7"/>
      </w:pPr>
      <w:bookmarkStart w:name="Legal Proceedings" w:id="21"/>
      <w:bookmarkEnd w:id="21"/>
      <w:r>
        <w:rPr/>
      </w:r>
      <w:bookmarkStart w:name="Submission of Matters to a Vote" w:id="22"/>
      <w:bookmarkEnd w:id="22"/>
      <w:r>
        <w:rPr/>
      </w:r>
      <w:r>
        <w:rPr>
          <w:w w:val="105"/>
        </w:rPr>
        <w:t>airframes and engines, which  comprise  the  ma- jority  of  the  annual  aircraft  maintenance  costs.</w:t>
      </w:r>
    </w:p>
    <w:p>
      <w:pPr>
        <w:pStyle w:val="BodyText"/>
        <w:spacing w:before="4"/>
        <w:rPr>
          <w:sz w:val="21"/>
        </w:rPr>
      </w:pPr>
    </w:p>
    <w:p>
      <w:pPr>
        <w:spacing w:before="0"/>
        <w:ind w:left="100" w:right="0" w:firstLine="0"/>
        <w:jc w:val="left"/>
        <w:rPr>
          <w:i/>
          <w:sz w:val="20"/>
        </w:rPr>
      </w:pPr>
      <w:r>
        <w:rPr>
          <w:rFonts w:ascii="Franklin Gothic Medium"/>
          <w:w w:val="105"/>
          <w:sz w:val="20"/>
        </w:rPr>
        <w:t>Item 3.   </w:t>
      </w:r>
      <w:r>
        <w:rPr>
          <w:i/>
          <w:w w:val="105"/>
          <w:sz w:val="20"/>
        </w:rPr>
        <w:t>Legal  Proceedings</w:t>
      </w:r>
    </w:p>
    <w:p>
      <w:pPr>
        <w:pStyle w:val="BodyText"/>
        <w:spacing w:before="7"/>
        <w:rPr>
          <w:i/>
          <w:sz w:val="22"/>
        </w:rPr>
      </w:pPr>
    </w:p>
    <w:p>
      <w:pPr>
        <w:pStyle w:val="BodyText"/>
        <w:spacing w:line="254" w:lineRule="auto"/>
        <w:ind w:left="100" w:firstLine="180"/>
        <w:jc w:val="both"/>
      </w:pPr>
      <w:r>
        <w:rPr>
          <w:w w:val="105"/>
        </w:rPr>
        <w:t>The Company is subject to various  legal </w:t>
      </w:r>
      <w:r>
        <w:rPr>
          <w:spacing w:val="2"/>
          <w:w w:val="105"/>
        </w:rPr>
        <w:t>proceedings </w:t>
      </w:r>
      <w:r>
        <w:rPr>
          <w:w w:val="105"/>
        </w:rPr>
        <w:t>and claims arising in the  </w:t>
      </w:r>
      <w:r>
        <w:rPr>
          <w:spacing w:val="6"/>
          <w:w w:val="105"/>
        </w:rPr>
        <w:t>ordinary </w:t>
      </w:r>
      <w:r>
        <w:rPr>
          <w:w w:val="105"/>
        </w:rPr>
        <w:t>course of business, </w:t>
      </w:r>
      <w:r>
        <w:rPr>
          <w:spacing w:val="2"/>
          <w:w w:val="105"/>
        </w:rPr>
        <w:t>including, </w:t>
      </w:r>
      <w:r>
        <w:rPr>
          <w:w w:val="105"/>
        </w:rPr>
        <w:t>but not </w:t>
      </w:r>
      <w:r>
        <w:rPr>
          <w:spacing w:val="2"/>
          <w:w w:val="105"/>
        </w:rPr>
        <w:t>limited to, </w:t>
      </w:r>
      <w:r>
        <w:rPr>
          <w:spacing w:val="4"/>
          <w:w w:val="105"/>
        </w:rPr>
        <w:t>examinations </w:t>
      </w:r>
      <w:r>
        <w:rPr>
          <w:w w:val="105"/>
        </w:rPr>
        <w:t>by the  Internal  </w:t>
      </w:r>
      <w:r>
        <w:rPr>
          <w:spacing w:val="3"/>
          <w:w w:val="105"/>
        </w:rPr>
        <w:t>Revenue</w:t>
      </w:r>
      <w:r>
        <w:rPr>
          <w:spacing w:val="53"/>
          <w:w w:val="105"/>
        </w:rPr>
        <w:t> </w:t>
      </w:r>
      <w:r>
        <w:rPr>
          <w:spacing w:val="7"/>
          <w:w w:val="105"/>
        </w:rPr>
        <w:t>Service  </w:t>
      </w:r>
      <w:r>
        <w:rPr>
          <w:w w:val="105"/>
        </w:rPr>
        <w:t>(IRS). The IRS regularly </w:t>
      </w:r>
      <w:r>
        <w:rPr>
          <w:spacing w:val="3"/>
          <w:w w:val="105"/>
        </w:rPr>
        <w:t>examines </w:t>
      </w:r>
      <w:r>
        <w:rPr>
          <w:w w:val="105"/>
        </w:rPr>
        <w:t>the </w:t>
      </w:r>
      <w:r>
        <w:rPr>
          <w:spacing w:val="6"/>
          <w:w w:val="105"/>
        </w:rPr>
        <w:t>Company’s </w:t>
      </w:r>
      <w:r>
        <w:rPr>
          <w:w w:val="105"/>
        </w:rPr>
        <w:t>federal </w:t>
      </w:r>
      <w:r>
        <w:rPr>
          <w:spacing w:val="3"/>
          <w:w w:val="105"/>
        </w:rPr>
        <w:t>income </w:t>
      </w:r>
      <w:r>
        <w:rPr>
          <w:w w:val="105"/>
        </w:rPr>
        <w:t>tax returns and, in the course  </w:t>
      </w:r>
      <w:r>
        <w:rPr>
          <w:spacing w:val="6"/>
          <w:w w:val="105"/>
        </w:rPr>
        <w:t>of </w:t>
      </w:r>
      <w:r>
        <w:rPr>
          <w:w w:val="105"/>
        </w:rPr>
        <w:t>those   </w:t>
      </w:r>
      <w:r>
        <w:rPr>
          <w:spacing w:val="4"/>
          <w:w w:val="105"/>
        </w:rPr>
        <w:t>examinations,   </w:t>
      </w:r>
      <w:r>
        <w:rPr>
          <w:w w:val="105"/>
        </w:rPr>
        <w:t>proposes   adjustments   </w:t>
      </w:r>
      <w:r>
        <w:rPr>
          <w:spacing w:val="4"/>
          <w:w w:val="105"/>
        </w:rPr>
        <w:t>to </w:t>
      </w:r>
      <w:r>
        <w:rPr>
          <w:w w:val="105"/>
        </w:rPr>
        <w:t>the  Company’s  federal  </w:t>
      </w:r>
      <w:r>
        <w:rPr>
          <w:spacing w:val="3"/>
          <w:w w:val="105"/>
        </w:rPr>
        <w:t>income</w:t>
      </w:r>
      <w:r>
        <w:rPr>
          <w:spacing w:val="53"/>
          <w:w w:val="105"/>
        </w:rPr>
        <w:t> </w:t>
      </w:r>
      <w:r>
        <w:rPr>
          <w:w w:val="105"/>
        </w:rPr>
        <w:t>tax   </w:t>
      </w:r>
      <w:r>
        <w:rPr>
          <w:spacing w:val="4"/>
          <w:w w:val="105"/>
        </w:rPr>
        <w:t>liability </w:t>
      </w:r>
      <w:r>
        <w:rPr>
          <w:w w:val="105"/>
        </w:rPr>
        <w:t>reported on such returns. It is the  </w:t>
      </w:r>
      <w:r>
        <w:rPr>
          <w:spacing w:val="6"/>
          <w:w w:val="105"/>
        </w:rPr>
        <w:t>Company’s </w:t>
      </w:r>
      <w:r>
        <w:rPr>
          <w:w w:val="105"/>
        </w:rPr>
        <w:t>practice    to   vigorously    contest    those  </w:t>
      </w:r>
      <w:r>
        <w:rPr>
          <w:spacing w:val="20"/>
          <w:w w:val="105"/>
        </w:rPr>
        <w:t> </w:t>
      </w:r>
      <w:r>
        <w:rPr>
          <w:spacing w:val="9"/>
          <w:w w:val="105"/>
        </w:rPr>
        <w:t>proposed</w:t>
      </w:r>
    </w:p>
    <w:p>
      <w:pPr>
        <w:pStyle w:val="BodyText"/>
        <w:spacing w:line="254" w:lineRule="auto" w:before="69"/>
        <w:ind w:left="100" w:right="128"/>
        <w:jc w:val="both"/>
      </w:pPr>
      <w:r>
        <w:rPr/>
        <w:br w:type="column"/>
      </w:r>
      <w:r>
        <w:rPr>
          <w:w w:val="105"/>
        </w:rPr>
        <w:t>adjustments that it deems lacking of merit. The Company’s  management  does  not   expect   that the outcome in any of its currently ongoing legal proceedings or the outcome of any proposed adjustments presented to date by the  IRS, individually or collectively, will have a material adverse effect on  the  Company’s  financial condition,  results  of  operations,  or  cash  flows.</w:t>
      </w:r>
    </w:p>
    <w:p>
      <w:pPr>
        <w:pStyle w:val="BodyText"/>
        <w:spacing w:before="4"/>
        <w:rPr>
          <w:sz w:val="21"/>
        </w:rPr>
      </w:pPr>
    </w:p>
    <w:p>
      <w:pPr>
        <w:tabs>
          <w:tab w:pos="1099" w:val="left" w:leader="none"/>
        </w:tabs>
        <w:spacing w:line="254" w:lineRule="auto" w:before="0"/>
        <w:ind w:left="1100" w:right="138" w:hanging="1000"/>
        <w:jc w:val="left"/>
        <w:rPr>
          <w:i/>
          <w:sz w:val="20"/>
        </w:rPr>
      </w:pPr>
      <w:r>
        <w:rPr>
          <w:rFonts w:ascii="Franklin Gothic Medium"/>
          <w:w w:val="105"/>
          <w:sz w:val="20"/>
        </w:rPr>
        <w:t>Item </w:t>
      </w:r>
      <w:r>
        <w:rPr>
          <w:rFonts w:ascii="Franklin Gothic Medium"/>
          <w:spacing w:val="24"/>
          <w:w w:val="105"/>
          <w:sz w:val="20"/>
        </w:rPr>
        <w:t> </w:t>
      </w:r>
      <w:r>
        <w:rPr>
          <w:rFonts w:ascii="Franklin Gothic Medium"/>
          <w:w w:val="105"/>
          <w:sz w:val="20"/>
        </w:rPr>
        <w:t>4.</w:t>
        <w:tab/>
      </w:r>
      <w:r>
        <w:rPr>
          <w:i/>
          <w:spacing w:val="3"/>
          <w:w w:val="105"/>
          <w:sz w:val="20"/>
        </w:rPr>
        <w:t>Submission    </w:t>
      </w:r>
      <w:r>
        <w:rPr>
          <w:i/>
          <w:w w:val="105"/>
          <w:sz w:val="20"/>
        </w:rPr>
        <w:t>of   Matters   to   a </w:t>
      </w:r>
      <w:r>
        <w:rPr>
          <w:i/>
          <w:spacing w:val="43"/>
          <w:w w:val="105"/>
          <w:sz w:val="20"/>
        </w:rPr>
        <w:t> </w:t>
      </w:r>
      <w:r>
        <w:rPr>
          <w:i/>
          <w:w w:val="105"/>
          <w:sz w:val="20"/>
        </w:rPr>
        <w:t>Vote  </w:t>
      </w:r>
      <w:r>
        <w:rPr>
          <w:i/>
          <w:spacing w:val="12"/>
          <w:w w:val="105"/>
          <w:sz w:val="20"/>
        </w:rPr>
        <w:t> </w:t>
      </w:r>
      <w:r>
        <w:rPr>
          <w:i/>
          <w:spacing w:val="-4"/>
          <w:w w:val="105"/>
          <w:sz w:val="20"/>
        </w:rPr>
        <w:t>of</w:t>
      </w:r>
      <w:r>
        <w:rPr>
          <w:i/>
          <w:w w:val="103"/>
          <w:sz w:val="20"/>
        </w:rPr>
        <w:t> </w:t>
      </w:r>
      <w:r>
        <w:rPr>
          <w:i/>
          <w:spacing w:val="2"/>
          <w:w w:val="105"/>
          <w:sz w:val="20"/>
        </w:rPr>
        <w:t>Security </w:t>
      </w:r>
      <w:r>
        <w:rPr>
          <w:i/>
          <w:spacing w:val="33"/>
          <w:w w:val="105"/>
          <w:sz w:val="20"/>
        </w:rPr>
        <w:t> </w:t>
      </w:r>
      <w:r>
        <w:rPr>
          <w:i/>
          <w:spacing w:val="3"/>
          <w:w w:val="105"/>
          <w:sz w:val="20"/>
        </w:rPr>
        <w:t>Holders</w:t>
      </w:r>
    </w:p>
    <w:p>
      <w:pPr>
        <w:pStyle w:val="BodyText"/>
        <w:spacing w:before="4"/>
        <w:rPr>
          <w:i/>
          <w:sz w:val="21"/>
        </w:rPr>
      </w:pPr>
    </w:p>
    <w:p>
      <w:pPr>
        <w:pStyle w:val="BodyText"/>
        <w:ind w:left="460"/>
      </w:pPr>
      <w:r>
        <w:rPr>
          <w:w w:val="105"/>
        </w:rPr>
        <w:t>None  to  be reported.</w:t>
      </w:r>
    </w:p>
    <w:p>
      <w:pPr>
        <w:spacing w:after="0"/>
        <w:sectPr>
          <w:headerReference w:type="default" r:id="rId67"/>
          <w:footerReference w:type="default" r:id="rId68"/>
          <w:footerReference w:type="even" r:id="rId69"/>
          <w:pgSz w:w="11520" w:h="14400"/>
          <w:pgMar w:header="0" w:footer="706" w:top="960" w:bottom="900" w:left="700" w:right="820"/>
          <w:pgNumType w:start="9"/>
          <w:cols w:num="2" w:equalWidth="0">
            <w:col w:w="4730" w:space="410"/>
            <w:col w:w="4860"/>
          </w:cols>
        </w:sectPr>
      </w:pPr>
    </w:p>
    <w:p>
      <w:pPr>
        <w:pStyle w:val="BodyText"/>
      </w:pPr>
    </w:p>
    <w:p>
      <w:pPr>
        <w:pStyle w:val="BodyText"/>
        <w:spacing w:before="6"/>
        <w:rPr>
          <w:sz w:val="15"/>
        </w:rPr>
      </w:pPr>
    </w:p>
    <w:p>
      <w:pPr>
        <w:pStyle w:val="BodyText"/>
        <w:spacing w:before="95"/>
        <w:ind w:left="3020"/>
        <w:rPr>
          <w:rFonts w:ascii="Franklin Gothic Medium"/>
        </w:rPr>
      </w:pPr>
      <w:r>
        <w:rPr>
          <w:rFonts w:ascii="Franklin Gothic Medium"/>
        </w:rPr>
        <w:t>EXECUTIVE  OFFICERS  OF  THE REGISTRANT</w:t>
      </w:r>
    </w:p>
    <w:p>
      <w:pPr>
        <w:pStyle w:val="BodyText"/>
        <w:spacing w:before="2"/>
        <w:rPr>
          <w:rFonts w:ascii="Franklin Gothic Medium"/>
          <w:sz w:val="25"/>
        </w:rPr>
      </w:pPr>
    </w:p>
    <w:p>
      <w:pPr>
        <w:pStyle w:val="BodyText"/>
        <w:spacing w:line="254" w:lineRule="auto"/>
        <w:ind w:left="100" w:right="179" w:firstLine="180"/>
      </w:pPr>
      <w:r>
        <w:rPr>
          <w:w w:val="110"/>
        </w:rPr>
        <w:t>The executive officers of Southwest, their positions, and their  </w:t>
      </w:r>
      <w:r>
        <w:rPr>
          <w:spacing w:val="2"/>
          <w:w w:val="110"/>
        </w:rPr>
        <w:t>respective  </w:t>
      </w:r>
      <w:r>
        <w:rPr>
          <w:w w:val="110"/>
        </w:rPr>
        <w:t>ages  (as of  January  1, 2003)  are as</w:t>
      </w:r>
      <w:r>
        <w:rPr>
          <w:spacing w:val="33"/>
          <w:w w:val="110"/>
        </w:rPr>
        <w:t> </w:t>
      </w:r>
      <w:r>
        <w:rPr>
          <w:w w:val="110"/>
        </w:rPr>
        <w:t>follows:</w:t>
      </w:r>
    </w:p>
    <w:p>
      <w:pPr>
        <w:pStyle w:val="BodyText"/>
        <w:spacing w:before="9" w:after="1"/>
        <w:rPr>
          <w:sz w:val="23"/>
        </w:rPr>
      </w:pPr>
    </w:p>
    <w:tbl>
      <w:tblPr>
        <w:tblW w:w="0" w:type="auto"/>
        <w:jc w:val="left"/>
        <w:tblInd w:w="11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832"/>
        <w:gridCol w:w="5091"/>
        <w:gridCol w:w="642"/>
      </w:tblGrid>
      <w:tr>
        <w:trPr>
          <w:trHeight w:val="281" w:hRule="exact"/>
        </w:trPr>
        <w:tc>
          <w:tcPr>
            <w:tcW w:w="1832" w:type="dxa"/>
          </w:tcPr>
          <w:p>
            <w:pPr>
              <w:pStyle w:val="TableParagraph"/>
              <w:spacing w:line="199" w:lineRule="exact"/>
              <w:ind w:left="32"/>
              <w:rPr>
                <w:rFonts w:ascii="Franklin Gothic Medium"/>
                <w:sz w:val="18"/>
              </w:rPr>
            </w:pPr>
            <w:r>
              <w:rPr>
                <w:rFonts w:ascii="Franklin Gothic Medium"/>
                <w:sz w:val="18"/>
              </w:rPr>
              <w:t>Name</w:t>
            </w:r>
          </w:p>
        </w:tc>
        <w:tc>
          <w:tcPr>
            <w:tcW w:w="5091" w:type="dxa"/>
          </w:tcPr>
          <w:p>
            <w:pPr>
              <w:pStyle w:val="TableParagraph"/>
              <w:spacing w:line="199" w:lineRule="exact"/>
              <w:ind w:left="219"/>
              <w:rPr>
                <w:rFonts w:ascii="Franklin Gothic Medium"/>
                <w:sz w:val="18"/>
              </w:rPr>
            </w:pPr>
            <w:r>
              <w:rPr>
                <w:rFonts w:ascii="Franklin Gothic Medium"/>
                <w:sz w:val="18"/>
              </w:rPr>
              <w:t>Position</w:t>
            </w:r>
          </w:p>
        </w:tc>
        <w:tc>
          <w:tcPr>
            <w:tcW w:w="642" w:type="dxa"/>
          </w:tcPr>
          <w:p>
            <w:pPr>
              <w:pStyle w:val="TableParagraph"/>
              <w:spacing w:line="199" w:lineRule="exact"/>
              <w:ind w:left="271" w:right="34"/>
              <w:jc w:val="center"/>
              <w:rPr>
                <w:rFonts w:ascii="Franklin Gothic Medium"/>
                <w:sz w:val="18"/>
              </w:rPr>
            </w:pPr>
            <w:r>
              <w:rPr>
                <w:rFonts w:ascii="Franklin Gothic Medium"/>
                <w:sz w:val="18"/>
              </w:rPr>
              <w:t>Age</w:t>
            </w:r>
          </w:p>
        </w:tc>
      </w:tr>
      <w:tr>
        <w:trPr>
          <w:trHeight w:val="380" w:hRule="exact"/>
        </w:trPr>
        <w:tc>
          <w:tcPr>
            <w:tcW w:w="1832" w:type="dxa"/>
          </w:tcPr>
          <w:p>
            <w:pPr>
              <w:pStyle w:val="TableParagraph"/>
              <w:spacing w:before="68"/>
              <w:ind w:left="32"/>
              <w:rPr>
                <w:sz w:val="18"/>
              </w:rPr>
            </w:pPr>
            <w:r>
              <w:rPr>
                <w:w w:val="105"/>
                <w:sz w:val="18"/>
              </w:rPr>
              <w:t>Herbert  D.  Kelleher</w:t>
            </w:r>
          </w:p>
        </w:tc>
        <w:tc>
          <w:tcPr>
            <w:tcW w:w="5091" w:type="dxa"/>
          </w:tcPr>
          <w:p>
            <w:pPr>
              <w:pStyle w:val="TableParagraph"/>
              <w:spacing w:before="68"/>
              <w:ind w:left="221"/>
              <w:rPr>
                <w:sz w:val="18"/>
              </w:rPr>
            </w:pPr>
            <w:r>
              <w:rPr>
                <w:w w:val="105"/>
                <w:sz w:val="18"/>
              </w:rPr>
              <w:t>Chairman  of  the  Board</w:t>
            </w:r>
          </w:p>
        </w:tc>
        <w:tc>
          <w:tcPr>
            <w:tcW w:w="642" w:type="dxa"/>
          </w:tcPr>
          <w:p>
            <w:pPr>
              <w:pStyle w:val="TableParagraph"/>
              <w:spacing w:before="68"/>
              <w:ind w:left="251" w:right="34"/>
              <w:jc w:val="center"/>
              <w:rPr>
                <w:sz w:val="18"/>
              </w:rPr>
            </w:pPr>
            <w:r>
              <w:rPr>
                <w:w w:val="120"/>
                <w:sz w:val="18"/>
              </w:rPr>
              <w:t>71</w:t>
            </w:r>
          </w:p>
        </w:tc>
      </w:tr>
      <w:tr>
        <w:trPr>
          <w:trHeight w:val="410" w:hRule="exact"/>
        </w:trPr>
        <w:tc>
          <w:tcPr>
            <w:tcW w:w="1832" w:type="dxa"/>
          </w:tcPr>
          <w:p>
            <w:pPr>
              <w:pStyle w:val="TableParagraph"/>
              <w:spacing w:before="88"/>
              <w:ind w:left="32"/>
              <w:rPr>
                <w:sz w:val="18"/>
              </w:rPr>
            </w:pPr>
            <w:r>
              <w:rPr>
                <w:w w:val="110"/>
                <w:sz w:val="18"/>
              </w:rPr>
              <w:t>James  F. Parker</w:t>
            </w:r>
          </w:p>
        </w:tc>
        <w:tc>
          <w:tcPr>
            <w:tcW w:w="5091" w:type="dxa"/>
          </w:tcPr>
          <w:p>
            <w:pPr>
              <w:pStyle w:val="TableParagraph"/>
              <w:spacing w:before="108"/>
              <w:ind w:left="221"/>
              <w:rPr>
                <w:sz w:val="18"/>
              </w:rPr>
            </w:pPr>
            <w:r>
              <w:rPr>
                <w:w w:val="105"/>
                <w:sz w:val="18"/>
              </w:rPr>
              <w:t>Vice  Chairman  of  the  Board  and  Chief  Executive Officer</w:t>
            </w:r>
          </w:p>
        </w:tc>
        <w:tc>
          <w:tcPr>
            <w:tcW w:w="642" w:type="dxa"/>
          </w:tcPr>
          <w:p>
            <w:pPr>
              <w:pStyle w:val="TableParagraph"/>
              <w:spacing w:before="88"/>
              <w:ind w:left="235" w:right="34"/>
              <w:jc w:val="center"/>
              <w:rPr>
                <w:sz w:val="18"/>
              </w:rPr>
            </w:pPr>
            <w:r>
              <w:rPr>
                <w:w w:val="120"/>
                <w:sz w:val="18"/>
              </w:rPr>
              <w:t>56</w:t>
            </w:r>
          </w:p>
        </w:tc>
      </w:tr>
      <w:tr>
        <w:trPr>
          <w:trHeight w:val="390" w:hRule="exact"/>
        </w:trPr>
        <w:tc>
          <w:tcPr>
            <w:tcW w:w="1832" w:type="dxa"/>
          </w:tcPr>
          <w:p>
            <w:pPr>
              <w:pStyle w:val="TableParagraph"/>
              <w:spacing w:before="78"/>
              <w:ind w:left="32"/>
              <w:rPr>
                <w:sz w:val="18"/>
              </w:rPr>
            </w:pPr>
            <w:r>
              <w:rPr>
                <w:w w:val="110"/>
                <w:sz w:val="18"/>
              </w:rPr>
              <w:t>Colleen  C. Barrett</w:t>
            </w:r>
          </w:p>
        </w:tc>
        <w:tc>
          <w:tcPr>
            <w:tcW w:w="5091" w:type="dxa"/>
          </w:tcPr>
          <w:p>
            <w:pPr>
              <w:pStyle w:val="TableParagraph"/>
              <w:spacing w:before="78"/>
              <w:ind w:left="223"/>
              <w:rPr>
                <w:sz w:val="18"/>
              </w:rPr>
            </w:pPr>
            <w:r>
              <w:rPr>
                <w:w w:val="105"/>
                <w:sz w:val="18"/>
              </w:rPr>
              <w:t>Director,  President,  and  Chief  Operating   Officer</w:t>
            </w:r>
          </w:p>
        </w:tc>
        <w:tc>
          <w:tcPr>
            <w:tcW w:w="642" w:type="dxa"/>
          </w:tcPr>
          <w:p>
            <w:pPr>
              <w:pStyle w:val="TableParagraph"/>
              <w:spacing w:before="78"/>
              <w:ind w:left="251" w:right="34"/>
              <w:jc w:val="center"/>
              <w:rPr>
                <w:sz w:val="18"/>
              </w:rPr>
            </w:pPr>
            <w:r>
              <w:rPr>
                <w:w w:val="120"/>
                <w:sz w:val="18"/>
              </w:rPr>
              <w:t>58</w:t>
            </w:r>
          </w:p>
        </w:tc>
      </w:tr>
      <w:tr>
        <w:trPr>
          <w:trHeight w:val="400" w:hRule="exact"/>
        </w:trPr>
        <w:tc>
          <w:tcPr>
            <w:tcW w:w="1832" w:type="dxa"/>
          </w:tcPr>
          <w:p>
            <w:pPr>
              <w:pStyle w:val="TableParagraph"/>
              <w:spacing w:before="88"/>
              <w:ind w:left="32"/>
              <w:rPr>
                <w:sz w:val="18"/>
              </w:rPr>
            </w:pPr>
            <w:r>
              <w:rPr>
                <w:w w:val="105"/>
                <w:sz w:val="18"/>
              </w:rPr>
              <w:t>Donna  D.  Conover</w:t>
            </w:r>
          </w:p>
        </w:tc>
        <w:tc>
          <w:tcPr>
            <w:tcW w:w="5091" w:type="dxa"/>
          </w:tcPr>
          <w:p>
            <w:pPr>
              <w:pStyle w:val="TableParagraph"/>
              <w:spacing w:before="88"/>
              <w:ind w:left="221"/>
              <w:rPr>
                <w:sz w:val="18"/>
              </w:rPr>
            </w:pPr>
            <w:r>
              <w:rPr>
                <w:w w:val="105"/>
                <w:sz w:val="18"/>
              </w:rPr>
              <w:t>Executive  Vice  President  —  Customer  Service</w:t>
            </w:r>
          </w:p>
        </w:tc>
        <w:tc>
          <w:tcPr>
            <w:tcW w:w="642" w:type="dxa"/>
          </w:tcPr>
          <w:p>
            <w:pPr>
              <w:pStyle w:val="TableParagraph"/>
              <w:spacing w:before="88"/>
              <w:ind w:left="251" w:right="34"/>
              <w:jc w:val="center"/>
              <w:rPr>
                <w:sz w:val="18"/>
              </w:rPr>
            </w:pPr>
            <w:r>
              <w:rPr>
                <w:w w:val="120"/>
                <w:sz w:val="18"/>
              </w:rPr>
              <w:t>49</w:t>
            </w:r>
          </w:p>
        </w:tc>
      </w:tr>
      <w:tr>
        <w:trPr>
          <w:trHeight w:val="400" w:hRule="exact"/>
        </w:trPr>
        <w:tc>
          <w:tcPr>
            <w:tcW w:w="1832" w:type="dxa"/>
          </w:tcPr>
          <w:p>
            <w:pPr>
              <w:pStyle w:val="TableParagraph"/>
              <w:spacing w:before="88"/>
              <w:ind w:left="32"/>
              <w:rPr>
                <w:sz w:val="18"/>
              </w:rPr>
            </w:pPr>
            <w:r>
              <w:rPr>
                <w:w w:val="105"/>
                <w:sz w:val="18"/>
              </w:rPr>
              <w:t>Gary  C.  Kelly</w:t>
            </w:r>
          </w:p>
        </w:tc>
        <w:tc>
          <w:tcPr>
            <w:tcW w:w="5091" w:type="dxa"/>
          </w:tcPr>
          <w:p>
            <w:pPr>
              <w:pStyle w:val="TableParagraph"/>
              <w:spacing w:before="88"/>
              <w:ind w:left="223"/>
              <w:rPr>
                <w:sz w:val="18"/>
              </w:rPr>
            </w:pPr>
            <w:r>
              <w:rPr>
                <w:w w:val="105"/>
                <w:sz w:val="18"/>
              </w:rPr>
              <w:t>Executive  Vice  President  and  Chief  Financial    Officer</w:t>
            </w:r>
          </w:p>
        </w:tc>
        <w:tc>
          <w:tcPr>
            <w:tcW w:w="642" w:type="dxa"/>
          </w:tcPr>
          <w:p>
            <w:pPr>
              <w:pStyle w:val="TableParagraph"/>
              <w:spacing w:before="88"/>
              <w:ind w:left="250" w:right="34"/>
              <w:jc w:val="center"/>
              <w:rPr>
                <w:sz w:val="18"/>
              </w:rPr>
            </w:pPr>
            <w:r>
              <w:rPr>
                <w:w w:val="120"/>
                <w:sz w:val="18"/>
              </w:rPr>
              <w:t>47</w:t>
            </w:r>
          </w:p>
        </w:tc>
      </w:tr>
      <w:tr>
        <w:trPr>
          <w:trHeight w:val="400" w:hRule="exact"/>
        </w:trPr>
        <w:tc>
          <w:tcPr>
            <w:tcW w:w="1832" w:type="dxa"/>
          </w:tcPr>
          <w:p>
            <w:pPr>
              <w:pStyle w:val="TableParagraph"/>
              <w:spacing w:before="88"/>
              <w:ind w:left="32"/>
              <w:rPr>
                <w:sz w:val="18"/>
              </w:rPr>
            </w:pPr>
            <w:r>
              <w:rPr>
                <w:w w:val="110"/>
                <w:sz w:val="18"/>
              </w:rPr>
              <w:t>James C. Wimberly</w:t>
            </w:r>
          </w:p>
        </w:tc>
        <w:tc>
          <w:tcPr>
            <w:tcW w:w="5091" w:type="dxa"/>
          </w:tcPr>
          <w:p>
            <w:pPr>
              <w:pStyle w:val="TableParagraph"/>
              <w:spacing w:before="88"/>
              <w:ind w:left="227"/>
              <w:rPr>
                <w:sz w:val="18"/>
              </w:rPr>
            </w:pPr>
            <w:r>
              <w:rPr>
                <w:w w:val="105"/>
                <w:sz w:val="18"/>
              </w:rPr>
              <w:t>Executive  Vice  President  —  Chief  Operations  Officer</w:t>
            </w:r>
          </w:p>
        </w:tc>
        <w:tc>
          <w:tcPr>
            <w:tcW w:w="642" w:type="dxa"/>
          </w:tcPr>
          <w:p>
            <w:pPr>
              <w:pStyle w:val="TableParagraph"/>
              <w:spacing w:before="88"/>
              <w:ind w:left="251" w:right="34"/>
              <w:jc w:val="center"/>
              <w:rPr>
                <w:sz w:val="18"/>
              </w:rPr>
            </w:pPr>
            <w:r>
              <w:rPr>
                <w:w w:val="120"/>
                <w:sz w:val="18"/>
              </w:rPr>
              <w:t>49</w:t>
            </w:r>
          </w:p>
        </w:tc>
      </w:tr>
      <w:tr>
        <w:trPr>
          <w:trHeight w:val="400" w:hRule="exact"/>
        </w:trPr>
        <w:tc>
          <w:tcPr>
            <w:tcW w:w="1832" w:type="dxa"/>
          </w:tcPr>
          <w:p>
            <w:pPr>
              <w:pStyle w:val="TableParagraph"/>
              <w:spacing w:before="88"/>
              <w:ind w:left="32"/>
              <w:rPr>
                <w:sz w:val="18"/>
              </w:rPr>
            </w:pPr>
            <w:r>
              <w:rPr>
                <w:w w:val="110"/>
                <w:sz w:val="18"/>
              </w:rPr>
              <w:t>Joyce C. Rogge</w:t>
            </w:r>
          </w:p>
        </w:tc>
        <w:tc>
          <w:tcPr>
            <w:tcW w:w="5091" w:type="dxa"/>
          </w:tcPr>
          <w:p>
            <w:pPr>
              <w:pStyle w:val="TableParagraph"/>
              <w:spacing w:before="88"/>
              <w:ind w:left="221"/>
              <w:rPr>
                <w:sz w:val="18"/>
              </w:rPr>
            </w:pPr>
            <w:r>
              <w:rPr>
                <w:w w:val="105"/>
                <w:sz w:val="18"/>
              </w:rPr>
              <w:t>Senior  Vice  President  —   Marketing</w:t>
            </w:r>
          </w:p>
        </w:tc>
        <w:tc>
          <w:tcPr>
            <w:tcW w:w="642" w:type="dxa"/>
          </w:tcPr>
          <w:p>
            <w:pPr>
              <w:pStyle w:val="TableParagraph"/>
              <w:spacing w:before="88"/>
              <w:ind w:left="251" w:right="34"/>
              <w:jc w:val="center"/>
              <w:rPr>
                <w:sz w:val="18"/>
              </w:rPr>
            </w:pPr>
            <w:r>
              <w:rPr>
                <w:w w:val="120"/>
                <w:sz w:val="18"/>
              </w:rPr>
              <w:t>45</w:t>
            </w:r>
          </w:p>
        </w:tc>
      </w:tr>
      <w:tr>
        <w:trPr>
          <w:trHeight w:val="400" w:hRule="exact"/>
        </w:trPr>
        <w:tc>
          <w:tcPr>
            <w:tcW w:w="1832" w:type="dxa"/>
          </w:tcPr>
          <w:p>
            <w:pPr>
              <w:pStyle w:val="TableParagraph"/>
              <w:spacing w:before="88"/>
              <w:ind w:left="32"/>
              <w:rPr>
                <w:sz w:val="18"/>
              </w:rPr>
            </w:pPr>
            <w:r>
              <w:rPr>
                <w:w w:val="110"/>
                <w:sz w:val="18"/>
              </w:rPr>
              <w:t>Ron  Ricks</w:t>
            </w:r>
          </w:p>
        </w:tc>
        <w:tc>
          <w:tcPr>
            <w:tcW w:w="5091" w:type="dxa"/>
          </w:tcPr>
          <w:p>
            <w:pPr>
              <w:pStyle w:val="TableParagraph"/>
              <w:spacing w:before="88"/>
              <w:ind w:left="221"/>
              <w:rPr>
                <w:sz w:val="18"/>
              </w:rPr>
            </w:pPr>
            <w:r>
              <w:rPr>
                <w:w w:val="105"/>
                <w:sz w:val="18"/>
              </w:rPr>
              <w:t>Vice  President  —  Governmental   Affairs</w:t>
            </w:r>
          </w:p>
        </w:tc>
        <w:tc>
          <w:tcPr>
            <w:tcW w:w="642" w:type="dxa"/>
          </w:tcPr>
          <w:p>
            <w:pPr>
              <w:pStyle w:val="TableParagraph"/>
              <w:spacing w:before="88"/>
              <w:ind w:left="251" w:right="34"/>
              <w:jc w:val="center"/>
              <w:rPr>
                <w:sz w:val="18"/>
              </w:rPr>
            </w:pPr>
            <w:r>
              <w:rPr>
                <w:w w:val="120"/>
                <w:sz w:val="18"/>
              </w:rPr>
              <w:t>53</w:t>
            </w:r>
          </w:p>
        </w:tc>
      </w:tr>
      <w:tr>
        <w:trPr>
          <w:trHeight w:val="305" w:hRule="exact"/>
        </w:trPr>
        <w:tc>
          <w:tcPr>
            <w:tcW w:w="1832" w:type="dxa"/>
          </w:tcPr>
          <w:p>
            <w:pPr>
              <w:pStyle w:val="TableParagraph"/>
              <w:spacing w:before="88"/>
              <w:ind w:left="32"/>
              <w:rPr>
                <w:sz w:val="18"/>
              </w:rPr>
            </w:pPr>
            <w:r>
              <w:rPr>
                <w:w w:val="105"/>
                <w:sz w:val="18"/>
              </w:rPr>
              <w:t>Dave  Ridley</w:t>
            </w:r>
          </w:p>
        </w:tc>
        <w:tc>
          <w:tcPr>
            <w:tcW w:w="5091" w:type="dxa"/>
          </w:tcPr>
          <w:p>
            <w:pPr>
              <w:pStyle w:val="TableParagraph"/>
              <w:spacing w:before="88"/>
              <w:ind w:left="216"/>
              <w:rPr>
                <w:sz w:val="18"/>
              </w:rPr>
            </w:pPr>
            <w:r>
              <w:rPr>
                <w:w w:val="105"/>
                <w:sz w:val="18"/>
              </w:rPr>
              <w:t>Vice  President  —  Ground   Operations</w:t>
            </w:r>
          </w:p>
        </w:tc>
        <w:tc>
          <w:tcPr>
            <w:tcW w:w="642" w:type="dxa"/>
          </w:tcPr>
          <w:p>
            <w:pPr>
              <w:pStyle w:val="TableParagraph"/>
              <w:spacing w:before="88"/>
              <w:ind w:left="251" w:right="34"/>
              <w:jc w:val="center"/>
              <w:rPr>
                <w:sz w:val="18"/>
              </w:rPr>
            </w:pPr>
            <w:r>
              <w:rPr>
                <w:w w:val="120"/>
                <w:sz w:val="18"/>
              </w:rPr>
              <w:t>49</w:t>
            </w:r>
          </w:p>
        </w:tc>
      </w:tr>
    </w:tbl>
    <w:p>
      <w:pPr>
        <w:pStyle w:val="BodyText"/>
        <w:spacing w:before="6"/>
        <w:rPr>
          <w:sz w:val="31"/>
        </w:rPr>
      </w:pPr>
    </w:p>
    <w:p>
      <w:pPr>
        <w:pStyle w:val="BodyText"/>
        <w:spacing w:line="254" w:lineRule="auto"/>
        <w:ind w:left="100" w:right="110" w:firstLine="360"/>
        <w:jc w:val="both"/>
      </w:pPr>
      <w:r>
        <w:rPr>
          <w:w w:val="105"/>
        </w:rPr>
        <w:t>Executive officers are elected annually  at  the  first  meeting  of  Southwest’s  Board  of  Directors  </w:t>
      </w:r>
      <w:r>
        <w:rPr>
          <w:spacing w:val="5"/>
          <w:w w:val="105"/>
        </w:rPr>
        <w:t>following </w:t>
      </w:r>
      <w:r>
        <w:rPr>
          <w:w w:val="105"/>
        </w:rPr>
        <w:t>the </w:t>
      </w:r>
      <w:r>
        <w:rPr>
          <w:spacing w:val="2"/>
          <w:w w:val="105"/>
        </w:rPr>
        <w:t>annual meeting </w:t>
      </w:r>
      <w:r>
        <w:rPr>
          <w:w w:val="105"/>
        </w:rPr>
        <w:t>of shareholders or </w:t>
      </w:r>
      <w:r>
        <w:rPr>
          <w:spacing w:val="3"/>
          <w:w w:val="105"/>
        </w:rPr>
        <w:t>appointed </w:t>
      </w:r>
      <w:r>
        <w:rPr>
          <w:w w:val="105"/>
        </w:rPr>
        <w:t>by the Chief </w:t>
      </w:r>
      <w:r>
        <w:rPr>
          <w:spacing w:val="3"/>
          <w:w w:val="105"/>
        </w:rPr>
        <w:t>Executive </w:t>
      </w:r>
      <w:r>
        <w:rPr>
          <w:w w:val="105"/>
        </w:rPr>
        <w:t>Officer pursuant  to  </w:t>
      </w:r>
      <w:r>
        <w:rPr>
          <w:spacing w:val="7"/>
          <w:w w:val="105"/>
        </w:rPr>
        <w:t>Board </w:t>
      </w:r>
      <w:r>
        <w:rPr>
          <w:spacing w:val="2"/>
          <w:w w:val="105"/>
        </w:rPr>
        <w:t>authorization.  </w:t>
      </w:r>
      <w:r>
        <w:rPr>
          <w:w w:val="105"/>
        </w:rPr>
        <w:t>Each  of  the  </w:t>
      </w:r>
      <w:r>
        <w:rPr>
          <w:spacing w:val="3"/>
          <w:w w:val="105"/>
        </w:rPr>
        <w:t>above</w:t>
      </w:r>
      <w:r>
        <w:rPr>
          <w:spacing w:val="53"/>
          <w:w w:val="105"/>
        </w:rPr>
        <w:t> </w:t>
      </w:r>
      <w:r>
        <w:rPr>
          <w:spacing w:val="3"/>
          <w:w w:val="105"/>
        </w:rPr>
        <w:t>individuals</w:t>
      </w:r>
      <w:r>
        <w:rPr>
          <w:spacing w:val="53"/>
          <w:w w:val="105"/>
        </w:rPr>
        <w:t> </w:t>
      </w:r>
      <w:r>
        <w:rPr>
          <w:w w:val="105"/>
        </w:rPr>
        <w:t>has  worked  for  Southwest  Airlines  Co.  for  more  than   </w:t>
      </w:r>
      <w:r>
        <w:rPr>
          <w:spacing w:val="6"/>
          <w:w w:val="105"/>
        </w:rPr>
        <w:t>the </w:t>
      </w:r>
      <w:r>
        <w:rPr>
          <w:w w:val="105"/>
        </w:rPr>
        <w:t>past  five  years.</w:t>
      </w:r>
    </w:p>
    <w:p>
      <w:pPr>
        <w:spacing w:after="0" w:line="254" w:lineRule="auto"/>
        <w:jc w:val="both"/>
        <w:sectPr>
          <w:type w:val="continuous"/>
          <w:pgSz w:w="11520" w:h="14400"/>
          <w:pgMar w:top="0" w:bottom="280" w:left="700" w:right="820"/>
        </w:sectPr>
      </w:pPr>
    </w:p>
    <w:p>
      <w:pPr>
        <w:pStyle w:val="Heading1"/>
        <w:ind w:left="160"/>
      </w:pPr>
      <w:bookmarkStart w:name="Market for Common Equity" w:id="23"/>
      <w:bookmarkEnd w:id="23"/>
      <w:r>
        <w:rPr/>
      </w:r>
      <w:r>
        <w:rPr/>
        <w:t>PART II</w:t>
      </w:r>
    </w:p>
    <w:p>
      <w:pPr>
        <w:spacing w:line="254" w:lineRule="auto" w:before="77"/>
        <w:ind w:left="1160" w:right="23" w:hanging="1000"/>
        <w:jc w:val="both"/>
        <w:rPr>
          <w:i/>
          <w:sz w:val="20"/>
        </w:rPr>
      </w:pPr>
      <w:r>
        <w:rPr>
          <w:rFonts w:ascii="Franklin Gothic Medium" w:hAnsi="Franklin Gothic Medium"/>
          <w:w w:val="105"/>
          <w:sz w:val="20"/>
        </w:rPr>
        <w:t>Item 5. </w:t>
      </w:r>
      <w:r>
        <w:rPr>
          <w:i/>
          <w:w w:val="105"/>
          <w:sz w:val="20"/>
        </w:rPr>
        <w:t>Market  for  the  Registrant’s  </w:t>
      </w:r>
      <w:r>
        <w:rPr>
          <w:i/>
          <w:spacing w:val="4"/>
          <w:w w:val="105"/>
          <w:sz w:val="20"/>
        </w:rPr>
        <w:t>Common  </w:t>
      </w:r>
      <w:r>
        <w:rPr>
          <w:i/>
          <w:spacing w:val="2"/>
          <w:w w:val="105"/>
          <w:sz w:val="20"/>
        </w:rPr>
        <w:t>Equity   </w:t>
      </w:r>
      <w:r>
        <w:rPr>
          <w:i/>
          <w:w w:val="105"/>
          <w:sz w:val="20"/>
        </w:rPr>
        <w:t>and  Related   </w:t>
      </w:r>
      <w:r>
        <w:rPr>
          <w:i/>
          <w:spacing w:val="5"/>
          <w:w w:val="105"/>
          <w:sz w:val="20"/>
        </w:rPr>
        <w:t>Stockholder </w:t>
      </w:r>
      <w:r>
        <w:rPr>
          <w:i/>
          <w:spacing w:val="3"/>
          <w:w w:val="105"/>
          <w:sz w:val="20"/>
        </w:rPr>
        <w:t>Matters</w:t>
      </w:r>
    </w:p>
    <w:p>
      <w:pPr>
        <w:pStyle w:val="BodyText"/>
        <w:spacing w:line="254" w:lineRule="auto" w:before="121"/>
        <w:ind w:left="160" w:firstLine="180"/>
        <w:jc w:val="both"/>
      </w:pPr>
      <w:r>
        <w:rPr>
          <w:w w:val="110"/>
        </w:rPr>
        <w:t>Southwest’s  </w:t>
      </w:r>
      <w:r>
        <w:rPr>
          <w:spacing w:val="3"/>
          <w:w w:val="110"/>
        </w:rPr>
        <w:t>common</w:t>
      </w:r>
      <w:r>
        <w:rPr>
          <w:spacing w:val="55"/>
          <w:w w:val="110"/>
        </w:rPr>
        <w:t> </w:t>
      </w:r>
      <w:r>
        <w:rPr>
          <w:w w:val="110"/>
        </w:rPr>
        <w:t>stock  is  listed  on  </w:t>
      </w:r>
      <w:r>
        <w:rPr>
          <w:spacing w:val="6"/>
          <w:w w:val="110"/>
        </w:rPr>
        <w:t>the </w:t>
      </w:r>
      <w:r>
        <w:rPr>
          <w:w w:val="110"/>
        </w:rPr>
        <w:t>New York Stock </w:t>
      </w:r>
      <w:r>
        <w:rPr>
          <w:spacing w:val="2"/>
          <w:w w:val="110"/>
        </w:rPr>
        <w:t>Exchange  </w:t>
      </w:r>
      <w:r>
        <w:rPr>
          <w:w w:val="110"/>
        </w:rPr>
        <w:t>and  is  traded  </w:t>
      </w:r>
      <w:r>
        <w:rPr>
          <w:spacing w:val="11"/>
          <w:w w:val="110"/>
        </w:rPr>
        <w:t>under </w:t>
      </w:r>
      <w:r>
        <w:rPr>
          <w:w w:val="110"/>
        </w:rPr>
        <w:t>the symbol LUV. The high and low sales prices </w:t>
      </w:r>
      <w:r>
        <w:rPr>
          <w:spacing w:val="6"/>
          <w:w w:val="110"/>
        </w:rPr>
        <w:t>of </w:t>
      </w:r>
      <w:r>
        <w:rPr>
          <w:w w:val="110"/>
        </w:rPr>
        <w:t>the </w:t>
      </w:r>
      <w:r>
        <w:rPr>
          <w:spacing w:val="3"/>
          <w:w w:val="110"/>
        </w:rPr>
        <w:t>common </w:t>
      </w:r>
      <w:r>
        <w:rPr>
          <w:w w:val="110"/>
        </w:rPr>
        <w:t>stock on the </w:t>
      </w:r>
      <w:r>
        <w:rPr>
          <w:spacing w:val="2"/>
          <w:w w:val="110"/>
        </w:rPr>
        <w:t>Composite  Tape  </w:t>
      </w:r>
      <w:r>
        <w:rPr>
          <w:spacing w:val="12"/>
          <w:w w:val="110"/>
        </w:rPr>
        <w:t>and </w:t>
      </w:r>
      <w:r>
        <w:rPr>
          <w:w w:val="110"/>
        </w:rPr>
        <w:t>the quarterly </w:t>
      </w:r>
      <w:r>
        <w:rPr>
          <w:spacing w:val="3"/>
          <w:w w:val="110"/>
        </w:rPr>
        <w:t>dividends </w:t>
      </w:r>
      <w:r>
        <w:rPr>
          <w:w w:val="110"/>
        </w:rPr>
        <w:t>per share paid on </w:t>
      </w:r>
      <w:r>
        <w:rPr>
          <w:spacing w:val="6"/>
          <w:w w:val="110"/>
        </w:rPr>
        <w:t>the </w:t>
      </w:r>
      <w:r>
        <w:rPr>
          <w:w w:val="110"/>
        </w:rPr>
        <w:t>common stock were:</w:t>
      </w:r>
    </w:p>
    <w:p>
      <w:pPr>
        <w:pStyle w:val="BodyText"/>
        <w:spacing w:before="7"/>
        <w:rPr>
          <w:sz w:val="23"/>
        </w:rPr>
      </w:pPr>
    </w:p>
    <w:p>
      <w:pPr>
        <w:pStyle w:val="BodyText"/>
        <w:tabs>
          <w:tab w:pos="1979" w:val="left" w:leader="none"/>
          <w:tab w:pos="3059" w:val="left" w:leader="none"/>
          <w:tab w:pos="4139" w:val="left" w:leader="none"/>
        </w:tabs>
        <w:spacing w:line="338" w:lineRule="auto"/>
        <w:ind w:left="400" w:right="289"/>
        <w:rPr>
          <w:rFonts w:ascii="Franklin Gothic Medium"/>
        </w:rPr>
      </w:pPr>
      <w:r>
        <w:rPr>
          <w:rFonts w:ascii="Franklin Gothic Medium"/>
          <w:spacing w:val="4"/>
        </w:rPr>
        <w:t>Period</w:t>
        <w:tab/>
      </w:r>
      <w:r>
        <w:rPr>
          <w:rFonts w:ascii="Franklin Gothic Medium"/>
          <w:spacing w:val="8"/>
        </w:rPr>
        <w:t>Dividend</w:t>
        <w:tab/>
      </w:r>
      <w:r>
        <w:rPr>
          <w:rFonts w:ascii="Franklin Gothic Medium"/>
          <w:spacing w:val="7"/>
        </w:rPr>
        <w:t>High</w:t>
        <w:tab/>
      </w:r>
      <w:r>
        <w:rPr>
          <w:rFonts w:ascii="Franklin Gothic Medium"/>
          <w:spacing w:val="4"/>
        </w:rPr>
        <w:t>Low </w:t>
      </w:r>
      <w:r>
        <w:rPr>
          <w:rFonts w:ascii="Franklin Gothic Medium"/>
          <w:spacing w:val="3"/>
        </w:rPr>
        <w:t>2002</w:t>
      </w:r>
    </w:p>
    <w:p>
      <w:pPr>
        <w:pStyle w:val="BodyText"/>
        <w:spacing w:before="116"/>
        <w:ind w:left="160"/>
        <w:rPr>
          <w:rFonts w:ascii="Franklin Gothic Medium"/>
        </w:rPr>
      </w:pPr>
      <w:r>
        <w:rPr/>
        <w:br w:type="column"/>
      </w:r>
      <w:r>
        <w:rPr>
          <w:rFonts w:ascii="Franklin Gothic Medium"/>
        </w:rPr>
        <w:t>Recent  Sales  of  Unregistered Securities</w:t>
      </w:r>
    </w:p>
    <w:p>
      <w:pPr>
        <w:pStyle w:val="BodyText"/>
        <w:spacing w:before="1"/>
        <w:rPr>
          <w:rFonts w:ascii="Franklin Gothic Medium"/>
          <w:sz w:val="25"/>
        </w:rPr>
      </w:pPr>
    </w:p>
    <w:p>
      <w:pPr>
        <w:pStyle w:val="BodyText"/>
        <w:spacing w:line="254" w:lineRule="auto" w:before="1"/>
        <w:ind w:left="160" w:right="158" w:firstLine="180"/>
        <w:jc w:val="both"/>
      </w:pPr>
      <w:r>
        <w:rPr>
          <w:w w:val="105"/>
        </w:rPr>
        <w:t>During 2002, Herbert D.  Kelleher,  </w:t>
      </w:r>
      <w:r>
        <w:rPr>
          <w:spacing w:val="2"/>
          <w:w w:val="105"/>
        </w:rPr>
        <w:t>Chairman  </w:t>
      </w:r>
      <w:r>
        <w:rPr>
          <w:spacing w:val="6"/>
          <w:w w:val="105"/>
        </w:rPr>
        <w:t>of  </w:t>
      </w:r>
      <w:r>
        <w:rPr>
          <w:w w:val="105"/>
        </w:rPr>
        <w:t>the Board, </w:t>
      </w:r>
      <w:r>
        <w:rPr>
          <w:spacing w:val="2"/>
          <w:w w:val="105"/>
        </w:rPr>
        <w:t>exercised unregistered options </w:t>
      </w:r>
      <w:r>
        <w:rPr>
          <w:spacing w:val="4"/>
          <w:w w:val="105"/>
        </w:rPr>
        <w:t>to </w:t>
      </w:r>
      <w:r>
        <w:rPr>
          <w:w w:val="105"/>
        </w:rPr>
        <w:t>purchase  Southwest  Common  Stock  as   </w:t>
      </w:r>
      <w:r>
        <w:rPr>
          <w:spacing w:val="10"/>
          <w:w w:val="105"/>
        </w:rPr>
        <w:t> </w:t>
      </w:r>
      <w:r>
        <w:rPr>
          <w:w w:val="105"/>
        </w:rPr>
        <w:t>follows:</w:t>
      </w:r>
    </w:p>
    <w:p>
      <w:pPr>
        <w:pStyle w:val="BodyText"/>
        <w:rPr>
          <w:sz w:val="24"/>
        </w:rPr>
      </w:pPr>
    </w:p>
    <w:tbl>
      <w:tblPr>
        <w:tblW w:w="0" w:type="auto"/>
        <w:jc w:val="left"/>
        <w:tblInd w:w="4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446"/>
        <w:gridCol w:w="1579"/>
        <w:gridCol w:w="1165"/>
      </w:tblGrid>
      <w:tr>
        <w:trPr>
          <w:trHeight w:val="504" w:hRule="exact"/>
        </w:trPr>
        <w:tc>
          <w:tcPr>
            <w:tcW w:w="1446" w:type="dxa"/>
          </w:tcPr>
          <w:p>
            <w:pPr>
              <w:pStyle w:val="TableParagraph"/>
              <w:spacing w:line="276" w:lineRule="auto"/>
              <w:ind w:left="212" w:hanging="180"/>
              <w:rPr>
                <w:rFonts w:ascii="Franklin Gothic Medium"/>
                <w:sz w:val="20"/>
              </w:rPr>
            </w:pPr>
            <w:r>
              <w:rPr>
                <w:rFonts w:ascii="Franklin Gothic Medium"/>
                <w:sz w:val="20"/>
              </w:rPr>
              <w:t>Number of Shares</w:t>
            </w:r>
          </w:p>
        </w:tc>
        <w:tc>
          <w:tcPr>
            <w:tcW w:w="1579" w:type="dxa"/>
          </w:tcPr>
          <w:p>
            <w:pPr>
              <w:pStyle w:val="TableParagraph"/>
              <w:spacing w:before="10"/>
              <w:rPr>
                <w:sz w:val="20"/>
              </w:rPr>
            </w:pPr>
          </w:p>
          <w:p>
            <w:pPr>
              <w:pStyle w:val="TableParagraph"/>
              <w:ind w:left="446" w:right="387"/>
              <w:jc w:val="center"/>
              <w:rPr>
                <w:rFonts w:ascii="Franklin Gothic Medium"/>
                <w:sz w:val="20"/>
              </w:rPr>
            </w:pPr>
            <w:r>
              <w:rPr>
                <w:rFonts w:ascii="Franklin Gothic Medium"/>
                <w:sz w:val="20"/>
              </w:rPr>
              <w:t>Exercise</w:t>
            </w:r>
          </w:p>
        </w:tc>
        <w:tc>
          <w:tcPr>
            <w:tcW w:w="1165" w:type="dxa"/>
          </w:tcPr>
          <w:p>
            <w:pPr>
              <w:pStyle w:val="TableParagraph"/>
              <w:spacing w:before="10"/>
              <w:rPr>
                <w:sz w:val="20"/>
              </w:rPr>
            </w:pPr>
          </w:p>
          <w:p>
            <w:pPr>
              <w:pStyle w:val="TableParagraph"/>
              <w:ind w:right="75"/>
              <w:jc w:val="right"/>
              <w:rPr>
                <w:rFonts w:ascii="Franklin Gothic Medium"/>
                <w:sz w:val="20"/>
              </w:rPr>
            </w:pPr>
            <w:r>
              <w:rPr>
                <w:rFonts w:ascii="Franklin Gothic Medium"/>
                <w:sz w:val="20"/>
              </w:rPr>
              <w:t>Date of</w:t>
            </w:r>
          </w:p>
        </w:tc>
      </w:tr>
      <w:tr>
        <w:trPr>
          <w:trHeight w:val="307" w:hRule="exact"/>
        </w:trPr>
        <w:tc>
          <w:tcPr>
            <w:tcW w:w="1446" w:type="dxa"/>
          </w:tcPr>
          <w:p>
            <w:pPr>
              <w:pStyle w:val="TableParagraph"/>
              <w:spacing w:before="10"/>
              <w:ind w:left="43" w:right="455"/>
              <w:jc w:val="center"/>
              <w:rPr>
                <w:rFonts w:ascii="Franklin Gothic Medium"/>
                <w:sz w:val="20"/>
              </w:rPr>
            </w:pPr>
            <w:r>
              <w:rPr>
                <w:rFonts w:ascii="Franklin Gothic Medium"/>
                <w:sz w:val="20"/>
              </w:rPr>
              <w:t>Purchased</w:t>
            </w:r>
          </w:p>
        </w:tc>
        <w:tc>
          <w:tcPr>
            <w:tcW w:w="1579" w:type="dxa"/>
          </w:tcPr>
          <w:p>
            <w:pPr>
              <w:pStyle w:val="TableParagraph"/>
              <w:spacing w:before="10"/>
              <w:ind w:left="422" w:right="387"/>
              <w:jc w:val="center"/>
              <w:rPr>
                <w:rFonts w:ascii="Franklin Gothic Medium"/>
                <w:sz w:val="20"/>
              </w:rPr>
            </w:pPr>
            <w:r>
              <w:rPr>
                <w:rFonts w:ascii="Franklin Gothic Medium"/>
                <w:sz w:val="20"/>
              </w:rPr>
              <w:t>Price</w:t>
            </w:r>
          </w:p>
        </w:tc>
        <w:tc>
          <w:tcPr>
            <w:tcW w:w="1165" w:type="dxa"/>
          </w:tcPr>
          <w:p>
            <w:pPr>
              <w:pStyle w:val="TableParagraph"/>
              <w:spacing w:before="10"/>
              <w:ind w:right="30"/>
              <w:jc w:val="right"/>
              <w:rPr>
                <w:rFonts w:ascii="Franklin Gothic Medium"/>
                <w:sz w:val="20"/>
              </w:rPr>
            </w:pPr>
            <w:r>
              <w:rPr>
                <w:rFonts w:ascii="Franklin Gothic Medium"/>
                <w:sz w:val="20"/>
              </w:rPr>
              <w:t>Exercise</w:t>
            </w:r>
          </w:p>
        </w:tc>
      </w:tr>
      <w:tr>
        <w:trPr>
          <w:trHeight w:val="297" w:hRule="exact"/>
        </w:trPr>
        <w:tc>
          <w:tcPr>
            <w:tcW w:w="1446" w:type="dxa"/>
          </w:tcPr>
          <w:p>
            <w:pPr>
              <w:pStyle w:val="TableParagraph"/>
              <w:spacing w:before="56"/>
              <w:ind w:left="43" w:right="442"/>
              <w:jc w:val="center"/>
              <w:rPr>
                <w:sz w:val="18"/>
              </w:rPr>
            </w:pPr>
            <w:r>
              <w:rPr>
                <w:w w:val="120"/>
                <w:sz w:val="18"/>
              </w:rPr>
              <w:t>415,528</w:t>
            </w:r>
          </w:p>
        </w:tc>
        <w:tc>
          <w:tcPr>
            <w:tcW w:w="1579" w:type="dxa"/>
          </w:tcPr>
          <w:p>
            <w:pPr>
              <w:pStyle w:val="TableParagraph"/>
              <w:spacing w:before="56"/>
              <w:ind w:left="419" w:right="387"/>
              <w:jc w:val="center"/>
              <w:rPr>
                <w:sz w:val="18"/>
              </w:rPr>
            </w:pPr>
            <w:r>
              <w:rPr>
                <w:w w:val="120"/>
                <w:sz w:val="18"/>
              </w:rPr>
              <w:t>$1.00</w:t>
            </w:r>
          </w:p>
        </w:tc>
        <w:tc>
          <w:tcPr>
            <w:tcW w:w="1165" w:type="dxa"/>
          </w:tcPr>
          <w:p>
            <w:pPr>
              <w:pStyle w:val="TableParagraph"/>
              <w:spacing w:before="56"/>
              <w:ind w:right="60"/>
              <w:jc w:val="right"/>
              <w:rPr>
                <w:sz w:val="18"/>
              </w:rPr>
            </w:pPr>
            <w:r>
              <w:rPr>
                <w:w w:val="120"/>
                <w:sz w:val="18"/>
              </w:rPr>
              <w:t>1/15/02</w:t>
            </w:r>
          </w:p>
        </w:tc>
      </w:tr>
      <w:tr>
        <w:trPr>
          <w:trHeight w:val="235" w:hRule="exact"/>
        </w:trPr>
        <w:tc>
          <w:tcPr>
            <w:tcW w:w="1446" w:type="dxa"/>
          </w:tcPr>
          <w:p>
            <w:pPr>
              <w:pStyle w:val="TableParagraph"/>
              <w:spacing w:before="18"/>
              <w:ind w:left="43" w:right="442"/>
              <w:jc w:val="center"/>
              <w:rPr>
                <w:sz w:val="18"/>
              </w:rPr>
            </w:pPr>
            <w:r>
              <w:rPr>
                <w:w w:val="120"/>
                <w:sz w:val="18"/>
              </w:rPr>
              <w:t>437,032</w:t>
            </w:r>
          </w:p>
        </w:tc>
        <w:tc>
          <w:tcPr>
            <w:tcW w:w="1579" w:type="dxa"/>
          </w:tcPr>
          <w:p>
            <w:pPr>
              <w:pStyle w:val="TableParagraph"/>
              <w:spacing w:before="18"/>
              <w:ind w:left="419" w:right="387"/>
              <w:jc w:val="center"/>
              <w:rPr>
                <w:sz w:val="18"/>
              </w:rPr>
            </w:pPr>
            <w:r>
              <w:rPr>
                <w:w w:val="120"/>
                <w:sz w:val="18"/>
              </w:rPr>
              <w:t>$2.24</w:t>
            </w:r>
          </w:p>
        </w:tc>
        <w:tc>
          <w:tcPr>
            <w:tcW w:w="1165" w:type="dxa"/>
          </w:tcPr>
          <w:p>
            <w:pPr>
              <w:pStyle w:val="TableParagraph"/>
              <w:spacing w:before="18"/>
              <w:ind w:right="60"/>
              <w:jc w:val="right"/>
              <w:rPr>
                <w:sz w:val="18"/>
              </w:rPr>
            </w:pPr>
            <w:r>
              <w:rPr>
                <w:w w:val="120"/>
                <w:sz w:val="18"/>
              </w:rPr>
              <w:t>1/15/02</w:t>
            </w:r>
          </w:p>
        </w:tc>
      </w:tr>
    </w:tbl>
    <w:p>
      <w:pPr>
        <w:pStyle w:val="BodyText"/>
        <w:spacing w:before="10"/>
        <w:rPr>
          <w:sz w:val="29"/>
        </w:rPr>
      </w:pPr>
    </w:p>
    <w:p>
      <w:pPr>
        <w:pStyle w:val="BodyText"/>
        <w:tabs>
          <w:tab w:pos="3537" w:val="left" w:leader="none"/>
          <w:tab w:pos="4420" w:val="left" w:leader="none"/>
        </w:tabs>
        <w:ind w:left="340"/>
      </w:pPr>
      <w:r>
        <w:rPr>
          <w:w w:val="105"/>
        </w:rPr>
        <w:t>The    issuances    of    </w:t>
      </w:r>
      <w:r>
        <w:rPr>
          <w:spacing w:val="1"/>
          <w:w w:val="105"/>
        </w:rPr>
        <w:t> </w:t>
      </w:r>
      <w:r>
        <w:rPr>
          <w:w w:val="105"/>
        </w:rPr>
        <w:t>the   </w:t>
      </w:r>
      <w:r>
        <w:rPr>
          <w:spacing w:val="26"/>
          <w:w w:val="105"/>
        </w:rPr>
        <w:t> </w:t>
      </w:r>
      <w:r>
        <w:rPr>
          <w:spacing w:val="2"/>
          <w:w w:val="105"/>
        </w:rPr>
        <w:t>above</w:t>
        <w:tab/>
        <w:t>options</w:t>
        <w:tab/>
      </w:r>
      <w:r>
        <w:rPr>
          <w:spacing w:val="12"/>
          <w:w w:val="105"/>
        </w:rPr>
        <w:t>and</w:t>
      </w:r>
    </w:p>
    <w:p>
      <w:pPr>
        <w:spacing w:after="0"/>
        <w:sectPr>
          <w:headerReference w:type="default" r:id="rId70"/>
          <w:pgSz w:w="11520" w:h="14400"/>
          <w:pgMar w:header="0" w:footer="706" w:top="920" w:bottom="900" w:left="640" w:right="800"/>
          <w:cols w:num="2" w:equalWidth="0">
            <w:col w:w="4792" w:space="348"/>
            <w:col w:w="4940"/>
          </w:cols>
        </w:sectPr>
      </w:pPr>
    </w:p>
    <w:p>
      <w:pPr>
        <w:pStyle w:val="BodyText"/>
      </w:pPr>
    </w:p>
    <w:p>
      <w:pPr>
        <w:pStyle w:val="BodyText"/>
        <w:spacing w:before="2"/>
        <w:rPr>
          <w:sz w:val="24"/>
        </w:rPr>
      </w:pPr>
    </w:p>
    <w:p>
      <w:pPr>
        <w:pStyle w:val="BodyText"/>
        <w:spacing w:before="93"/>
        <w:ind w:left="5300"/>
      </w:pPr>
      <w:r>
        <w:rPr/>
        <w:pict>
          <v:shape style="position:absolute;margin-left:38pt;margin-top:-31.328424pt;width:492.05pt;height:152pt;mso-position-horizontal-relative:page;mso-position-vertical-relative:paragraph;z-index:628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80"/>
                    <w:gridCol w:w="1215"/>
                    <w:gridCol w:w="1105"/>
                    <w:gridCol w:w="969"/>
                    <w:gridCol w:w="1091"/>
                    <w:gridCol w:w="4981"/>
                  </w:tblGrid>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10"/>
                            <w:sz w:val="18"/>
                          </w:rPr>
                          <w:t>1st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$22.00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$17.17</w:t>
                        </w:r>
                      </w:p>
                    </w:tc>
                    <w:tc>
                      <w:tcPr>
                        <w:tcW w:w="4981" w:type="dxa"/>
                      </w:tcPr>
                      <w:p>
                        <w:pPr>
                          <w:pStyle w:val="TableParagraph"/>
                          <w:spacing w:line="184" w:lineRule="exact"/>
                          <w:ind w:right="30"/>
                          <w:jc w:val="right"/>
                          <w:rPr>
                            <w:sz w:val="20"/>
                          </w:rPr>
                        </w:pPr>
                        <w:r>
                          <w:rPr>
                            <w:w w:val="105"/>
                            <w:sz w:val="20"/>
                          </w:rPr>
                          <w:t>shares  to  Mr.  Kelleher  were  deemed  exempt from</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2nd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19.35</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14.85</w:t>
                        </w:r>
                      </w:p>
                    </w:tc>
                    <w:tc>
                      <w:tcPr>
                        <w:tcW w:w="4981" w:type="dxa"/>
                      </w:tcPr>
                      <w:p>
                        <w:pPr>
                          <w:pStyle w:val="TableParagraph"/>
                          <w:spacing w:line="164" w:lineRule="exact"/>
                          <w:ind w:right="38"/>
                          <w:jc w:val="right"/>
                          <w:rPr>
                            <w:sz w:val="20"/>
                          </w:rPr>
                        </w:pPr>
                        <w:r>
                          <w:rPr>
                            <w:w w:val="105"/>
                            <w:sz w:val="20"/>
                          </w:rPr>
                          <w:t>the  registration  provisions  of  the  Securities  Act  of</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3rd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16.08</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10.90</w:t>
                        </w:r>
                      </w:p>
                    </w:tc>
                    <w:tc>
                      <w:tcPr>
                        <w:tcW w:w="4981" w:type="dxa"/>
                      </w:tcPr>
                      <w:p>
                        <w:pPr>
                          <w:pStyle w:val="TableParagraph"/>
                          <w:spacing w:line="144" w:lineRule="exact"/>
                          <w:ind w:right="38"/>
                          <w:jc w:val="right"/>
                          <w:rPr>
                            <w:sz w:val="20"/>
                          </w:rPr>
                        </w:pPr>
                        <w:r>
                          <w:rPr>
                            <w:w w:val="110"/>
                            <w:sz w:val="20"/>
                          </w:rPr>
                          <w:t>1933,   as   amended    (the   “Securities    Act”),  by</w:t>
                        </w:r>
                      </w:p>
                    </w:tc>
                  </w:tr>
                  <w:tr>
                    <w:trPr>
                      <w:trHeight w:val="280" w:hRule="exact"/>
                    </w:trPr>
                    <w:tc>
                      <w:tcPr>
                        <w:tcW w:w="1695" w:type="dxa"/>
                        <w:gridSpan w:val="2"/>
                        <w:tcBorders>
                          <w:top w:val="single" w:sz="8" w:space="0" w:color="FFFFFF"/>
                          <w:bottom w:val="single" w:sz="8" w:space="0" w:color="FFFFFF"/>
                        </w:tcBorders>
                      </w:tcPr>
                      <w:p>
                        <w:pPr>
                          <w:pStyle w:val="TableParagraph"/>
                          <w:spacing w:before="48"/>
                          <w:ind w:left="500"/>
                          <w:rPr>
                            <w:sz w:val="18"/>
                          </w:rPr>
                        </w:pPr>
                        <w:r>
                          <w:rPr>
                            <w:w w:val="105"/>
                            <w:sz w:val="18"/>
                          </w:rPr>
                          <w:t>4th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16.70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11.23</w:t>
                        </w:r>
                      </w:p>
                    </w:tc>
                    <w:tc>
                      <w:tcPr>
                        <w:tcW w:w="4981" w:type="dxa"/>
                      </w:tcPr>
                      <w:p>
                        <w:pPr>
                          <w:pStyle w:val="TableParagraph"/>
                          <w:spacing w:line="180" w:lineRule="exact" w:before="139"/>
                          <w:ind w:right="38"/>
                          <w:jc w:val="right"/>
                          <w:rPr>
                            <w:sz w:val="20"/>
                          </w:rPr>
                        </w:pPr>
                        <w:r>
                          <w:rPr>
                            <w:w w:val="110"/>
                            <w:sz w:val="20"/>
                          </w:rPr>
                          <w:t>Securities  Act  because,  among  other   things,   of</w:t>
                        </w:r>
                      </w:p>
                    </w:tc>
                  </w:tr>
                  <w:tr>
                    <w:trPr>
                      <w:trHeight w:val="374" w:hRule="exact"/>
                    </w:trPr>
                    <w:tc>
                      <w:tcPr>
                        <w:tcW w:w="480" w:type="dxa"/>
                      </w:tcPr>
                      <w:p>
                        <w:pPr/>
                      </w:p>
                    </w:tc>
                    <w:tc>
                      <w:tcPr>
                        <w:tcW w:w="1215" w:type="dxa"/>
                      </w:tcPr>
                      <w:p>
                        <w:pPr/>
                      </w:p>
                    </w:tc>
                    <w:tc>
                      <w:tcPr>
                        <w:tcW w:w="1105" w:type="dxa"/>
                      </w:tcPr>
                      <w:p>
                        <w:pPr/>
                      </w:p>
                    </w:tc>
                    <w:tc>
                      <w:tcPr>
                        <w:tcW w:w="969" w:type="dxa"/>
                      </w:tcPr>
                      <w:p>
                        <w:pPr/>
                      </w:p>
                    </w:tc>
                    <w:tc>
                      <w:tcPr>
                        <w:tcW w:w="1091" w:type="dxa"/>
                      </w:tcPr>
                      <w:p>
                        <w:pPr/>
                      </w:p>
                    </w:tc>
                    <w:tc>
                      <w:tcPr>
                        <w:tcW w:w="4981" w:type="dxa"/>
                      </w:tcPr>
                      <w:p>
                        <w:pPr>
                          <w:pStyle w:val="TableParagraph"/>
                          <w:tabs>
                            <w:tab w:pos="1279" w:val="left" w:leader="none"/>
                            <w:tab w:pos="2178" w:val="left" w:leader="none"/>
                            <w:tab w:pos="3820" w:val="left" w:leader="none"/>
                            <w:tab w:pos="4179" w:val="left" w:leader="none"/>
                          </w:tabs>
                          <w:spacing w:before="109"/>
                          <w:ind w:right="30"/>
                          <w:jc w:val="right"/>
                          <w:rPr>
                            <w:sz w:val="20"/>
                          </w:rPr>
                        </w:pPr>
                        <w:r>
                          <w:rPr>
                            <w:w w:val="105"/>
                            <w:sz w:val="20"/>
                          </w:rPr>
                          <w:t>the  </w:t>
                        </w:r>
                        <w:r>
                          <w:rPr>
                            <w:spacing w:val="29"/>
                            <w:w w:val="105"/>
                            <w:sz w:val="20"/>
                          </w:rPr>
                          <w:t> </w:t>
                        </w:r>
                        <w:r>
                          <w:rPr>
                            <w:spacing w:val="2"/>
                            <w:w w:val="105"/>
                            <w:sz w:val="20"/>
                          </w:rPr>
                          <w:t>limited</w:t>
                          <w:tab/>
                          <w:t>number</w:t>
                          <w:tab/>
                        </w:r>
                        <w:r>
                          <w:rPr>
                            <w:w w:val="105"/>
                            <w:sz w:val="20"/>
                          </w:rPr>
                          <w:t>of   </w:t>
                        </w:r>
                        <w:r>
                          <w:rPr>
                            <w:spacing w:val="11"/>
                            <w:w w:val="105"/>
                            <w:sz w:val="20"/>
                          </w:rPr>
                          <w:t> </w:t>
                        </w:r>
                        <w:r>
                          <w:rPr>
                            <w:spacing w:val="2"/>
                            <w:w w:val="105"/>
                            <w:sz w:val="20"/>
                          </w:rPr>
                          <w:t>participants</w:t>
                          <w:tab/>
                        </w:r>
                        <w:r>
                          <w:rPr>
                            <w:w w:val="105"/>
                            <w:sz w:val="20"/>
                          </w:rPr>
                          <w:t>in</w:t>
                          <w:tab/>
                        </w:r>
                        <w:r>
                          <w:rPr>
                            <w:spacing w:val="7"/>
                            <w:w w:val="105"/>
                            <w:sz w:val="20"/>
                          </w:rPr>
                          <w:t>such</w:t>
                        </w:r>
                      </w:p>
                    </w:tc>
                  </w:tr>
                  <w:tr>
                    <w:trPr>
                      <w:trHeight w:val="519" w:hRule="exact"/>
                    </w:trPr>
                    <w:tc>
                      <w:tcPr>
                        <w:tcW w:w="1695" w:type="dxa"/>
                        <w:gridSpan w:val="2"/>
                      </w:tcPr>
                      <w:p>
                        <w:pPr>
                          <w:pStyle w:val="TableParagraph"/>
                          <w:spacing w:line="180" w:lineRule="exact"/>
                          <w:ind w:left="280"/>
                          <w:rPr>
                            <w:rFonts w:ascii="Franklin Gothic Medium"/>
                            <w:sz w:val="20"/>
                          </w:rPr>
                        </w:pPr>
                        <w:r>
                          <w:rPr>
                            <w:rFonts w:ascii="Franklin Gothic Medium"/>
                            <w:sz w:val="20"/>
                          </w:rPr>
                          <w:t>2001</w:t>
                        </w:r>
                      </w:p>
                      <w:p>
                        <w:pPr>
                          <w:pStyle w:val="TableParagraph"/>
                          <w:spacing w:before="65"/>
                          <w:ind w:left="500"/>
                          <w:rPr>
                            <w:sz w:val="18"/>
                          </w:rPr>
                        </w:pPr>
                        <w:r>
                          <w:rPr>
                            <w:w w:val="110"/>
                            <w:sz w:val="18"/>
                          </w:rPr>
                          <w:t>1st Quarter</w:t>
                        </w:r>
                      </w:p>
                    </w:tc>
                    <w:tc>
                      <w:tcPr>
                        <w:tcW w:w="1105" w:type="dxa"/>
                      </w:tcPr>
                      <w:p>
                        <w:pPr>
                          <w:pStyle w:val="TableParagraph"/>
                          <w:rPr>
                            <w:sz w:val="20"/>
                          </w:rPr>
                        </w:pPr>
                      </w:p>
                      <w:p>
                        <w:pPr>
                          <w:pStyle w:val="TableParagraph"/>
                          <w:spacing w:before="1"/>
                          <w:ind w:right="138"/>
                          <w:jc w:val="right"/>
                          <w:rPr>
                            <w:sz w:val="18"/>
                          </w:rPr>
                        </w:pPr>
                        <w:r>
                          <w:rPr>
                            <w:w w:val="115"/>
                            <w:sz w:val="18"/>
                          </w:rPr>
                          <w:t>$0.00450</w:t>
                        </w:r>
                      </w:p>
                    </w:tc>
                    <w:tc>
                      <w:tcPr>
                        <w:tcW w:w="969" w:type="dxa"/>
                      </w:tcPr>
                      <w:p>
                        <w:pPr>
                          <w:pStyle w:val="TableParagraph"/>
                          <w:rPr>
                            <w:sz w:val="20"/>
                          </w:rPr>
                        </w:pPr>
                      </w:p>
                      <w:p>
                        <w:pPr>
                          <w:pStyle w:val="TableParagraph"/>
                          <w:spacing w:before="1"/>
                          <w:ind w:right="249"/>
                          <w:jc w:val="right"/>
                          <w:rPr>
                            <w:sz w:val="18"/>
                          </w:rPr>
                        </w:pPr>
                        <w:r>
                          <w:rPr>
                            <w:w w:val="115"/>
                            <w:sz w:val="18"/>
                          </w:rPr>
                          <w:t>$23.27</w:t>
                        </w:r>
                      </w:p>
                    </w:tc>
                    <w:tc>
                      <w:tcPr>
                        <w:tcW w:w="1091" w:type="dxa"/>
                      </w:tcPr>
                      <w:p>
                        <w:pPr>
                          <w:pStyle w:val="TableParagraph"/>
                          <w:rPr>
                            <w:sz w:val="20"/>
                          </w:rPr>
                        </w:pPr>
                      </w:p>
                      <w:p>
                        <w:pPr>
                          <w:pStyle w:val="TableParagraph"/>
                          <w:spacing w:before="1"/>
                          <w:ind w:right="260"/>
                          <w:jc w:val="right"/>
                          <w:rPr>
                            <w:sz w:val="18"/>
                          </w:rPr>
                        </w:pPr>
                        <w:r>
                          <w:rPr>
                            <w:w w:val="115"/>
                            <w:sz w:val="18"/>
                          </w:rPr>
                          <w:t>$16.00</w:t>
                        </w:r>
                      </w:p>
                    </w:tc>
                    <w:tc>
                      <w:tcPr>
                        <w:tcW w:w="4981" w:type="dxa"/>
                      </w:tcPr>
                      <w:p>
                        <w:pPr>
                          <w:pStyle w:val="TableParagraph"/>
                          <w:spacing w:line="254" w:lineRule="auto" w:before="6"/>
                          <w:ind w:left="320" w:right="30"/>
                          <w:rPr>
                            <w:sz w:val="20"/>
                          </w:rPr>
                        </w:pPr>
                        <w:r>
                          <w:rPr>
                            <w:w w:val="105"/>
                            <w:sz w:val="20"/>
                          </w:rPr>
                          <w:t>transactions and the </w:t>
                        </w:r>
                        <w:r>
                          <w:rPr>
                            <w:spacing w:val="2"/>
                            <w:w w:val="105"/>
                            <w:sz w:val="20"/>
                          </w:rPr>
                          <w:t>agreement </w:t>
                        </w:r>
                        <w:r>
                          <w:rPr>
                            <w:w w:val="105"/>
                            <w:sz w:val="20"/>
                          </w:rPr>
                          <w:t>and  </w:t>
                        </w:r>
                        <w:r>
                          <w:rPr>
                            <w:spacing w:val="5"/>
                            <w:w w:val="105"/>
                            <w:sz w:val="20"/>
                          </w:rPr>
                          <w:t>represen-  </w:t>
                        </w:r>
                        <w:r>
                          <w:rPr>
                            <w:w w:val="105"/>
                            <w:sz w:val="20"/>
                          </w:rPr>
                          <w:t>tation  of  Mr.  Kelleher  that  he  was  </w:t>
                        </w:r>
                        <w:r>
                          <w:rPr>
                            <w:spacing w:val="2"/>
                            <w:w w:val="105"/>
                            <w:sz w:val="20"/>
                          </w:rPr>
                          <w:t>acquiring </w:t>
                        </w:r>
                        <w:r>
                          <w:rPr>
                            <w:spacing w:val="23"/>
                            <w:w w:val="105"/>
                            <w:sz w:val="20"/>
                          </w:rPr>
                          <w:t> </w:t>
                        </w:r>
                        <w:r>
                          <w:rPr>
                            <w:spacing w:val="8"/>
                            <w:w w:val="105"/>
                            <w:sz w:val="20"/>
                          </w:rPr>
                          <w:t>such</w:t>
                        </w:r>
                      </w:p>
                    </w:tc>
                  </w:tr>
                  <w:tr>
                    <w:trPr>
                      <w:trHeight w:val="247" w:hRule="exact"/>
                    </w:trPr>
                    <w:tc>
                      <w:tcPr>
                        <w:tcW w:w="480" w:type="dxa"/>
                        <w:tcBorders>
                          <w:bottom w:val="single" w:sz="8" w:space="0" w:color="FFFFFF"/>
                        </w:tcBorders>
                      </w:tcPr>
                      <w:p>
                        <w:pPr/>
                      </w:p>
                    </w:tc>
                    <w:tc>
                      <w:tcPr>
                        <w:tcW w:w="1215" w:type="dxa"/>
                        <w:tcBorders>
                          <w:bottom w:val="single" w:sz="8" w:space="0" w:color="FFFFFF"/>
                        </w:tcBorders>
                      </w:tcPr>
                      <w:p>
                        <w:pPr>
                          <w:pStyle w:val="TableParagraph"/>
                          <w:spacing w:before="6"/>
                          <w:ind w:left="20"/>
                          <w:rPr>
                            <w:sz w:val="18"/>
                          </w:rPr>
                        </w:pPr>
                        <w:r>
                          <w:rPr>
                            <w:w w:val="105"/>
                            <w:sz w:val="18"/>
                          </w:rPr>
                          <w:t>2nd Quarter</w:t>
                        </w:r>
                      </w:p>
                    </w:tc>
                    <w:tc>
                      <w:tcPr>
                        <w:tcW w:w="1105" w:type="dxa"/>
                        <w:tcBorders>
                          <w:bottom w:val="single" w:sz="8" w:space="0" w:color="FFFFFF"/>
                        </w:tcBorders>
                      </w:tcPr>
                      <w:p>
                        <w:pPr>
                          <w:pStyle w:val="TableParagraph"/>
                          <w:spacing w:before="6"/>
                          <w:ind w:right="138"/>
                          <w:jc w:val="right"/>
                          <w:rPr>
                            <w:sz w:val="18"/>
                          </w:rPr>
                        </w:pPr>
                        <w:r>
                          <w:rPr>
                            <w:w w:val="115"/>
                            <w:sz w:val="18"/>
                          </w:rPr>
                          <w:t>0.00450</w:t>
                        </w:r>
                      </w:p>
                    </w:tc>
                    <w:tc>
                      <w:tcPr>
                        <w:tcW w:w="969" w:type="dxa"/>
                        <w:tcBorders>
                          <w:bottom w:val="single" w:sz="8" w:space="0" w:color="FFFFFF"/>
                        </w:tcBorders>
                      </w:tcPr>
                      <w:p>
                        <w:pPr>
                          <w:pStyle w:val="TableParagraph"/>
                          <w:spacing w:before="6"/>
                          <w:ind w:right="249"/>
                          <w:jc w:val="right"/>
                          <w:rPr>
                            <w:sz w:val="18"/>
                          </w:rPr>
                        </w:pPr>
                        <w:r>
                          <w:rPr>
                            <w:w w:val="115"/>
                            <w:sz w:val="18"/>
                          </w:rPr>
                          <w:t>20.03</w:t>
                        </w:r>
                      </w:p>
                    </w:tc>
                    <w:tc>
                      <w:tcPr>
                        <w:tcW w:w="1091" w:type="dxa"/>
                        <w:tcBorders>
                          <w:bottom w:val="single" w:sz="8" w:space="0" w:color="FFFFFF"/>
                        </w:tcBorders>
                      </w:tcPr>
                      <w:p>
                        <w:pPr>
                          <w:pStyle w:val="TableParagraph"/>
                          <w:spacing w:before="6"/>
                          <w:ind w:right="260"/>
                          <w:jc w:val="right"/>
                          <w:rPr>
                            <w:sz w:val="18"/>
                          </w:rPr>
                        </w:pPr>
                        <w:r>
                          <w:rPr>
                            <w:w w:val="115"/>
                            <w:sz w:val="18"/>
                          </w:rPr>
                          <w:t>16.55</w:t>
                        </w:r>
                      </w:p>
                    </w:tc>
                    <w:tc>
                      <w:tcPr>
                        <w:tcW w:w="4981" w:type="dxa"/>
                      </w:tcPr>
                      <w:p>
                        <w:pPr>
                          <w:pStyle w:val="TableParagraph"/>
                          <w:spacing w:before="7"/>
                          <w:ind w:right="38"/>
                          <w:jc w:val="right"/>
                          <w:rPr>
                            <w:sz w:val="20"/>
                          </w:rPr>
                        </w:pPr>
                        <w:r>
                          <w:rPr>
                            <w:w w:val="105"/>
                            <w:sz w:val="20"/>
                          </w:rPr>
                          <w:t>securities  for  investment  and  not  with  a  view    to</w:t>
                        </w:r>
                      </w:p>
                    </w:tc>
                  </w:tr>
                  <w:tr>
                    <w:trPr>
                      <w:trHeight w:val="260" w:hRule="exact"/>
                    </w:trPr>
                    <w:tc>
                      <w:tcPr>
                        <w:tcW w:w="480" w:type="dxa"/>
                        <w:tcBorders>
                          <w:top w:val="single" w:sz="8" w:space="0" w:color="FFFFFF"/>
                          <w:bottom w:val="single" w:sz="8" w:space="0" w:color="FFFFFF"/>
                        </w:tcBorders>
                      </w:tcPr>
                      <w:p>
                        <w:pPr/>
                      </w:p>
                    </w:tc>
                    <w:tc>
                      <w:tcPr>
                        <w:tcW w:w="1215" w:type="dxa"/>
                        <w:tcBorders>
                          <w:top w:val="single" w:sz="8" w:space="0" w:color="FFFFFF"/>
                          <w:bottom w:val="single" w:sz="8" w:space="0" w:color="FFFFFF"/>
                        </w:tcBorders>
                      </w:tcPr>
                      <w:p>
                        <w:pPr>
                          <w:pStyle w:val="TableParagraph"/>
                          <w:spacing w:before="48"/>
                          <w:ind w:left="20"/>
                          <w:rPr>
                            <w:sz w:val="18"/>
                          </w:rPr>
                        </w:pPr>
                        <w:r>
                          <w:rPr>
                            <w:w w:val="105"/>
                            <w:sz w:val="18"/>
                          </w:rPr>
                          <w:t>3rd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20.23</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11.25</w:t>
                        </w:r>
                      </w:p>
                    </w:tc>
                    <w:tc>
                      <w:tcPr>
                        <w:tcW w:w="4981" w:type="dxa"/>
                      </w:tcPr>
                      <w:p>
                        <w:pPr>
                          <w:pStyle w:val="TableParagraph"/>
                          <w:spacing w:before="19"/>
                          <w:ind w:right="32"/>
                          <w:jc w:val="right"/>
                          <w:rPr>
                            <w:sz w:val="20"/>
                          </w:rPr>
                        </w:pPr>
                        <w:r>
                          <w:rPr>
                            <w:w w:val="105"/>
                            <w:sz w:val="20"/>
                          </w:rPr>
                          <w:t>distribution   thereof.  The  certificates  representing</w:t>
                        </w:r>
                      </w:p>
                    </w:tc>
                  </w:tr>
                  <w:tr>
                    <w:trPr>
                      <w:trHeight w:val="280" w:hRule="exact"/>
                    </w:trPr>
                    <w:tc>
                      <w:tcPr>
                        <w:tcW w:w="480" w:type="dxa"/>
                        <w:tcBorders>
                          <w:top w:val="single" w:sz="8" w:space="0" w:color="FFFFFF"/>
                        </w:tcBorders>
                      </w:tcPr>
                      <w:p>
                        <w:pPr/>
                      </w:p>
                    </w:tc>
                    <w:tc>
                      <w:tcPr>
                        <w:tcW w:w="1215" w:type="dxa"/>
                        <w:tcBorders>
                          <w:top w:val="single" w:sz="8" w:space="0" w:color="FFFFFF"/>
                          <w:bottom w:val="single" w:sz="8" w:space="0" w:color="FFFFFF"/>
                        </w:tcBorders>
                      </w:tcPr>
                      <w:p>
                        <w:pPr>
                          <w:pStyle w:val="TableParagraph"/>
                          <w:spacing w:before="48"/>
                          <w:ind w:left="20"/>
                          <w:rPr>
                            <w:sz w:val="18"/>
                          </w:rPr>
                        </w:pPr>
                        <w:r>
                          <w:rPr>
                            <w:w w:val="105"/>
                            <w:sz w:val="18"/>
                          </w:rPr>
                          <w:t>4th Quarter</w:t>
                        </w:r>
                      </w:p>
                    </w:tc>
                    <w:tc>
                      <w:tcPr>
                        <w:tcW w:w="1105" w:type="dxa"/>
                        <w:tcBorders>
                          <w:top w:val="single" w:sz="8" w:space="0" w:color="FFFFFF"/>
                          <w:bottom w:val="single" w:sz="8" w:space="0" w:color="FFFFFF"/>
                        </w:tcBorders>
                      </w:tcPr>
                      <w:p>
                        <w:pPr>
                          <w:pStyle w:val="TableParagraph"/>
                          <w:spacing w:before="48"/>
                          <w:ind w:right="138"/>
                          <w:jc w:val="right"/>
                          <w:rPr>
                            <w:sz w:val="18"/>
                          </w:rPr>
                        </w:pPr>
                        <w:r>
                          <w:rPr>
                            <w:w w:val="115"/>
                            <w:sz w:val="18"/>
                          </w:rPr>
                          <w:t>0.00450</w:t>
                        </w:r>
                      </w:p>
                    </w:tc>
                    <w:tc>
                      <w:tcPr>
                        <w:tcW w:w="969" w:type="dxa"/>
                        <w:tcBorders>
                          <w:top w:val="single" w:sz="8" w:space="0" w:color="FFFFFF"/>
                          <w:bottom w:val="single" w:sz="8" w:space="0" w:color="FFFFFF"/>
                        </w:tcBorders>
                      </w:tcPr>
                      <w:p>
                        <w:pPr>
                          <w:pStyle w:val="TableParagraph"/>
                          <w:spacing w:before="48"/>
                          <w:ind w:right="249"/>
                          <w:jc w:val="right"/>
                          <w:rPr>
                            <w:sz w:val="18"/>
                          </w:rPr>
                        </w:pPr>
                        <w:r>
                          <w:rPr>
                            <w:w w:val="115"/>
                            <w:sz w:val="18"/>
                          </w:rPr>
                          <w:t>20.00</w:t>
                        </w:r>
                      </w:p>
                    </w:tc>
                    <w:tc>
                      <w:tcPr>
                        <w:tcW w:w="1091" w:type="dxa"/>
                        <w:tcBorders>
                          <w:top w:val="single" w:sz="8" w:space="0" w:color="FFFFFF"/>
                          <w:bottom w:val="single" w:sz="8" w:space="0" w:color="FFFFFF"/>
                        </w:tcBorders>
                      </w:tcPr>
                      <w:p>
                        <w:pPr>
                          <w:pStyle w:val="TableParagraph"/>
                          <w:spacing w:before="48"/>
                          <w:ind w:right="260"/>
                          <w:jc w:val="right"/>
                          <w:rPr>
                            <w:sz w:val="18"/>
                          </w:rPr>
                        </w:pPr>
                        <w:r>
                          <w:rPr>
                            <w:w w:val="115"/>
                            <w:sz w:val="18"/>
                          </w:rPr>
                          <w:t>14.52</w:t>
                        </w:r>
                      </w:p>
                    </w:tc>
                    <w:tc>
                      <w:tcPr>
                        <w:tcW w:w="4981" w:type="dxa"/>
                      </w:tcPr>
                      <w:p>
                        <w:pPr>
                          <w:pStyle w:val="TableParagraph"/>
                          <w:spacing w:before="19"/>
                          <w:ind w:right="50"/>
                          <w:jc w:val="right"/>
                          <w:rPr>
                            <w:sz w:val="20"/>
                          </w:rPr>
                        </w:pPr>
                        <w:r>
                          <w:rPr>
                            <w:w w:val="105"/>
                            <w:sz w:val="20"/>
                          </w:rPr>
                          <w:t>the    shares    issued    to   Mr.    Kelleher    contain   a</w:t>
                        </w:r>
                      </w:p>
                    </w:tc>
                  </w:tr>
                  <w:tr>
                    <w:trPr>
                      <w:trHeight w:val="240" w:hRule="exact"/>
                    </w:trPr>
                    <w:tc>
                      <w:tcPr>
                        <w:tcW w:w="480" w:type="dxa"/>
                      </w:tcPr>
                      <w:p>
                        <w:pPr/>
                      </w:p>
                    </w:tc>
                    <w:tc>
                      <w:tcPr>
                        <w:tcW w:w="1215" w:type="dxa"/>
                        <w:tcBorders>
                          <w:top w:val="single" w:sz="8" w:space="0" w:color="FFFFFF"/>
                        </w:tcBorders>
                      </w:tcPr>
                      <w:p>
                        <w:pPr/>
                      </w:p>
                    </w:tc>
                    <w:tc>
                      <w:tcPr>
                        <w:tcW w:w="1105" w:type="dxa"/>
                        <w:tcBorders>
                          <w:top w:val="single" w:sz="8" w:space="0" w:color="FFFFFF"/>
                        </w:tcBorders>
                      </w:tcPr>
                      <w:p>
                        <w:pPr/>
                      </w:p>
                    </w:tc>
                    <w:tc>
                      <w:tcPr>
                        <w:tcW w:w="969" w:type="dxa"/>
                        <w:tcBorders>
                          <w:top w:val="single" w:sz="8" w:space="0" w:color="FFFFFF"/>
                        </w:tcBorders>
                      </w:tcPr>
                      <w:p>
                        <w:pPr/>
                      </w:p>
                    </w:tc>
                    <w:tc>
                      <w:tcPr>
                        <w:tcW w:w="1091" w:type="dxa"/>
                        <w:tcBorders>
                          <w:top w:val="single" w:sz="8" w:space="0" w:color="FFFFFF"/>
                        </w:tcBorders>
                      </w:tcPr>
                      <w:p>
                        <w:pPr/>
                      </w:p>
                    </w:tc>
                    <w:tc>
                      <w:tcPr>
                        <w:tcW w:w="4981" w:type="dxa"/>
                      </w:tcPr>
                      <w:p>
                        <w:pPr>
                          <w:pStyle w:val="TableParagraph"/>
                          <w:spacing w:line="244" w:lineRule="exact"/>
                          <w:ind w:right="38"/>
                          <w:jc w:val="right"/>
                          <w:rPr>
                            <w:sz w:val="20"/>
                          </w:rPr>
                        </w:pPr>
                        <w:r>
                          <w:rPr>
                            <w:w w:val="105"/>
                            <w:sz w:val="20"/>
                          </w:rPr>
                          <w:t>legend   to   the   effect   that   such   shares   are   not</w:t>
                        </w:r>
                      </w:p>
                    </w:tc>
                  </w:tr>
                </w:tbl>
                <w:p>
                  <w:pPr>
                    <w:pStyle w:val="BodyText"/>
                  </w:pPr>
                </w:p>
              </w:txbxContent>
            </v:textbox>
            <w10:wrap type="none"/>
          </v:shape>
        </w:pict>
      </w:r>
      <w:r>
        <w:rPr>
          <w:w w:val="105"/>
        </w:rPr>
        <w:t>reason   of  the   provision   of   Section   4(2)   of   the</w:t>
      </w:r>
    </w:p>
    <w:p>
      <w:pPr>
        <w:pStyle w:val="BodyText"/>
      </w:pPr>
    </w:p>
    <w:p>
      <w:pPr>
        <w:pStyle w:val="BodyText"/>
      </w:pPr>
    </w:p>
    <w:p>
      <w:pPr>
        <w:pStyle w:val="BodyText"/>
        <w:spacing w:before="7"/>
        <w:rPr>
          <w:sz w:val="14"/>
        </w:rPr>
      </w:pPr>
      <w:r>
        <w:rPr/>
        <w:pict>
          <v:line style="position:absolute;mso-position-horizontal-relative:page;mso-position-vertical-relative:paragraph;z-index:6232;mso-wrap-distance-left:0;mso-wrap-distance-right:0" from="38pt,11.386566pt" to="281pt,11.386566pt" stroked="true" strokeweight="1pt" strokecolor="#ffffff">
            <v:stroke dashstyle="solid"/>
            <w10:wrap type="topAndBottom"/>
          </v:line>
        </w:pict>
      </w:r>
      <w:r>
        <w:rPr/>
        <w:pict>
          <v:line style="position:absolute;mso-position-horizontal-relative:page;mso-position-vertical-relative:paragraph;z-index:6256;mso-wrap-distance-left:0;mso-wrap-distance-right:0" from="38pt,25.386566pt" to="281pt,25.386566pt" stroked="true" strokeweight="1pt" strokecolor="#ffffff">
            <v:stroke dashstyle="solid"/>
            <w10:wrap type="topAndBottom"/>
          </v:line>
        </w:pict>
      </w:r>
    </w:p>
    <w:p>
      <w:pPr>
        <w:pStyle w:val="BodyText"/>
        <w:spacing w:before="8"/>
        <w:rPr>
          <w:sz w:val="15"/>
        </w:rPr>
      </w:pPr>
    </w:p>
    <w:p>
      <w:pPr>
        <w:pStyle w:val="BodyText"/>
      </w:pPr>
    </w:p>
    <w:p>
      <w:pPr>
        <w:pStyle w:val="BodyText"/>
      </w:pPr>
    </w:p>
    <w:p>
      <w:pPr>
        <w:pStyle w:val="BodyText"/>
      </w:pPr>
    </w:p>
    <w:p>
      <w:pPr>
        <w:pStyle w:val="BodyText"/>
        <w:spacing w:before="3"/>
        <w:rPr>
          <w:sz w:val="19"/>
        </w:rPr>
      </w:pPr>
    </w:p>
    <w:p>
      <w:pPr>
        <w:spacing w:after="0"/>
        <w:rPr>
          <w:sz w:val="19"/>
        </w:rPr>
        <w:sectPr>
          <w:type w:val="continuous"/>
          <w:pgSz w:w="11520" w:h="14400"/>
          <w:pgMar w:top="0" w:bottom="280" w:left="640" w:right="800"/>
        </w:sectPr>
      </w:pPr>
    </w:p>
    <w:p>
      <w:pPr>
        <w:pStyle w:val="BodyText"/>
        <w:spacing w:line="254" w:lineRule="auto" w:before="133"/>
        <w:ind w:left="160" w:firstLine="180"/>
        <w:jc w:val="both"/>
      </w:pPr>
      <w:r>
        <w:rPr>
          <w:w w:val="110"/>
        </w:rPr>
        <w:t>As  of  </w:t>
      </w:r>
      <w:r>
        <w:rPr>
          <w:spacing w:val="3"/>
          <w:w w:val="110"/>
        </w:rPr>
        <w:t>December</w:t>
      </w:r>
      <w:r>
        <w:rPr>
          <w:spacing w:val="55"/>
          <w:w w:val="110"/>
        </w:rPr>
        <w:t> </w:t>
      </w:r>
      <w:r>
        <w:rPr>
          <w:w w:val="110"/>
        </w:rPr>
        <w:t>31,   2002,   there   </w:t>
      </w:r>
      <w:r>
        <w:rPr>
          <w:spacing w:val="9"/>
          <w:w w:val="110"/>
        </w:rPr>
        <w:t>were </w:t>
      </w:r>
      <w:r>
        <w:rPr>
          <w:w w:val="110"/>
        </w:rPr>
        <w:t>11,858 holders of record of the  </w:t>
      </w:r>
      <w:r>
        <w:rPr>
          <w:spacing w:val="6"/>
          <w:w w:val="110"/>
        </w:rPr>
        <w:t>Company’s </w:t>
      </w:r>
      <w:r>
        <w:rPr>
          <w:spacing w:val="2"/>
          <w:w w:val="110"/>
        </w:rPr>
        <w:t>common </w:t>
      </w:r>
      <w:r>
        <w:rPr>
          <w:spacing w:val="3"/>
          <w:w w:val="110"/>
        </w:rPr>
        <w:t>stock.</w:t>
      </w:r>
    </w:p>
    <w:p>
      <w:pPr>
        <w:pStyle w:val="BodyText"/>
        <w:spacing w:line="254" w:lineRule="auto" w:before="93"/>
        <w:ind w:left="160" w:right="149"/>
        <w:jc w:val="both"/>
      </w:pPr>
      <w:r>
        <w:rPr/>
        <w:br w:type="column"/>
      </w:r>
      <w:r>
        <w:rPr>
          <w:w w:val="105"/>
        </w:rPr>
        <w:t>registered  under  the  Securities  Act  and  may  not be transferred except pursuant to a registration statement which has become effective under the Securities Act or to an exemption from such registration. The issuance of such shares was not underwritten.</w:t>
      </w:r>
    </w:p>
    <w:p>
      <w:pPr>
        <w:spacing w:after="0" w:line="254" w:lineRule="auto"/>
        <w:jc w:val="both"/>
        <w:sectPr>
          <w:type w:val="continuous"/>
          <w:pgSz w:w="11520" w:h="14400"/>
          <w:pgMar w:top="0" w:bottom="280" w:left="640" w:right="800"/>
          <w:cols w:num="2" w:equalWidth="0">
            <w:col w:w="4790" w:space="350"/>
            <w:col w:w="4940"/>
          </w:cols>
        </w:sectPr>
      </w:pPr>
    </w:p>
    <w:p>
      <w:pPr>
        <w:pStyle w:val="BodyText"/>
        <w:spacing w:before="76"/>
        <w:ind w:left="120"/>
        <w:rPr>
          <w:rFonts w:ascii="Franklin Gothic Medium"/>
        </w:rPr>
      </w:pPr>
      <w:r>
        <w:rPr>
          <w:rFonts w:ascii="Franklin Gothic Medium"/>
        </w:rPr>
        <w:t>Securities  Authorized  for  Issuance  under  Equity  Compensation  Plans</w:t>
      </w:r>
    </w:p>
    <w:p>
      <w:pPr>
        <w:pStyle w:val="BodyText"/>
        <w:spacing w:before="1"/>
        <w:rPr>
          <w:rFonts w:ascii="Franklin Gothic Medium"/>
          <w:sz w:val="25"/>
        </w:rPr>
      </w:pPr>
    </w:p>
    <w:p>
      <w:pPr>
        <w:pStyle w:val="BodyText"/>
        <w:spacing w:line="254" w:lineRule="auto" w:before="1"/>
        <w:ind w:left="120" w:right="111" w:firstLine="180"/>
        <w:jc w:val="both"/>
      </w:pPr>
      <w:r>
        <w:rPr>
          <w:w w:val="105"/>
        </w:rPr>
        <w:t>The following table </w:t>
      </w:r>
      <w:r>
        <w:rPr>
          <w:spacing w:val="2"/>
          <w:w w:val="105"/>
        </w:rPr>
        <w:t>provides </w:t>
      </w:r>
      <w:r>
        <w:rPr>
          <w:spacing w:val="3"/>
          <w:w w:val="105"/>
        </w:rPr>
        <w:t>information </w:t>
      </w:r>
      <w:r>
        <w:rPr>
          <w:w w:val="105"/>
        </w:rPr>
        <w:t>as of  </w:t>
      </w:r>
      <w:r>
        <w:rPr>
          <w:spacing w:val="3"/>
          <w:w w:val="105"/>
        </w:rPr>
        <w:t>December</w:t>
      </w:r>
      <w:r>
        <w:rPr>
          <w:spacing w:val="53"/>
          <w:w w:val="105"/>
        </w:rPr>
        <w:t> </w:t>
      </w:r>
      <w:r>
        <w:rPr>
          <w:w w:val="105"/>
        </w:rPr>
        <w:t>31,  2002,  regarding  </w:t>
      </w:r>
      <w:r>
        <w:rPr>
          <w:spacing w:val="3"/>
          <w:w w:val="105"/>
        </w:rPr>
        <w:t>compensation</w:t>
      </w:r>
      <w:r>
        <w:rPr>
          <w:spacing w:val="53"/>
          <w:w w:val="105"/>
        </w:rPr>
        <w:t> </w:t>
      </w:r>
      <w:r>
        <w:rPr>
          <w:spacing w:val="6"/>
          <w:w w:val="105"/>
        </w:rPr>
        <w:t>plans </w:t>
      </w:r>
      <w:r>
        <w:rPr>
          <w:spacing w:val="2"/>
          <w:w w:val="105"/>
        </w:rPr>
        <w:t>(including </w:t>
      </w:r>
      <w:r>
        <w:rPr>
          <w:spacing w:val="3"/>
          <w:w w:val="105"/>
        </w:rPr>
        <w:t>individual</w:t>
      </w:r>
      <w:r>
        <w:rPr>
          <w:spacing w:val="53"/>
          <w:w w:val="105"/>
        </w:rPr>
        <w:t> </w:t>
      </w:r>
      <w:r>
        <w:rPr>
          <w:spacing w:val="3"/>
          <w:w w:val="105"/>
        </w:rPr>
        <w:t>compensation</w:t>
      </w:r>
      <w:r>
        <w:rPr>
          <w:spacing w:val="53"/>
          <w:w w:val="105"/>
        </w:rPr>
        <w:t> </w:t>
      </w:r>
      <w:r>
        <w:rPr>
          <w:spacing w:val="2"/>
          <w:w w:val="105"/>
        </w:rPr>
        <w:t>arrangements)  </w:t>
      </w:r>
      <w:r>
        <w:rPr>
          <w:w w:val="105"/>
        </w:rPr>
        <w:t>under  which  equity  securities  of  Southwest  </w:t>
      </w:r>
      <w:r>
        <w:rPr>
          <w:spacing w:val="6"/>
          <w:w w:val="105"/>
        </w:rPr>
        <w:t>are </w:t>
      </w:r>
      <w:r>
        <w:rPr>
          <w:spacing w:val="2"/>
          <w:w w:val="105"/>
        </w:rPr>
        <w:t>authorized  </w:t>
      </w:r>
      <w:r>
        <w:rPr>
          <w:w w:val="105"/>
        </w:rPr>
        <w:t>for   </w:t>
      </w:r>
      <w:r>
        <w:rPr>
          <w:spacing w:val="3"/>
          <w:w w:val="105"/>
        </w:rPr>
        <w:t>issuance.</w:t>
      </w:r>
    </w:p>
    <w:p>
      <w:pPr>
        <w:pStyle w:val="BodyText"/>
        <w:spacing w:before="12"/>
        <w:rPr>
          <w:sz w:val="21"/>
        </w:rPr>
      </w:pPr>
    </w:p>
    <w:p>
      <w:pPr>
        <w:pStyle w:val="BodyText"/>
        <w:ind w:left="3200"/>
        <w:rPr>
          <w:rFonts w:ascii="Franklin Gothic Medium"/>
        </w:rPr>
      </w:pPr>
      <w:r>
        <w:rPr>
          <w:rFonts w:ascii="Franklin Gothic Medium"/>
        </w:rPr>
        <w:t>Equity  Compensation  Plan  Information</w:t>
      </w:r>
    </w:p>
    <w:p>
      <w:pPr>
        <w:pStyle w:val="BodyText"/>
        <w:spacing w:before="7"/>
        <w:rPr>
          <w:rFonts w:ascii="Franklin Gothic Medium"/>
          <w:sz w:val="22"/>
        </w:rPr>
      </w:pPr>
    </w:p>
    <w:tbl>
      <w:tblPr>
        <w:tblW w:w="0" w:type="auto"/>
        <w:jc w:val="left"/>
        <w:tblInd w:w="40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top w:w="0" w:type="dxa"/>
          <w:left w:w="0" w:type="dxa"/>
          <w:bottom w:w="0" w:type="dxa"/>
          <w:right w:w="0" w:type="dxa"/>
        </w:tblCellMar>
        <w:tblLook w:val="01E0"/>
      </w:tblPr>
      <w:tblGrid>
        <w:gridCol w:w="1880"/>
        <w:gridCol w:w="2240"/>
        <w:gridCol w:w="2600"/>
        <w:gridCol w:w="2620"/>
      </w:tblGrid>
      <w:tr>
        <w:trPr>
          <w:trHeight w:val="1640" w:hRule="exact"/>
        </w:trPr>
        <w:tc>
          <w:tcPr>
            <w:tcW w:w="1880" w:type="dxa"/>
            <w:vMerge w:val="restart"/>
          </w:tcPr>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spacing w:before="123"/>
              <w:ind w:left="255"/>
              <w:rPr>
                <w:rFonts w:ascii="Franklin Gothic Medium"/>
                <w:sz w:val="18"/>
              </w:rPr>
            </w:pPr>
            <w:r>
              <w:rPr>
                <w:rFonts w:ascii="Franklin Gothic Medium"/>
                <w:sz w:val="18"/>
              </w:rPr>
              <w:t>Plan  Category</w:t>
            </w:r>
          </w:p>
        </w:tc>
        <w:tc>
          <w:tcPr>
            <w:tcW w:w="2240" w:type="dxa"/>
          </w:tcPr>
          <w:p>
            <w:pPr>
              <w:pStyle w:val="TableParagraph"/>
              <w:rPr>
                <w:rFonts w:ascii="Franklin Gothic Medium"/>
                <w:sz w:val="20"/>
              </w:rPr>
            </w:pPr>
          </w:p>
          <w:p>
            <w:pPr>
              <w:pStyle w:val="TableParagraph"/>
              <w:spacing w:before="7"/>
              <w:rPr>
                <w:rFonts w:ascii="Franklin Gothic Medium"/>
                <w:sz w:val="16"/>
              </w:rPr>
            </w:pPr>
          </w:p>
          <w:p>
            <w:pPr>
              <w:pStyle w:val="TableParagraph"/>
              <w:spacing w:line="200" w:lineRule="exact"/>
              <w:ind w:left="113" w:right="250"/>
              <w:jc w:val="center"/>
              <w:rPr>
                <w:rFonts w:ascii="Franklin Gothic Medium"/>
                <w:sz w:val="18"/>
              </w:rPr>
            </w:pPr>
            <w:r>
              <w:rPr>
                <w:rFonts w:ascii="Franklin Gothic Medium"/>
                <w:sz w:val="18"/>
              </w:rPr>
              <w:t>Number of Securities to  be  Issued  Upon</w:t>
            </w:r>
          </w:p>
          <w:p>
            <w:pPr>
              <w:pStyle w:val="TableParagraph"/>
              <w:spacing w:line="197" w:lineRule="exact"/>
              <w:ind w:left="134" w:right="250"/>
              <w:jc w:val="center"/>
              <w:rPr>
                <w:rFonts w:ascii="Franklin Gothic Medium"/>
                <w:sz w:val="18"/>
              </w:rPr>
            </w:pPr>
            <w:r>
              <w:rPr>
                <w:rFonts w:ascii="Franklin Gothic Medium"/>
                <w:sz w:val="18"/>
              </w:rPr>
              <w:t>Exercise  of</w:t>
            </w:r>
          </w:p>
          <w:p>
            <w:pPr>
              <w:pStyle w:val="TableParagraph"/>
              <w:spacing w:line="230" w:lineRule="auto" w:before="4"/>
              <w:ind w:left="135" w:right="250"/>
              <w:jc w:val="center"/>
              <w:rPr>
                <w:i/>
                <w:sz w:val="16"/>
              </w:rPr>
            </w:pPr>
            <w:r>
              <w:rPr>
                <w:rFonts w:ascii="Franklin Gothic Medium"/>
                <w:sz w:val="18"/>
              </w:rPr>
              <w:t>Outstanding Options, Warrants, and Rights </w:t>
            </w:r>
            <w:r>
              <w:rPr>
                <w:i/>
                <w:sz w:val="16"/>
              </w:rPr>
              <w:t>(In   thousands)</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rPr>
                <w:rFonts w:ascii="Franklin Gothic Medium"/>
                <w:sz w:val="20"/>
              </w:rPr>
            </w:pPr>
          </w:p>
          <w:p>
            <w:pPr>
              <w:pStyle w:val="TableParagraph"/>
              <w:spacing w:line="200" w:lineRule="exact" w:before="115"/>
              <w:ind w:left="507" w:right="638"/>
              <w:jc w:val="center"/>
              <w:rPr>
                <w:rFonts w:ascii="Franklin Gothic Medium"/>
                <w:sz w:val="18"/>
              </w:rPr>
            </w:pPr>
            <w:r>
              <w:rPr>
                <w:rFonts w:ascii="Franklin Gothic Medium"/>
                <w:sz w:val="18"/>
              </w:rPr>
              <w:t>Weighted-Average Exercise  Price of</w:t>
            </w:r>
          </w:p>
          <w:p>
            <w:pPr>
              <w:pStyle w:val="TableParagraph"/>
              <w:spacing w:line="200" w:lineRule="exact"/>
              <w:ind w:left="275" w:right="370" w:hanging="41"/>
              <w:jc w:val="center"/>
              <w:rPr>
                <w:sz w:val="18"/>
              </w:rPr>
            </w:pPr>
            <w:r>
              <w:rPr>
                <w:rFonts w:ascii="Franklin Gothic Medium"/>
                <w:sz w:val="18"/>
              </w:rPr>
              <w:t>Outstanding Options, Warrants,   and  Rights</w:t>
            </w:r>
            <w:r>
              <w:rPr>
                <w:sz w:val="18"/>
              </w:rPr>
              <w:t>*</w:t>
            </w:r>
          </w:p>
        </w:tc>
        <w:tc>
          <w:tcPr>
            <w:tcW w:w="2620" w:type="dxa"/>
          </w:tcPr>
          <w:p>
            <w:pPr>
              <w:pStyle w:val="TableParagraph"/>
              <w:spacing w:line="200" w:lineRule="exact" w:before="15"/>
              <w:ind w:left="175" w:right="331" w:hanging="2"/>
              <w:jc w:val="center"/>
              <w:rPr>
                <w:rFonts w:ascii="Franklin Gothic Medium"/>
                <w:sz w:val="18"/>
              </w:rPr>
            </w:pPr>
            <w:r>
              <w:rPr>
                <w:rFonts w:ascii="Franklin Gothic Medium"/>
                <w:sz w:val="18"/>
              </w:rPr>
              <w:t>Number of Securities Remaining Available for Future  Issuance  Under</w:t>
            </w:r>
          </w:p>
          <w:p>
            <w:pPr>
              <w:pStyle w:val="TableParagraph"/>
              <w:spacing w:line="200" w:lineRule="exact"/>
              <w:ind w:left="333" w:right="508"/>
              <w:jc w:val="center"/>
              <w:rPr>
                <w:rFonts w:ascii="Franklin Gothic Medium"/>
                <w:sz w:val="18"/>
              </w:rPr>
            </w:pPr>
            <w:r>
              <w:rPr>
                <w:rFonts w:ascii="Franklin Gothic Medium"/>
                <w:sz w:val="18"/>
              </w:rPr>
              <w:t>Equity Compensation Plans  (Excluding</w:t>
            </w:r>
          </w:p>
          <w:p>
            <w:pPr>
              <w:pStyle w:val="TableParagraph"/>
              <w:spacing w:line="200" w:lineRule="exact"/>
              <w:ind w:left="333" w:right="511"/>
              <w:jc w:val="center"/>
              <w:rPr>
                <w:rFonts w:ascii="Franklin Gothic Medium"/>
                <w:sz w:val="18"/>
              </w:rPr>
            </w:pPr>
            <w:r>
              <w:rPr>
                <w:rFonts w:ascii="Franklin Gothic Medium"/>
                <w:sz w:val="18"/>
              </w:rPr>
              <w:t>Securities Reflected in Column  [a])</w:t>
            </w:r>
          </w:p>
          <w:p>
            <w:pPr>
              <w:pStyle w:val="TableParagraph"/>
              <w:spacing w:line="183" w:lineRule="exact"/>
              <w:ind w:left="333" w:right="471"/>
              <w:jc w:val="center"/>
              <w:rPr>
                <w:i/>
                <w:sz w:val="16"/>
              </w:rPr>
            </w:pPr>
            <w:r>
              <w:rPr>
                <w:i/>
                <w:w w:val="105"/>
                <w:sz w:val="16"/>
              </w:rPr>
              <w:t>(In  thousands)</w:t>
            </w:r>
          </w:p>
        </w:tc>
      </w:tr>
      <w:tr>
        <w:trPr>
          <w:trHeight w:val="280" w:hRule="exact"/>
        </w:trPr>
        <w:tc>
          <w:tcPr>
            <w:tcW w:w="1880" w:type="dxa"/>
            <w:vMerge/>
          </w:tcPr>
          <w:p>
            <w:pPr/>
          </w:p>
        </w:tc>
        <w:tc>
          <w:tcPr>
            <w:tcW w:w="2240" w:type="dxa"/>
          </w:tcPr>
          <w:p>
            <w:pPr>
              <w:pStyle w:val="TableParagraph"/>
              <w:spacing w:before="64"/>
              <w:ind w:left="135"/>
              <w:rPr>
                <w:sz w:val="18"/>
              </w:rPr>
            </w:pPr>
            <w:r>
              <w:rPr>
                <w:w w:val="105"/>
                <w:sz w:val="18"/>
              </w:rPr>
              <w:t>(a)</w:t>
            </w:r>
          </w:p>
        </w:tc>
        <w:tc>
          <w:tcPr>
            <w:tcW w:w="2600" w:type="dxa"/>
          </w:tcPr>
          <w:p>
            <w:pPr>
              <w:pStyle w:val="TableParagraph"/>
              <w:spacing w:before="64"/>
              <w:ind w:left="115"/>
              <w:rPr>
                <w:sz w:val="18"/>
              </w:rPr>
            </w:pPr>
            <w:r>
              <w:rPr>
                <w:sz w:val="18"/>
              </w:rPr>
              <w:t>(b)</w:t>
            </w:r>
          </w:p>
        </w:tc>
        <w:tc>
          <w:tcPr>
            <w:tcW w:w="2620" w:type="dxa"/>
          </w:tcPr>
          <w:p>
            <w:pPr>
              <w:pStyle w:val="TableParagraph"/>
              <w:spacing w:before="64"/>
              <w:ind w:left="115"/>
              <w:rPr>
                <w:sz w:val="18"/>
              </w:rPr>
            </w:pPr>
            <w:r>
              <w:rPr>
                <w:w w:val="105"/>
                <w:sz w:val="18"/>
              </w:rPr>
              <w:t>(c)</w:t>
            </w:r>
          </w:p>
        </w:tc>
      </w:tr>
      <w:tr>
        <w:trPr>
          <w:trHeight w:val="1060" w:hRule="exact"/>
        </w:trPr>
        <w:tc>
          <w:tcPr>
            <w:tcW w:w="1880" w:type="dxa"/>
          </w:tcPr>
          <w:p>
            <w:pPr>
              <w:pStyle w:val="TableParagraph"/>
              <w:spacing w:line="210" w:lineRule="exact" w:before="4"/>
              <w:ind w:left="115"/>
              <w:rPr>
                <w:sz w:val="18"/>
              </w:rPr>
            </w:pPr>
            <w:r>
              <w:rPr>
                <w:sz w:val="18"/>
              </w:rPr>
              <w:t>Equity</w:t>
            </w:r>
          </w:p>
          <w:p>
            <w:pPr>
              <w:pStyle w:val="TableParagraph"/>
              <w:spacing w:line="200" w:lineRule="exact" w:before="1"/>
              <w:ind w:left="115" w:right="395"/>
              <w:rPr>
                <w:sz w:val="18"/>
              </w:rPr>
            </w:pPr>
            <w:r>
              <w:rPr>
                <w:w w:val="105"/>
                <w:sz w:val="18"/>
              </w:rPr>
              <w:t>Compe nsation Plans Approved by Sec urity Holders</w:t>
            </w:r>
          </w:p>
        </w:tc>
        <w:tc>
          <w:tcPr>
            <w:tcW w:w="224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00"/>
              <w:jc w:val="right"/>
              <w:rPr>
                <w:sz w:val="18"/>
              </w:rPr>
            </w:pPr>
            <w:r>
              <w:rPr>
                <w:w w:val="115"/>
                <w:sz w:val="18"/>
              </w:rPr>
              <w:t>31,151</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99"/>
              <w:jc w:val="right"/>
              <w:rPr>
                <w:sz w:val="18"/>
              </w:rPr>
            </w:pPr>
            <w:r>
              <w:rPr>
                <w:w w:val="115"/>
                <w:sz w:val="18"/>
              </w:rPr>
              <w:t>$9.76</w:t>
            </w:r>
          </w:p>
        </w:tc>
        <w:tc>
          <w:tcPr>
            <w:tcW w:w="262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37"/>
              <w:jc w:val="right"/>
              <w:rPr>
                <w:sz w:val="18"/>
              </w:rPr>
            </w:pPr>
            <w:r>
              <w:rPr>
                <w:w w:val="115"/>
                <w:sz w:val="18"/>
              </w:rPr>
              <w:t>22,538</w:t>
            </w:r>
          </w:p>
        </w:tc>
      </w:tr>
      <w:tr>
        <w:trPr>
          <w:trHeight w:val="1060" w:hRule="exact"/>
        </w:trPr>
        <w:tc>
          <w:tcPr>
            <w:tcW w:w="1880" w:type="dxa"/>
          </w:tcPr>
          <w:p>
            <w:pPr>
              <w:pStyle w:val="TableParagraph"/>
              <w:spacing w:line="210" w:lineRule="exact" w:before="4"/>
              <w:ind w:left="115"/>
              <w:rPr>
                <w:sz w:val="18"/>
              </w:rPr>
            </w:pPr>
            <w:r>
              <w:rPr>
                <w:sz w:val="18"/>
              </w:rPr>
              <w:t>Equity</w:t>
            </w:r>
          </w:p>
          <w:p>
            <w:pPr>
              <w:pStyle w:val="TableParagraph"/>
              <w:spacing w:line="200" w:lineRule="exact" w:before="1"/>
              <w:ind w:left="115" w:right="395"/>
              <w:rPr>
                <w:sz w:val="18"/>
              </w:rPr>
            </w:pPr>
            <w:r>
              <w:rPr>
                <w:w w:val="105"/>
                <w:sz w:val="18"/>
              </w:rPr>
              <w:t>Compe nsation Plans not Approved by Security  Holders</w:t>
            </w:r>
          </w:p>
        </w:tc>
        <w:tc>
          <w:tcPr>
            <w:tcW w:w="224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77"/>
              <w:jc w:val="right"/>
              <w:rPr>
                <w:sz w:val="18"/>
              </w:rPr>
            </w:pPr>
            <w:r>
              <w:rPr>
                <w:w w:val="120"/>
                <w:sz w:val="18"/>
              </w:rPr>
              <w:t>110, 160</w:t>
            </w:r>
          </w:p>
        </w:tc>
        <w:tc>
          <w:tcPr>
            <w:tcW w:w="260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23"/>
              <w:jc w:val="right"/>
              <w:rPr>
                <w:sz w:val="18"/>
              </w:rPr>
            </w:pPr>
            <w:r>
              <w:rPr>
                <w:w w:val="115"/>
                <w:sz w:val="18"/>
              </w:rPr>
              <w:t>9.94</w:t>
            </w:r>
          </w:p>
        </w:tc>
        <w:tc>
          <w:tcPr>
            <w:tcW w:w="2620" w:type="dxa"/>
          </w:tcPr>
          <w:p>
            <w:pPr>
              <w:pStyle w:val="TableParagraph"/>
              <w:rPr>
                <w:rFonts w:ascii="Franklin Gothic Medium"/>
                <w:sz w:val="20"/>
              </w:rPr>
            </w:pPr>
          </w:p>
          <w:p>
            <w:pPr>
              <w:pStyle w:val="TableParagraph"/>
              <w:rPr>
                <w:rFonts w:ascii="Franklin Gothic Medium"/>
                <w:sz w:val="20"/>
              </w:rPr>
            </w:pPr>
          </w:p>
          <w:p>
            <w:pPr>
              <w:pStyle w:val="TableParagraph"/>
              <w:spacing w:before="150"/>
              <w:ind w:right="137"/>
              <w:jc w:val="right"/>
              <w:rPr>
                <w:sz w:val="18"/>
              </w:rPr>
            </w:pPr>
            <w:r>
              <w:rPr>
                <w:w w:val="115"/>
                <w:sz w:val="18"/>
              </w:rPr>
              <w:t>41,767</w:t>
            </w:r>
          </w:p>
        </w:tc>
      </w:tr>
      <w:tr>
        <w:trPr>
          <w:trHeight w:val="280" w:hRule="exact"/>
        </w:trPr>
        <w:tc>
          <w:tcPr>
            <w:tcW w:w="1880" w:type="dxa"/>
          </w:tcPr>
          <w:p>
            <w:pPr>
              <w:pStyle w:val="TableParagraph"/>
              <w:spacing w:before="4"/>
              <w:ind w:left="115"/>
              <w:rPr>
                <w:sz w:val="18"/>
              </w:rPr>
            </w:pPr>
            <w:r>
              <w:rPr>
                <w:w w:val="105"/>
                <w:sz w:val="18"/>
              </w:rPr>
              <w:t>Total</w:t>
            </w:r>
          </w:p>
        </w:tc>
        <w:tc>
          <w:tcPr>
            <w:tcW w:w="2240" w:type="dxa"/>
          </w:tcPr>
          <w:p>
            <w:pPr>
              <w:pStyle w:val="TableParagraph"/>
              <w:spacing w:before="4"/>
              <w:ind w:right="81"/>
              <w:jc w:val="right"/>
              <w:rPr>
                <w:sz w:val="18"/>
              </w:rPr>
            </w:pPr>
            <w:r>
              <w:rPr>
                <w:w w:val="115"/>
                <w:sz w:val="18"/>
              </w:rPr>
              <w:t>141,311</w:t>
            </w:r>
          </w:p>
        </w:tc>
        <w:tc>
          <w:tcPr>
            <w:tcW w:w="2600" w:type="dxa"/>
          </w:tcPr>
          <w:p>
            <w:pPr>
              <w:pStyle w:val="TableParagraph"/>
              <w:spacing w:before="4"/>
              <w:ind w:right="98"/>
              <w:jc w:val="right"/>
              <w:rPr>
                <w:sz w:val="18"/>
              </w:rPr>
            </w:pPr>
            <w:r>
              <w:rPr>
                <w:w w:val="115"/>
                <w:sz w:val="18"/>
              </w:rPr>
              <w:t>$9.90</w:t>
            </w:r>
          </w:p>
        </w:tc>
        <w:tc>
          <w:tcPr>
            <w:tcW w:w="2620" w:type="dxa"/>
          </w:tcPr>
          <w:p>
            <w:pPr>
              <w:pStyle w:val="TableParagraph"/>
              <w:spacing w:before="4"/>
              <w:ind w:right="138"/>
              <w:jc w:val="right"/>
              <w:rPr>
                <w:sz w:val="18"/>
              </w:rPr>
            </w:pPr>
            <w:r>
              <w:rPr>
                <w:w w:val="115"/>
                <w:sz w:val="18"/>
              </w:rPr>
              <w:t>64,305</w:t>
            </w:r>
          </w:p>
        </w:tc>
      </w:tr>
    </w:tbl>
    <w:p>
      <w:pPr>
        <w:spacing w:before="163"/>
        <w:ind w:left="480" w:right="0" w:firstLine="0"/>
        <w:jc w:val="left"/>
        <w:rPr>
          <w:sz w:val="16"/>
        </w:rPr>
      </w:pPr>
      <w:r>
        <w:rPr>
          <w:w w:val="110"/>
          <w:sz w:val="16"/>
        </w:rPr>
        <w:t>*As adjusted for  stock  splits.</w:t>
      </w:r>
    </w:p>
    <w:p>
      <w:pPr>
        <w:pStyle w:val="BodyText"/>
        <w:spacing w:before="6"/>
        <w:rPr>
          <w:sz w:val="23"/>
        </w:rPr>
      </w:pPr>
    </w:p>
    <w:p>
      <w:pPr>
        <w:pStyle w:val="BodyText"/>
        <w:spacing w:line="254" w:lineRule="auto"/>
        <w:ind w:left="119" w:right="105" w:firstLine="180"/>
        <w:jc w:val="both"/>
      </w:pPr>
      <w:r>
        <w:rPr/>
        <w:t>See  Note  12  to  the   </w:t>
      </w:r>
      <w:r>
        <w:rPr>
          <w:spacing w:val="2"/>
        </w:rPr>
        <w:t>Consolidated   Financial   </w:t>
      </w:r>
      <w:r>
        <w:rPr/>
        <w:t>Statements   for   </w:t>
      </w:r>
      <w:r>
        <w:rPr>
          <w:spacing w:val="3"/>
        </w:rPr>
        <w:t>information    </w:t>
      </w:r>
      <w:r>
        <w:rPr/>
        <w:t>regarding   the   material   </w:t>
      </w:r>
      <w:r>
        <w:rPr>
          <w:spacing w:val="5"/>
        </w:rPr>
        <w:t>features </w:t>
      </w:r>
      <w:r>
        <w:rPr/>
        <w:t>of the  above  plans.  Each  of  the  </w:t>
      </w:r>
      <w:r>
        <w:rPr>
          <w:spacing w:val="3"/>
        </w:rPr>
        <w:t>above</w:t>
      </w:r>
      <w:r>
        <w:rPr>
          <w:spacing w:val="51"/>
        </w:rPr>
        <w:t> </w:t>
      </w:r>
      <w:r>
        <w:rPr/>
        <w:t>plans  </w:t>
      </w:r>
      <w:r>
        <w:rPr>
          <w:spacing w:val="2"/>
        </w:rPr>
        <w:t>provides  </w:t>
      </w:r>
      <w:r>
        <w:rPr/>
        <w:t>that  the  </w:t>
      </w:r>
      <w:r>
        <w:rPr>
          <w:spacing w:val="2"/>
        </w:rPr>
        <w:t>number  </w:t>
      </w:r>
      <w:r>
        <w:rPr/>
        <w:t>of  shares  with  respect  to  </w:t>
      </w:r>
      <w:r>
        <w:rPr>
          <w:spacing w:val="12"/>
        </w:rPr>
        <w:t>which  </w:t>
      </w:r>
      <w:r>
        <w:rPr/>
        <w:t>options  may  be  granted,  and  the  number  of  shares  of  </w:t>
      </w:r>
      <w:r>
        <w:rPr>
          <w:spacing w:val="3"/>
        </w:rPr>
        <w:t>Common</w:t>
      </w:r>
      <w:r>
        <w:rPr>
          <w:spacing w:val="51"/>
        </w:rPr>
        <w:t> </w:t>
      </w:r>
      <w:r>
        <w:rPr/>
        <w:t>Stock  subject   to  an   </w:t>
      </w:r>
      <w:r>
        <w:rPr>
          <w:spacing w:val="2"/>
        </w:rPr>
        <w:t>outstanding   </w:t>
      </w:r>
      <w:r>
        <w:rPr>
          <w:spacing w:val="9"/>
        </w:rPr>
        <w:t>option,   </w:t>
      </w:r>
      <w:r>
        <w:rPr/>
        <w:t>shall  be  proportionately  adjusted  in  the  event  of  a  subdivision  or  consolidation  of   shares   or  the   </w:t>
      </w:r>
      <w:r>
        <w:rPr>
          <w:spacing w:val="9"/>
        </w:rPr>
        <w:t>payment     </w:t>
      </w:r>
      <w:r>
        <w:rPr/>
        <w:t>of a stock dividend on Common Stock, and the purchase price per share of </w:t>
      </w:r>
      <w:r>
        <w:rPr>
          <w:spacing w:val="2"/>
        </w:rPr>
        <w:t>outstanding options </w:t>
      </w:r>
      <w:r>
        <w:rPr/>
        <w:t>shall </w:t>
      </w:r>
      <w:r>
        <w:rPr>
          <w:spacing w:val="12"/>
        </w:rPr>
        <w:t>be</w:t>
      </w:r>
      <w:r>
        <w:rPr>
          <w:spacing w:val="69"/>
        </w:rPr>
        <w:t> </w:t>
      </w:r>
      <w:r>
        <w:rPr>
          <w:spacing w:val="3"/>
        </w:rPr>
        <w:t>proportionately  </w:t>
      </w:r>
      <w:r>
        <w:rPr>
          <w:spacing w:val="42"/>
        </w:rPr>
        <w:t> </w:t>
      </w:r>
      <w:r>
        <w:rPr>
          <w:spacing w:val="4"/>
        </w:rPr>
        <w:t>revised.</w:t>
      </w:r>
    </w:p>
    <w:p>
      <w:pPr>
        <w:spacing w:after="0" w:line="254" w:lineRule="auto"/>
        <w:jc w:val="both"/>
        <w:sectPr>
          <w:headerReference w:type="default" r:id="rId71"/>
          <w:footerReference w:type="default" r:id="rId72"/>
          <w:footerReference w:type="even" r:id="rId73"/>
          <w:pgSz w:w="11520" w:h="14400"/>
          <w:pgMar w:header="0" w:footer="706" w:top="960" w:bottom="900" w:left="680" w:right="820"/>
          <w:pgNumType w:start="11"/>
        </w:sectPr>
      </w:pPr>
    </w:p>
    <w:p>
      <w:pPr>
        <w:spacing w:before="69"/>
        <w:ind w:left="120" w:right="0" w:firstLine="0"/>
        <w:jc w:val="left"/>
        <w:rPr>
          <w:i/>
          <w:sz w:val="20"/>
        </w:rPr>
      </w:pPr>
      <w:bookmarkStart w:name="Selected Financial Data" w:id="24"/>
      <w:bookmarkEnd w:id="24"/>
      <w:r>
        <w:rPr/>
      </w:r>
      <w:r>
        <w:rPr>
          <w:rFonts w:ascii="Franklin Gothic Medium"/>
          <w:w w:val="105"/>
          <w:sz w:val="20"/>
        </w:rPr>
        <w:t>Item  6.   </w:t>
      </w:r>
      <w:r>
        <w:rPr>
          <w:i/>
          <w:w w:val="105"/>
          <w:sz w:val="20"/>
        </w:rPr>
        <w:t>Selected  Financial Data</w:t>
      </w:r>
    </w:p>
    <w:p>
      <w:pPr>
        <w:pStyle w:val="BodyText"/>
        <w:spacing w:before="6"/>
        <w:rPr>
          <w:i/>
          <w:sz w:val="22"/>
        </w:rPr>
      </w:pPr>
    </w:p>
    <w:p>
      <w:pPr>
        <w:pStyle w:val="BodyText"/>
        <w:spacing w:line="254" w:lineRule="auto"/>
        <w:ind w:left="120" w:right="606" w:firstLine="180"/>
        <w:jc w:val="both"/>
      </w:pPr>
      <w:r>
        <w:rPr>
          <w:w w:val="105"/>
        </w:rPr>
        <w:t>The  following  </w:t>
      </w:r>
      <w:r>
        <w:rPr>
          <w:spacing w:val="2"/>
          <w:w w:val="105"/>
        </w:rPr>
        <w:t>financial  </w:t>
      </w:r>
      <w:r>
        <w:rPr>
          <w:spacing w:val="3"/>
          <w:w w:val="105"/>
        </w:rPr>
        <w:t>information</w:t>
      </w:r>
      <w:r>
        <w:rPr>
          <w:spacing w:val="53"/>
          <w:w w:val="105"/>
        </w:rPr>
        <w:t> </w:t>
      </w:r>
      <w:r>
        <w:rPr>
          <w:w w:val="105"/>
        </w:rPr>
        <w:t>for  the  five  years  </w:t>
      </w:r>
      <w:r>
        <w:rPr>
          <w:spacing w:val="3"/>
          <w:w w:val="105"/>
        </w:rPr>
        <w:t>ended</w:t>
      </w:r>
      <w:r>
        <w:rPr>
          <w:spacing w:val="53"/>
          <w:w w:val="105"/>
        </w:rPr>
        <w:t> </w:t>
      </w:r>
      <w:r>
        <w:rPr>
          <w:spacing w:val="3"/>
          <w:w w:val="105"/>
        </w:rPr>
        <w:t>December</w:t>
      </w:r>
      <w:r>
        <w:rPr>
          <w:spacing w:val="53"/>
          <w:w w:val="105"/>
        </w:rPr>
        <w:t> </w:t>
      </w:r>
      <w:r>
        <w:rPr>
          <w:w w:val="105"/>
        </w:rPr>
        <w:t>31,  2002,  has  </w:t>
      </w:r>
      <w:r>
        <w:rPr>
          <w:spacing w:val="2"/>
          <w:w w:val="105"/>
        </w:rPr>
        <w:t>been   </w:t>
      </w:r>
      <w:r>
        <w:rPr>
          <w:spacing w:val="11"/>
          <w:w w:val="105"/>
        </w:rPr>
        <w:t>derived </w:t>
      </w:r>
      <w:r>
        <w:rPr>
          <w:w w:val="105"/>
        </w:rPr>
        <w:t>from the Company’s  Consolidated  Financial  Statements.  This  </w:t>
      </w:r>
      <w:r>
        <w:rPr>
          <w:spacing w:val="3"/>
          <w:w w:val="105"/>
        </w:rPr>
        <w:t>information</w:t>
      </w:r>
      <w:r>
        <w:rPr>
          <w:spacing w:val="53"/>
          <w:w w:val="105"/>
        </w:rPr>
        <w:t> </w:t>
      </w:r>
      <w:r>
        <w:rPr>
          <w:w w:val="105"/>
        </w:rPr>
        <w:t>should  be  read  in  </w:t>
      </w:r>
      <w:r>
        <w:rPr>
          <w:spacing w:val="8"/>
          <w:w w:val="105"/>
        </w:rPr>
        <w:t>conjunction </w:t>
      </w:r>
      <w:r>
        <w:rPr>
          <w:w w:val="105"/>
        </w:rPr>
        <w:t>with  the  Consolidated  Financial  Statements  and  related  notes  thereto  included  elsewhere    </w:t>
      </w:r>
      <w:r>
        <w:rPr>
          <w:spacing w:val="1"/>
          <w:w w:val="105"/>
        </w:rPr>
        <w:t> </w:t>
      </w:r>
      <w:r>
        <w:rPr>
          <w:w w:val="105"/>
        </w:rPr>
        <w:t>herein.</w:t>
      </w:r>
    </w:p>
    <w:p>
      <w:pPr>
        <w:pStyle w:val="BodyText"/>
        <w:spacing w:before="8"/>
        <w:rPr>
          <w:sz w:val="15"/>
        </w:rPr>
      </w:pPr>
      <w:r>
        <w:rPr/>
        <w:pict>
          <v:line style="position:absolute;mso-position-horizontal-relative:page;mso-position-vertical-relative:paragraph;z-index:6304;mso-wrap-distance-left:0;mso-wrap-distance-right:0" from="185pt,12.045313pt" to="554pt,12.045313pt" stroked="true" strokeweight="1pt" strokecolor="#000000">
            <v:stroke dashstyle="solid"/>
            <w10:wrap type="topAndBottom"/>
          </v:line>
        </w:pict>
      </w:r>
    </w:p>
    <w:p>
      <w:pPr>
        <w:pStyle w:val="BodyText"/>
        <w:spacing w:before="3"/>
        <w:rPr>
          <w:sz w:val="25"/>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073"/>
        <w:gridCol w:w="1330"/>
        <w:gridCol w:w="1280"/>
        <w:gridCol w:w="1354"/>
        <w:gridCol w:w="1460"/>
        <w:gridCol w:w="1317"/>
      </w:tblGrid>
      <w:tr>
        <w:trPr>
          <w:trHeight w:val="201" w:hRule="exact"/>
        </w:trPr>
        <w:tc>
          <w:tcPr>
            <w:tcW w:w="7037" w:type="dxa"/>
            <w:gridSpan w:val="4"/>
          </w:tcPr>
          <w:p>
            <w:pPr>
              <w:pStyle w:val="TableParagraph"/>
              <w:tabs>
                <w:tab w:pos="4832" w:val="left" w:leader="none"/>
                <w:tab w:pos="6052" w:val="left" w:leader="none"/>
              </w:tabs>
              <w:spacing w:line="182" w:lineRule="exact"/>
              <w:ind w:left="3372"/>
              <w:rPr>
                <w:rFonts w:ascii="Franklin Gothic Medium"/>
                <w:sz w:val="16"/>
              </w:rPr>
            </w:pPr>
            <w:r>
              <w:rPr>
                <w:rFonts w:ascii="Franklin Gothic Medium"/>
                <w:sz w:val="18"/>
                <w:u w:val="single"/>
              </w:rPr>
              <w:t>2002</w:t>
            </w:r>
            <w:r>
              <w:rPr>
                <w:rFonts w:ascii="Franklin Gothic Medium"/>
                <w:sz w:val="18"/>
              </w:rPr>
              <w:tab/>
            </w:r>
            <w:r>
              <w:rPr>
                <w:rFonts w:ascii="Franklin Gothic Medium"/>
                <w:sz w:val="16"/>
                <w:u w:val="single"/>
              </w:rPr>
              <w:t>2001</w:t>
            </w:r>
            <w:r>
              <w:rPr>
                <w:rFonts w:ascii="Franklin Gothic Medium"/>
                <w:sz w:val="16"/>
              </w:rPr>
              <w:tab/>
            </w:r>
            <w:r>
              <w:rPr>
                <w:rFonts w:ascii="Franklin Gothic Medium"/>
                <w:sz w:val="16"/>
                <w:u w:val="single"/>
              </w:rPr>
              <w:t>2000</w:t>
            </w:r>
          </w:p>
        </w:tc>
        <w:tc>
          <w:tcPr>
            <w:tcW w:w="1460" w:type="dxa"/>
          </w:tcPr>
          <w:p>
            <w:pPr>
              <w:pStyle w:val="TableParagraph"/>
              <w:spacing w:line="177" w:lineRule="exact"/>
              <w:ind w:left="475"/>
              <w:rPr>
                <w:rFonts w:ascii="Franklin Gothic Medium"/>
                <w:sz w:val="16"/>
              </w:rPr>
            </w:pPr>
            <w:r>
              <w:rPr>
                <w:rFonts w:ascii="Franklin Gothic Medium"/>
                <w:sz w:val="16"/>
                <w:u w:val="single"/>
              </w:rPr>
              <w:t>1999</w:t>
            </w:r>
          </w:p>
        </w:tc>
        <w:tc>
          <w:tcPr>
            <w:tcW w:w="1317" w:type="dxa"/>
          </w:tcPr>
          <w:p>
            <w:pPr>
              <w:pStyle w:val="TableParagraph"/>
              <w:spacing w:line="177" w:lineRule="exact"/>
              <w:ind w:left="515"/>
              <w:rPr>
                <w:rFonts w:ascii="Franklin Gothic Medium"/>
                <w:sz w:val="16"/>
              </w:rPr>
            </w:pPr>
            <w:r>
              <w:rPr>
                <w:rFonts w:ascii="Franklin Gothic Medium"/>
                <w:sz w:val="16"/>
                <w:u w:val="single"/>
              </w:rPr>
              <w:t>1998</w:t>
            </w:r>
          </w:p>
        </w:tc>
      </w:tr>
      <w:tr>
        <w:trPr>
          <w:trHeight w:val="227" w:hRule="exact"/>
        </w:trPr>
        <w:tc>
          <w:tcPr>
            <w:tcW w:w="3073" w:type="dxa"/>
          </w:tcPr>
          <w:p>
            <w:pPr>
              <w:pStyle w:val="TableParagraph"/>
              <w:spacing w:line="177" w:lineRule="exact"/>
              <w:ind w:left="32"/>
              <w:rPr>
                <w:rFonts w:ascii="Franklin Gothic Medium"/>
                <w:sz w:val="16"/>
              </w:rPr>
            </w:pPr>
            <w:r>
              <w:rPr>
                <w:rFonts w:ascii="Franklin Gothic Medium"/>
                <w:sz w:val="16"/>
              </w:rPr>
              <w:t>Financial  Data:</w:t>
            </w:r>
          </w:p>
        </w:tc>
        <w:tc>
          <w:tcPr>
            <w:tcW w:w="1330" w:type="dxa"/>
          </w:tcPr>
          <w:p>
            <w:pPr/>
          </w:p>
        </w:tc>
        <w:tc>
          <w:tcPr>
            <w:tcW w:w="1280" w:type="dxa"/>
          </w:tcPr>
          <w:p>
            <w:pPr/>
          </w:p>
        </w:tc>
        <w:tc>
          <w:tcPr>
            <w:tcW w:w="1354" w:type="dxa"/>
          </w:tcPr>
          <w:p>
            <w:pPr/>
          </w:p>
        </w:tc>
        <w:tc>
          <w:tcPr>
            <w:tcW w:w="1460" w:type="dxa"/>
          </w:tcPr>
          <w:p>
            <w:pPr/>
          </w:p>
        </w:tc>
        <w:tc>
          <w:tcPr>
            <w:tcW w:w="1317" w:type="dxa"/>
          </w:tcPr>
          <w:p>
            <w:pPr/>
          </w:p>
        </w:tc>
      </w:tr>
      <w:tr>
        <w:trPr>
          <w:trHeight w:val="208" w:hRule="exact"/>
        </w:trPr>
        <w:tc>
          <w:tcPr>
            <w:tcW w:w="3073" w:type="dxa"/>
          </w:tcPr>
          <w:p>
            <w:pPr>
              <w:pStyle w:val="TableParagraph"/>
              <w:spacing w:before="20"/>
              <w:ind w:left="32"/>
              <w:rPr>
                <w:sz w:val="14"/>
              </w:rPr>
            </w:pPr>
            <w:r>
              <w:rPr>
                <w:w w:val="105"/>
                <w:sz w:val="14"/>
              </w:rPr>
              <w:t>(In  thousands  except  per  share   amounts)</w:t>
            </w:r>
          </w:p>
        </w:tc>
        <w:tc>
          <w:tcPr>
            <w:tcW w:w="1330" w:type="dxa"/>
          </w:tcPr>
          <w:p>
            <w:pPr/>
          </w:p>
        </w:tc>
        <w:tc>
          <w:tcPr>
            <w:tcW w:w="1280" w:type="dxa"/>
          </w:tcPr>
          <w:p>
            <w:pPr/>
          </w:p>
        </w:tc>
        <w:tc>
          <w:tcPr>
            <w:tcW w:w="1354" w:type="dxa"/>
          </w:tcPr>
          <w:p>
            <w:pPr/>
          </w:p>
        </w:tc>
        <w:tc>
          <w:tcPr>
            <w:tcW w:w="1460" w:type="dxa"/>
          </w:tcPr>
          <w:p>
            <w:pPr/>
          </w:p>
        </w:tc>
        <w:tc>
          <w:tcPr>
            <w:tcW w:w="1317" w:type="dxa"/>
          </w:tcPr>
          <w:p>
            <w:pPr/>
          </w:p>
        </w:tc>
      </w:tr>
      <w:tr>
        <w:trPr>
          <w:trHeight w:val="223" w:hRule="exact"/>
        </w:trPr>
        <w:tc>
          <w:tcPr>
            <w:tcW w:w="3073" w:type="dxa"/>
          </w:tcPr>
          <w:p>
            <w:pPr>
              <w:pStyle w:val="TableParagraph"/>
              <w:spacing w:before="13"/>
              <w:ind w:left="32"/>
              <w:rPr>
                <w:sz w:val="16"/>
              </w:rPr>
            </w:pPr>
            <w:r>
              <w:rPr>
                <w:w w:val="110"/>
                <w:sz w:val="16"/>
              </w:rPr>
              <w:t>Operating  revenues  </w:t>
            </w:r>
            <w:r>
              <w:rPr>
                <w:spacing w:val="-8"/>
                <w:w w:val="110"/>
                <w:sz w:val="16"/>
              </w:rPr>
              <w:t>....................................</w:t>
            </w:r>
          </w:p>
        </w:tc>
        <w:tc>
          <w:tcPr>
            <w:tcW w:w="1330" w:type="dxa"/>
          </w:tcPr>
          <w:p>
            <w:pPr>
              <w:pStyle w:val="TableParagraph"/>
              <w:spacing w:before="13"/>
              <w:ind w:left="139"/>
              <w:rPr>
                <w:sz w:val="16"/>
              </w:rPr>
            </w:pPr>
            <w:r>
              <w:rPr>
                <w:w w:val="120"/>
                <w:sz w:val="16"/>
              </w:rPr>
              <w:t>$5,521,771</w:t>
            </w:r>
          </w:p>
        </w:tc>
        <w:tc>
          <w:tcPr>
            <w:tcW w:w="1280" w:type="dxa"/>
          </w:tcPr>
          <w:p>
            <w:pPr>
              <w:pStyle w:val="TableParagraph"/>
              <w:spacing w:before="13"/>
              <w:ind w:left="89"/>
              <w:rPr>
                <w:sz w:val="16"/>
              </w:rPr>
            </w:pPr>
            <w:r>
              <w:rPr>
                <w:w w:val="120"/>
                <w:sz w:val="16"/>
              </w:rPr>
              <w:t>$5,555,174</w:t>
            </w:r>
          </w:p>
        </w:tc>
        <w:tc>
          <w:tcPr>
            <w:tcW w:w="1354" w:type="dxa"/>
          </w:tcPr>
          <w:p>
            <w:pPr>
              <w:pStyle w:val="TableParagraph"/>
              <w:spacing w:before="13"/>
              <w:ind w:left="149"/>
              <w:rPr>
                <w:sz w:val="16"/>
              </w:rPr>
            </w:pPr>
            <w:r>
              <w:rPr>
                <w:w w:val="120"/>
                <w:sz w:val="16"/>
              </w:rPr>
              <w:t>$5,649,560</w:t>
            </w:r>
          </w:p>
        </w:tc>
        <w:tc>
          <w:tcPr>
            <w:tcW w:w="1460" w:type="dxa"/>
          </w:tcPr>
          <w:p>
            <w:pPr>
              <w:pStyle w:val="TableParagraph"/>
              <w:spacing w:before="13"/>
              <w:ind w:left="215"/>
              <w:rPr>
                <w:sz w:val="16"/>
              </w:rPr>
            </w:pPr>
            <w:r>
              <w:rPr>
                <w:w w:val="120"/>
                <w:sz w:val="16"/>
              </w:rPr>
              <w:t>$4,735,587</w:t>
            </w:r>
          </w:p>
        </w:tc>
        <w:tc>
          <w:tcPr>
            <w:tcW w:w="1317" w:type="dxa"/>
          </w:tcPr>
          <w:p>
            <w:pPr>
              <w:pStyle w:val="TableParagraph"/>
              <w:spacing w:before="13"/>
              <w:ind w:left="275"/>
              <w:rPr>
                <w:sz w:val="16"/>
              </w:rPr>
            </w:pPr>
            <w:r>
              <w:rPr>
                <w:w w:val="120"/>
                <w:sz w:val="16"/>
              </w:rPr>
              <w:t>$4,163,980</w:t>
            </w:r>
          </w:p>
        </w:tc>
      </w:tr>
      <w:tr>
        <w:trPr>
          <w:trHeight w:val="220" w:hRule="exact"/>
        </w:trPr>
        <w:tc>
          <w:tcPr>
            <w:tcW w:w="3073" w:type="dxa"/>
          </w:tcPr>
          <w:p>
            <w:pPr>
              <w:pStyle w:val="TableParagraph"/>
              <w:spacing w:before="10"/>
              <w:ind w:left="32"/>
              <w:rPr>
                <w:sz w:val="16"/>
              </w:rPr>
            </w:pPr>
            <w:r>
              <w:rPr>
                <w:w w:val="115"/>
                <w:sz w:val="16"/>
              </w:rPr>
              <w:t>Operating expenses </w:t>
            </w:r>
            <w:r>
              <w:rPr>
                <w:spacing w:val="-8"/>
                <w:w w:val="115"/>
                <w:sz w:val="16"/>
              </w:rPr>
              <w:t>....................................</w:t>
            </w:r>
          </w:p>
        </w:tc>
        <w:tc>
          <w:tcPr>
            <w:tcW w:w="1330" w:type="dxa"/>
          </w:tcPr>
          <w:p>
            <w:pPr>
              <w:pStyle w:val="TableParagraph"/>
              <w:spacing w:before="10"/>
              <w:ind w:left="239"/>
              <w:rPr>
                <w:sz w:val="16"/>
              </w:rPr>
            </w:pPr>
            <w:r>
              <w:rPr>
                <w:w w:val="120"/>
                <w:sz w:val="16"/>
                <w:u w:val="single"/>
              </w:rPr>
              <w:t>5,104,433</w:t>
            </w:r>
          </w:p>
        </w:tc>
        <w:tc>
          <w:tcPr>
            <w:tcW w:w="1280" w:type="dxa"/>
          </w:tcPr>
          <w:p>
            <w:pPr>
              <w:pStyle w:val="TableParagraph"/>
              <w:spacing w:before="10"/>
              <w:ind w:left="189"/>
              <w:rPr>
                <w:sz w:val="16"/>
              </w:rPr>
            </w:pPr>
            <w:r>
              <w:rPr>
                <w:w w:val="120"/>
                <w:sz w:val="16"/>
                <w:u w:val="single"/>
              </w:rPr>
              <w:t>4,924,052</w:t>
            </w:r>
          </w:p>
        </w:tc>
        <w:tc>
          <w:tcPr>
            <w:tcW w:w="1354" w:type="dxa"/>
          </w:tcPr>
          <w:p>
            <w:pPr>
              <w:pStyle w:val="TableParagraph"/>
              <w:spacing w:before="10"/>
              <w:ind w:left="249"/>
              <w:rPr>
                <w:sz w:val="16"/>
              </w:rPr>
            </w:pPr>
            <w:r>
              <w:rPr>
                <w:w w:val="120"/>
                <w:sz w:val="16"/>
                <w:u w:val="single"/>
              </w:rPr>
              <w:t>4,628,415</w:t>
            </w:r>
          </w:p>
        </w:tc>
        <w:tc>
          <w:tcPr>
            <w:tcW w:w="1460" w:type="dxa"/>
          </w:tcPr>
          <w:p>
            <w:pPr>
              <w:pStyle w:val="TableParagraph"/>
              <w:spacing w:before="10"/>
              <w:ind w:left="315"/>
              <w:rPr>
                <w:sz w:val="16"/>
              </w:rPr>
            </w:pPr>
            <w:r>
              <w:rPr>
                <w:w w:val="120"/>
                <w:sz w:val="16"/>
                <w:u w:val="single"/>
              </w:rPr>
              <w:t>3,954,011</w:t>
            </w:r>
          </w:p>
        </w:tc>
        <w:tc>
          <w:tcPr>
            <w:tcW w:w="1317" w:type="dxa"/>
          </w:tcPr>
          <w:p>
            <w:pPr>
              <w:pStyle w:val="TableParagraph"/>
              <w:spacing w:before="10"/>
              <w:ind w:left="375"/>
              <w:rPr>
                <w:sz w:val="16"/>
              </w:rPr>
            </w:pPr>
            <w:r>
              <w:rPr>
                <w:w w:val="120"/>
                <w:sz w:val="16"/>
                <w:u w:val="single"/>
              </w:rPr>
              <w:t>3,480,369</w:t>
            </w:r>
          </w:p>
        </w:tc>
      </w:tr>
      <w:tr>
        <w:trPr>
          <w:trHeight w:val="220" w:hRule="exact"/>
        </w:trPr>
        <w:tc>
          <w:tcPr>
            <w:tcW w:w="3073" w:type="dxa"/>
          </w:tcPr>
          <w:p>
            <w:pPr>
              <w:pStyle w:val="TableParagraph"/>
              <w:spacing w:before="10"/>
              <w:ind w:left="32"/>
              <w:rPr>
                <w:sz w:val="16"/>
              </w:rPr>
            </w:pPr>
            <w:r>
              <w:rPr>
                <w:spacing w:val="2"/>
                <w:w w:val="115"/>
                <w:sz w:val="16"/>
              </w:rPr>
              <w:t>Operating </w:t>
            </w:r>
            <w:r>
              <w:rPr>
                <w:spacing w:val="-7"/>
                <w:w w:val="115"/>
                <w:sz w:val="16"/>
              </w:rPr>
              <w:t>income........................................</w:t>
            </w:r>
          </w:p>
        </w:tc>
        <w:tc>
          <w:tcPr>
            <w:tcW w:w="1330" w:type="dxa"/>
          </w:tcPr>
          <w:p>
            <w:pPr>
              <w:pStyle w:val="TableParagraph"/>
              <w:spacing w:before="10"/>
              <w:ind w:left="379"/>
              <w:rPr>
                <w:sz w:val="16"/>
              </w:rPr>
            </w:pPr>
            <w:r>
              <w:rPr>
                <w:w w:val="120"/>
                <w:sz w:val="16"/>
              </w:rPr>
              <w:t>417,338</w:t>
            </w:r>
          </w:p>
        </w:tc>
        <w:tc>
          <w:tcPr>
            <w:tcW w:w="1280" w:type="dxa"/>
          </w:tcPr>
          <w:p>
            <w:pPr>
              <w:pStyle w:val="TableParagraph"/>
              <w:spacing w:before="10"/>
              <w:ind w:left="329"/>
              <w:rPr>
                <w:sz w:val="16"/>
              </w:rPr>
            </w:pPr>
            <w:r>
              <w:rPr>
                <w:w w:val="120"/>
                <w:sz w:val="16"/>
              </w:rPr>
              <w:t>631,122</w:t>
            </w:r>
          </w:p>
        </w:tc>
        <w:tc>
          <w:tcPr>
            <w:tcW w:w="1354" w:type="dxa"/>
          </w:tcPr>
          <w:p>
            <w:pPr>
              <w:pStyle w:val="TableParagraph"/>
              <w:spacing w:before="10"/>
              <w:ind w:left="249"/>
              <w:rPr>
                <w:sz w:val="16"/>
              </w:rPr>
            </w:pPr>
            <w:r>
              <w:rPr>
                <w:w w:val="120"/>
                <w:sz w:val="16"/>
              </w:rPr>
              <w:t>1,021,145</w:t>
            </w:r>
          </w:p>
        </w:tc>
        <w:tc>
          <w:tcPr>
            <w:tcW w:w="1460" w:type="dxa"/>
          </w:tcPr>
          <w:p>
            <w:pPr>
              <w:pStyle w:val="TableParagraph"/>
              <w:spacing w:before="10"/>
              <w:ind w:left="455"/>
              <w:rPr>
                <w:sz w:val="16"/>
              </w:rPr>
            </w:pPr>
            <w:r>
              <w:rPr>
                <w:w w:val="120"/>
                <w:sz w:val="16"/>
              </w:rPr>
              <w:t>781,576</w:t>
            </w:r>
          </w:p>
        </w:tc>
        <w:tc>
          <w:tcPr>
            <w:tcW w:w="1317" w:type="dxa"/>
          </w:tcPr>
          <w:p>
            <w:pPr>
              <w:pStyle w:val="TableParagraph"/>
              <w:spacing w:before="10"/>
              <w:ind w:left="502"/>
              <w:rPr>
                <w:sz w:val="16"/>
              </w:rPr>
            </w:pPr>
            <w:r>
              <w:rPr>
                <w:w w:val="120"/>
                <w:sz w:val="16"/>
              </w:rPr>
              <w:t>683,611</w:t>
            </w:r>
          </w:p>
        </w:tc>
      </w:tr>
      <w:tr>
        <w:trPr>
          <w:trHeight w:val="220" w:hRule="exact"/>
        </w:trPr>
        <w:tc>
          <w:tcPr>
            <w:tcW w:w="3073" w:type="dxa"/>
          </w:tcPr>
          <w:p>
            <w:pPr>
              <w:pStyle w:val="TableParagraph"/>
              <w:spacing w:before="10"/>
              <w:ind w:left="32"/>
              <w:rPr>
                <w:sz w:val="16"/>
              </w:rPr>
            </w:pPr>
            <w:r>
              <w:rPr>
                <w:w w:val="115"/>
                <w:sz w:val="16"/>
              </w:rPr>
              <w:t>Other expenses (income), </w:t>
            </w:r>
            <w:r>
              <w:rPr>
                <w:spacing w:val="-7"/>
                <w:w w:val="115"/>
                <w:sz w:val="16"/>
              </w:rPr>
              <w:t>net...................</w:t>
            </w:r>
          </w:p>
        </w:tc>
        <w:tc>
          <w:tcPr>
            <w:tcW w:w="1330" w:type="dxa"/>
          </w:tcPr>
          <w:p>
            <w:pPr>
              <w:pStyle w:val="TableParagraph"/>
              <w:spacing w:before="10"/>
              <w:ind w:left="479"/>
              <w:rPr>
                <w:sz w:val="16"/>
              </w:rPr>
            </w:pPr>
            <w:r>
              <w:rPr>
                <w:w w:val="120"/>
                <w:sz w:val="16"/>
                <w:u w:val="single"/>
              </w:rPr>
              <w:t>24,656</w:t>
            </w:r>
          </w:p>
        </w:tc>
        <w:tc>
          <w:tcPr>
            <w:tcW w:w="1280" w:type="dxa"/>
          </w:tcPr>
          <w:p>
            <w:pPr>
              <w:pStyle w:val="TableParagraph"/>
              <w:spacing w:before="10"/>
              <w:ind w:left="229"/>
              <w:rPr>
                <w:sz w:val="16"/>
              </w:rPr>
            </w:pPr>
            <w:r>
              <w:rPr>
                <w:w w:val="115"/>
                <w:sz w:val="16"/>
                <w:u w:val="single"/>
              </w:rPr>
              <w:t>(196,537)</w:t>
            </w:r>
          </w:p>
        </w:tc>
        <w:tc>
          <w:tcPr>
            <w:tcW w:w="1354" w:type="dxa"/>
          </w:tcPr>
          <w:p>
            <w:pPr>
              <w:pStyle w:val="TableParagraph"/>
              <w:spacing w:before="10"/>
              <w:ind w:left="569"/>
              <w:rPr>
                <w:sz w:val="16"/>
              </w:rPr>
            </w:pPr>
            <w:r>
              <w:rPr>
                <w:w w:val="120"/>
                <w:sz w:val="16"/>
                <w:u w:val="single"/>
              </w:rPr>
              <w:t>3,781</w:t>
            </w:r>
          </w:p>
        </w:tc>
        <w:tc>
          <w:tcPr>
            <w:tcW w:w="1460" w:type="dxa"/>
          </w:tcPr>
          <w:p>
            <w:pPr>
              <w:pStyle w:val="TableParagraph"/>
              <w:spacing w:before="10"/>
              <w:ind w:left="635"/>
              <w:rPr>
                <w:sz w:val="16"/>
              </w:rPr>
            </w:pPr>
            <w:r>
              <w:rPr>
                <w:w w:val="120"/>
                <w:sz w:val="16"/>
                <w:u w:val="single"/>
              </w:rPr>
              <w:t>7,965</w:t>
            </w:r>
          </w:p>
        </w:tc>
        <w:tc>
          <w:tcPr>
            <w:tcW w:w="1317" w:type="dxa"/>
          </w:tcPr>
          <w:p>
            <w:pPr>
              <w:pStyle w:val="TableParagraph"/>
              <w:spacing w:before="10"/>
              <w:ind w:left="575"/>
              <w:rPr>
                <w:sz w:val="16"/>
              </w:rPr>
            </w:pPr>
            <w:r>
              <w:rPr>
                <w:w w:val="115"/>
                <w:sz w:val="16"/>
              </w:rPr>
              <w:t>(</w:t>
            </w:r>
            <w:r>
              <w:rPr>
                <w:w w:val="115"/>
                <w:sz w:val="16"/>
                <w:u w:val="single"/>
              </w:rPr>
              <w:t>21,501</w:t>
            </w:r>
            <w:r>
              <w:rPr>
                <w:w w:val="115"/>
                <w:sz w:val="16"/>
              </w:rPr>
              <w:t>)</w:t>
            </w:r>
          </w:p>
        </w:tc>
      </w:tr>
      <w:tr>
        <w:trPr>
          <w:trHeight w:val="220" w:hRule="exact"/>
        </w:trPr>
        <w:tc>
          <w:tcPr>
            <w:tcW w:w="3073" w:type="dxa"/>
          </w:tcPr>
          <w:p>
            <w:pPr>
              <w:pStyle w:val="TableParagraph"/>
              <w:spacing w:before="10"/>
              <w:ind w:left="32"/>
              <w:rPr>
                <w:sz w:val="16"/>
              </w:rPr>
            </w:pPr>
            <w:r>
              <w:rPr>
                <w:w w:val="110"/>
                <w:sz w:val="16"/>
              </w:rPr>
              <w:t>Income  before  income taxes ....................</w:t>
            </w:r>
          </w:p>
        </w:tc>
        <w:tc>
          <w:tcPr>
            <w:tcW w:w="1330" w:type="dxa"/>
          </w:tcPr>
          <w:p>
            <w:pPr>
              <w:pStyle w:val="TableParagraph"/>
              <w:spacing w:before="10"/>
              <w:ind w:left="379"/>
              <w:rPr>
                <w:sz w:val="16"/>
              </w:rPr>
            </w:pPr>
            <w:r>
              <w:rPr>
                <w:w w:val="120"/>
                <w:sz w:val="16"/>
              </w:rPr>
              <w:t>392,682</w:t>
            </w:r>
          </w:p>
        </w:tc>
        <w:tc>
          <w:tcPr>
            <w:tcW w:w="1280" w:type="dxa"/>
          </w:tcPr>
          <w:p>
            <w:pPr>
              <w:pStyle w:val="TableParagraph"/>
              <w:spacing w:before="10"/>
              <w:ind w:left="329"/>
              <w:rPr>
                <w:sz w:val="16"/>
              </w:rPr>
            </w:pPr>
            <w:r>
              <w:rPr>
                <w:w w:val="120"/>
                <w:sz w:val="16"/>
              </w:rPr>
              <w:t>827,659</w:t>
            </w:r>
          </w:p>
        </w:tc>
        <w:tc>
          <w:tcPr>
            <w:tcW w:w="1354" w:type="dxa"/>
          </w:tcPr>
          <w:p>
            <w:pPr>
              <w:pStyle w:val="TableParagraph"/>
              <w:spacing w:before="10"/>
              <w:ind w:left="249"/>
              <w:rPr>
                <w:sz w:val="16"/>
              </w:rPr>
            </w:pPr>
            <w:r>
              <w:rPr>
                <w:w w:val="120"/>
                <w:sz w:val="16"/>
              </w:rPr>
              <w:t>1,017,364</w:t>
            </w:r>
          </w:p>
        </w:tc>
        <w:tc>
          <w:tcPr>
            <w:tcW w:w="1460" w:type="dxa"/>
          </w:tcPr>
          <w:p>
            <w:pPr>
              <w:pStyle w:val="TableParagraph"/>
              <w:spacing w:before="10"/>
              <w:ind w:left="455"/>
              <w:rPr>
                <w:sz w:val="16"/>
              </w:rPr>
            </w:pPr>
            <w:r>
              <w:rPr>
                <w:w w:val="120"/>
                <w:sz w:val="16"/>
              </w:rPr>
              <w:t>773,611</w:t>
            </w:r>
          </w:p>
        </w:tc>
        <w:tc>
          <w:tcPr>
            <w:tcW w:w="1317" w:type="dxa"/>
          </w:tcPr>
          <w:p>
            <w:pPr>
              <w:pStyle w:val="TableParagraph"/>
              <w:spacing w:before="10"/>
              <w:ind w:left="515"/>
              <w:rPr>
                <w:sz w:val="16"/>
              </w:rPr>
            </w:pPr>
            <w:r>
              <w:rPr>
                <w:w w:val="120"/>
                <w:sz w:val="16"/>
              </w:rPr>
              <w:t>705,112</w:t>
            </w:r>
          </w:p>
        </w:tc>
      </w:tr>
      <w:tr>
        <w:trPr>
          <w:trHeight w:val="217" w:hRule="exact"/>
        </w:trPr>
        <w:tc>
          <w:tcPr>
            <w:tcW w:w="3073" w:type="dxa"/>
          </w:tcPr>
          <w:p>
            <w:pPr>
              <w:pStyle w:val="TableParagraph"/>
              <w:spacing w:before="10"/>
              <w:ind w:left="32"/>
              <w:rPr>
                <w:sz w:val="16"/>
              </w:rPr>
            </w:pPr>
            <w:r>
              <w:rPr>
                <w:w w:val="110"/>
                <w:sz w:val="16"/>
              </w:rPr>
              <w:t>Provision  for  income  taxes ......................</w:t>
            </w:r>
          </w:p>
        </w:tc>
        <w:tc>
          <w:tcPr>
            <w:tcW w:w="1330" w:type="dxa"/>
          </w:tcPr>
          <w:p>
            <w:pPr>
              <w:pStyle w:val="TableParagraph"/>
              <w:spacing w:before="10"/>
              <w:ind w:left="379"/>
              <w:rPr>
                <w:sz w:val="16"/>
              </w:rPr>
            </w:pPr>
            <w:r>
              <w:rPr>
                <w:w w:val="120"/>
                <w:sz w:val="16"/>
                <w:u w:val="single"/>
              </w:rPr>
              <w:t>151,713</w:t>
            </w:r>
          </w:p>
        </w:tc>
        <w:tc>
          <w:tcPr>
            <w:tcW w:w="1280" w:type="dxa"/>
          </w:tcPr>
          <w:p>
            <w:pPr>
              <w:pStyle w:val="TableParagraph"/>
              <w:spacing w:before="10"/>
              <w:ind w:left="329"/>
              <w:rPr>
                <w:sz w:val="16"/>
              </w:rPr>
            </w:pPr>
            <w:r>
              <w:rPr>
                <w:w w:val="120"/>
                <w:sz w:val="16"/>
                <w:u w:val="single"/>
              </w:rPr>
              <w:t>316,512</w:t>
            </w:r>
          </w:p>
        </w:tc>
        <w:tc>
          <w:tcPr>
            <w:tcW w:w="1354" w:type="dxa"/>
          </w:tcPr>
          <w:p>
            <w:pPr>
              <w:pStyle w:val="TableParagraph"/>
              <w:spacing w:before="10"/>
              <w:ind w:left="389"/>
              <w:rPr>
                <w:sz w:val="16"/>
              </w:rPr>
            </w:pPr>
            <w:r>
              <w:rPr>
                <w:w w:val="120"/>
                <w:sz w:val="16"/>
                <w:u w:val="single"/>
              </w:rPr>
              <w:t>392,140</w:t>
            </w:r>
          </w:p>
        </w:tc>
        <w:tc>
          <w:tcPr>
            <w:tcW w:w="1460" w:type="dxa"/>
          </w:tcPr>
          <w:p>
            <w:pPr>
              <w:pStyle w:val="TableParagraph"/>
              <w:spacing w:before="10"/>
              <w:ind w:left="455"/>
              <w:rPr>
                <w:sz w:val="16"/>
              </w:rPr>
            </w:pPr>
            <w:r>
              <w:rPr>
                <w:w w:val="120"/>
                <w:sz w:val="16"/>
                <w:u w:val="single"/>
              </w:rPr>
              <w:t>299,233</w:t>
            </w:r>
          </w:p>
        </w:tc>
        <w:tc>
          <w:tcPr>
            <w:tcW w:w="1317" w:type="dxa"/>
          </w:tcPr>
          <w:p>
            <w:pPr>
              <w:pStyle w:val="TableParagraph"/>
              <w:spacing w:before="10"/>
              <w:ind w:left="515"/>
              <w:rPr>
                <w:sz w:val="16"/>
              </w:rPr>
            </w:pPr>
            <w:r>
              <w:rPr>
                <w:w w:val="120"/>
                <w:sz w:val="16"/>
                <w:u w:val="single"/>
              </w:rPr>
              <w:t>271,681</w:t>
            </w:r>
          </w:p>
        </w:tc>
      </w:tr>
      <w:tr>
        <w:trPr>
          <w:trHeight w:val="248" w:hRule="exact"/>
        </w:trPr>
        <w:tc>
          <w:tcPr>
            <w:tcW w:w="3073" w:type="dxa"/>
          </w:tcPr>
          <w:p>
            <w:pPr>
              <w:pStyle w:val="TableParagraph"/>
              <w:spacing w:before="13"/>
              <w:ind w:left="32"/>
              <w:rPr>
                <w:sz w:val="16"/>
              </w:rPr>
            </w:pPr>
            <w:r>
              <w:rPr>
                <w:w w:val="110"/>
                <w:sz w:val="16"/>
              </w:rPr>
              <w:t>Net  income    </w:t>
            </w:r>
            <w:r>
              <w:rPr>
                <w:spacing w:val="-8"/>
                <w:w w:val="110"/>
                <w:sz w:val="16"/>
              </w:rPr>
              <w:t>..................................................</w:t>
            </w:r>
          </w:p>
        </w:tc>
        <w:tc>
          <w:tcPr>
            <w:tcW w:w="1330" w:type="dxa"/>
            <w:tcBorders>
              <w:bottom w:val="single" w:sz="2" w:space="0" w:color="000000"/>
            </w:tcBorders>
          </w:tcPr>
          <w:p>
            <w:pPr>
              <w:pStyle w:val="TableParagraph"/>
              <w:spacing w:before="13"/>
              <w:ind w:left="279"/>
              <w:rPr>
                <w:sz w:val="16"/>
              </w:rPr>
            </w:pPr>
            <w:r>
              <w:rPr>
                <w:w w:val="120"/>
                <w:sz w:val="16"/>
                <w:u w:val="single"/>
              </w:rPr>
              <w:t>$240,969</w:t>
            </w:r>
          </w:p>
        </w:tc>
        <w:tc>
          <w:tcPr>
            <w:tcW w:w="1280" w:type="dxa"/>
            <w:tcBorders>
              <w:bottom w:val="single" w:sz="2" w:space="0" w:color="000000"/>
            </w:tcBorders>
          </w:tcPr>
          <w:p>
            <w:pPr>
              <w:pStyle w:val="TableParagraph"/>
              <w:spacing w:before="13"/>
              <w:ind w:left="229"/>
              <w:rPr>
                <w:sz w:val="16"/>
              </w:rPr>
            </w:pPr>
            <w:r>
              <w:rPr>
                <w:w w:val="120"/>
                <w:sz w:val="16"/>
                <w:u w:val="single"/>
              </w:rPr>
              <w:t>$511,147</w:t>
            </w:r>
          </w:p>
        </w:tc>
        <w:tc>
          <w:tcPr>
            <w:tcW w:w="1354" w:type="dxa"/>
            <w:tcBorders>
              <w:bottom w:val="single" w:sz="2" w:space="0" w:color="000000"/>
            </w:tcBorders>
          </w:tcPr>
          <w:p>
            <w:pPr>
              <w:pStyle w:val="TableParagraph"/>
              <w:spacing w:before="10"/>
              <w:ind w:right="222"/>
              <w:jc w:val="right"/>
              <w:rPr>
                <w:sz w:val="10"/>
              </w:rPr>
            </w:pPr>
            <w:r>
              <w:rPr>
                <w:w w:val="115"/>
                <w:sz w:val="16"/>
                <w:u w:val="single"/>
              </w:rPr>
              <w:t>$625,224</w:t>
            </w:r>
            <w:r>
              <w:rPr>
                <w:w w:val="115"/>
                <w:position w:val="6"/>
                <w:sz w:val="10"/>
              </w:rPr>
              <w:t>(3)</w:t>
            </w:r>
          </w:p>
        </w:tc>
        <w:tc>
          <w:tcPr>
            <w:tcW w:w="1460" w:type="dxa"/>
            <w:tcBorders>
              <w:bottom w:val="single" w:sz="2" w:space="0" w:color="000000"/>
            </w:tcBorders>
          </w:tcPr>
          <w:p>
            <w:pPr>
              <w:pStyle w:val="TableParagraph"/>
              <w:spacing w:before="13"/>
              <w:ind w:left="315"/>
              <w:rPr>
                <w:sz w:val="16"/>
              </w:rPr>
            </w:pPr>
            <w:r>
              <w:rPr>
                <w:w w:val="120"/>
                <w:sz w:val="16"/>
                <w:u w:val="single"/>
              </w:rPr>
              <w:t>$ 474,378</w:t>
            </w:r>
          </w:p>
        </w:tc>
        <w:tc>
          <w:tcPr>
            <w:tcW w:w="1317" w:type="dxa"/>
            <w:tcBorders>
              <w:bottom w:val="single" w:sz="2" w:space="0" w:color="000000"/>
            </w:tcBorders>
          </w:tcPr>
          <w:p>
            <w:pPr>
              <w:pStyle w:val="TableParagraph"/>
              <w:spacing w:before="13"/>
              <w:ind w:left="415"/>
              <w:rPr>
                <w:sz w:val="16"/>
              </w:rPr>
            </w:pPr>
            <w:r>
              <w:rPr>
                <w:w w:val="120"/>
                <w:sz w:val="16"/>
                <w:u w:val="single"/>
              </w:rPr>
              <w:t>$433,431</w:t>
            </w:r>
          </w:p>
        </w:tc>
      </w:tr>
      <w:tr>
        <w:trPr>
          <w:trHeight w:val="572" w:hRule="exact"/>
        </w:trPr>
        <w:tc>
          <w:tcPr>
            <w:tcW w:w="3073" w:type="dxa"/>
          </w:tcPr>
          <w:p>
            <w:pPr>
              <w:pStyle w:val="TableParagraph"/>
              <w:rPr>
                <w:sz w:val="18"/>
              </w:rPr>
            </w:pPr>
          </w:p>
          <w:p>
            <w:pPr>
              <w:pStyle w:val="TableParagraph"/>
              <w:spacing w:before="145"/>
              <w:ind w:left="32"/>
              <w:rPr>
                <w:sz w:val="16"/>
              </w:rPr>
            </w:pPr>
            <w:r>
              <w:rPr>
                <w:w w:val="105"/>
                <w:sz w:val="16"/>
              </w:rPr>
              <w:t>Net  income  per  share, basic</w:t>
            </w:r>
          </w:p>
        </w:tc>
        <w:tc>
          <w:tcPr>
            <w:tcW w:w="1330" w:type="dxa"/>
            <w:tcBorders>
              <w:top w:val="single" w:sz="2" w:space="0" w:color="000000"/>
            </w:tcBorders>
          </w:tcPr>
          <w:p>
            <w:pPr>
              <w:pStyle w:val="TableParagraph"/>
              <w:rPr>
                <w:sz w:val="18"/>
              </w:rPr>
            </w:pPr>
          </w:p>
          <w:p>
            <w:pPr>
              <w:pStyle w:val="TableParagraph"/>
              <w:spacing w:before="143"/>
              <w:ind w:left="659"/>
              <w:rPr>
                <w:sz w:val="16"/>
              </w:rPr>
            </w:pPr>
            <w:r>
              <w:rPr>
                <w:w w:val="120"/>
                <w:sz w:val="16"/>
              </w:rPr>
              <w:t>$.31</w:t>
            </w:r>
          </w:p>
        </w:tc>
        <w:tc>
          <w:tcPr>
            <w:tcW w:w="1280" w:type="dxa"/>
            <w:tcBorders>
              <w:top w:val="single" w:sz="2" w:space="0" w:color="000000"/>
            </w:tcBorders>
          </w:tcPr>
          <w:p>
            <w:pPr>
              <w:pStyle w:val="TableParagraph"/>
              <w:rPr>
                <w:sz w:val="18"/>
              </w:rPr>
            </w:pPr>
          </w:p>
          <w:p>
            <w:pPr>
              <w:pStyle w:val="TableParagraph"/>
              <w:spacing w:before="143"/>
              <w:ind w:left="609"/>
              <w:rPr>
                <w:sz w:val="16"/>
              </w:rPr>
            </w:pPr>
            <w:r>
              <w:rPr>
                <w:w w:val="120"/>
                <w:sz w:val="16"/>
              </w:rPr>
              <w:t>$.67</w:t>
            </w:r>
          </w:p>
        </w:tc>
        <w:tc>
          <w:tcPr>
            <w:tcW w:w="1354" w:type="dxa"/>
            <w:tcBorders>
              <w:top w:val="single" w:sz="2" w:space="0" w:color="000000"/>
            </w:tcBorders>
          </w:tcPr>
          <w:p>
            <w:pPr>
              <w:pStyle w:val="TableParagraph"/>
              <w:rPr>
                <w:sz w:val="18"/>
              </w:rPr>
            </w:pPr>
          </w:p>
          <w:p>
            <w:pPr>
              <w:pStyle w:val="TableParagraph"/>
              <w:spacing w:before="143"/>
              <w:ind w:left="649"/>
              <w:rPr>
                <w:sz w:val="16"/>
              </w:rPr>
            </w:pPr>
            <w:r>
              <w:rPr>
                <w:w w:val="120"/>
                <w:sz w:val="16"/>
              </w:rPr>
              <w:t>$.84</w:t>
            </w:r>
          </w:p>
        </w:tc>
        <w:tc>
          <w:tcPr>
            <w:tcW w:w="1460" w:type="dxa"/>
            <w:tcBorders>
              <w:top w:val="single" w:sz="2" w:space="0" w:color="000000"/>
            </w:tcBorders>
          </w:tcPr>
          <w:p>
            <w:pPr>
              <w:pStyle w:val="TableParagraph"/>
              <w:rPr>
                <w:sz w:val="18"/>
              </w:rPr>
            </w:pPr>
          </w:p>
          <w:p>
            <w:pPr>
              <w:pStyle w:val="TableParagraph"/>
              <w:spacing w:before="143"/>
              <w:ind w:right="407"/>
              <w:jc w:val="right"/>
              <w:rPr>
                <w:sz w:val="16"/>
              </w:rPr>
            </w:pPr>
            <w:r>
              <w:rPr>
                <w:w w:val="115"/>
                <w:sz w:val="16"/>
              </w:rPr>
              <w:t>$.63</w:t>
            </w:r>
          </w:p>
        </w:tc>
        <w:tc>
          <w:tcPr>
            <w:tcW w:w="1317" w:type="dxa"/>
            <w:tcBorders>
              <w:top w:val="single" w:sz="2" w:space="0" w:color="000000"/>
            </w:tcBorders>
          </w:tcPr>
          <w:p>
            <w:pPr>
              <w:pStyle w:val="TableParagraph"/>
              <w:rPr>
                <w:sz w:val="18"/>
              </w:rPr>
            </w:pPr>
          </w:p>
          <w:p>
            <w:pPr>
              <w:pStyle w:val="TableParagraph"/>
              <w:spacing w:before="143"/>
              <w:ind w:left="795"/>
              <w:rPr>
                <w:sz w:val="16"/>
              </w:rPr>
            </w:pPr>
            <w:r>
              <w:rPr>
                <w:w w:val="120"/>
                <w:sz w:val="16"/>
              </w:rPr>
              <w:t>$.58</w:t>
            </w:r>
          </w:p>
        </w:tc>
      </w:tr>
      <w:tr>
        <w:trPr>
          <w:trHeight w:val="220" w:hRule="exact"/>
        </w:trPr>
        <w:tc>
          <w:tcPr>
            <w:tcW w:w="3073" w:type="dxa"/>
          </w:tcPr>
          <w:p>
            <w:pPr>
              <w:pStyle w:val="TableParagraph"/>
              <w:spacing w:before="13"/>
              <w:ind w:left="32"/>
              <w:rPr>
                <w:sz w:val="16"/>
              </w:rPr>
            </w:pPr>
            <w:r>
              <w:rPr>
                <w:w w:val="105"/>
                <w:sz w:val="16"/>
              </w:rPr>
              <w:t>Net  income  per  share,  diluted .................</w:t>
            </w:r>
          </w:p>
        </w:tc>
        <w:tc>
          <w:tcPr>
            <w:tcW w:w="1330" w:type="dxa"/>
          </w:tcPr>
          <w:p>
            <w:pPr>
              <w:pStyle w:val="TableParagraph"/>
              <w:spacing w:before="13"/>
              <w:ind w:left="659"/>
              <w:rPr>
                <w:sz w:val="16"/>
              </w:rPr>
            </w:pPr>
            <w:r>
              <w:rPr>
                <w:w w:val="120"/>
                <w:sz w:val="16"/>
              </w:rPr>
              <w:t>$.30</w:t>
            </w:r>
          </w:p>
        </w:tc>
        <w:tc>
          <w:tcPr>
            <w:tcW w:w="1280" w:type="dxa"/>
          </w:tcPr>
          <w:p>
            <w:pPr>
              <w:pStyle w:val="TableParagraph"/>
              <w:spacing w:before="13"/>
              <w:ind w:left="609"/>
              <w:rPr>
                <w:sz w:val="16"/>
              </w:rPr>
            </w:pPr>
            <w:r>
              <w:rPr>
                <w:w w:val="120"/>
                <w:sz w:val="16"/>
              </w:rPr>
              <w:t>$.63</w:t>
            </w:r>
          </w:p>
        </w:tc>
        <w:tc>
          <w:tcPr>
            <w:tcW w:w="1354" w:type="dxa"/>
          </w:tcPr>
          <w:p>
            <w:pPr>
              <w:pStyle w:val="TableParagraph"/>
              <w:spacing w:before="10"/>
              <w:ind w:right="222"/>
              <w:jc w:val="right"/>
              <w:rPr>
                <w:sz w:val="10"/>
              </w:rPr>
            </w:pPr>
            <w:r>
              <w:rPr>
                <w:w w:val="115"/>
                <w:sz w:val="16"/>
              </w:rPr>
              <w:t>$.79 </w:t>
            </w:r>
            <w:r>
              <w:rPr>
                <w:w w:val="115"/>
                <w:position w:val="6"/>
                <w:sz w:val="10"/>
              </w:rPr>
              <w:t>(3)</w:t>
            </w:r>
          </w:p>
        </w:tc>
        <w:tc>
          <w:tcPr>
            <w:tcW w:w="1460" w:type="dxa"/>
          </w:tcPr>
          <w:p>
            <w:pPr>
              <w:pStyle w:val="TableParagraph"/>
              <w:spacing w:before="13"/>
              <w:ind w:right="407"/>
              <w:jc w:val="right"/>
              <w:rPr>
                <w:sz w:val="16"/>
              </w:rPr>
            </w:pPr>
            <w:r>
              <w:rPr>
                <w:w w:val="115"/>
                <w:sz w:val="16"/>
              </w:rPr>
              <w:t>$.59</w:t>
            </w:r>
          </w:p>
        </w:tc>
        <w:tc>
          <w:tcPr>
            <w:tcW w:w="1317" w:type="dxa"/>
          </w:tcPr>
          <w:p>
            <w:pPr>
              <w:pStyle w:val="TableParagraph"/>
              <w:spacing w:before="13"/>
              <w:ind w:left="795"/>
              <w:rPr>
                <w:sz w:val="16"/>
              </w:rPr>
            </w:pPr>
            <w:r>
              <w:rPr>
                <w:w w:val="120"/>
                <w:sz w:val="16"/>
              </w:rPr>
              <w:t>$.55</w:t>
            </w:r>
          </w:p>
        </w:tc>
      </w:tr>
      <w:tr>
        <w:trPr>
          <w:trHeight w:val="223" w:hRule="exact"/>
        </w:trPr>
        <w:tc>
          <w:tcPr>
            <w:tcW w:w="3073" w:type="dxa"/>
          </w:tcPr>
          <w:p>
            <w:pPr>
              <w:pStyle w:val="TableParagraph"/>
              <w:spacing w:before="13"/>
              <w:ind w:left="32"/>
              <w:rPr>
                <w:sz w:val="16"/>
              </w:rPr>
            </w:pPr>
            <w:r>
              <w:rPr>
                <w:w w:val="110"/>
                <w:sz w:val="16"/>
              </w:rPr>
              <w:t>Cash dividends per common  share  ........</w:t>
            </w:r>
          </w:p>
        </w:tc>
        <w:tc>
          <w:tcPr>
            <w:tcW w:w="1330" w:type="dxa"/>
          </w:tcPr>
          <w:p>
            <w:pPr>
              <w:pStyle w:val="TableParagraph"/>
              <w:spacing w:before="13"/>
              <w:ind w:left="479"/>
              <w:rPr>
                <w:sz w:val="16"/>
              </w:rPr>
            </w:pPr>
            <w:r>
              <w:rPr>
                <w:w w:val="120"/>
                <w:sz w:val="16"/>
              </w:rPr>
              <w:t>$.0180</w:t>
            </w:r>
          </w:p>
        </w:tc>
        <w:tc>
          <w:tcPr>
            <w:tcW w:w="1280" w:type="dxa"/>
          </w:tcPr>
          <w:p>
            <w:pPr>
              <w:pStyle w:val="TableParagraph"/>
              <w:spacing w:before="13"/>
              <w:ind w:left="429"/>
              <w:rPr>
                <w:sz w:val="16"/>
              </w:rPr>
            </w:pPr>
            <w:r>
              <w:rPr>
                <w:w w:val="120"/>
                <w:sz w:val="16"/>
              </w:rPr>
              <w:t>$.0180</w:t>
            </w:r>
          </w:p>
        </w:tc>
        <w:tc>
          <w:tcPr>
            <w:tcW w:w="1354" w:type="dxa"/>
          </w:tcPr>
          <w:p>
            <w:pPr>
              <w:pStyle w:val="TableParagraph"/>
              <w:spacing w:before="10"/>
              <w:ind w:right="222"/>
              <w:jc w:val="right"/>
              <w:rPr>
                <w:sz w:val="10"/>
              </w:rPr>
            </w:pPr>
            <w:r>
              <w:rPr>
                <w:w w:val="115"/>
                <w:sz w:val="16"/>
              </w:rPr>
              <w:t>$.0147</w:t>
            </w:r>
            <w:r>
              <w:rPr>
                <w:w w:val="115"/>
                <w:position w:val="6"/>
                <w:sz w:val="10"/>
              </w:rPr>
              <w:t>(3)</w:t>
            </w:r>
          </w:p>
        </w:tc>
        <w:tc>
          <w:tcPr>
            <w:tcW w:w="1460" w:type="dxa"/>
          </w:tcPr>
          <w:p>
            <w:pPr>
              <w:pStyle w:val="TableParagraph"/>
              <w:spacing w:before="13"/>
              <w:ind w:left="555"/>
              <w:rPr>
                <w:sz w:val="16"/>
              </w:rPr>
            </w:pPr>
            <w:r>
              <w:rPr>
                <w:w w:val="120"/>
                <w:sz w:val="16"/>
              </w:rPr>
              <w:t>$.0143</w:t>
            </w:r>
          </w:p>
        </w:tc>
        <w:tc>
          <w:tcPr>
            <w:tcW w:w="1317" w:type="dxa"/>
          </w:tcPr>
          <w:p>
            <w:pPr>
              <w:pStyle w:val="TableParagraph"/>
              <w:spacing w:before="13"/>
              <w:ind w:left="615"/>
              <w:rPr>
                <w:sz w:val="16"/>
              </w:rPr>
            </w:pPr>
            <w:r>
              <w:rPr>
                <w:w w:val="120"/>
                <w:sz w:val="16"/>
              </w:rPr>
              <w:t>$.0126</w:t>
            </w:r>
          </w:p>
        </w:tc>
      </w:tr>
      <w:tr>
        <w:trPr>
          <w:trHeight w:val="220" w:hRule="exact"/>
        </w:trPr>
        <w:tc>
          <w:tcPr>
            <w:tcW w:w="3073" w:type="dxa"/>
          </w:tcPr>
          <w:p>
            <w:pPr>
              <w:pStyle w:val="TableParagraph"/>
              <w:spacing w:before="10"/>
              <w:ind w:left="32"/>
              <w:rPr>
                <w:sz w:val="16"/>
              </w:rPr>
            </w:pPr>
            <w:r>
              <w:rPr>
                <w:w w:val="110"/>
                <w:sz w:val="16"/>
              </w:rPr>
              <w:t>Total  assets  at  </w:t>
            </w:r>
            <w:r>
              <w:rPr>
                <w:spacing w:val="-6"/>
                <w:w w:val="110"/>
                <w:sz w:val="16"/>
              </w:rPr>
              <w:t>period-end........................</w:t>
            </w:r>
          </w:p>
        </w:tc>
        <w:tc>
          <w:tcPr>
            <w:tcW w:w="1330" w:type="dxa"/>
          </w:tcPr>
          <w:p>
            <w:pPr>
              <w:pStyle w:val="TableParagraph"/>
              <w:spacing w:before="10"/>
              <w:ind w:left="139"/>
              <w:rPr>
                <w:sz w:val="16"/>
              </w:rPr>
            </w:pPr>
            <w:r>
              <w:rPr>
                <w:w w:val="120"/>
                <w:sz w:val="16"/>
              </w:rPr>
              <w:t>$8,953,750</w:t>
            </w:r>
          </w:p>
        </w:tc>
        <w:tc>
          <w:tcPr>
            <w:tcW w:w="1280" w:type="dxa"/>
          </w:tcPr>
          <w:p>
            <w:pPr>
              <w:pStyle w:val="TableParagraph"/>
              <w:spacing w:before="10"/>
              <w:ind w:left="89"/>
              <w:rPr>
                <w:sz w:val="16"/>
              </w:rPr>
            </w:pPr>
            <w:r>
              <w:rPr>
                <w:w w:val="120"/>
                <w:sz w:val="16"/>
              </w:rPr>
              <w:t>$8,997,141</w:t>
            </w:r>
          </w:p>
        </w:tc>
        <w:tc>
          <w:tcPr>
            <w:tcW w:w="1354" w:type="dxa"/>
          </w:tcPr>
          <w:p>
            <w:pPr>
              <w:pStyle w:val="TableParagraph"/>
              <w:spacing w:before="10"/>
              <w:ind w:left="129"/>
              <w:rPr>
                <w:sz w:val="16"/>
              </w:rPr>
            </w:pPr>
            <w:r>
              <w:rPr>
                <w:w w:val="120"/>
                <w:sz w:val="16"/>
              </w:rPr>
              <w:t>$6,669,572</w:t>
            </w:r>
          </w:p>
        </w:tc>
        <w:tc>
          <w:tcPr>
            <w:tcW w:w="1460" w:type="dxa"/>
          </w:tcPr>
          <w:p>
            <w:pPr>
              <w:pStyle w:val="TableParagraph"/>
              <w:spacing w:before="10"/>
              <w:ind w:left="215"/>
              <w:rPr>
                <w:sz w:val="16"/>
              </w:rPr>
            </w:pPr>
            <w:r>
              <w:rPr>
                <w:w w:val="120"/>
                <w:sz w:val="16"/>
              </w:rPr>
              <w:t>$5,653,703</w:t>
            </w:r>
          </w:p>
        </w:tc>
        <w:tc>
          <w:tcPr>
            <w:tcW w:w="1317" w:type="dxa"/>
          </w:tcPr>
          <w:p>
            <w:pPr>
              <w:pStyle w:val="TableParagraph"/>
              <w:spacing w:before="10"/>
              <w:ind w:left="275"/>
              <w:rPr>
                <w:sz w:val="16"/>
              </w:rPr>
            </w:pPr>
            <w:r>
              <w:rPr>
                <w:w w:val="120"/>
                <w:sz w:val="16"/>
              </w:rPr>
              <w:t>$4,715,996</w:t>
            </w:r>
          </w:p>
        </w:tc>
      </w:tr>
      <w:tr>
        <w:trPr>
          <w:trHeight w:val="220" w:hRule="exact"/>
        </w:trPr>
        <w:tc>
          <w:tcPr>
            <w:tcW w:w="3073" w:type="dxa"/>
          </w:tcPr>
          <w:p>
            <w:pPr>
              <w:pStyle w:val="TableParagraph"/>
              <w:spacing w:before="10"/>
              <w:ind w:left="32"/>
              <w:rPr>
                <w:sz w:val="16"/>
              </w:rPr>
            </w:pPr>
            <w:r>
              <w:rPr>
                <w:w w:val="105"/>
                <w:sz w:val="16"/>
              </w:rPr>
              <w:t>Long-term  obligations   at   period-end ......</w:t>
            </w:r>
          </w:p>
        </w:tc>
        <w:tc>
          <w:tcPr>
            <w:tcW w:w="1330" w:type="dxa"/>
          </w:tcPr>
          <w:p>
            <w:pPr>
              <w:pStyle w:val="TableParagraph"/>
              <w:spacing w:before="10"/>
              <w:ind w:left="139"/>
              <w:rPr>
                <w:sz w:val="16"/>
              </w:rPr>
            </w:pPr>
            <w:r>
              <w:rPr>
                <w:w w:val="120"/>
                <w:sz w:val="16"/>
              </w:rPr>
              <w:t>$1,552,781</w:t>
            </w:r>
          </w:p>
        </w:tc>
        <w:tc>
          <w:tcPr>
            <w:tcW w:w="1280" w:type="dxa"/>
          </w:tcPr>
          <w:p>
            <w:pPr>
              <w:pStyle w:val="TableParagraph"/>
              <w:spacing w:before="10"/>
              <w:ind w:left="89"/>
              <w:rPr>
                <w:sz w:val="16"/>
              </w:rPr>
            </w:pPr>
            <w:r>
              <w:rPr>
                <w:w w:val="120"/>
                <w:sz w:val="16"/>
              </w:rPr>
              <w:t>$1,327,158</w:t>
            </w:r>
          </w:p>
        </w:tc>
        <w:tc>
          <w:tcPr>
            <w:tcW w:w="1354" w:type="dxa"/>
          </w:tcPr>
          <w:p>
            <w:pPr>
              <w:pStyle w:val="TableParagraph"/>
              <w:spacing w:before="10"/>
              <w:ind w:left="269"/>
              <w:rPr>
                <w:sz w:val="16"/>
              </w:rPr>
            </w:pPr>
            <w:r>
              <w:rPr>
                <w:w w:val="120"/>
                <w:sz w:val="16"/>
              </w:rPr>
              <w:t>$760,992</w:t>
            </w:r>
          </w:p>
        </w:tc>
        <w:tc>
          <w:tcPr>
            <w:tcW w:w="1460" w:type="dxa"/>
          </w:tcPr>
          <w:p>
            <w:pPr>
              <w:pStyle w:val="TableParagraph"/>
              <w:spacing w:before="10"/>
              <w:ind w:left="355"/>
              <w:rPr>
                <w:sz w:val="16"/>
              </w:rPr>
            </w:pPr>
            <w:r>
              <w:rPr>
                <w:w w:val="120"/>
                <w:sz w:val="16"/>
              </w:rPr>
              <w:t>$871,717</w:t>
            </w:r>
          </w:p>
        </w:tc>
        <w:tc>
          <w:tcPr>
            <w:tcW w:w="1317" w:type="dxa"/>
          </w:tcPr>
          <w:p>
            <w:pPr>
              <w:pStyle w:val="TableParagraph"/>
              <w:spacing w:before="10"/>
              <w:ind w:left="415"/>
              <w:rPr>
                <w:sz w:val="16"/>
              </w:rPr>
            </w:pPr>
            <w:r>
              <w:rPr>
                <w:w w:val="120"/>
                <w:sz w:val="16"/>
              </w:rPr>
              <w:t>$623,309</w:t>
            </w:r>
          </w:p>
        </w:tc>
      </w:tr>
      <w:tr>
        <w:trPr>
          <w:trHeight w:val="332" w:hRule="exact"/>
        </w:trPr>
        <w:tc>
          <w:tcPr>
            <w:tcW w:w="3073" w:type="dxa"/>
          </w:tcPr>
          <w:p>
            <w:pPr>
              <w:pStyle w:val="TableParagraph"/>
              <w:spacing w:before="10"/>
              <w:ind w:left="32"/>
              <w:rPr>
                <w:sz w:val="16"/>
              </w:rPr>
            </w:pPr>
            <w:r>
              <w:rPr>
                <w:w w:val="105"/>
                <w:sz w:val="16"/>
              </w:rPr>
              <w:t>Stockholders’   equity   at   period-end........</w:t>
            </w:r>
          </w:p>
        </w:tc>
        <w:tc>
          <w:tcPr>
            <w:tcW w:w="1330" w:type="dxa"/>
          </w:tcPr>
          <w:p>
            <w:pPr>
              <w:pStyle w:val="TableParagraph"/>
              <w:spacing w:before="10"/>
              <w:ind w:left="139"/>
              <w:rPr>
                <w:sz w:val="16"/>
              </w:rPr>
            </w:pPr>
            <w:r>
              <w:rPr>
                <w:w w:val="120"/>
                <w:sz w:val="16"/>
              </w:rPr>
              <w:t>$4,421,617</w:t>
            </w:r>
          </w:p>
        </w:tc>
        <w:tc>
          <w:tcPr>
            <w:tcW w:w="1280" w:type="dxa"/>
          </w:tcPr>
          <w:p>
            <w:pPr>
              <w:pStyle w:val="TableParagraph"/>
              <w:spacing w:before="10"/>
              <w:ind w:left="89"/>
              <w:rPr>
                <w:sz w:val="16"/>
              </w:rPr>
            </w:pPr>
            <w:r>
              <w:rPr>
                <w:w w:val="120"/>
                <w:sz w:val="16"/>
              </w:rPr>
              <w:t>$4,014,053</w:t>
            </w:r>
          </w:p>
        </w:tc>
        <w:tc>
          <w:tcPr>
            <w:tcW w:w="1354" w:type="dxa"/>
          </w:tcPr>
          <w:p>
            <w:pPr>
              <w:pStyle w:val="TableParagraph"/>
              <w:spacing w:before="10"/>
              <w:ind w:left="129"/>
              <w:rPr>
                <w:sz w:val="16"/>
              </w:rPr>
            </w:pPr>
            <w:r>
              <w:rPr>
                <w:w w:val="120"/>
                <w:sz w:val="16"/>
              </w:rPr>
              <w:t>$3,451,320</w:t>
            </w:r>
          </w:p>
        </w:tc>
        <w:tc>
          <w:tcPr>
            <w:tcW w:w="1460" w:type="dxa"/>
          </w:tcPr>
          <w:p>
            <w:pPr>
              <w:pStyle w:val="TableParagraph"/>
              <w:spacing w:before="10"/>
              <w:ind w:left="215"/>
              <w:rPr>
                <w:sz w:val="16"/>
              </w:rPr>
            </w:pPr>
            <w:r>
              <w:rPr>
                <w:w w:val="120"/>
                <w:sz w:val="16"/>
              </w:rPr>
              <w:t>$2,835,788</w:t>
            </w:r>
          </w:p>
        </w:tc>
        <w:tc>
          <w:tcPr>
            <w:tcW w:w="1317" w:type="dxa"/>
          </w:tcPr>
          <w:p>
            <w:pPr>
              <w:pStyle w:val="TableParagraph"/>
              <w:spacing w:before="10"/>
              <w:ind w:left="275"/>
              <w:rPr>
                <w:sz w:val="16"/>
              </w:rPr>
            </w:pPr>
            <w:r>
              <w:rPr>
                <w:w w:val="120"/>
                <w:sz w:val="16"/>
              </w:rPr>
              <w:t>$2,397,918</w:t>
            </w:r>
          </w:p>
        </w:tc>
      </w:tr>
      <w:tr>
        <w:trPr>
          <w:trHeight w:val="548" w:hRule="exact"/>
        </w:trPr>
        <w:tc>
          <w:tcPr>
            <w:tcW w:w="3073" w:type="dxa"/>
          </w:tcPr>
          <w:p>
            <w:pPr>
              <w:pStyle w:val="TableParagraph"/>
              <w:spacing w:before="124"/>
              <w:ind w:left="32"/>
              <w:rPr>
                <w:rFonts w:ascii="Franklin Gothic Medium"/>
                <w:sz w:val="16"/>
              </w:rPr>
            </w:pPr>
            <w:r>
              <w:rPr>
                <w:rFonts w:ascii="Franklin Gothic Medium"/>
                <w:sz w:val="16"/>
              </w:rPr>
              <w:t>Operating  Data:</w:t>
            </w:r>
          </w:p>
          <w:p>
            <w:pPr>
              <w:pStyle w:val="TableParagraph"/>
              <w:spacing w:before="32"/>
              <w:ind w:left="32"/>
              <w:rPr>
                <w:sz w:val="16"/>
              </w:rPr>
            </w:pPr>
            <w:r>
              <w:rPr>
                <w:w w:val="110"/>
                <w:sz w:val="16"/>
              </w:rPr>
              <w:t>Revenue  passengers  carried ....................</w:t>
            </w:r>
          </w:p>
        </w:tc>
        <w:tc>
          <w:tcPr>
            <w:tcW w:w="1330" w:type="dxa"/>
          </w:tcPr>
          <w:p>
            <w:pPr>
              <w:pStyle w:val="TableParagraph"/>
              <w:rPr>
                <w:sz w:val="18"/>
              </w:rPr>
            </w:pPr>
          </w:p>
          <w:p>
            <w:pPr>
              <w:pStyle w:val="TableParagraph"/>
              <w:spacing w:before="119"/>
              <w:ind w:left="139"/>
              <w:rPr>
                <w:sz w:val="16"/>
              </w:rPr>
            </w:pPr>
            <w:r>
              <w:rPr>
                <w:w w:val="120"/>
                <w:sz w:val="16"/>
              </w:rPr>
              <w:t>63,045,988</w:t>
            </w:r>
          </w:p>
        </w:tc>
        <w:tc>
          <w:tcPr>
            <w:tcW w:w="1280" w:type="dxa"/>
          </w:tcPr>
          <w:p>
            <w:pPr>
              <w:pStyle w:val="TableParagraph"/>
              <w:rPr>
                <w:sz w:val="18"/>
              </w:rPr>
            </w:pPr>
          </w:p>
          <w:p>
            <w:pPr>
              <w:pStyle w:val="TableParagraph"/>
              <w:spacing w:before="119"/>
              <w:ind w:left="89"/>
              <w:rPr>
                <w:sz w:val="16"/>
              </w:rPr>
            </w:pPr>
            <w:r>
              <w:rPr>
                <w:w w:val="120"/>
                <w:sz w:val="16"/>
              </w:rPr>
              <w:t>64,446,773</w:t>
            </w:r>
          </w:p>
        </w:tc>
        <w:tc>
          <w:tcPr>
            <w:tcW w:w="1354" w:type="dxa"/>
          </w:tcPr>
          <w:p>
            <w:pPr>
              <w:pStyle w:val="TableParagraph"/>
              <w:rPr>
                <w:sz w:val="18"/>
              </w:rPr>
            </w:pPr>
          </w:p>
          <w:p>
            <w:pPr>
              <w:pStyle w:val="TableParagraph"/>
              <w:spacing w:before="119"/>
              <w:ind w:left="129"/>
              <w:rPr>
                <w:sz w:val="16"/>
              </w:rPr>
            </w:pPr>
            <w:r>
              <w:rPr>
                <w:w w:val="120"/>
                <w:sz w:val="16"/>
              </w:rPr>
              <w:t>63,678,261</w:t>
            </w:r>
          </w:p>
        </w:tc>
        <w:tc>
          <w:tcPr>
            <w:tcW w:w="1460" w:type="dxa"/>
          </w:tcPr>
          <w:p>
            <w:pPr>
              <w:pStyle w:val="TableParagraph"/>
              <w:rPr>
                <w:sz w:val="18"/>
              </w:rPr>
            </w:pPr>
          </w:p>
          <w:p>
            <w:pPr>
              <w:pStyle w:val="TableParagraph"/>
              <w:spacing w:before="119"/>
              <w:ind w:left="215"/>
              <w:rPr>
                <w:sz w:val="16"/>
              </w:rPr>
            </w:pPr>
            <w:r>
              <w:rPr>
                <w:w w:val="120"/>
                <w:sz w:val="16"/>
              </w:rPr>
              <w:t>57,500,213</w:t>
            </w:r>
          </w:p>
        </w:tc>
        <w:tc>
          <w:tcPr>
            <w:tcW w:w="1317" w:type="dxa"/>
          </w:tcPr>
          <w:p>
            <w:pPr>
              <w:pStyle w:val="TableParagraph"/>
              <w:rPr>
                <w:sz w:val="18"/>
              </w:rPr>
            </w:pPr>
          </w:p>
          <w:p>
            <w:pPr>
              <w:pStyle w:val="TableParagraph"/>
              <w:spacing w:before="119"/>
              <w:ind w:left="275"/>
              <w:rPr>
                <w:sz w:val="16"/>
              </w:rPr>
            </w:pPr>
            <w:r>
              <w:rPr>
                <w:w w:val="120"/>
                <w:sz w:val="16"/>
              </w:rPr>
              <w:t>52,586,400</w:t>
            </w:r>
          </w:p>
        </w:tc>
      </w:tr>
      <w:tr>
        <w:trPr>
          <w:trHeight w:val="440" w:hRule="exact"/>
        </w:trPr>
        <w:tc>
          <w:tcPr>
            <w:tcW w:w="3073" w:type="dxa"/>
          </w:tcPr>
          <w:p>
            <w:pPr>
              <w:pStyle w:val="TableParagraph"/>
              <w:spacing w:before="10"/>
              <w:ind w:left="32"/>
              <w:rPr>
                <w:sz w:val="16"/>
              </w:rPr>
            </w:pPr>
            <w:r>
              <w:rPr>
                <w:w w:val="110"/>
                <w:sz w:val="16"/>
              </w:rPr>
              <w:t>Revenue passenger miles</w:t>
            </w:r>
          </w:p>
          <w:p>
            <w:pPr>
              <w:pStyle w:val="TableParagraph"/>
              <w:spacing w:before="24"/>
              <w:ind w:left="164"/>
              <w:rPr>
                <w:sz w:val="16"/>
              </w:rPr>
            </w:pPr>
            <w:r>
              <w:rPr>
                <w:w w:val="115"/>
                <w:sz w:val="16"/>
              </w:rPr>
              <w:t>( RPMs)  (000s) </w:t>
            </w:r>
            <w:r>
              <w:rPr>
                <w:spacing w:val="-8"/>
                <w:w w:val="115"/>
                <w:sz w:val="16"/>
              </w:rPr>
              <w:t>..........................................</w:t>
            </w:r>
          </w:p>
        </w:tc>
        <w:tc>
          <w:tcPr>
            <w:tcW w:w="1330" w:type="dxa"/>
          </w:tcPr>
          <w:p>
            <w:pPr>
              <w:pStyle w:val="TableParagraph"/>
              <w:spacing w:before="11"/>
              <w:rPr>
                <w:sz w:val="18"/>
              </w:rPr>
            </w:pPr>
          </w:p>
          <w:p>
            <w:pPr>
              <w:pStyle w:val="TableParagraph"/>
              <w:ind w:left="139"/>
              <w:rPr>
                <w:sz w:val="16"/>
              </w:rPr>
            </w:pPr>
            <w:r>
              <w:rPr>
                <w:w w:val="120"/>
                <w:sz w:val="16"/>
              </w:rPr>
              <w:t>45,391,903</w:t>
            </w:r>
          </w:p>
        </w:tc>
        <w:tc>
          <w:tcPr>
            <w:tcW w:w="1280" w:type="dxa"/>
          </w:tcPr>
          <w:p>
            <w:pPr>
              <w:pStyle w:val="TableParagraph"/>
              <w:spacing w:before="11"/>
              <w:rPr>
                <w:sz w:val="18"/>
              </w:rPr>
            </w:pPr>
          </w:p>
          <w:p>
            <w:pPr>
              <w:pStyle w:val="TableParagraph"/>
              <w:ind w:left="89"/>
              <w:rPr>
                <w:sz w:val="16"/>
              </w:rPr>
            </w:pPr>
            <w:r>
              <w:rPr>
                <w:w w:val="120"/>
                <w:sz w:val="16"/>
              </w:rPr>
              <w:t>44,493,916</w:t>
            </w:r>
          </w:p>
        </w:tc>
        <w:tc>
          <w:tcPr>
            <w:tcW w:w="1354" w:type="dxa"/>
          </w:tcPr>
          <w:p>
            <w:pPr>
              <w:pStyle w:val="TableParagraph"/>
              <w:spacing w:before="11"/>
              <w:rPr>
                <w:sz w:val="18"/>
              </w:rPr>
            </w:pPr>
          </w:p>
          <w:p>
            <w:pPr>
              <w:pStyle w:val="TableParagraph"/>
              <w:ind w:left="129"/>
              <w:rPr>
                <w:sz w:val="16"/>
              </w:rPr>
            </w:pPr>
            <w:r>
              <w:rPr>
                <w:w w:val="120"/>
                <w:sz w:val="16"/>
              </w:rPr>
              <w:t>42,215,162</w:t>
            </w:r>
          </w:p>
        </w:tc>
        <w:tc>
          <w:tcPr>
            <w:tcW w:w="1460" w:type="dxa"/>
          </w:tcPr>
          <w:p>
            <w:pPr>
              <w:pStyle w:val="TableParagraph"/>
              <w:spacing w:before="11"/>
              <w:rPr>
                <w:sz w:val="18"/>
              </w:rPr>
            </w:pPr>
          </w:p>
          <w:p>
            <w:pPr>
              <w:pStyle w:val="TableParagraph"/>
              <w:ind w:left="215"/>
              <w:rPr>
                <w:sz w:val="16"/>
              </w:rPr>
            </w:pPr>
            <w:r>
              <w:rPr>
                <w:w w:val="120"/>
                <w:sz w:val="16"/>
              </w:rPr>
              <w:t>36,479,322</w:t>
            </w:r>
          </w:p>
        </w:tc>
        <w:tc>
          <w:tcPr>
            <w:tcW w:w="1317" w:type="dxa"/>
          </w:tcPr>
          <w:p>
            <w:pPr>
              <w:pStyle w:val="TableParagraph"/>
              <w:spacing w:before="11"/>
              <w:rPr>
                <w:sz w:val="18"/>
              </w:rPr>
            </w:pPr>
          </w:p>
          <w:p>
            <w:pPr>
              <w:pStyle w:val="TableParagraph"/>
              <w:ind w:left="275"/>
              <w:rPr>
                <w:sz w:val="16"/>
              </w:rPr>
            </w:pPr>
            <w:r>
              <w:rPr>
                <w:w w:val="120"/>
                <w:sz w:val="16"/>
              </w:rPr>
              <w:t>31,419,110</w:t>
            </w:r>
          </w:p>
        </w:tc>
      </w:tr>
      <w:tr>
        <w:trPr>
          <w:trHeight w:val="217" w:hRule="exact"/>
        </w:trPr>
        <w:tc>
          <w:tcPr>
            <w:tcW w:w="3073" w:type="dxa"/>
          </w:tcPr>
          <w:p>
            <w:pPr>
              <w:pStyle w:val="TableParagraph"/>
              <w:spacing w:before="10"/>
              <w:ind w:left="32"/>
              <w:rPr>
                <w:sz w:val="16"/>
              </w:rPr>
            </w:pPr>
            <w:r>
              <w:rPr>
                <w:w w:val="115"/>
                <w:sz w:val="16"/>
              </w:rPr>
              <w:t>Available seat miles (ASMs) (000s) ........</w:t>
            </w:r>
          </w:p>
        </w:tc>
        <w:tc>
          <w:tcPr>
            <w:tcW w:w="1330" w:type="dxa"/>
          </w:tcPr>
          <w:p>
            <w:pPr>
              <w:pStyle w:val="TableParagraph"/>
              <w:spacing w:before="10"/>
              <w:ind w:left="139"/>
              <w:rPr>
                <w:sz w:val="16"/>
              </w:rPr>
            </w:pPr>
            <w:r>
              <w:rPr>
                <w:w w:val="120"/>
                <w:sz w:val="16"/>
              </w:rPr>
              <w:t>68,886,546</w:t>
            </w:r>
          </w:p>
        </w:tc>
        <w:tc>
          <w:tcPr>
            <w:tcW w:w="1280" w:type="dxa"/>
          </w:tcPr>
          <w:p>
            <w:pPr>
              <w:pStyle w:val="TableParagraph"/>
              <w:spacing w:before="10"/>
              <w:ind w:left="89"/>
              <w:rPr>
                <w:sz w:val="16"/>
              </w:rPr>
            </w:pPr>
            <w:r>
              <w:rPr>
                <w:w w:val="120"/>
                <w:sz w:val="16"/>
              </w:rPr>
              <w:t>65,295,290</w:t>
            </w:r>
          </w:p>
        </w:tc>
        <w:tc>
          <w:tcPr>
            <w:tcW w:w="1354" w:type="dxa"/>
          </w:tcPr>
          <w:p>
            <w:pPr>
              <w:pStyle w:val="TableParagraph"/>
              <w:spacing w:before="10"/>
              <w:ind w:left="129"/>
              <w:rPr>
                <w:sz w:val="16"/>
              </w:rPr>
            </w:pPr>
            <w:r>
              <w:rPr>
                <w:w w:val="120"/>
                <w:sz w:val="16"/>
              </w:rPr>
              <w:t>59,909,965</w:t>
            </w:r>
          </w:p>
        </w:tc>
        <w:tc>
          <w:tcPr>
            <w:tcW w:w="1460" w:type="dxa"/>
          </w:tcPr>
          <w:p>
            <w:pPr>
              <w:pStyle w:val="TableParagraph"/>
              <w:spacing w:before="10"/>
              <w:ind w:left="215"/>
              <w:rPr>
                <w:sz w:val="16"/>
              </w:rPr>
            </w:pPr>
            <w:r>
              <w:rPr>
                <w:w w:val="120"/>
                <w:sz w:val="16"/>
              </w:rPr>
              <w:t>52,855,467</w:t>
            </w:r>
          </w:p>
        </w:tc>
        <w:tc>
          <w:tcPr>
            <w:tcW w:w="1317" w:type="dxa"/>
          </w:tcPr>
          <w:p>
            <w:pPr>
              <w:pStyle w:val="TableParagraph"/>
              <w:spacing w:before="10"/>
              <w:ind w:left="275"/>
              <w:rPr>
                <w:sz w:val="16"/>
              </w:rPr>
            </w:pPr>
            <w:r>
              <w:rPr>
                <w:w w:val="120"/>
                <w:sz w:val="16"/>
              </w:rPr>
              <w:t>47,543,515</w:t>
            </w:r>
          </w:p>
        </w:tc>
      </w:tr>
      <w:tr>
        <w:trPr>
          <w:trHeight w:val="223" w:hRule="exact"/>
        </w:trPr>
        <w:tc>
          <w:tcPr>
            <w:tcW w:w="3073" w:type="dxa"/>
          </w:tcPr>
          <w:p>
            <w:pPr>
              <w:pStyle w:val="TableParagraph"/>
              <w:spacing w:before="10"/>
              <w:ind w:left="32"/>
              <w:rPr>
                <w:sz w:val="16"/>
              </w:rPr>
            </w:pPr>
            <w:r>
              <w:rPr>
                <w:w w:val="110"/>
                <w:sz w:val="16"/>
              </w:rPr>
              <w:t>Load    </w:t>
            </w:r>
            <w:r>
              <w:rPr>
                <w:spacing w:val="3"/>
                <w:w w:val="110"/>
                <w:sz w:val="16"/>
              </w:rPr>
              <w:t>factor</w:t>
            </w:r>
            <w:r>
              <w:rPr>
                <w:spacing w:val="3"/>
                <w:w w:val="110"/>
                <w:position w:val="6"/>
                <w:sz w:val="10"/>
              </w:rPr>
              <w:t>(  </w:t>
            </w:r>
            <w:r>
              <w:rPr>
                <w:spacing w:val="-5"/>
                <w:w w:val="110"/>
                <w:position w:val="6"/>
                <w:sz w:val="10"/>
              </w:rPr>
              <w:t>1)  </w:t>
            </w:r>
            <w:r>
              <w:rPr>
                <w:spacing w:val="-8"/>
                <w:w w:val="110"/>
                <w:sz w:val="16"/>
              </w:rPr>
              <w:t>...............................................</w:t>
            </w:r>
          </w:p>
        </w:tc>
        <w:tc>
          <w:tcPr>
            <w:tcW w:w="1330" w:type="dxa"/>
          </w:tcPr>
          <w:p>
            <w:pPr>
              <w:pStyle w:val="TableParagraph"/>
              <w:spacing w:before="13"/>
              <w:ind w:right="199"/>
              <w:jc w:val="right"/>
              <w:rPr>
                <w:sz w:val="16"/>
              </w:rPr>
            </w:pPr>
            <w:r>
              <w:rPr>
                <w:w w:val="110"/>
                <w:sz w:val="16"/>
              </w:rPr>
              <w:t>65.9%</w:t>
            </w:r>
          </w:p>
        </w:tc>
        <w:tc>
          <w:tcPr>
            <w:tcW w:w="1280" w:type="dxa"/>
          </w:tcPr>
          <w:p>
            <w:pPr>
              <w:pStyle w:val="TableParagraph"/>
              <w:spacing w:before="13"/>
              <w:ind w:right="219"/>
              <w:jc w:val="right"/>
              <w:rPr>
                <w:sz w:val="16"/>
              </w:rPr>
            </w:pPr>
            <w:r>
              <w:rPr>
                <w:w w:val="110"/>
                <w:sz w:val="16"/>
              </w:rPr>
              <w:t>68.1%</w:t>
            </w:r>
          </w:p>
        </w:tc>
        <w:tc>
          <w:tcPr>
            <w:tcW w:w="1354" w:type="dxa"/>
          </w:tcPr>
          <w:p>
            <w:pPr>
              <w:pStyle w:val="TableParagraph"/>
              <w:spacing w:before="13"/>
              <w:ind w:right="213"/>
              <w:jc w:val="right"/>
              <w:rPr>
                <w:sz w:val="16"/>
              </w:rPr>
            </w:pPr>
            <w:r>
              <w:rPr>
                <w:w w:val="110"/>
                <w:sz w:val="16"/>
              </w:rPr>
              <w:t>70.5%</w:t>
            </w:r>
          </w:p>
        </w:tc>
        <w:tc>
          <w:tcPr>
            <w:tcW w:w="1460" w:type="dxa"/>
          </w:tcPr>
          <w:p>
            <w:pPr>
              <w:pStyle w:val="TableParagraph"/>
              <w:spacing w:before="13"/>
              <w:ind w:right="273"/>
              <w:jc w:val="right"/>
              <w:rPr>
                <w:sz w:val="16"/>
              </w:rPr>
            </w:pPr>
            <w:r>
              <w:rPr>
                <w:w w:val="110"/>
                <w:sz w:val="16"/>
              </w:rPr>
              <w:t>69.0%</w:t>
            </w:r>
          </w:p>
        </w:tc>
        <w:tc>
          <w:tcPr>
            <w:tcW w:w="1317" w:type="dxa"/>
          </w:tcPr>
          <w:p>
            <w:pPr>
              <w:pStyle w:val="TableParagraph"/>
              <w:spacing w:before="13"/>
              <w:ind w:right="30"/>
              <w:jc w:val="right"/>
              <w:rPr>
                <w:sz w:val="16"/>
              </w:rPr>
            </w:pPr>
            <w:r>
              <w:rPr>
                <w:w w:val="110"/>
                <w:sz w:val="16"/>
              </w:rPr>
              <w:t>66.1%</w:t>
            </w:r>
          </w:p>
        </w:tc>
      </w:tr>
      <w:tr>
        <w:trPr>
          <w:trHeight w:val="440" w:hRule="exact"/>
        </w:trPr>
        <w:tc>
          <w:tcPr>
            <w:tcW w:w="3073" w:type="dxa"/>
          </w:tcPr>
          <w:p>
            <w:pPr>
              <w:pStyle w:val="TableParagraph"/>
              <w:spacing w:before="10"/>
              <w:ind w:left="32"/>
              <w:rPr>
                <w:sz w:val="16"/>
              </w:rPr>
            </w:pPr>
            <w:r>
              <w:rPr>
                <w:w w:val="105"/>
                <w:sz w:val="16"/>
              </w:rPr>
              <w:t>Average  length  of  passenger</w:t>
            </w:r>
          </w:p>
          <w:p>
            <w:pPr>
              <w:pStyle w:val="TableParagraph"/>
              <w:spacing w:before="24"/>
              <w:ind w:left="199"/>
              <w:rPr>
                <w:sz w:val="16"/>
              </w:rPr>
            </w:pPr>
            <w:r>
              <w:rPr>
                <w:w w:val="110"/>
                <w:sz w:val="16"/>
              </w:rPr>
              <w:t>haul    (miles) </w:t>
            </w:r>
            <w:r>
              <w:rPr>
                <w:spacing w:val="-8"/>
                <w:w w:val="110"/>
                <w:sz w:val="16"/>
              </w:rPr>
              <w:t>...............................................</w:t>
            </w:r>
          </w:p>
        </w:tc>
        <w:tc>
          <w:tcPr>
            <w:tcW w:w="1330" w:type="dxa"/>
          </w:tcPr>
          <w:p>
            <w:pPr>
              <w:pStyle w:val="TableParagraph"/>
              <w:spacing w:before="11"/>
              <w:rPr>
                <w:sz w:val="18"/>
              </w:rPr>
            </w:pPr>
          </w:p>
          <w:p>
            <w:pPr>
              <w:pStyle w:val="TableParagraph"/>
              <w:ind w:left="719"/>
              <w:rPr>
                <w:sz w:val="16"/>
              </w:rPr>
            </w:pPr>
            <w:r>
              <w:rPr>
                <w:w w:val="120"/>
                <w:sz w:val="16"/>
              </w:rPr>
              <w:t>720</w:t>
            </w:r>
          </w:p>
        </w:tc>
        <w:tc>
          <w:tcPr>
            <w:tcW w:w="1280" w:type="dxa"/>
          </w:tcPr>
          <w:p>
            <w:pPr>
              <w:pStyle w:val="TableParagraph"/>
              <w:spacing w:before="11"/>
              <w:rPr>
                <w:sz w:val="18"/>
              </w:rPr>
            </w:pPr>
          </w:p>
          <w:p>
            <w:pPr>
              <w:pStyle w:val="TableParagraph"/>
              <w:ind w:left="669"/>
              <w:rPr>
                <w:sz w:val="16"/>
              </w:rPr>
            </w:pPr>
            <w:r>
              <w:rPr>
                <w:w w:val="120"/>
                <w:sz w:val="16"/>
              </w:rPr>
              <w:t>690</w:t>
            </w:r>
          </w:p>
        </w:tc>
        <w:tc>
          <w:tcPr>
            <w:tcW w:w="1354" w:type="dxa"/>
          </w:tcPr>
          <w:p>
            <w:pPr>
              <w:pStyle w:val="TableParagraph"/>
              <w:spacing w:before="11"/>
              <w:rPr>
                <w:sz w:val="18"/>
              </w:rPr>
            </w:pPr>
          </w:p>
          <w:p>
            <w:pPr>
              <w:pStyle w:val="TableParagraph"/>
              <w:ind w:left="729"/>
              <w:rPr>
                <w:sz w:val="16"/>
              </w:rPr>
            </w:pPr>
            <w:r>
              <w:rPr>
                <w:w w:val="120"/>
                <w:sz w:val="16"/>
              </w:rPr>
              <w:t>663</w:t>
            </w:r>
          </w:p>
        </w:tc>
        <w:tc>
          <w:tcPr>
            <w:tcW w:w="1460" w:type="dxa"/>
          </w:tcPr>
          <w:p>
            <w:pPr>
              <w:pStyle w:val="TableParagraph"/>
              <w:spacing w:before="11"/>
              <w:rPr>
                <w:sz w:val="18"/>
              </w:rPr>
            </w:pPr>
          </w:p>
          <w:p>
            <w:pPr>
              <w:pStyle w:val="TableParagraph"/>
              <w:ind w:right="385"/>
              <w:jc w:val="right"/>
              <w:rPr>
                <w:sz w:val="16"/>
              </w:rPr>
            </w:pPr>
            <w:r>
              <w:rPr>
                <w:w w:val="115"/>
                <w:sz w:val="16"/>
              </w:rPr>
              <w:t>634</w:t>
            </w:r>
          </w:p>
        </w:tc>
        <w:tc>
          <w:tcPr>
            <w:tcW w:w="1317" w:type="dxa"/>
          </w:tcPr>
          <w:p>
            <w:pPr>
              <w:pStyle w:val="TableParagraph"/>
              <w:spacing w:before="11"/>
              <w:rPr>
                <w:sz w:val="18"/>
              </w:rPr>
            </w:pPr>
          </w:p>
          <w:p>
            <w:pPr>
              <w:pStyle w:val="TableParagraph"/>
              <w:ind w:right="142"/>
              <w:jc w:val="right"/>
              <w:rPr>
                <w:sz w:val="16"/>
              </w:rPr>
            </w:pPr>
            <w:r>
              <w:rPr>
                <w:w w:val="115"/>
                <w:sz w:val="16"/>
              </w:rPr>
              <w:t>597</w:t>
            </w:r>
          </w:p>
        </w:tc>
      </w:tr>
      <w:tr>
        <w:trPr>
          <w:trHeight w:val="217" w:hRule="exact"/>
        </w:trPr>
        <w:tc>
          <w:tcPr>
            <w:tcW w:w="3073" w:type="dxa"/>
          </w:tcPr>
          <w:p>
            <w:pPr>
              <w:pStyle w:val="TableParagraph"/>
              <w:spacing w:before="10"/>
              <w:ind w:left="32"/>
              <w:rPr>
                <w:sz w:val="16"/>
              </w:rPr>
            </w:pPr>
            <w:r>
              <w:rPr>
                <w:w w:val="110"/>
                <w:sz w:val="16"/>
              </w:rPr>
              <w:t>Trips    </w:t>
            </w:r>
            <w:r>
              <w:rPr>
                <w:spacing w:val="6"/>
                <w:w w:val="110"/>
                <w:sz w:val="16"/>
              </w:rPr>
              <w:t>flown  </w:t>
            </w:r>
            <w:r>
              <w:rPr>
                <w:spacing w:val="-8"/>
                <w:w w:val="110"/>
                <w:sz w:val="16"/>
              </w:rPr>
              <w:t>...................................................</w:t>
            </w:r>
          </w:p>
        </w:tc>
        <w:tc>
          <w:tcPr>
            <w:tcW w:w="1330" w:type="dxa"/>
          </w:tcPr>
          <w:p>
            <w:pPr>
              <w:pStyle w:val="TableParagraph"/>
              <w:spacing w:before="10"/>
              <w:ind w:left="379"/>
              <w:rPr>
                <w:sz w:val="16"/>
              </w:rPr>
            </w:pPr>
            <w:r>
              <w:rPr>
                <w:w w:val="120"/>
                <w:sz w:val="16"/>
              </w:rPr>
              <w:t>947,331</w:t>
            </w:r>
          </w:p>
        </w:tc>
        <w:tc>
          <w:tcPr>
            <w:tcW w:w="1280" w:type="dxa"/>
          </w:tcPr>
          <w:p>
            <w:pPr>
              <w:pStyle w:val="TableParagraph"/>
              <w:spacing w:before="10"/>
              <w:ind w:left="329"/>
              <w:rPr>
                <w:sz w:val="16"/>
              </w:rPr>
            </w:pPr>
            <w:r>
              <w:rPr>
                <w:w w:val="120"/>
                <w:sz w:val="16"/>
              </w:rPr>
              <w:t>940,426</w:t>
            </w:r>
          </w:p>
        </w:tc>
        <w:tc>
          <w:tcPr>
            <w:tcW w:w="1354" w:type="dxa"/>
          </w:tcPr>
          <w:p>
            <w:pPr>
              <w:pStyle w:val="TableParagraph"/>
              <w:spacing w:before="10"/>
              <w:ind w:left="389"/>
              <w:rPr>
                <w:sz w:val="16"/>
              </w:rPr>
            </w:pPr>
            <w:r>
              <w:rPr>
                <w:w w:val="120"/>
                <w:sz w:val="16"/>
              </w:rPr>
              <w:t>903,754</w:t>
            </w:r>
          </w:p>
        </w:tc>
        <w:tc>
          <w:tcPr>
            <w:tcW w:w="1460" w:type="dxa"/>
          </w:tcPr>
          <w:p>
            <w:pPr>
              <w:pStyle w:val="TableParagraph"/>
              <w:spacing w:before="10"/>
              <w:ind w:left="455"/>
              <w:rPr>
                <w:sz w:val="16"/>
              </w:rPr>
            </w:pPr>
            <w:r>
              <w:rPr>
                <w:w w:val="120"/>
                <w:sz w:val="16"/>
              </w:rPr>
              <w:t>846,823</w:t>
            </w:r>
          </w:p>
        </w:tc>
        <w:tc>
          <w:tcPr>
            <w:tcW w:w="1317" w:type="dxa"/>
          </w:tcPr>
          <w:p>
            <w:pPr>
              <w:pStyle w:val="TableParagraph"/>
              <w:spacing w:before="10"/>
              <w:ind w:left="555"/>
              <w:rPr>
                <w:sz w:val="16"/>
              </w:rPr>
            </w:pPr>
            <w:r>
              <w:rPr>
                <w:w w:val="120"/>
                <w:sz w:val="16"/>
              </w:rPr>
              <w:t>806,822</w:t>
            </w:r>
          </w:p>
        </w:tc>
      </w:tr>
      <w:tr>
        <w:trPr>
          <w:trHeight w:val="220" w:hRule="exact"/>
        </w:trPr>
        <w:tc>
          <w:tcPr>
            <w:tcW w:w="3073" w:type="dxa"/>
          </w:tcPr>
          <w:p>
            <w:pPr>
              <w:pStyle w:val="TableParagraph"/>
              <w:spacing w:before="13"/>
              <w:ind w:left="32"/>
              <w:rPr>
                <w:sz w:val="16"/>
              </w:rPr>
            </w:pPr>
            <w:r>
              <w:rPr>
                <w:w w:val="115"/>
                <w:sz w:val="16"/>
              </w:rPr>
              <w:t>Average passenger </w:t>
            </w:r>
            <w:r>
              <w:rPr>
                <w:spacing w:val="-7"/>
                <w:w w:val="115"/>
                <w:sz w:val="16"/>
              </w:rPr>
              <w:t>fare..............................</w:t>
            </w:r>
          </w:p>
        </w:tc>
        <w:tc>
          <w:tcPr>
            <w:tcW w:w="1330" w:type="dxa"/>
          </w:tcPr>
          <w:p>
            <w:pPr>
              <w:pStyle w:val="TableParagraph"/>
              <w:spacing w:before="10"/>
              <w:ind w:left="479"/>
              <w:rPr>
                <w:sz w:val="10"/>
              </w:rPr>
            </w:pPr>
            <w:r>
              <w:rPr>
                <w:w w:val="115"/>
                <w:sz w:val="16"/>
              </w:rPr>
              <w:t>$84.15</w:t>
            </w:r>
            <w:r>
              <w:rPr>
                <w:w w:val="115"/>
                <w:position w:val="6"/>
                <w:sz w:val="10"/>
              </w:rPr>
              <w:t>(5)</w:t>
            </w:r>
          </w:p>
        </w:tc>
        <w:tc>
          <w:tcPr>
            <w:tcW w:w="1280" w:type="dxa"/>
          </w:tcPr>
          <w:p>
            <w:pPr>
              <w:pStyle w:val="TableParagraph"/>
              <w:spacing w:before="10"/>
              <w:ind w:left="409"/>
              <w:rPr>
                <w:sz w:val="10"/>
              </w:rPr>
            </w:pPr>
            <w:r>
              <w:rPr>
                <w:w w:val="115"/>
                <w:sz w:val="16"/>
              </w:rPr>
              <w:t>$83.93</w:t>
            </w:r>
            <w:r>
              <w:rPr>
                <w:w w:val="115"/>
                <w:position w:val="6"/>
                <w:sz w:val="10"/>
              </w:rPr>
              <w:t>(4)</w:t>
            </w:r>
          </w:p>
        </w:tc>
        <w:tc>
          <w:tcPr>
            <w:tcW w:w="1354" w:type="dxa"/>
          </w:tcPr>
          <w:p>
            <w:pPr>
              <w:pStyle w:val="TableParagraph"/>
              <w:spacing w:before="13"/>
              <w:ind w:left="489"/>
              <w:rPr>
                <w:sz w:val="16"/>
              </w:rPr>
            </w:pPr>
            <w:r>
              <w:rPr>
                <w:w w:val="120"/>
                <w:sz w:val="16"/>
              </w:rPr>
              <w:t>$85.87</w:t>
            </w:r>
          </w:p>
        </w:tc>
        <w:tc>
          <w:tcPr>
            <w:tcW w:w="1460" w:type="dxa"/>
          </w:tcPr>
          <w:p>
            <w:pPr>
              <w:pStyle w:val="TableParagraph"/>
              <w:spacing w:before="13"/>
              <w:ind w:left="555"/>
              <w:rPr>
                <w:sz w:val="16"/>
              </w:rPr>
            </w:pPr>
            <w:r>
              <w:rPr>
                <w:w w:val="120"/>
                <w:sz w:val="16"/>
              </w:rPr>
              <w:t>$79.35</w:t>
            </w:r>
          </w:p>
        </w:tc>
        <w:tc>
          <w:tcPr>
            <w:tcW w:w="1317" w:type="dxa"/>
          </w:tcPr>
          <w:p>
            <w:pPr>
              <w:pStyle w:val="TableParagraph"/>
              <w:spacing w:before="13"/>
              <w:ind w:left="655"/>
              <w:rPr>
                <w:sz w:val="16"/>
              </w:rPr>
            </w:pPr>
            <w:r>
              <w:rPr>
                <w:w w:val="120"/>
                <w:sz w:val="16"/>
              </w:rPr>
              <w:t>$76.26</w:t>
            </w:r>
          </w:p>
        </w:tc>
      </w:tr>
      <w:tr>
        <w:trPr>
          <w:trHeight w:val="220" w:hRule="exact"/>
        </w:trPr>
        <w:tc>
          <w:tcPr>
            <w:tcW w:w="3073" w:type="dxa"/>
          </w:tcPr>
          <w:p>
            <w:pPr>
              <w:pStyle w:val="TableParagraph"/>
              <w:spacing w:before="13"/>
              <w:ind w:left="32"/>
              <w:rPr>
                <w:sz w:val="16"/>
              </w:rPr>
            </w:pPr>
            <w:r>
              <w:rPr>
                <w:w w:val="110"/>
                <w:sz w:val="16"/>
              </w:rPr>
              <w:t>Passenger revenue yield per  RPM ...........</w:t>
            </w:r>
          </w:p>
        </w:tc>
        <w:tc>
          <w:tcPr>
            <w:tcW w:w="1330" w:type="dxa"/>
          </w:tcPr>
          <w:p>
            <w:pPr>
              <w:pStyle w:val="TableParagraph"/>
              <w:spacing w:before="10"/>
              <w:ind w:right="108"/>
              <w:jc w:val="right"/>
              <w:rPr>
                <w:sz w:val="10"/>
              </w:rPr>
            </w:pPr>
            <w:r>
              <w:rPr>
                <w:w w:val="115"/>
                <w:sz w:val="16"/>
              </w:rPr>
              <w:t>11.69¢</w:t>
            </w:r>
            <w:r>
              <w:rPr>
                <w:w w:val="115"/>
                <w:position w:val="6"/>
                <w:sz w:val="10"/>
              </w:rPr>
              <w:t>(5)</w:t>
            </w:r>
          </w:p>
        </w:tc>
        <w:tc>
          <w:tcPr>
            <w:tcW w:w="1280" w:type="dxa"/>
          </w:tcPr>
          <w:p>
            <w:pPr>
              <w:pStyle w:val="TableParagraph"/>
              <w:spacing w:before="10"/>
              <w:ind w:right="148"/>
              <w:jc w:val="right"/>
              <w:rPr>
                <w:sz w:val="10"/>
              </w:rPr>
            </w:pPr>
            <w:r>
              <w:rPr>
                <w:w w:val="115"/>
                <w:sz w:val="16"/>
              </w:rPr>
              <w:t>12.16¢</w:t>
            </w:r>
            <w:r>
              <w:rPr>
                <w:w w:val="115"/>
                <w:position w:val="6"/>
                <w:sz w:val="10"/>
              </w:rPr>
              <w:t>(4)</w:t>
            </w:r>
          </w:p>
        </w:tc>
        <w:tc>
          <w:tcPr>
            <w:tcW w:w="1354" w:type="dxa"/>
          </w:tcPr>
          <w:p>
            <w:pPr>
              <w:pStyle w:val="TableParagraph"/>
              <w:spacing w:before="13"/>
              <w:ind w:right="243"/>
              <w:jc w:val="right"/>
              <w:rPr>
                <w:sz w:val="16"/>
              </w:rPr>
            </w:pPr>
            <w:r>
              <w:rPr>
                <w:w w:val="115"/>
                <w:sz w:val="16"/>
              </w:rPr>
              <w:t>12.95¢</w:t>
            </w:r>
          </w:p>
        </w:tc>
        <w:tc>
          <w:tcPr>
            <w:tcW w:w="1460" w:type="dxa"/>
          </w:tcPr>
          <w:p>
            <w:pPr>
              <w:pStyle w:val="TableParagraph"/>
              <w:spacing w:before="13"/>
              <w:ind w:right="283"/>
              <w:jc w:val="right"/>
              <w:rPr>
                <w:sz w:val="16"/>
              </w:rPr>
            </w:pPr>
            <w:r>
              <w:rPr>
                <w:w w:val="115"/>
                <w:sz w:val="16"/>
              </w:rPr>
              <w:t>12.51¢</w:t>
            </w:r>
          </w:p>
        </w:tc>
        <w:tc>
          <w:tcPr>
            <w:tcW w:w="1317" w:type="dxa"/>
          </w:tcPr>
          <w:p>
            <w:pPr>
              <w:pStyle w:val="TableParagraph"/>
              <w:spacing w:before="13"/>
              <w:ind w:right="60"/>
              <w:jc w:val="right"/>
              <w:rPr>
                <w:sz w:val="16"/>
              </w:rPr>
            </w:pPr>
            <w:r>
              <w:rPr>
                <w:w w:val="115"/>
                <w:sz w:val="16"/>
              </w:rPr>
              <w:t>12.76¢</w:t>
            </w:r>
          </w:p>
        </w:tc>
      </w:tr>
      <w:tr>
        <w:trPr>
          <w:trHeight w:val="220" w:hRule="exact"/>
        </w:trPr>
        <w:tc>
          <w:tcPr>
            <w:tcW w:w="3073" w:type="dxa"/>
          </w:tcPr>
          <w:p>
            <w:pPr>
              <w:pStyle w:val="TableParagraph"/>
              <w:spacing w:before="13"/>
              <w:ind w:left="32"/>
              <w:rPr>
                <w:sz w:val="16"/>
              </w:rPr>
            </w:pPr>
            <w:r>
              <w:rPr>
                <w:w w:val="105"/>
                <w:sz w:val="16"/>
              </w:rPr>
              <w:t>Operating  revenue  yield   per ASM ............</w:t>
            </w:r>
          </w:p>
        </w:tc>
        <w:tc>
          <w:tcPr>
            <w:tcW w:w="1330" w:type="dxa"/>
          </w:tcPr>
          <w:p>
            <w:pPr>
              <w:pStyle w:val="TableParagraph"/>
              <w:spacing w:before="10"/>
              <w:ind w:right="89"/>
              <w:jc w:val="right"/>
              <w:rPr>
                <w:sz w:val="10"/>
              </w:rPr>
            </w:pPr>
            <w:r>
              <w:rPr>
                <w:w w:val="115"/>
                <w:sz w:val="16"/>
              </w:rPr>
              <w:t>7.96¢ </w:t>
            </w:r>
            <w:r>
              <w:rPr>
                <w:w w:val="115"/>
                <w:position w:val="6"/>
                <w:sz w:val="10"/>
              </w:rPr>
              <w:t>(5)</w:t>
            </w:r>
          </w:p>
        </w:tc>
        <w:tc>
          <w:tcPr>
            <w:tcW w:w="1280" w:type="dxa"/>
          </w:tcPr>
          <w:p>
            <w:pPr>
              <w:pStyle w:val="TableParagraph"/>
              <w:spacing w:before="10"/>
              <w:ind w:right="129"/>
              <w:jc w:val="right"/>
              <w:rPr>
                <w:sz w:val="10"/>
              </w:rPr>
            </w:pPr>
            <w:r>
              <w:rPr>
                <w:w w:val="115"/>
                <w:sz w:val="16"/>
              </w:rPr>
              <w:t>8.55¢ </w:t>
            </w:r>
            <w:r>
              <w:rPr>
                <w:w w:val="115"/>
                <w:position w:val="6"/>
                <w:sz w:val="10"/>
              </w:rPr>
              <w:t>(4)</w:t>
            </w:r>
          </w:p>
        </w:tc>
        <w:tc>
          <w:tcPr>
            <w:tcW w:w="1354" w:type="dxa"/>
          </w:tcPr>
          <w:p>
            <w:pPr>
              <w:pStyle w:val="TableParagraph"/>
              <w:spacing w:before="13"/>
              <w:ind w:right="244"/>
              <w:jc w:val="right"/>
              <w:rPr>
                <w:sz w:val="16"/>
              </w:rPr>
            </w:pPr>
            <w:r>
              <w:rPr>
                <w:w w:val="115"/>
                <w:sz w:val="16"/>
              </w:rPr>
              <w:t>9.43¢</w:t>
            </w:r>
          </w:p>
        </w:tc>
        <w:tc>
          <w:tcPr>
            <w:tcW w:w="1460" w:type="dxa"/>
          </w:tcPr>
          <w:p>
            <w:pPr>
              <w:pStyle w:val="TableParagraph"/>
              <w:spacing w:before="13"/>
              <w:ind w:right="284"/>
              <w:jc w:val="right"/>
              <w:rPr>
                <w:sz w:val="16"/>
              </w:rPr>
            </w:pPr>
            <w:r>
              <w:rPr>
                <w:w w:val="115"/>
                <w:sz w:val="16"/>
              </w:rPr>
              <w:t>8.96¢</w:t>
            </w:r>
          </w:p>
        </w:tc>
        <w:tc>
          <w:tcPr>
            <w:tcW w:w="1317" w:type="dxa"/>
          </w:tcPr>
          <w:p>
            <w:pPr>
              <w:pStyle w:val="TableParagraph"/>
              <w:spacing w:before="13"/>
              <w:ind w:right="61"/>
              <w:jc w:val="right"/>
              <w:rPr>
                <w:sz w:val="16"/>
              </w:rPr>
            </w:pPr>
            <w:r>
              <w:rPr>
                <w:w w:val="115"/>
                <w:sz w:val="16"/>
              </w:rPr>
              <w:t>8.76¢</w:t>
            </w:r>
          </w:p>
        </w:tc>
      </w:tr>
      <w:tr>
        <w:trPr>
          <w:trHeight w:val="223" w:hRule="exact"/>
        </w:trPr>
        <w:tc>
          <w:tcPr>
            <w:tcW w:w="3073" w:type="dxa"/>
          </w:tcPr>
          <w:p>
            <w:pPr>
              <w:pStyle w:val="TableParagraph"/>
              <w:spacing w:before="13"/>
              <w:ind w:left="32"/>
              <w:rPr>
                <w:sz w:val="16"/>
              </w:rPr>
            </w:pPr>
            <w:r>
              <w:rPr>
                <w:w w:val="110"/>
                <w:sz w:val="16"/>
              </w:rPr>
              <w:t>Operating expenses per ASM   ...................</w:t>
            </w:r>
          </w:p>
        </w:tc>
        <w:tc>
          <w:tcPr>
            <w:tcW w:w="1330" w:type="dxa"/>
          </w:tcPr>
          <w:p>
            <w:pPr>
              <w:pStyle w:val="TableParagraph"/>
              <w:spacing w:before="13"/>
              <w:ind w:right="230"/>
              <w:jc w:val="right"/>
              <w:rPr>
                <w:sz w:val="16"/>
              </w:rPr>
            </w:pPr>
            <w:r>
              <w:rPr>
                <w:w w:val="115"/>
                <w:sz w:val="16"/>
              </w:rPr>
              <w:t>7.41¢</w:t>
            </w:r>
          </w:p>
        </w:tc>
        <w:tc>
          <w:tcPr>
            <w:tcW w:w="1280" w:type="dxa"/>
          </w:tcPr>
          <w:p>
            <w:pPr>
              <w:pStyle w:val="TableParagraph"/>
              <w:spacing w:before="10"/>
              <w:ind w:right="129"/>
              <w:jc w:val="right"/>
              <w:rPr>
                <w:sz w:val="10"/>
              </w:rPr>
            </w:pPr>
            <w:r>
              <w:rPr>
                <w:w w:val="115"/>
                <w:sz w:val="16"/>
              </w:rPr>
              <w:t>7.48¢ </w:t>
            </w:r>
            <w:r>
              <w:rPr>
                <w:w w:val="115"/>
                <w:position w:val="6"/>
                <w:sz w:val="10"/>
              </w:rPr>
              <w:t>(4)</w:t>
            </w:r>
          </w:p>
        </w:tc>
        <w:tc>
          <w:tcPr>
            <w:tcW w:w="1354" w:type="dxa"/>
          </w:tcPr>
          <w:p>
            <w:pPr>
              <w:pStyle w:val="TableParagraph"/>
              <w:spacing w:before="13"/>
              <w:ind w:right="244"/>
              <w:jc w:val="right"/>
              <w:rPr>
                <w:sz w:val="16"/>
              </w:rPr>
            </w:pPr>
            <w:r>
              <w:rPr>
                <w:w w:val="115"/>
                <w:sz w:val="16"/>
              </w:rPr>
              <w:t>7.73¢</w:t>
            </w:r>
          </w:p>
        </w:tc>
        <w:tc>
          <w:tcPr>
            <w:tcW w:w="1460" w:type="dxa"/>
          </w:tcPr>
          <w:p>
            <w:pPr>
              <w:pStyle w:val="TableParagraph"/>
              <w:spacing w:before="13"/>
              <w:ind w:right="284"/>
              <w:jc w:val="right"/>
              <w:rPr>
                <w:sz w:val="16"/>
              </w:rPr>
            </w:pPr>
            <w:r>
              <w:rPr>
                <w:w w:val="115"/>
                <w:sz w:val="16"/>
              </w:rPr>
              <w:t>7.48¢</w:t>
            </w:r>
          </w:p>
        </w:tc>
        <w:tc>
          <w:tcPr>
            <w:tcW w:w="1317" w:type="dxa"/>
          </w:tcPr>
          <w:p>
            <w:pPr>
              <w:pStyle w:val="TableParagraph"/>
              <w:spacing w:before="13"/>
              <w:ind w:right="61"/>
              <w:jc w:val="right"/>
              <w:rPr>
                <w:sz w:val="16"/>
              </w:rPr>
            </w:pPr>
            <w:r>
              <w:rPr>
                <w:w w:val="115"/>
                <w:sz w:val="16"/>
              </w:rPr>
              <w:t>7.32¢</w:t>
            </w:r>
          </w:p>
        </w:tc>
      </w:tr>
      <w:tr>
        <w:trPr>
          <w:trHeight w:val="220" w:hRule="exact"/>
        </w:trPr>
        <w:tc>
          <w:tcPr>
            <w:tcW w:w="3073" w:type="dxa"/>
          </w:tcPr>
          <w:p>
            <w:pPr>
              <w:pStyle w:val="TableParagraph"/>
              <w:spacing w:before="10"/>
              <w:ind w:left="32"/>
              <w:rPr>
                <w:sz w:val="16"/>
              </w:rPr>
            </w:pPr>
            <w:r>
              <w:rPr>
                <w:w w:val="110"/>
                <w:sz w:val="16"/>
              </w:rPr>
              <w:t>Fuel cost per gallon  (average)   .................</w:t>
            </w:r>
          </w:p>
        </w:tc>
        <w:tc>
          <w:tcPr>
            <w:tcW w:w="1330" w:type="dxa"/>
          </w:tcPr>
          <w:p>
            <w:pPr>
              <w:pStyle w:val="TableParagraph"/>
              <w:spacing w:before="10"/>
              <w:ind w:right="229"/>
              <w:jc w:val="right"/>
              <w:rPr>
                <w:sz w:val="16"/>
              </w:rPr>
            </w:pPr>
            <w:r>
              <w:rPr>
                <w:w w:val="115"/>
                <w:sz w:val="16"/>
              </w:rPr>
              <w:t>68.01¢</w:t>
            </w:r>
          </w:p>
        </w:tc>
        <w:tc>
          <w:tcPr>
            <w:tcW w:w="1280" w:type="dxa"/>
          </w:tcPr>
          <w:p>
            <w:pPr>
              <w:pStyle w:val="TableParagraph"/>
              <w:spacing w:before="10"/>
              <w:ind w:left="489"/>
              <w:rPr>
                <w:sz w:val="16"/>
              </w:rPr>
            </w:pPr>
            <w:r>
              <w:rPr>
                <w:w w:val="120"/>
                <w:sz w:val="16"/>
              </w:rPr>
              <w:t>70.86¢</w:t>
            </w:r>
          </w:p>
        </w:tc>
        <w:tc>
          <w:tcPr>
            <w:tcW w:w="1354" w:type="dxa"/>
          </w:tcPr>
          <w:p>
            <w:pPr>
              <w:pStyle w:val="TableParagraph"/>
              <w:spacing w:before="10"/>
              <w:ind w:right="243"/>
              <w:jc w:val="right"/>
              <w:rPr>
                <w:sz w:val="16"/>
              </w:rPr>
            </w:pPr>
            <w:r>
              <w:rPr>
                <w:w w:val="115"/>
                <w:sz w:val="16"/>
              </w:rPr>
              <w:t>78.69¢</w:t>
            </w:r>
          </w:p>
        </w:tc>
        <w:tc>
          <w:tcPr>
            <w:tcW w:w="1460" w:type="dxa"/>
          </w:tcPr>
          <w:p>
            <w:pPr>
              <w:pStyle w:val="TableParagraph"/>
              <w:spacing w:before="10"/>
              <w:ind w:right="283"/>
              <w:jc w:val="right"/>
              <w:rPr>
                <w:sz w:val="16"/>
              </w:rPr>
            </w:pPr>
            <w:r>
              <w:rPr>
                <w:w w:val="115"/>
                <w:sz w:val="16"/>
              </w:rPr>
              <w:t>52.71¢</w:t>
            </w:r>
          </w:p>
        </w:tc>
        <w:tc>
          <w:tcPr>
            <w:tcW w:w="1317" w:type="dxa"/>
          </w:tcPr>
          <w:p>
            <w:pPr>
              <w:pStyle w:val="TableParagraph"/>
              <w:spacing w:before="10"/>
              <w:ind w:right="60"/>
              <w:jc w:val="right"/>
              <w:rPr>
                <w:sz w:val="16"/>
              </w:rPr>
            </w:pPr>
            <w:r>
              <w:rPr>
                <w:w w:val="115"/>
                <w:sz w:val="16"/>
              </w:rPr>
              <w:t>45.67¢</w:t>
            </w:r>
          </w:p>
        </w:tc>
      </w:tr>
      <w:tr>
        <w:trPr>
          <w:trHeight w:val="217" w:hRule="exact"/>
        </w:trPr>
        <w:tc>
          <w:tcPr>
            <w:tcW w:w="3073" w:type="dxa"/>
          </w:tcPr>
          <w:p>
            <w:pPr>
              <w:pStyle w:val="TableParagraph"/>
              <w:spacing w:before="10"/>
              <w:ind w:left="32"/>
              <w:rPr>
                <w:sz w:val="16"/>
              </w:rPr>
            </w:pPr>
            <w:r>
              <w:rPr>
                <w:w w:val="105"/>
                <w:sz w:val="16"/>
              </w:rPr>
              <w:t>Number  of  Employees  at  yearend ...........</w:t>
            </w:r>
          </w:p>
        </w:tc>
        <w:tc>
          <w:tcPr>
            <w:tcW w:w="1330" w:type="dxa"/>
          </w:tcPr>
          <w:p>
            <w:pPr>
              <w:pStyle w:val="TableParagraph"/>
              <w:spacing w:before="10"/>
              <w:ind w:left="479"/>
              <w:rPr>
                <w:sz w:val="16"/>
              </w:rPr>
            </w:pPr>
            <w:r>
              <w:rPr>
                <w:w w:val="120"/>
                <w:sz w:val="16"/>
              </w:rPr>
              <w:t>33,705</w:t>
            </w:r>
          </w:p>
        </w:tc>
        <w:tc>
          <w:tcPr>
            <w:tcW w:w="1280" w:type="dxa"/>
          </w:tcPr>
          <w:p>
            <w:pPr>
              <w:pStyle w:val="TableParagraph"/>
              <w:spacing w:before="10"/>
              <w:ind w:left="429"/>
              <w:rPr>
                <w:sz w:val="16"/>
              </w:rPr>
            </w:pPr>
            <w:r>
              <w:rPr>
                <w:w w:val="120"/>
                <w:sz w:val="16"/>
              </w:rPr>
              <w:t>31,580</w:t>
            </w:r>
          </w:p>
        </w:tc>
        <w:tc>
          <w:tcPr>
            <w:tcW w:w="1354" w:type="dxa"/>
          </w:tcPr>
          <w:p>
            <w:pPr>
              <w:pStyle w:val="TableParagraph"/>
              <w:spacing w:before="10"/>
              <w:ind w:left="489"/>
              <w:rPr>
                <w:sz w:val="16"/>
              </w:rPr>
            </w:pPr>
            <w:r>
              <w:rPr>
                <w:w w:val="120"/>
                <w:sz w:val="16"/>
              </w:rPr>
              <w:t>29,274</w:t>
            </w:r>
          </w:p>
        </w:tc>
        <w:tc>
          <w:tcPr>
            <w:tcW w:w="1460" w:type="dxa"/>
          </w:tcPr>
          <w:p>
            <w:pPr>
              <w:pStyle w:val="TableParagraph"/>
              <w:spacing w:before="10"/>
              <w:ind w:left="555"/>
              <w:rPr>
                <w:sz w:val="16"/>
              </w:rPr>
            </w:pPr>
            <w:r>
              <w:rPr>
                <w:w w:val="120"/>
                <w:sz w:val="16"/>
              </w:rPr>
              <w:t>27,653</w:t>
            </w:r>
          </w:p>
        </w:tc>
        <w:tc>
          <w:tcPr>
            <w:tcW w:w="1317" w:type="dxa"/>
          </w:tcPr>
          <w:p>
            <w:pPr>
              <w:pStyle w:val="TableParagraph"/>
              <w:spacing w:before="10"/>
              <w:ind w:left="655"/>
              <w:rPr>
                <w:sz w:val="16"/>
              </w:rPr>
            </w:pPr>
            <w:r>
              <w:rPr>
                <w:w w:val="120"/>
                <w:sz w:val="16"/>
              </w:rPr>
              <w:t>25,844</w:t>
            </w:r>
          </w:p>
        </w:tc>
      </w:tr>
      <w:tr>
        <w:trPr>
          <w:trHeight w:val="206" w:hRule="exact"/>
        </w:trPr>
        <w:tc>
          <w:tcPr>
            <w:tcW w:w="3073" w:type="dxa"/>
          </w:tcPr>
          <w:p>
            <w:pPr>
              <w:pStyle w:val="TableParagraph"/>
              <w:spacing w:before="10"/>
              <w:ind w:left="32"/>
              <w:rPr>
                <w:sz w:val="16"/>
              </w:rPr>
            </w:pPr>
            <w:r>
              <w:rPr>
                <w:spacing w:val="-4"/>
                <w:w w:val="110"/>
                <w:sz w:val="16"/>
              </w:rPr>
              <w:t>Size  </w:t>
            </w:r>
            <w:r>
              <w:rPr>
                <w:w w:val="110"/>
                <w:sz w:val="16"/>
              </w:rPr>
              <w:t>of  fleet  at </w:t>
            </w:r>
            <w:r>
              <w:rPr>
                <w:spacing w:val="3"/>
                <w:w w:val="110"/>
                <w:sz w:val="16"/>
              </w:rPr>
              <w:t>yearend</w:t>
            </w:r>
            <w:r>
              <w:rPr>
                <w:spacing w:val="3"/>
                <w:w w:val="110"/>
                <w:position w:val="6"/>
                <w:sz w:val="10"/>
              </w:rPr>
              <w:t>( </w:t>
            </w:r>
            <w:r>
              <w:rPr>
                <w:spacing w:val="-5"/>
                <w:w w:val="110"/>
                <w:position w:val="6"/>
                <w:sz w:val="10"/>
              </w:rPr>
              <w:t>2) </w:t>
            </w:r>
            <w:r>
              <w:rPr>
                <w:spacing w:val="-8"/>
                <w:w w:val="110"/>
                <w:sz w:val="16"/>
              </w:rPr>
              <w:t>..........................</w:t>
            </w:r>
          </w:p>
        </w:tc>
        <w:tc>
          <w:tcPr>
            <w:tcW w:w="1330" w:type="dxa"/>
          </w:tcPr>
          <w:p>
            <w:pPr>
              <w:pStyle w:val="TableParagraph"/>
              <w:spacing w:before="13"/>
              <w:ind w:left="719"/>
              <w:rPr>
                <w:sz w:val="16"/>
              </w:rPr>
            </w:pPr>
            <w:r>
              <w:rPr>
                <w:w w:val="120"/>
                <w:sz w:val="16"/>
              </w:rPr>
              <w:t>375</w:t>
            </w:r>
          </w:p>
        </w:tc>
        <w:tc>
          <w:tcPr>
            <w:tcW w:w="1280" w:type="dxa"/>
          </w:tcPr>
          <w:p>
            <w:pPr>
              <w:pStyle w:val="TableParagraph"/>
              <w:spacing w:before="13"/>
              <w:ind w:left="669"/>
              <w:rPr>
                <w:sz w:val="16"/>
              </w:rPr>
            </w:pPr>
            <w:r>
              <w:rPr>
                <w:w w:val="120"/>
                <w:sz w:val="16"/>
              </w:rPr>
              <w:t>355</w:t>
            </w:r>
          </w:p>
        </w:tc>
        <w:tc>
          <w:tcPr>
            <w:tcW w:w="1354" w:type="dxa"/>
          </w:tcPr>
          <w:p>
            <w:pPr>
              <w:pStyle w:val="TableParagraph"/>
              <w:spacing w:before="13"/>
              <w:ind w:left="729"/>
              <w:rPr>
                <w:sz w:val="16"/>
              </w:rPr>
            </w:pPr>
            <w:r>
              <w:rPr>
                <w:w w:val="120"/>
                <w:sz w:val="16"/>
              </w:rPr>
              <w:t>344</w:t>
            </w:r>
          </w:p>
        </w:tc>
        <w:tc>
          <w:tcPr>
            <w:tcW w:w="1460" w:type="dxa"/>
          </w:tcPr>
          <w:p>
            <w:pPr>
              <w:pStyle w:val="TableParagraph"/>
              <w:spacing w:before="13"/>
              <w:ind w:right="385"/>
              <w:jc w:val="right"/>
              <w:rPr>
                <w:sz w:val="16"/>
              </w:rPr>
            </w:pPr>
            <w:r>
              <w:rPr>
                <w:w w:val="115"/>
                <w:sz w:val="16"/>
              </w:rPr>
              <w:t>312</w:t>
            </w:r>
          </w:p>
        </w:tc>
        <w:tc>
          <w:tcPr>
            <w:tcW w:w="1317" w:type="dxa"/>
          </w:tcPr>
          <w:p>
            <w:pPr>
              <w:pStyle w:val="TableParagraph"/>
              <w:spacing w:before="13"/>
              <w:ind w:right="142"/>
              <w:jc w:val="right"/>
              <w:rPr>
                <w:sz w:val="16"/>
              </w:rPr>
            </w:pPr>
            <w:r>
              <w:rPr>
                <w:w w:val="115"/>
                <w:sz w:val="16"/>
              </w:rPr>
              <w:t>280</w:t>
            </w:r>
          </w:p>
        </w:tc>
      </w:tr>
    </w:tbl>
    <w:p>
      <w:pPr>
        <w:pStyle w:val="BodyText"/>
        <w:spacing w:before="11"/>
      </w:pPr>
      <w:r>
        <w:rPr/>
        <w:pict>
          <v:line style="position:absolute;mso-position-horizontal-relative:page;mso-position-vertical-relative:paragraph;z-index:6328;mso-wrap-distance-left:0;mso-wrap-distance-right:0" from="40pt,15pt" to="130.000004pt,15pt" stroked="true" strokeweight=".5pt" strokecolor="#000000">
            <v:stroke dashstyle="solid"/>
            <w10:wrap type="topAndBottom"/>
          </v:line>
        </w:pict>
      </w:r>
    </w:p>
    <w:p>
      <w:pPr>
        <w:spacing w:before="150"/>
        <w:ind w:left="120" w:right="0" w:firstLine="0"/>
        <w:jc w:val="left"/>
        <w:rPr>
          <w:sz w:val="16"/>
        </w:rPr>
      </w:pPr>
      <w:r>
        <w:rPr>
          <w:w w:val="105"/>
          <w:position w:val="6"/>
          <w:sz w:val="10"/>
        </w:rPr>
        <w:t>(1)     </w:t>
      </w:r>
      <w:r>
        <w:rPr>
          <w:w w:val="105"/>
          <w:sz w:val="16"/>
        </w:rPr>
        <w:t>Revenue  passenger  miles  divided   by  available   seat  miles.</w:t>
      </w:r>
    </w:p>
    <w:p>
      <w:pPr>
        <w:spacing w:before="101"/>
        <w:ind w:left="120" w:right="0" w:firstLine="0"/>
        <w:jc w:val="left"/>
        <w:rPr>
          <w:sz w:val="16"/>
        </w:rPr>
      </w:pPr>
      <w:r>
        <w:rPr>
          <w:w w:val="110"/>
          <w:position w:val="6"/>
          <w:sz w:val="10"/>
        </w:rPr>
        <w:t>(2)    </w:t>
      </w:r>
      <w:r>
        <w:rPr>
          <w:w w:val="110"/>
          <w:sz w:val="16"/>
        </w:rPr>
        <w:t>Includes  leased  aircraft.</w:t>
      </w:r>
    </w:p>
    <w:p>
      <w:pPr>
        <w:spacing w:before="101"/>
        <w:ind w:left="120" w:right="0" w:firstLine="0"/>
        <w:jc w:val="left"/>
        <w:rPr>
          <w:sz w:val="16"/>
        </w:rPr>
      </w:pPr>
      <w:r>
        <w:rPr>
          <w:w w:val="105"/>
          <w:position w:val="6"/>
          <w:sz w:val="10"/>
        </w:rPr>
        <w:t>(3)     </w:t>
      </w:r>
      <w:r>
        <w:rPr>
          <w:w w:val="105"/>
          <w:sz w:val="16"/>
        </w:rPr>
        <w:t>Excludes  cumulative  effect  of   accounting  change   of  $22.1  million  ($.03  per share).</w:t>
      </w:r>
    </w:p>
    <w:p>
      <w:pPr>
        <w:spacing w:line="180" w:lineRule="exact" w:before="112"/>
        <w:ind w:left="400" w:right="635" w:hanging="280"/>
        <w:jc w:val="both"/>
        <w:rPr>
          <w:sz w:val="16"/>
        </w:rPr>
      </w:pPr>
      <w:r>
        <w:rPr>
          <w:w w:val="105"/>
          <w:position w:val="6"/>
          <w:sz w:val="10"/>
        </w:rPr>
        <w:t>(4)  </w:t>
      </w:r>
      <w:r>
        <w:rPr>
          <w:w w:val="105"/>
          <w:sz w:val="16"/>
        </w:rPr>
        <w:t>Excludes</w:t>
      </w:r>
      <w:r>
        <w:rPr>
          <w:spacing w:val="38"/>
          <w:w w:val="105"/>
          <w:sz w:val="16"/>
        </w:rPr>
        <w:t> </w:t>
      </w:r>
      <w:r>
        <w:rPr>
          <w:w w:val="105"/>
          <w:sz w:val="16"/>
        </w:rPr>
        <w:t>special</w:t>
      </w:r>
      <w:r>
        <w:rPr>
          <w:spacing w:val="38"/>
          <w:w w:val="105"/>
          <w:sz w:val="16"/>
        </w:rPr>
        <w:t> </w:t>
      </w:r>
      <w:r>
        <w:rPr>
          <w:w w:val="105"/>
          <w:sz w:val="16"/>
        </w:rPr>
        <w:t>items  related</w:t>
      </w:r>
      <w:r>
        <w:rPr>
          <w:spacing w:val="38"/>
          <w:w w:val="105"/>
          <w:sz w:val="16"/>
        </w:rPr>
        <w:t> </w:t>
      </w:r>
      <w:r>
        <w:rPr>
          <w:w w:val="105"/>
          <w:sz w:val="16"/>
        </w:rPr>
        <w:t>to  the  September  11,  2001,  </w:t>
      </w:r>
      <w:r>
        <w:rPr>
          <w:spacing w:val="2"/>
          <w:w w:val="105"/>
          <w:sz w:val="16"/>
        </w:rPr>
        <w:t>terrorist   attacks.   </w:t>
      </w:r>
      <w:r>
        <w:rPr>
          <w:w w:val="105"/>
          <w:sz w:val="16"/>
        </w:rPr>
        <w:t>Including   these  items,   average   passenger   fare  </w:t>
      </w:r>
      <w:r>
        <w:rPr>
          <w:spacing w:val="2"/>
          <w:w w:val="105"/>
          <w:sz w:val="16"/>
        </w:rPr>
        <w:t>would </w:t>
      </w:r>
      <w:r>
        <w:rPr>
          <w:w w:val="105"/>
          <w:sz w:val="16"/>
        </w:rPr>
        <w:t>decrease by 47 cents, passenger  revenue  yield  per  RPM  </w:t>
      </w:r>
      <w:r>
        <w:rPr>
          <w:spacing w:val="2"/>
          <w:w w:val="105"/>
          <w:sz w:val="16"/>
        </w:rPr>
        <w:t>would  </w:t>
      </w:r>
      <w:r>
        <w:rPr>
          <w:w w:val="105"/>
          <w:sz w:val="16"/>
        </w:rPr>
        <w:t>decrease  by  .07 cents,  </w:t>
      </w:r>
      <w:r>
        <w:rPr>
          <w:spacing w:val="2"/>
          <w:w w:val="105"/>
          <w:sz w:val="16"/>
        </w:rPr>
        <w:t>operating  </w:t>
      </w:r>
      <w:r>
        <w:rPr>
          <w:w w:val="105"/>
          <w:sz w:val="16"/>
        </w:rPr>
        <w:t>revenue  yield</w:t>
      </w:r>
      <w:r>
        <w:rPr>
          <w:spacing w:val="38"/>
          <w:w w:val="105"/>
          <w:sz w:val="16"/>
        </w:rPr>
        <w:t> </w:t>
      </w:r>
      <w:r>
        <w:rPr>
          <w:w w:val="105"/>
          <w:sz w:val="16"/>
        </w:rPr>
        <w:t>per  ASM </w:t>
      </w:r>
      <w:r>
        <w:rPr>
          <w:spacing w:val="2"/>
          <w:w w:val="105"/>
          <w:sz w:val="16"/>
        </w:rPr>
        <w:t>would   </w:t>
      </w:r>
      <w:r>
        <w:rPr>
          <w:w w:val="105"/>
          <w:sz w:val="16"/>
        </w:rPr>
        <w:t>decrease  by  .04 cents,  and  operating  expenses  per  ASM  would   increase  by  .06</w:t>
      </w:r>
      <w:r>
        <w:rPr>
          <w:spacing w:val="14"/>
          <w:w w:val="105"/>
          <w:sz w:val="16"/>
        </w:rPr>
        <w:t> </w:t>
      </w:r>
      <w:r>
        <w:rPr>
          <w:w w:val="105"/>
          <w:sz w:val="16"/>
        </w:rPr>
        <w:t>cents.</w:t>
      </w:r>
    </w:p>
    <w:p>
      <w:pPr>
        <w:spacing w:line="191" w:lineRule="exact" w:before="108"/>
        <w:ind w:left="120" w:right="0" w:firstLine="0"/>
        <w:jc w:val="left"/>
        <w:rPr>
          <w:sz w:val="16"/>
        </w:rPr>
      </w:pPr>
      <w:r>
        <w:rPr>
          <w:w w:val="105"/>
          <w:position w:val="6"/>
          <w:sz w:val="10"/>
        </w:rPr>
        <w:t>(5)     </w:t>
      </w:r>
      <w:r>
        <w:rPr>
          <w:w w:val="105"/>
          <w:sz w:val="16"/>
        </w:rPr>
        <w:t>Excludes   $36 million    in   revenue   from   second   quarter   2002   related   to   a   reduction   in    air    traffic    liability.    Including   the</w:t>
      </w:r>
    </w:p>
    <w:p>
      <w:pPr>
        <w:spacing w:line="180" w:lineRule="exact" w:before="0"/>
        <w:ind w:left="400" w:right="0" w:firstLine="0"/>
        <w:jc w:val="left"/>
        <w:rPr>
          <w:sz w:val="16"/>
        </w:rPr>
      </w:pPr>
      <w:r>
        <w:rPr>
          <w:w w:val="105"/>
          <w:sz w:val="16"/>
        </w:rPr>
        <w:t>$36  million,   average   passenger   fare   would    increase   by   57 cents,   passenger   revenue   yield    per   RPM    would     increase     by</w:t>
      </w:r>
    </w:p>
    <w:p>
      <w:pPr>
        <w:spacing w:line="188" w:lineRule="exact" w:before="0"/>
        <w:ind w:left="400" w:right="0" w:firstLine="0"/>
        <w:jc w:val="left"/>
        <w:rPr>
          <w:sz w:val="16"/>
        </w:rPr>
      </w:pPr>
      <w:r>
        <w:rPr>
          <w:w w:val="105"/>
          <w:sz w:val="16"/>
        </w:rPr>
        <w:t>.08 cents,  and  operating  revenue  yield  per  ASM  would   increase  by  .06 cents.</w:t>
      </w:r>
    </w:p>
    <w:p>
      <w:pPr>
        <w:spacing w:after="0" w:line="188" w:lineRule="exact"/>
        <w:jc w:val="left"/>
        <w:rPr>
          <w:sz w:val="16"/>
        </w:rPr>
        <w:sectPr>
          <w:headerReference w:type="default" r:id="rId74"/>
          <w:pgSz w:w="11520" w:h="14400"/>
          <w:pgMar w:header="0" w:footer="706" w:top="960" w:bottom="900" w:left="680" w:right="320"/>
        </w:sectPr>
      </w:pPr>
    </w:p>
    <w:p>
      <w:pPr>
        <w:tabs>
          <w:tab w:pos="999" w:val="left" w:leader="none"/>
        </w:tabs>
        <w:spacing w:line="254" w:lineRule="auto" w:before="69"/>
        <w:ind w:left="1000" w:right="89" w:hanging="900"/>
        <w:jc w:val="left"/>
        <w:rPr>
          <w:i/>
          <w:sz w:val="20"/>
        </w:rPr>
      </w:pPr>
      <w:bookmarkStart w:name="Management's Discussion and Analysis" w:id="25"/>
      <w:bookmarkEnd w:id="25"/>
      <w:r>
        <w:rPr/>
      </w:r>
      <w:bookmarkStart w:name="Year in Review" w:id="26"/>
      <w:bookmarkEnd w:id="26"/>
      <w:r>
        <w:rPr/>
      </w:r>
      <w:bookmarkStart w:name="Results of Operations – 2002 vs. 2001" w:id="27"/>
      <w:bookmarkEnd w:id="27"/>
      <w:r>
        <w:rPr/>
      </w:r>
      <w:r>
        <w:rPr>
          <w:rFonts w:ascii="Franklin Gothic Medium" w:hAnsi="Franklin Gothic Medium"/>
          <w:w w:val="105"/>
          <w:sz w:val="20"/>
        </w:rPr>
        <w:t>Item</w:t>
      </w:r>
      <w:r>
        <w:rPr>
          <w:rFonts w:ascii="Franklin Gothic Medium" w:hAnsi="Franklin Gothic Medium"/>
          <w:spacing w:val="3"/>
          <w:w w:val="105"/>
          <w:sz w:val="20"/>
        </w:rPr>
        <w:t> </w:t>
      </w:r>
      <w:r>
        <w:rPr>
          <w:rFonts w:ascii="Franklin Gothic Medium" w:hAnsi="Franklin Gothic Medium"/>
          <w:w w:val="105"/>
          <w:sz w:val="20"/>
        </w:rPr>
        <w:t>7.</w:t>
        <w:tab/>
      </w:r>
      <w:r>
        <w:rPr>
          <w:i/>
          <w:spacing w:val="2"/>
          <w:w w:val="105"/>
          <w:sz w:val="20"/>
        </w:rPr>
        <w:t>Management’s  Discussion </w:t>
      </w:r>
      <w:r>
        <w:rPr>
          <w:i/>
          <w:spacing w:val="44"/>
          <w:w w:val="105"/>
          <w:sz w:val="20"/>
        </w:rPr>
        <w:t> </w:t>
      </w:r>
      <w:r>
        <w:rPr>
          <w:i/>
          <w:w w:val="105"/>
          <w:sz w:val="20"/>
        </w:rPr>
        <w:t>and </w:t>
      </w:r>
      <w:r>
        <w:rPr>
          <w:i/>
          <w:spacing w:val="25"/>
          <w:w w:val="105"/>
          <w:sz w:val="20"/>
        </w:rPr>
        <w:t> </w:t>
      </w:r>
      <w:r>
        <w:rPr>
          <w:i/>
          <w:spacing w:val="3"/>
          <w:w w:val="105"/>
          <w:sz w:val="20"/>
        </w:rPr>
        <w:t>Analysis</w:t>
      </w:r>
      <w:r>
        <w:rPr>
          <w:i/>
          <w:spacing w:val="3"/>
          <w:w w:val="107"/>
          <w:sz w:val="20"/>
        </w:rPr>
        <w:t> </w:t>
      </w:r>
      <w:r>
        <w:rPr>
          <w:i/>
          <w:w w:val="105"/>
          <w:sz w:val="20"/>
        </w:rPr>
        <w:t>of Financial Condition and Results of </w:t>
      </w:r>
      <w:r>
        <w:rPr>
          <w:i/>
          <w:spacing w:val="5"/>
          <w:w w:val="105"/>
          <w:sz w:val="20"/>
        </w:rPr>
        <w:t>Operations</w:t>
      </w:r>
    </w:p>
    <w:p>
      <w:pPr>
        <w:pStyle w:val="BodyText"/>
        <w:spacing w:before="11"/>
        <w:rPr>
          <w:i/>
          <w:sz w:val="21"/>
        </w:rPr>
      </w:pPr>
    </w:p>
    <w:p>
      <w:pPr>
        <w:pStyle w:val="BodyText"/>
        <w:ind w:left="100"/>
        <w:rPr>
          <w:rFonts w:ascii="Franklin Gothic Medium"/>
        </w:rPr>
      </w:pPr>
      <w:r>
        <w:rPr>
          <w:rFonts w:ascii="Franklin Gothic Medium"/>
        </w:rPr>
        <w:t>Year  in Review</w:t>
      </w:r>
    </w:p>
    <w:p>
      <w:pPr>
        <w:pStyle w:val="BodyText"/>
        <w:spacing w:before="2"/>
        <w:rPr>
          <w:rFonts w:ascii="Franklin Gothic Medium"/>
          <w:sz w:val="25"/>
        </w:rPr>
      </w:pPr>
    </w:p>
    <w:p>
      <w:pPr>
        <w:pStyle w:val="BodyText"/>
        <w:spacing w:line="254" w:lineRule="auto"/>
        <w:ind w:left="100" w:firstLine="180"/>
        <w:jc w:val="both"/>
      </w:pPr>
      <w:r>
        <w:rPr>
          <w:w w:val="105"/>
        </w:rPr>
        <w:t>In 2002, Southwest posted a profit for the 30th </w:t>
      </w:r>
      <w:r>
        <w:rPr>
          <w:spacing w:val="3"/>
          <w:w w:val="105"/>
        </w:rPr>
        <w:t>consecutive </w:t>
      </w:r>
      <w:r>
        <w:rPr>
          <w:w w:val="105"/>
        </w:rPr>
        <w:t>year. While the Company’s 2002 profitability fell short of  our  historical  </w:t>
      </w:r>
      <w:r>
        <w:rPr>
          <w:spacing w:val="4"/>
          <w:w w:val="105"/>
        </w:rPr>
        <w:t>standards, </w:t>
      </w:r>
      <w:r>
        <w:rPr>
          <w:w w:val="105"/>
        </w:rPr>
        <w:t>this </w:t>
      </w:r>
      <w:r>
        <w:rPr>
          <w:spacing w:val="3"/>
          <w:w w:val="105"/>
        </w:rPr>
        <w:t>performance </w:t>
      </w:r>
      <w:r>
        <w:rPr>
          <w:w w:val="105"/>
        </w:rPr>
        <w:t>was </w:t>
      </w:r>
      <w:r>
        <w:rPr>
          <w:spacing w:val="2"/>
          <w:w w:val="105"/>
        </w:rPr>
        <w:t>remarkable given </w:t>
      </w:r>
      <w:r>
        <w:rPr>
          <w:w w:val="105"/>
        </w:rPr>
        <w:t>that </w:t>
      </w:r>
      <w:r>
        <w:rPr>
          <w:spacing w:val="6"/>
          <w:w w:val="105"/>
        </w:rPr>
        <w:t>the </w:t>
      </w:r>
      <w:r>
        <w:rPr>
          <w:w w:val="105"/>
        </w:rPr>
        <w:t>major airlines collectively reported losses in </w:t>
      </w:r>
      <w:r>
        <w:rPr>
          <w:spacing w:val="6"/>
          <w:w w:val="105"/>
        </w:rPr>
        <w:t>the </w:t>
      </w:r>
      <w:r>
        <w:rPr>
          <w:w w:val="105"/>
        </w:rPr>
        <w:t>billions of dollars.  From  a  </w:t>
      </w:r>
      <w:r>
        <w:rPr>
          <w:spacing w:val="2"/>
          <w:w w:val="105"/>
        </w:rPr>
        <w:t>financial  </w:t>
      </w:r>
      <w:r>
        <w:rPr>
          <w:spacing w:val="6"/>
          <w:w w:val="105"/>
        </w:rPr>
        <w:t>perspective, </w:t>
      </w:r>
      <w:r>
        <w:rPr>
          <w:w w:val="105"/>
        </w:rPr>
        <w:t>2002 was </w:t>
      </w:r>
      <w:r>
        <w:rPr>
          <w:i/>
          <w:w w:val="105"/>
        </w:rPr>
        <w:t>the </w:t>
      </w:r>
      <w:r>
        <w:rPr>
          <w:w w:val="105"/>
        </w:rPr>
        <w:t>worst year, ever, in the history </w:t>
      </w:r>
      <w:r>
        <w:rPr>
          <w:spacing w:val="6"/>
          <w:w w:val="105"/>
        </w:rPr>
        <w:t>of </w:t>
      </w:r>
      <w:r>
        <w:rPr>
          <w:spacing w:val="3"/>
          <w:w w:val="105"/>
        </w:rPr>
        <w:t>commercial aviation. </w:t>
      </w:r>
      <w:r>
        <w:rPr>
          <w:w w:val="105"/>
        </w:rPr>
        <w:t>It was a year that </w:t>
      </w:r>
      <w:r>
        <w:rPr>
          <w:spacing w:val="9"/>
          <w:w w:val="105"/>
        </w:rPr>
        <w:t>included </w:t>
      </w:r>
      <w:r>
        <w:rPr>
          <w:spacing w:val="2"/>
          <w:w w:val="105"/>
        </w:rPr>
        <w:t>dramatic increases </w:t>
      </w:r>
      <w:r>
        <w:rPr>
          <w:w w:val="105"/>
        </w:rPr>
        <w:t>in </w:t>
      </w:r>
      <w:r>
        <w:rPr>
          <w:spacing w:val="3"/>
          <w:w w:val="105"/>
        </w:rPr>
        <w:t>aviation </w:t>
      </w:r>
      <w:r>
        <w:rPr>
          <w:spacing w:val="2"/>
          <w:w w:val="105"/>
        </w:rPr>
        <w:t>insurance </w:t>
      </w:r>
      <w:r>
        <w:rPr>
          <w:w w:val="105"/>
        </w:rPr>
        <w:t>costs, increased passenger security costs resulting </w:t>
      </w:r>
      <w:r>
        <w:rPr>
          <w:spacing w:val="8"/>
          <w:w w:val="105"/>
        </w:rPr>
        <w:t>from </w:t>
      </w:r>
      <w:r>
        <w:rPr>
          <w:w w:val="105"/>
        </w:rPr>
        <w:t>continually </w:t>
      </w:r>
      <w:r>
        <w:rPr>
          <w:spacing w:val="2"/>
          <w:w w:val="105"/>
        </w:rPr>
        <w:t>evolving </w:t>
      </w:r>
      <w:r>
        <w:rPr>
          <w:w w:val="105"/>
        </w:rPr>
        <w:t>security laws and </w:t>
      </w:r>
      <w:r>
        <w:rPr>
          <w:spacing w:val="6"/>
          <w:w w:val="105"/>
        </w:rPr>
        <w:t>directives, </w:t>
      </w:r>
      <w:r>
        <w:rPr>
          <w:w w:val="105"/>
        </w:rPr>
        <w:t>airline  industry  </w:t>
      </w:r>
      <w:r>
        <w:rPr>
          <w:spacing w:val="2"/>
          <w:w w:val="105"/>
        </w:rPr>
        <w:t>downsizing,  </w:t>
      </w:r>
      <w:r>
        <w:rPr>
          <w:w w:val="105"/>
        </w:rPr>
        <w:t>rising  energy  </w:t>
      </w:r>
      <w:r>
        <w:rPr>
          <w:spacing w:val="5"/>
          <w:w w:val="105"/>
        </w:rPr>
        <w:t>prices, </w:t>
      </w:r>
      <w:r>
        <w:rPr>
          <w:w w:val="105"/>
        </w:rPr>
        <w:t>and a recessionary airline </w:t>
      </w:r>
      <w:r>
        <w:rPr>
          <w:spacing w:val="3"/>
          <w:w w:val="105"/>
        </w:rPr>
        <w:t>revenue </w:t>
      </w:r>
      <w:r>
        <w:rPr>
          <w:spacing w:val="9"/>
          <w:w w:val="105"/>
        </w:rPr>
        <w:t>environment. </w:t>
      </w:r>
      <w:r>
        <w:rPr>
          <w:spacing w:val="2"/>
          <w:w w:val="105"/>
        </w:rPr>
        <w:t>However, </w:t>
      </w:r>
      <w:r>
        <w:rPr>
          <w:w w:val="105"/>
        </w:rPr>
        <w:t>the Company’s business strategy — predominantly shorthaul, high </w:t>
      </w:r>
      <w:r>
        <w:rPr>
          <w:spacing w:val="2"/>
          <w:w w:val="105"/>
        </w:rPr>
        <w:t>frequency, </w:t>
      </w:r>
      <w:r>
        <w:rPr>
          <w:spacing w:val="3"/>
          <w:w w:val="105"/>
        </w:rPr>
        <w:t>low-fare, </w:t>
      </w:r>
      <w:r>
        <w:rPr>
          <w:spacing w:val="2"/>
          <w:w w:val="105"/>
        </w:rPr>
        <w:t>point-to-point, </w:t>
      </w:r>
      <w:r>
        <w:rPr>
          <w:w w:val="105"/>
        </w:rPr>
        <w:t>high-quality Customer Service, </w:t>
      </w:r>
      <w:r>
        <w:rPr>
          <w:spacing w:val="4"/>
          <w:w w:val="105"/>
        </w:rPr>
        <w:t>low </w:t>
      </w:r>
      <w:r>
        <w:rPr>
          <w:w w:val="105"/>
        </w:rPr>
        <w:t>costs — </w:t>
      </w:r>
      <w:r>
        <w:rPr>
          <w:spacing w:val="3"/>
          <w:w w:val="105"/>
        </w:rPr>
        <w:t>continued </w:t>
      </w:r>
      <w:r>
        <w:rPr>
          <w:w w:val="105"/>
        </w:rPr>
        <w:t>to serve Southwest  well throughout the year. The  Company  has  </w:t>
      </w:r>
      <w:r>
        <w:rPr>
          <w:spacing w:val="2"/>
          <w:w w:val="105"/>
        </w:rPr>
        <w:t>been  </w:t>
      </w:r>
      <w:r>
        <w:rPr>
          <w:spacing w:val="9"/>
          <w:w w:val="105"/>
        </w:rPr>
        <w:t>able </w:t>
      </w:r>
      <w:r>
        <w:rPr>
          <w:w w:val="105"/>
        </w:rPr>
        <w:t>to combat many  of  these  higher  </w:t>
      </w:r>
      <w:r>
        <w:rPr>
          <w:spacing w:val="3"/>
          <w:w w:val="105"/>
        </w:rPr>
        <w:t>exogenous</w:t>
      </w:r>
      <w:r>
        <w:rPr>
          <w:spacing w:val="53"/>
          <w:w w:val="105"/>
        </w:rPr>
        <w:t> </w:t>
      </w:r>
      <w:r>
        <w:rPr>
          <w:w w:val="105"/>
        </w:rPr>
        <w:t>costs by lowering </w:t>
      </w:r>
      <w:r>
        <w:rPr>
          <w:spacing w:val="2"/>
          <w:w w:val="105"/>
        </w:rPr>
        <w:t>distribution </w:t>
      </w:r>
      <w:r>
        <w:rPr>
          <w:w w:val="105"/>
        </w:rPr>
        <w:t>costs and </w:t>
      </w:r>
      <w:r>
        <w:rPr>
          <w:spacing w:val="9"/>
          <w:w w:val="105"/>
        </w:rPr>
        <w:t>implementing </w:t>
      </w:r>
      <w:r>
        <w:rPr>
          <w:w w:val="105"/>
        </w:rPr>
        <w:t>other cost </w:t>
      </w:r>
      <w:r>
        <w:rPr>
          <w:spacing w:val="2"/>
          <w:w w:val="105"/>
        </w:rPr>
        <w:t>reduction measures. Throughout </w:t>
      </w:r>
      <w:r>
        <w:rPr>
          <w:spacing w:val="6"/>
          <w:w w:val="105"/>
        </w:rPr>
        <w:t>the </w:t>
      </w:r>
      <w:r>
        <w:rPr>
          <w:w w:val="105"/>
        </w:rPr>
        <w:t>difficult period beginning with the </w:t>
      </w:r>
      <w:r>
        <w:rPr>
          <w:spacing w:val="2"/>
          <w:w w:val="105"/>
        </w:rPr>
        <w:t>September </w:t>
      </w:r>
      <w:r>
        <w:rPr>
          <w:w w:val="105"/>
        </w:rPr>
        <w:t>11, 2001, terrorist attacks the </w:t>
      </w:r>
      <w:r>
        <w:rPr>
          <w:spacing w:val="2"/>
          <w:w w:val="105"/>
        </w:rPr>
        <w:t>Company </w:t>
      </w:r>
      <w:r>
        <w:rPr>
          <w:w w:val="105"/>
        </w:rPr>
        <w:t>has </w:t>
      </w:r>
      <w:r>
        <w:rPr>
          <w:spacing w:val="16"/>
          <w:w w:val="105"/>
        </w:rPr>
        <w:t>been </w:t>
      </w:r>
      <w:r>
        <w:rPr>
          <w:w w:val="105"/>
        </w:rPr>
        <w:t>profitable  every</w:t>
      </w:r>
      <w:r>
        <w:rPr>
          <w:spacing w:val="36"/>
          <w:w w:val="105"/>
        </w:rPr>
        <w:t> </w:t>
      </w:r>
      <w:r>
        <w:rPr>
          <w:w w:val="105"/>
        </w:rPr>
        <w:t>quarter.</w:t>
      </w:r>
    </w:p>
    <w:p>
      <w:pPr>
        <w:pStyle w:val="BodyText"/>
        <w:spacing w:line="254" w:lineRule="auto" w:before="1"/>
        <w:ind w:left="100" w:right="7" w:firstLine="180"/>
        <w:jc w:val="both"/>
      </w:pPr>
      <w:r>
        <w:rPr>
          <w:w w:val="105"/>
        </w:rPr>
        <w:t>During 2002, Southwest successfully met </w:t>
      </w:r>
      <w:r>
        <w:rPr>
          <w:spacing w:val="6"/>
          <w:w w:val="105"/>
        </w:rPr>
        <w:t>the </w:t>
      </w:r>
      <w:r>
        <w:rPr>
          <w:w w:val="105"/>
        </w:rPr>
        <w:t>challenge of dramatic changes in airport </w:t>
      </w:r>
      <w:r>
        <w:rPr>
          <w:spacing w:val="3"/>
          <w:w w:val="105"/>
        </w:rPr>
        <w:t>security. </w:t>
      </w:r>
      <w:r>
        <w:rPr>
          <w:w w:val="105"/>
        </w:rPr>
        <w:t>Initially,  these  security  changes   </w:t>
      </w:r>
      <w:r>
        <w:rPr>
          <w:spacing w:val="4"/>
          <w:w w:val="105"/>
        </w:rPr>
        <w:t>dramatically </w:t>
      </w:r>
      <w:r>
        <w:rPr>
          <w:w w:val="105"/>
        </w:rPr>
        <w:t>altered airport </w:t>
      </w:r>
      <w:r>
        <w:rPr>
          <w:spacing w:val="2"/>
          <w:w w:val="105"/>
        </w:rPr>
        <w:t>checkin procedures  </w:t>
      </w:r>
      <w:r>
        <w:rPr>
          <w:w w:val="105"/>
        </w:rPr>
        <w:t>resulting  </w:t>
      </w:r>
      <w:r>
        <w:rPr>
          <w:spacing w:val="12"/>
          <w:w w:val="105"/>
        </w:rPr>
        <w:t>in </w:t>
      </w:r>
      <w:r>
        <w:rPr>
          <w:w w:val="105"/>
        </w:rPr>
        <w:t>longer  checkin  times   for   Customers.   </w:t>
      </w:r>
      <w:r>
        <w:rPr>
          <w:spacing w:val="7"/>
          <w:w w:val="105"/>
        </w:rPr>
        <w:t>The </w:t>
      </w:r>
      <w:r>
        <w:rPr>
          <w:spacing w:val="2"/>
          <w:w w:val="105"/>
        </w:rPr>
        <w:t>Company invested </w:t>
      </w:r>
      <w:r>
        <w:rPr>
          <w:w w:val="105"/>
        </w:rPr>
        <w:t>in </w:t>
      </w:r>
      <w:r>
        <w:rPr>
          <w:spacing w:val="3"/>
          <w:w w:val="105"/>
        </w:rPr>
        <w:t>additional</w:t>
      </w:r>
      <w:r>
        <w:rPr>
          <w:spacing w:val="53"/>
          <w:w w:val="105"/>
        </w:rPr>
        <w:t> </w:t>
      </w:r>
      <w:r>
        <w:rPr>
          <w:w w:val="105"/>
        </w:rPr>
        <w:t>airport  </w:t>
      </w:r>
      <w:r>
        <w:rPr>
          <w:spacing w:val="5"/>
          <w:w w:val="105"/>
        </w:rPr>
        <w:t>facilities </w:t>
      </w:r>
      <w:r>
        <w:rPr>
          <w:w w:val="105"/>
        </w:rPr>
        <w:t>and new  technology,  </w:t>
      </w:r>
      <w:r>
        <w:rPr>
          <w:spacing w:val="2"/>
          <w:w w:val="105"/>
        </w:rPr>
        <w:t>changed  </w:t>
      </w:r>
      <w:r>
        <w:rPr>
          <w:w w:val="105"/>
        </w:rPr>
        <w:t>processes,  </w:t>
      </w:r>
      <w:r>
        <w:rPr>
          <w:spacing w:val="12"/>
          <w:w w:val="105"/>
        </w:rPr>
        <w:t>and </w:t>
      </w:r>
      <w:r>
        <w:rPr>
          <w:spacing w:val="3"/>
          <w:w w:val="105"/>
        </w:rPr>
        <w:t>added</w:t>
      </w:r>
      <w:r>
        <w:rPr>
          <w:spacing w:val="53"/>
          <w:w w:val="105"/>
        </w:rPr>
        <w:t> </w:t>
      </w:r>
      <w:r>
        <w:rPr>
          <w:w w:val="105"/>
        </w:rPr>
        <w:t>Employees.  These  actions,  at   </w:t>
      </w:r>
      <w:r>
        <w:rPr>
          <w:spacing w:val="6"/>
          <w:w w:val="105"/>
        </w:rPr>
        <w:t>most  </w:t>
      </w:r>
      <w:r>
        <w:rPr>
          <w:w w:val="105"/>
        </w:rPr>
        <w:t>airports, restored checkin  times  to  </w:t>
      </w:r>
      <w:r>
        <w:rPr>
          <w:spacing w:val="8"/>
          <w:w w:val="105"/>
        </w:rPr>
        <w:t>normal </w:t>
      </w:r>
      <w:r>
        <w:rPr>
          <w:w w:val="105"/>
        </w:rPr>
        <w:t>durations.  Specific  changes  to  the   way   </w:t>
      </w:r>
      <w:r>
        <w:rPr>
          <w:spacing w:val="4"/>
          <w:w w:val="105"/>
        </w:rPr>
        <w:t>Custom- </w:t>
      </w:r>
      <w:r>
        <w:rPr>
          <w:w w:val="105"/>
        </w:rPr>
        <w:t>ers and baggage are processed </w:t>
      </w:r>
      <w:r>
        <w:rPr>
          <w:spacing w:val="2"/>
          <w:w w:val="105"/>
        </w:rPr>
        <w:t>included </w:t>
      </w:r>
      <w:r>
        <w:rPr>
          <w:spacing w:val="6"/>
          <w:w w:val="105"/>
        </w:rPr>
        <w:t>the </w:t>
      </w:r>
      <w:r>
        <w:rPr>
          <w:spacing w:val="4"/>
          <w:w w:val="105"/>
        </w:rPr>
        <w:t>implementation </w:t>
      </w:r>
      <w:r>
        <w:rPr>
          <w:w w:val="105"/>
        </w:rPr>
        <w:t>of </w:t>
      </w:r>
      <w:r>
        <w:rPr>
          <w:spacing w:val="3"/>
          <w:w w:val="105"/>
        </w:rPr>
        <w:t>computer-generated </w:t>
      </w:r>
      <w:r>
        <w:rPr>
          <w:spacing w:val="8"/>
          <w:w w:val="105"/>
        </w:rPr>
        <w:t>baggage </w:t>
      </w:r>
      <w:r>
        <w:rPr>
          <w:w w:val="105"/>
        </w:rPr>
        <w:t>tags to electronically track bags </w:t>
      </w:r>
      <w:r>
        <w:rPr>
          <w:spacing w:val="2"/>
          <w:w w:val="105"/>
        </w:rPr>
        <w:t>checked </w:t>
      </w:r>
      <w:r>
        <w:rPr>
          <w:spacing w:val="4"/>
          <w:w w:val="105"/>
        </w:rPr>
        <w:t>by </w:t>
      </w:r>
      <w:r>
        <w:rPr>
          <w:w w:val="105"/>
        </w:rPr>
        <w:t>Customers, </w:t>
      </w:r>
      <w:r>
        <w:rPr>
          <w:spacing w:val="3"/>
          <w:w w:val="105"/>
        </w:rPr>
        <w:t>computer-generated boarding </w:t>
      </w:r>
      <w:r>
        <w:rPr>
          <w:spacing w:val="4"/>
          <w:w w:val="105"/>
        </w:rPr>
        <w:t>passes </w:t>
      </w:r>
      <w:r>
        <w:rPr>
          <w:w w:val="105"/>
        </w:rPr>
        <w:t>from multiple points in the airport, and </w:t>
      </w:r>
      <w:r>
        <w:rPr>
          <w:spacing w:val="6"/>
          <w:w w:val="105"/>
        </w:rPr>
        <w:t>the </w:t>
      </w:r>
      <w:r>
        <w:rPr>
          <w:w w:val="105"/>
        </w:rPr>
        <w:t>installation  of  self-service  RAPID   CHECK-IN  </w:t>
      </w:r>
      <w:r>
        <w:rPr>
          <w:spacing w:val="2"/>
          <w:w w:val="105"/>
        </w:rPr>
        <w:t>Kiosks </w:t>
      </w:r>
      <w:r>
        <w:rPr>
          <w:w w:val="105"/>
        </w:rPr>
        <w:t>at  airports.   Although   the   </w:t>
      </w:r>
      <w:r>
        <w:rPr>
          <w:spacing w:val="2"/>
          <w:w w:val="105"/>
        </w:rPr>
        <w:t>Transportation </w:t>
      </w:r>
      <w:r>
        <w:rPr>
          <w:spacing w:val="22"/>
          <w:w w:val="105"/>
        </w:rPr>
        <w:t> </w:t>
      </w:r>
      <w:r>
        <w:rPr>
          <w:spacing w:val="3"/>
          <w:w w:val="105"/>
        </w:rPr>
        <w:t>Security</w:t>
      </w:r>
    </w:p>
    <w:p>
      <w:pPr>
        <w:pStyle w:val="BodyText"/>
        <w:spacing w:line="254" w:lineRule="auto" w:before="69"/>
        <w:ind w:left="100" w:right="106"/>
        <w:jc w:val="both"/>
      </w:pPr>
      <w:r>
        <w:rPr/>
        <w:br w:type="column"/>
      </w:r>
      <w:r>
        <w:rPr>
          <w:spacing w:val="3"/>
          <w:w w:val="105"/>
        </w:rPr>
        <w:t>Administration </w:t>
      </w:r>
      <w:r>
        <w:rPr>
          <w:w w:val="105"/>
        </w:rPr>
        <w:t>has successfully </w:t>
      </w:r>
      <w:r>
        <w:rPr>
          <w:spacing w:val="9"/>
          <w:w w:val="105"/>
        </w:rPr>
        <w:t>assumed </w:t>
      </w:r>
      <w:r>
        <w:rPr>
          <w:w w:val="105"/>
        </w:rPr>
        <w:t>responsibility  for   passenger   and   </w:t>
      </w:r>
      <w:r>
        <w:rPr>
          <w:spacing w:val="8"/>
          <w:w w:val="105"/>
        </w:rPr>
        <w:t>baggage </w:t>
      </w:r>
      <w:r>
        <w:rPr>
          <w:w w:val="105"/>
        </w:rPr>
        <w:t>screening and  has  </w:t>
      </w:r>
      <w:r>
        <w:rPr>
          <w:spacing w:val="3"/>
          <w:w w:val="105"/>
        </w:rPr>
        <w:t>complied</w:t>
      </w:r>
      <w:r>
        <w:rPr>
          <w:spacing w:val="53"/>
          <w:w w:val="105"/>
        </w:rPr>
        <w:t> </w:t>
      </w:r>
      <w:r>
        <w:rPr>
          <w:w w:val="105"/>
        </w:rPr>
        <w:t>with  all  </w:t>
      </w:r>
      <w:r>
        <w:rPr>
          <w:spacing w:val="6"/>
          <w:w w:val="105"/>
        </w:rPr>
        <w:t>federal </w:t>
      </w:r>
      <w:r>
        <w:rPr>
          <w:w w:val="105"/>
        </w:rPr>
        <w:t>security  </w:t>
      </w:r>
      <w:r>
        <w:rPr>
          <w:spacing w:val="2"/>
          <w:w w:val="105"/>
        </w:rPr>
        <w:t>mandates  </w:t>
      </w:r>
      <w:r>
        <w:rPr>
          <w:w w:val="105"/>
        </w:rPr>
        <w:t>as  </w:t>
      </w:r>
      <w:r>
        <w:rPr>
          <w:spacing w:val="2"/>
          <w:w w:val="105"/>
        </w:rPr>
        <w:t>required  </w:t>
      </w:r>
      <w:r>
        <w:rPr>
          <w:w w:val="105"/>
        </w:rPr>
        <w:t>by  the  </w:t>
      </w:r>
      <w:r>
        <w:rPr>
          <w:spacing w:val="10"/>
          <w:w w:val="105"/>
        </w:rPr>
        <w:t>Aviation </w:t>
      </w:r>
      <w:r>
        <w:rPr>
          <w:w w:val="105"/>
        </w:rPr>
        <w:t>and </w:t>
      </w:r>
      <w:r>
        <w:rPr>
          <w:spacing w:val="2"/>
          <w:w w:val="105"/>
        </w:rPr>
        <w:t>Transportation </w:t>
      </w:r>
      <w:r>
        <w:rPr>
          <w:w w:val="105"/>
        </w:rPr>
        <w:t>Security Act, the </w:t>
      </w:r>
      <w:r>
        <w:rPr>
          <w:spacing w:val="2"/>
          <w:w w:val="105"/>
        </w:rPr>
        <w:t>Company </w:t>
      </w:r>
      <w:r>
        <w:rPr>
          <w:spacing w:val="4"/>
          <w:w w:val="105"/>
        </w:rPr>
        <w:t>is </w:t>
      </w:r>
      <w:r>
        <w:rPr>
          <w:w w:val="105"/>
        </w:rPr>
        <w:t>currently unable to predict what impact </w:t>
      </w:r>
      <w:r>
        <w:rPr>
          <w:spacing w:val="5"/>
          <w:w w:val="105"/>
        </w:rPr>
        <w:t>future </w:t>
      </w:r>
      <w:r>
        <w:rPr>
          <w:spacing w:val="2"/>
          <w:w w:val="105"/>
        </w:rPr>
        <w:t>mandates, </w:t>
      </w:r>
      <w:r>
        <w:rPr>
          <w:w w:val="105"/>
        </w:rPr>
        <w:t>if any, will have on the  </w:t>
      </w:r>
      <w:r>
        <w:rPr>
          <w:spacing w:val="6"/>
          <w:w w:val="105"/>
        </w:rPr>
        <w:t>Company’s </w:t>
      </w:r>
      <w:r>
        <w:rPr>
          <w:spacing w:val="2"/>
          <w:w w:val="105"/>
        </w:rPr>
        <w:t>ongoing operations  </w:t>
      </w:r>
      <w:r>
        <w:rPr>
          <w:w w:val="105"/>
        </w:rPr>
        <w:t>and future </w:t>
      </w:r>
      <w:r>
        <w:rPr>
          <w:spacing w:val="8"/>
          <w:w w:val="105"/>
        </w:rPr>
        <w:t>financial </w:t>
      </w:r>
      <w:r>
        <w:rPr>
          <w:spacing w:val="7"/>
          <w:w w:val="105"/>
        </w:rPr>
        <w:t>performance.</w:t>
      </w:r>
    </w:p>
    <w:p>
      <w:pPr>
        <w:pStyle w:val="BodyText"/>
        <w:spacing w:line="254" w:lineRule="auto"/>
        <w:ind w:left="100" w:right="109" w:firstLine="180"/>
        <w:jc w:val="both"/>
      </w:pPr>
      <w:r>
        <w:rPr>
          <w:w w:val="105"/>
        </w:rPr>
        <w:t>Although the </w:t>
      </w:r>
      <w:r>
        <w:rPr>
          <w:spacing w:val="2"/>
          <w:w w:val="105"/>
        </w:rPr>
        <w:t>Company </w:t>
      </w:r>
      <w:r>
        <w:rPr>
          <w:w w:val="105"/>
        </w:rPr>
        <w:t>did not </w:t>
      </w:r>
      <w:r>
        <w:rPr>
          <w:spacing w:val="2"/>
          <w:w w:val="105"/>
        </w:rPr>
        <w:t>open  </w:t>
      </w:r>
      <w:r>
        <w:rPr>
          <w:w w:val="105"/>
        </w:rPr>
        <w:t>any  </w:t>
      </w:r>
      <w:r>
        <w:rPr>
          <w:spacing w:val="10"/>
          <w:w w:val="105"/>
        </w:rPr>
        <w:t>new </w:t>
      </w:r>
      <w:r>
        <w:rPr>
          <w:w w:val="105"/>
        </w:rPr>
        <w:t>cities in 2002, it did improve its quality of </w:t>
      </w:r>
      <w:r>
        <w:rPr>
          <w:spacing w:val="7"/>
          <w:w w:val="105"/>
        </w:rPr>
        <w:t>service</w:t>
      </w:r>
      <w:r>
        <w:rPr>
          <w:spacing w:val="61"/>
          <w:w w:val="105"/>
        </w:rPr>
        <w:t> </w:t>
      </w:r>
      <w:r>
        <w:rPr>
          <w:w w:val="105"/>
        </w:rPr>
        <w:t>between cities already served and added 23 </w:t>
      </w:r>
      <w:r>
        <w:rPr>
          <w:spacing w:val="10"/>
          <w:w w:val="105"/>
        </w:rPr>
        <w:t>new </w:t>
      </w:r>
      <w:r>
        <w:rPr>
          <w:w w:val="105"/>
        </w:rPr>
        <w:t>737-700 aircraft to facilitate this growth. </w:t>
      </w:r>
      <w:r>
        <w:rPr>
          <w:spacing w:val="8"/>
          <w:w w:val="105"/>
        </w:rPr>
        <w:t>These </w:t>
      </w:r>
      <w:r>
        <w:rPr>
          <w:spacing w:val="2"/>
          <w:w w:val="105"/>
        </w:rPr>
        <w:t>additions,  </w:t>
      </w:r>
      <w:r>
        <w:rPr>
          <w:w w:val="105"/>
        </w:rPr>
        <w:t>along  with  the  </w:t>
      </w:r>
      <w:r>
        <w:rPr>
          <w:spacing w:val="2"/>
          <w:w w:val="105"/>
        </w:rPr>
        <w:t>retirement  </w:t>
      </w:r>
      <w:r>
        <w:rPr>
          <w:w w:val="105"/>
        </w:rPr>
        <w:t>of  </w:t>
      </w:r>
      <w:r>
        <w:rPr>
          <w:spacing w:val="7"/>
          <w:w w:val="105"/>
        </w:rPr>
        <w:t>three </w:t>
      </w:r>
      <w:r>
        <w:rPr>
          <w:w w:val="105"/>
        </w:rPr>
        <w:t>older 737-200 aircraft, resulted in a net </w:t>
      </w:r>
      <w:r>
        <w:rPr>
          <w:spacing w:val="6"/>
          <w:w w:val="105"/>
        </w:rPr>
        <w:t>capacity </w:t>
      </w:r>
      <w:r>
        <w:rPr>
          <w:spacing w:val="2"/>
          <w:w w:val="105"/>
        </w:rPr>
        <w:t>increase </w:t>
      </w:r>
      <w:r>
        <w:rPr>
          <w:w w:val="105"/>
        </w:rPr>
        <w:t>of  5.5  percent  and  brought  </w:t>
      </w:r>
      <w:r>
        <w:rPr>
          <w:spacing w:val="6"/>
          <w:w w:val="105"/>
        </w:rPr>
        <w:t>the </w:t>
      </w:r>
      <w:r>
        <w:rPr>
          <w:w w:val="105"/>
        </w:rPr>
        <w:t>Company’s all-737 fleet  to  375  aircraft  at  the  </w:t>
      </w:r>
      <w:r>
        <w:rPr>
          <w:spacing w:val="12"/>
          <w:w w:val="105"/>
        </w:rPr>
        <w:t>end </w:t>
      </w:r>
      <w:r>
        <w:rPr>
          <w:w w:val="105"/>
        </w:rPr>
        <w:t>of   2002.   The    </w:t>
      </w:r>
      <w:r>
        <w:rPr>
          <w:spacing w:val="2"/>
          <w:w w:val="105"/>
        </w:rPr>
        <w:t>Company    ended    </w:t>
      </w:r>
      <w:r>
        <w:rPr>
          <w:w w:val="105"/>
        </w:rPr>
        <w:t>2002    </w:t>
      </w:r>
      <w:r>
        <w:rPr>
          <w:spacing w:val="6"/>
          <w:w w:val="105"/>
        </w:rPr>
        <w:t>serving </w:t>
      </w:r>
      <w:r>
        <w:rPr>
          <w:w w:val="105"/>
        </w:rPr>
        <w:t>59  airports  in  30 </w:t>
      </w:r>
      <w:r>
        <w:rPr>
          <w:spacing w:val="22"/>
          <w:w w:val="105"/>
        </w:rPr>
        <w:t> </w:t>
      </w:r>
      <w:r>
        <w:rPr>
          <w:w w:val="105"/>
        </w:rPr>
        <w:t>states.</w:t>
      </w:r>
    </w:p>
    <w:p>
      <w:pPr>
        <w:pStyle w:val="BodyText"/>
        <w:spacing w:line="254" w:lineRule="auto"/>
        <w:ind w:left="100" w:right="107" w:firstLine="180"/>
        <w:jc w:val="both"/>
      </w:pPr>
      <w:r>
        <w:rPr>
          <w:spacing w:val="2"/>
          <w:w w:val="105"/>
        </w:rPr>
        <w:t>Available  </w:t>
      </w:r>
      <w:r>
        <w:rPr>
          <w:w w:val="105"/>
        </w:rPr>
        <w:t>seat  mile  (ASM)  capacity  is  </w:t>
      </w:r>
      <w:r>
        <w:rPr>
          <w:spacing w:val="10"/>
          <w:w w:val="105"/>
        </w:rPr>
        <w:t>expected </w:t>
      </w:r>
      <w:r>
        <w:rPr>
          <w:w w:val="105"/>
        </w:rPr>
        <w:t>to grow </w:t>
      </w:r>
      <w:r>
        <w:rPr>
          <w:spacing w:val="3"/>
          <w:w w:val="105"/>
        </w:rPr>
        <w:t>approximately </w:t>
      </w:r>
      <w:r>
        <w:rPr>
          <w:w w:val="105"/>
        </w:rPr>
        <w:t>four percent  in  2003  </w:t>
      </w:r>
      <w:r>
        <w:rPr>
          <w:spacing w:val="9"/>
          <w:w w:val="105"/>
        </w:rPr>
        <w:t>with </w:t>
      </w:r>
      <w:r>
        <w:rPr>
          <w:w w:val="105"/>
        </w:rPr>
        <w:t>the </w:t>
      </w:r>
      <w:r>
        <w:rPr>
          <w:spacing w:val="2"/>
          <w:w w:val="105"/>
        </w:rPr>
        <w:t>planned </w:t>
      </w:r>
      <w:r>
        <w:rPr>
          <w:w w:val="105"/>
        </w:rPr>
        <w:t>net </w:t>
      </w:r>
      <w:r>
        <w:rPr>
          <w:spacing w:val="3"/>
          <w:w w:val="105"/>
        </w:rPr>
        <w:t>addition </w:t>
      </w:r>
      <w:r>
        <w:rPr>
          <w:w w:val="105"/>
        </w:rPr>
        <w:t>of 11 aircraft.  </w:t>
      </w:r>
      <w:r>
        <w:rPr>
          <w:spacing w:val="8"/>
          <w:w w:val="105"/>
        </w:rPr>
        <w:t>The </w:t>
      </w:r>
      <w:r>
        <w:rPr>
          <w:spacing w:val="2"/>
          <w:w w:val="105"/>
        </w:rPr>
        <w:t>Company </w:t>
      </w:r>
      <w:r>
        <w:rPr>
          <w:w w:val="105"/>
        </w:rPr>
        <w:t>currently has 17 new Boeing 737-700s </w:t>
      </w:r>
      <w:r>
        <w:rPr>
          <w:spacing w:val="2"/>
          <w:w w:val="105"/>
        </w:rPr>
        <w:t>scheduled </w:t>
      </w:r>
      <w:r>
        <w:rPr>
          <w:w w:val="105"/>
        </w:rPr>
        <w:t>for delivery  during  the  year  and  </w:t>
      </w:r>
      <w:r>
        <w:rPr>
          <w:spacing w:val="6"/>
          <w:w w:val="105"/>
        </w:rPr>
        <w:t>plans  </w:t>
      </w:r>
      <w:r>
        <w:rPr>
          <w:w w:val="105"/>
        </w:rPr>
        <w:t>to  retire  six  of  the  Company’s  older</w:t>
      </w:r>
      <w:r>
        <w:rPr>
          <w:spacing w:val="28"/>
          <w:w w:val="105"/>
        </w:rPr>
        <w:t> </w:t>
      </w:r>
      <w:r>
        <w:rPr>
          <w:w w:val="105"/>
        </w:rPr>
        <w:t>737-200s.</w:t>
      </w:r>
    </w:p>
    <w:p>
      <w:pPr>
        <w:pStyle w:val="BodyText"/>
        <w:spacing w:before="11"/>
        <w:rPr>
          <w:sz w:val="21"/>
        </w:rPr>
      </w:pPr>
    </w:p>
    <w:p>
      <w:pPr>
        <w:pStyle w:val="BodyText"/>
        <w:ind w:left="100"/>
        <w:jc w:val="both"/>
        <w:rPr>
          <w:rFonts w:ascii="Franklin Gothic Medium"/>
        </w:rPr>
      </w:pPr>
      <w:r>
        <w:rPr>
          <w:rFonts w:ascii="Franklin Gothic Medium"/>
        </w:rPr>
        <w:t>Results  of Operations</w:t>
      </w:r>
    </w:p>
    <w:p>
      <w:pPr>
        <w:pStyle w:val="BodyText"/>
        <w:spacing w:before="2"/>
        <w:rPr>
          <w:rFonts w:ascii="Franklin Gothic Medium"/>
          <w:sz w:val="25"/>
        </w:rPr>
      </w:pPr>
    </w:p>
    <w:p>
      <w:pPr>
        <w:spacing w:line="254" w:lineRule="auto" w:before="0"/>
        <w:ind w:left="100" w:right="111" w:firstLine="180"/>
        <w:jc w:val="both"/>
        <w:rPr>
          <w:sz w:val="20"/>
        </w:rPr>
      </w:pPr>
      <w:r>
        <w:rPr>
          <w:i/>
          <w:w w:val="105"/>
          <w:sz w:val="20"/>
        </w:rPr>
        <w:t>2002 Compared with 2001</w:t>
      </w:r>
      <w:r>
        <w:rPr>
          <w:rFonts w:ascii="Franklin Gothic Medium" w:hAnsi="Franklin Gothic Medium"/>
          <w:w w:val="105"/>
          <w:sz w:val="20"/>
        </w:rPr>
        <w:t>. </w:t>
      </w:r>
      <w:r>
        <w:rPr>
          <w:w w:val="105"/>
          <w:sz w:val="20"/>
        </w:rPr>
        <w:t>The Company’s consolidated      net      income      for      2002       was</w:t>
      </w:r>
    </w:p>
    <w:p>
      <w:pPr>
        <w:pStyle w:val="BodyText"/>
        <w:spacing w:line="254" w:lineRule="auto" w:before="1"/>
        <w:ind w:left="100" w:right="109"/>
        <w:jc w:val="both"/>
      </w:pPr>
      <w:r>
        <w:rPr>
          <w:w w:val="110"/>
        </w:rPr>
        <w:t>$241.0 million ($.30 per share, diluted), as compared to 2001 net income of $511.1 million ($.63    per     share,     diluted),     a     decrease    of</w:t>
      </w:r>
    </w:p>
    <w:p>
      <w:pPr>
        <w:pStyle w:val="BodyText"/>
        <w:spacing w:line="254" w:lineRule="auto" w:before="1"/>
        <w:ind w:left="100" w:right="104"/>
        <w:jc w:val="both"/>
      </w:pPr>
      <w:r>
        <w:rPr>
          <w:w w:val="110"/>
        </w:rPr>
        <w:t>$270.1 million or 52.9 percent. Operating income for   2002   was   $417.3   million,    a    decrease   of</w:t>
      </w:r>
    </w:p>
    <w:p>
      <w:pPr>
        <w:pStyle w:val="BodyText"/>
        <w:spacing w:line="254" w:lineRule="auto" w:before="1"/>
        <w:ind w:left="100" w:right="117"/>
        <w:jc w:val="both"/>
      </w:pPr>
      <w:r>
        <w:rPr>
          <w:w w:val="110"/>
        </w:rPr>
        <w:t>$213.8 million, or 33.9 percent  </w:t>
      </w:r>
      <w:r>
        <w:rPr>
          <w:spacing w:val="3"/>
          <w:w w:val="110"/>
        </w:rPr>
        <w:t>compared</w:t>
      </w:r>
      <w:r>
        <w:rPr>
          <w:spacing w:val="55"/>
          <w:w w:val="110"/>
        </w:rPr>
        <w:t> </w:t>
      </w:r>
      <w:r>
        <w:rPr>
          <w:spacing w:val="4"/>
          <w:w w:val="110"/>
        </w:rPr>
        <w:t>to  </w:t>
      </w:r>
      <w:r>
        <w:rPr>
          <w:w w:val="110"/>
        </w:rPr>
        <w:t>2001.</w:t>
      </w:r>
    </w:p>
    <w:p>
      <w:pPr>
        <w:pStyle w:val="BodyText"/>
        <w:spacing w:line="254" w:lineRule="auto" w:before="1"/>
        <w:ind w:left="100" w:right="108" w:firstLine="180"/>
        <w:jc w:val="both"/>
      </w:pPr>
      <w:r>
        <w:rPr>
          <w:spacing w:val="2"/>
          <w:w w:val="105"/>
        </w:rPr>
        <w:t>Consolidated  </w:t>
      </w:r>
      <w:r>
        <w:rPr>
          <w:w w:val="105"/>
        </w:rPr>
        <w:t>results  for  2002  and   2001  </w:t>
      </w:r>
      <w:r>
        <w:rPr>
          <w:spacing w:val="2"/>
          <w:w w:val="105"/>
        </w:rPr>
        <w:t>included </w:t>
      </w:r>
      <w:r>
        <w:rPr>
          <w:w w:val="105"/>
        </w:rPr>
        <w:t>$48 million  and  $235  million,  </w:t>
      </w:r>
      <w:r>
        <w:rPr>
          <w:spacing w:val="4"/>
          <w:w w:val="105"/>
        </w:rPr>
        <w:t>respec- </w:t>
      </w:r>
      <w:r>
        <w:rPr>
          <w:w w:val="105"/>
        </w:rPr>
        <w:t>tively, in gains that the </w:t>
      </w:r>
      <w:r>
        <w:rPr>
          <w:spacing w:val="2"/>
          <w:w w:val="105"/>
        </w:rPr>
        <w:t>Company recognized </w:t>
      </w:r>
      <w:r>
        <w:rPr>
          <w:spacing w:val="8"/>
          <w:w w:val="105"/>
        </w:rPr>
        <w:t>from </w:t>
      </w:r>
      <w:r>
        <w:rPr>
          <w:w w:val="105"/>
        </w:rPr>
        <w:t>grants under the Air </w:t>
      </w:r>
      <w:r>
        <w:rPr>
          <w:spacing w:val="2"/>
          <w:w w:val="105"/>
        </w:rPr>
        <w:t>Transportation </w:t>
      </w:r>
      <w:r>
        <w:rPr>
          <w:w w:val="105"/>
        </w:rPr>
        <w:t>Safety </w:t>
      </w:r>
      <w:r>
        <w:rPr>
          <w:spacing w:val="11"/>
          <w:w w:val="105"/>
        </w:rPr>
        <w:t>and </w:t>
      </w:r>
      <w:r>
        <w:rPr>
          <w:w w:val="105"/>
        </w:rPr>
        <w:t>System </w:t>
      </w:r>
      <w:r>
        <w:rPr>
          <w:spacing w:val="2"/>
          <w:w w:val="105"/>
        </w:rPr>
        <w:t>Stabilization </w:t>
      </w:r>
      <w:r>
        <w:rPr>
          <w:w w:val="105"/>
        </w:rPr>
        <w:t>Act (Air </w:t>
      </w:r>
      <w:r>
        <w:rPr>
          <w:spacing w:val="2"/>
          <w:w w:val="105"/>
        </w:rPr>
        <w:t>Stabilization </w:t>
      </w:r>
      <w:r>
        <w:rPr>
          <w:w w:val="105"/>
        </w:rPr>
        <w:t>Act). </w:t>
      </w:r>
      <w:r>
        <w:rPr>
          <w:spacing w:val="2"/>
          <w:w w:val="105"/>
        </w:rPr>
        <w:t>Consolidated     </w:t>
      </w:r>
      <w:r>
        <w:rPr>
          <w:w w:val="105"/>
        </w:rPr>
        <w:t>results    for    2002    also    </w:t>
      </w:r>
      <w:r>
        <w:rPr>
          <w:spacing w:val="25"/>
          <w:w w:val="105"/>
        </w:rPr>
        <w:t> </w:t>
      </w:r>
      <w:r>
        <w:rPr>
          <w:spacing w:val="9"/>
          <w:w w:val="105"/>
        </w:rPr>
        <w:t>included</w:t>
      </w:r>
    </w:p>
    <w:p>
      <w:pPr>
        <w:pStyle w:val="BodyText"/>
        <w:spacing w:line="254" w:lineRule="auto" w:before="1"/>
        <w:ind w:left="100" w:right="109"/>
        <w:jc w:val="both"/>
      </w:pPr>
      <w:r>
        <w:rPr>
          <w:w w:val="110"/>
        </w:rPr>
        <w:t>$36 million in additional passenger revenue  </w:t>
      </w:r>
      <w:r>
        <w:rPr>
          <w:spacing w:val="8"/>
          <w:w w:val="110"/>
        </w:rPr>
        <w:t>from</w:t>
      </w:r>
      <w:r>
        <w:rPr>
          <w:spacing w:val="65"/>
          <w:w w:val="110"/>
        </w:rPr>
        <w:t> </w:t>
      </w:r>
      <w:r>
        <w:rPr>
          <w:w w:val="110"/>
        </w:rPr>
        <w:t>a reduction in estimated refunds and </w:t>
      </w:r>
      <w:r>
        <w:rPr>
          <w:spacing w:val="8"/>
          <w:w w:val="110"/>
        </w:rPr>
        <w:t>exchanges, </w:t>
      </w:r>
      <w:r>
        <w:rPr>
          <w:spacing w:val="2"/>
          <w:w w:val="110"/>
        </w:rPr>
        <w:t>contributing </w:t>
      </w:r>
      <w:r>
        <w:rPr>
          <w:w w:val="110"/>
        </w:rPr>
        <w:t>to an </w:t>
      </w:r>
      <w:r>
        <w:rPr>
          <w:spacing w:val="2"/>
          <w:w w:val="110"/>
        </w:rPr>
        <w:t>increase </w:t>
      </w:r>
      <w:r>
        <w:rPr>
          <w:w w:val="110"/>
        </w:rPr>
        <w:t>in forfeited tickets </w:t>
      </w:r>
      <w:r>
        <w:rPr>
          <w:spacing w:val="2"/>
          <w:w w:val="110"/>
        </w:rPr>
        <w:t>included   </w:t>
      </w:r>
      <w:r>
        <w:rPr>
          <w:w w:val="110"/>
        </w:rPr>
        <w:t>in   “Air   traffic   liability.” </w:t>
      </w:r>
      <w:r>
        <w:rPr>
          <w:spacing w:val="35"/>
          <w:w w:val="110"/>
        </w:rPr>
        <w:t> </w:t>
      </w:r>
      <w:r>
        <w:rPr>
          <w:spacing w:val="6"/>
          <w:w w:val="110"/>
        </w:rPr>
        <w:t>Consolidated</w:t>
      </w:r>
    </w:p>
    <w:p>
      <w:pPr>
        <w:spacing w:after="0" w:line="254" w:lineRule="auto"/>
        <w:jc w:val="both"/>
        <w:sectPr>
          <w:headerReference w:type="default" r:id="rId75"/>
          <w:footerReference w:type="default" r:id="rId76"/>
          <w:footerReference w:type="even" r:id="rId77"/>
          <w:pgSz w:w="11520" w:h="14400"/>
          <w:pgMar w:header="0" w:footer="706" w:top="960" w:bottom="900" w:left="700" w:right="840"/>
          <w:pgNumType w:start="13"/>
          <w:cols w:num="2" w:equalWidth="0">
            <w:col w:w="4737" w:space="403"/>
            <w:col w:w="4840"/>
          </w:cols>
        </w:sectPr>
      </w:pPr>
    </w:p>
    <w:p>
      <w:pPr>
        <w:pStyle w:val="BodyText"/>
        <w:spacing w:line="254" w:lineRule="auto" w:before="69"/>
        <w:ind w:left="100" w:right="1"/>
        <w:jc w:val="both"/>
      </w:pPr>
      <w:r>
        <w:rPr>
          <w:w w:val="105"/>
        </w:rPr>
        <w:t>results for 2001 also </w:t>
      </w:r>
      <w:r>
        <w:rPr>
          <w:spacing w:val="2"/>
          <w:w w:val="105"/>
        </w:rPr>
        <w:t>included  </w:t>
      </w:r>
      <w:r>
        <w:rPr>
          <w:w w:val="105"/>
        </w:rPr>
        <w:t>special  </w:t>
      </w:r>
      <w:r>
        <w:rPr>
          <w:spacing w:val="6"/>
          <w:w w:val="105"/>
        </w:rPr>
        <w:t>pre-tax </w:t>
      </w:r>
      <w:r>
        <w:rPr>
          <w:w w:val="105"/>
        </w:rPr>
        <w:t>charges of approximately $48 million arising  </w:t>
      </w:r>
      <w:r>
        <w:rPr>
          <w:spacing w:val="8"/>
          <w:w w:val="105"/>
        </w:rPr>
        <w:t>from  </w:t>
      </w:r>
      <w:r>
        <w:rPr>
          <w:w w:val="105"/>
        </w:rPr>
        <w:t>the terrorist  attacks.  See  Note  1  and  Note  3  </w:t>
      </w:r>
      <w:r>
        <w:rPr>
          <w:spacing w:val="4"/>
          <w:w w:val="105"/>
        </w:rPr>
        <w:t>to </w:t>
      </w:r>
      <w:r>
        <w:rPr>
          <w:w w:val="105"/>
        </w:rPr>
        <w:t>the   </w:t>
      </w:r>
      <w:r>
        <w:rPr>
          <w:spacing w:val="2"/>
          <w:w w:val="105"/>
        </w:rPr>
        <w:t>Consolidated   Financial </w:t>
      </w:r>
      <w:r>
        <w:rPr>
          <w:spacing w:val="7"/>
          <w:w w:val="105"/>
        </w:rPr>
        <w:t> </w:t>
      </w:r>
      <w:r>
        <w:rPr>
          <w:spacing w:val="3"/>
          <w:w w:val="105"/>
        </w:rPr>
        <w:t>Statements.</w:t>
      </w:r>
    </w:p>
    <w:p>
      <w:pPr>
        <w:pStyle w:val="BodyText"/>
        <w:tabs>
          <w:tab w:pos="842" w:val="left" w:leader="none"/>
          <w:tab w:pos="1939" w:val="left" w:leader="none"/>
          <w:tab w:pos="2959" w:val="left" w:leader="none"/>
          <w:tab w:pos="3559" w:val="left" w:leader="none"/>
        </w:tabs>
        <w:spacing w:line="254" w:lineRule="auto"/>
        <w:ind w:left="100" w:firstLine="180"/>
      </w:pPr>
      <w:r>
        <w:rPr>
          <w:w w:val="105"/>
        </w:rPr>
        <w:t>The</w:t>
        <w:tab/>
        <w:t>Company</w:t>
        <w:tab/>
      </w:r>
      <w:r>
        <w:rPr>
          <w:spacing w:val="2"/>
          <w:w w:val="105"/>
        </w:rPr>
        <w:t>believes</w:t>
        <w:tab/>
      </w:r>
      <w:r>
        <w:rPr>
          <w:w w:val="105"/>
        </w:rPr>
        <w:t>that</w:t>
        <w:tab/>
      </w:r>
      <w:r>
        <w:rPr>
          <w:spacing w:val="9"/>
          <w:w w:val="105"/>
        </w:rPr>
        <w:t>comparative </w:t>
      </w:r>
      <w:r>
        <w:rPr>
          <w:w w:val="105"/>
        </w:rPr>
        <w:t>analysis  of  results  can  be  </w:t>
      </w:r>
      <w:r>
        <w:rPr>
          <w:spacing w:val="3"/>
          <w:w w:val="105"/>
        </w:rPr>
        <w:t>enhanced   </w:t>
      </w:r>
      <w:r>
        <w:rPr>
          <w:w w:val="105"/>
        </w:rPr>
        <w:t>by </w:t>
      </w:r>
      <w:r>
        <w:rPr>
          <w:spacing w:val="8"/>
          <w:w w:val="105"/>
        </w:rPr>
        <w:t> excluding</w:t>
      </w:r>
    </w:p>
    <w:p>
      <w:pPr>
        <w:pStyle w:val="BodyText"/>
        <w:spacing w:line="254" w:lineRule="auto" w:before="69"/>
        <w:ind w:left="100" w:right="108"/>
        <w:jc w:val="both"/>
      </w:pPr>
      <w:r>
        <w:rPr/>
        <w:br w:type="column"/>
      </w:r>
      <w:r>
        <w:rPr>
          <w:w w:val="105"/>
        </w:rPr>
        <w:t>the </w:t>
      </w:r>
      <w:r>
        <w:rPr>
          <w:spacing w:val="2"/>
          <w:w w:val="105"/>
        </w:rPr>
        <w:t>impact </w:t>
      </w:r>
      <w:r>
        <w:rPr>
          <w:w w:val="105"/>
        </w:rPr>
        <w:t>of these special items.  The  </w:t>
      </w:r>
      <w:r>
        <w:rPr>
          <w:spacing w:val="5"/>
          <w:w w:val="105"/>
        </w:rPr>
        <w:t>following </w:t>
      </w:r>
      <w:r>
        <w:rPr>
          <w:w w:val="105"/>
        </w:rPr>
        <w:t>table reconciles  results  reported  in  </w:t>
      </w:r>
      <w:r>
        <w:rPr>
          <w:spacing w:val="8"/>
          <w:w w:val="105"/>
        </w:rPr>
        <w:t>accordance  </w:t>
      </w:r>
      <w:r>
        <w:rPr>
          <w:w w:val="105"/>
        </w:rPr>
        <w:t>with Generally </w:t>
      </w:r>
      <w:r>
        <w:rPr>
          <w:spacing w:val="2"/>
          <w:w w:val="105"/>
        </w:rPr>
        <w:t>Accepted Accounting </w:t>
      </w:r>
      <w:r>
        <w:rPr>
          <w:spacing w:val="6"/>
          <w:w w:val="105"/>
        </w:rPr>
        <w:t>Principles </w:t>
      </w:r>
      <w:r>
        <w:rPr>
          <w:w w:val="105"/>
        </w:rPr>
        <w:t>(GAAP) with results adjusted for special items </w:t>
      </w:r>
      <w:r>
        <w:rPr>
          <w:spacing w:val="5"/>
          <w:w w:val="105"/>
        </w:rPr>
        <w:t>that  </w:t>
      </w:r>
      <w:r>
        <w:rPr>
          <w:w w:val="105"/>
        </w:rPr>
        <w:t>are  not  expected  to</w:t>
      </w:r>
      <w:r>
        <w:rPr>
          <w:spacing w:val="12"/>
          <w:w w:val="105"/>
        </w:rPr>
        <w:t> </w:t>
      </w:r>
      <w:r>
        <w:rPr>
          <w:spacing w:val="2"/>
          <w:w w:val="105"/>
        </w:rPr>
        <w:t>recur:</w:t>
      </w:r>
    </w:p>
    <w:p>
      <w:pPr>
        <w:spacing w:after="0" w:line="254" w:lineRule="auto"/>
        <w:jc w:val="both"/>
        <w:sectPr>
          <w:headerReference w:type="default" r:id="rId78"/>
          <w:pgSz w:w="11520" w:h="14400"/>
          <w:pgMar w:header="0" w:footer="706" w:top="960" w:bottom="900" w:left="700" w:right="840"/>
          <w:cols w:num="2" w:equalWidth="0">
            <w:col w:w="4731" w:space="409"/>
            <w:col w:w="4840"/>
          </w:cols>
        </w:sectPr>
      </w:pPr>
    </w:p>
    <w:p>
      <w:pPr>
        <w:pStyle w:val="BodyText"/>
        <w:spacing w:before="9"/>
        <w:rPr>
          <w:sz w:val="19"/>
        </w:rPr>
      </w:pPr>
    </w:p>
    <w:tbl>
      <w:tblPr>
        <w:tblW w:w="0" w:type="auto"/>
        <w:jc w:val="left"/>
        <w:tblInd w:w="62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552"/>
        <w:gridCol w:w="2006"/>
        <w:gridCol w:w="2702"/>
      </w:tblGrid>
      <w:tr>
        <w:trPr>
          <w:trHeight w:val="320" w:hRule="exact"/>
        </w:trPr>
        <w:tc>
          <w:tcPr>
            <w:tcW w:w="4552" w:type="dxa"/>
            <w:tcBorders>
              <w:top w:val="single" w:sz="8" w:space="0" w:color="000000"/>
              <w:bottom w:val="single" w:sz="8" w:space="0" w:color="000000"/>
            </w:tcBorders>
          </w:tcPr>
          <w:p>
            <w:pPr>
              <w:pStyle w:val="TableParagraph"/>
              <w:spacing w:before="87"/>
              <w:ind w:left="20"/>
              <w:rPr>
                <w:i/>
                <w:sz w:val="16"/>
              </w:rPr>
            </w:pPr>
            <w:r>
              <w:rPr>
                <w:i/>
                <w:w w:val="105"/>
                <w:sz w:val="16"/>
              </w:rPr>
              <w:t>(In  thousands)</w:t>
            </w:r>
          </w:p>
        </w:tc>
        <w:tc>
          <w:tcPr>
            <w:tcW w:w="2006" w:type="dxa"/>
            <w:tcBorders>
              <w:top w:val="single" w:sz="8" w:space="0" w:color="000000"/>
              <w:bottom w:val="single" w:sz="8" w:space="0" w:color="000000"/>
            </w:tcBorders>
          </w:tcPr>
          <w:p>
            <w:pPr>
              <w:pStyle w:val="TableParagraph"/>
              <w:spacing w:before="75"/>
              <w:ind w:left="568"/>
              <w:rPr>
                <w:rFonts w:ascii="Franklin Gothic Medium"/>
                <w:sz w:val="18"/>
              </w:rPr>
            </w:pPr>
            <w:r>
              <w:rPr>
                <w:rFonts w:ascii="Franklin Gothic Medium"/>
                <w:sz w:val="18"/>
              </w:rPr>
              <w:t>2002</w:t>
            </w:r>
          </w:p>
        </w:tc>
        <w:tc>
          <w:tcPr>
            <w:tcW w:w="2702" w:type="dxa"/>
            <w:tcBorders>
              <w:top w:val="single" w:sz="8" w:space="0" w:color="000000"/>
              <w:bottom w:val="single" w:sz="8" w:space="0" w:color="000000"/>
            </w:tcBorders>
          </w:tcPr>
          <w:p>
            <w:pPr>
              <w:pStyle w:val="TableParagraph"/>
              <w:spacing w:before="75"/>
              <w:ind w:left="1062" w:right="1178"/>
              <w:jc w:val="center"/>
              <w:rPr>
                <w:rFonts w:ascii="Franklin Gothic Medium"/>
                <w:sz w:val="18"/>
              </w:rPr>
            </w:pPr>
            <w:r>
              <w:rPr>
                <w:rFonts w:ascii="Franklin Gothic Medium"/>
                <w:sz w:val="18"/>
              </w:rPr>
              <w:t>2001</w:t>
            </w:r>
          </w:p>
        </w:tc>
      </w:tr>
      <w:tr>
        <w:trPr>
          <w:trHeight w:val="300" w:hRule="exact"/>
        </w:trPr>
        <w:tc>
          <w:tcPr>
            <w:tcW w:w="4552" w:type="dxa"/>
            <w:tcBorders>
              <w:top w:val="single" w:sz="8" w:space="0" w:color="000000"/>
            </w:tcBorders>
          </w:tcPr>
          <w:p>
            <w:pPr>
              <w:pStyle w:val="TableParagraph"/>
              <w:spacing w:before="48"/>
              <w:ind w:left="20"/>
              <w:rPr>
                <w:sz w:val="18"/>
              </w:rPr>
            </w:pPr>
            <w:r>
              <w:rPr>
                <w:w w:val="110"/>
                <w:sz w:val="18"/>
              </w:rPr>
              <w:t>Consolidated  net  income,  as reported</w:t>
            </w:r>
          </w:p>
        </w:tc>
        <w:tc>
          <w:tcPr>
            <w:tcW w:w="2006" w:type="dxa"/>
            <w:tcBorders>
              <w:top w:val="single" w:sz="8" w:space="0" w:color="000000"/>
            </w:tcBorders>
          </w:tcPr>
          <w:p>
            <w:pPr>
              <w:pStyle w:val="TableParagraph"/>
              <w:tabs>
                <w:tab w:pos="568" w:val="left" w:leader="none"/>
              </w:tabs>
              <w:spacing w:before="48"/>
              <w:ind w:left="248"/>
              <w:rPr>
                <w:sz w:val="18"/>
              </w:rPr>
            </w:pPr>
            <w:r>
              <w:rPr>
                <w:w w:val="115"/>
                <w:sz w:val="18"/>
              </w:rPr>
              <w:t>$</w:t>
              <w:tab/>
            </w:r>
            <w:r>
              <w:rPr>
                <w:spacing w:val="-3"/>
                <w:w w:val="115"/>
                <w:sz w:val="18"/>
              </w:rPr>
              <w:t>240,969</w:t>
            </w:r>
            <w:r>
              <w:rPr>
                <w:color w:val="FFFFFF"/>
                <w:spacing w:val="-3"/>
                <w:w w:val="115"/>
                <w:sz w:val="18"/>
              </w:rPr>
              <w:t>)</w:t>
            </w:r>
          </w:p>
        </w:tc>
        <w:tc>
          <w:tcPr>
            <w:tcW w:w="2702" w:type="dxa"/>
            <w:tcBorders>
              <w:top w:val="single" w:sz="8" w:space="0" w:color="000000"/>
            </w:tcBorders>
          </w:tcPr>
          <w:p>
            <w:pPr>
              <w:pStyle w:val="TableParagraph"/>
              <w:spacing w:before="48"/>
              <w:ind w:right="1038"/>
              <w:jc w:val="right"/>
              <w:rPr>
                <w:sz w:val="18"/>
              </w:rPr>
            </w:pPr>
            <w:r>
              <w:rPr>
                <w:w w:val="120"/>
                <w:sz w:val="18"/>
              </w:rPr>
              <w:t>$   511,147</w:t>
            </w:r>
          </w:p>
        </w:tc>
      </w:tr>
      <w:tr>
        <w:trPr>
          <w:trHeight w:val="260" w:hRule="exact"/>
        </w:trPr>
        <w:tc>
          <w:tcPr>
            <w:tcW w:w="4552" w:type="dxa"/>
          </w:tcPr>
          <w:p>
            <w:pPr>
              <w:pStyle w:val="TableParagraph"/>
              <w:spacing w:before="18"/>
              <w:ind w:left="20"/>
              <w:rPr>
                <w:sz w:val="18"/>
              </w:rPr>
            </w:pPr>
            <w:r>
              <w:rPr>
                <w:w w:val="105"/>
                <w:sz w:val="18"/>
              </w:rPr>
              <w:t>Government  grant  proceeds,  net*</w:t>
            </w:r>
          </w:p>
        </w:tc>
        <w:tc>
          <w:tcPr>
            <w:tcW w:w="2006" w:type="dxa"/>
          </w:tcPr>
          <w:p>
            <w:pPr>
              <w:pStyle w:val="TableParagraph"/>
              <w:spacing w:before="18"/>
              <w:ind w:right="698"/>
              <w:jc w:val="right"/>
              <w:rPr>
                <w:sz w:val="18"/>
              </w:rPr>
            </w:pPr>
            <w:r>
              <w:rPr>
                <w:w w:val="115"/>
                <w:sz w:val="18"/>
              </w:rPr>
              <w:t>(24,796)</w:t>
            </w:r>
          </w:p>
        </w:tc>
        <w:tc>
          <w:tcPr>
            <w:tcW w:w="2702" w:type="dxa"/>
          </w:tcPr>
          <w:p>
            <w:pPr>
              <w:pStyle w:val="TableParagraph"/>
              <w:spacing w:before="18"/>
              <w:ind w:right="999"/>
              <w:jc w:val="right"/>
              <w:rPr>
                <w:sz w:val="18"/>
              </w:rPr>
            </w:pPr>
            <w:r>
              <w:rPr>
                <w:w w:val="115"/>
                <w:sz w:val="18"/>
              </w:rPr>
              <w:t>(123,510)</w:t>
            </w:r>
          </w:p>
        </w:tc>
      </w:tr>
      <w:tr>
        <w:trPr>
          <w:trHeight w:val="260" w:hRule="exact"/>
        </w:trPr>
        <w:tc>
          <w:tcPr>
            <w:tcW w:w="4552" w:type="dxa"/>
          </w:tcPr>
          <w:p>
            <w:pPr>
              <w:pStyle w:val="TableParagraph"/>
              <w:spacing w:before="18"/>
              <w:ind w:left="20"/>
              <w:rPr>
                <w:sz w:val="18"/>
              </w:rPr>
            </w:pPr>
            <w:r>
              <w:rPr>
                <w:w w:val="110"/>
                <w:sz w:val="18"/>
              </w:rPr>
              <w:t>Passenger revenue adjustments,  net*</w:t>
            </w:r>
          </w:p>
        </w:tc>
        <w:tc>
          <w:tcPr>
            <w:tcW w:w="2006" w:type="dxa"/>
          </w:tcPr>
          <w:p>
            <w:pPr>
              <w:pStyle w:val="TableParagraph"/>
              <w:spacing w:before="18"/>
              <w:ind w:right="675"/>
              <w:jc w:val="right"/>
              <w:rPr>
                <w:sz w:val="18"/>
              </w:rPr>
            </w:pPr>
            <w:r>
              <w:rPr>
                <w:w w:val="115"/>
                <w:sz w:val="18"/>
              </w:rPr>
              <w:t>(18,103)</w:t>
            </w:r>
          </w:p>
        </w:tc>
        <w:tc>
          <w:tcPr>
            <w:tcW w:w="2702" w:type="dxa"/>
          </w:tcPr>
          <w:p>
            <w:pPr>
              <w:pStyle w:val="TableParagraph"/>
              <w:spacing w:before="18"/>
              <w:ind w:right="1058"/>
              <w:jc w:val="right"/>
              <w:rPr>
                <w:sz w:val="18"/>
              </w:rPr>
            </w:pPr>
            <w:r>
              <w:rPr>
                <w:w w:val="115"/>
                <w:sz w:val="18"/>
              </w:rPr>
              <w:t>15,749</w:t>
            </w:r>
          </w:p>
        </w:tc>
      </w:tr>
      <w:tr>
        <w:trPr>
          <w:trHeight w:val="260" w:hRule="exact"/>
        </w:trPr>
        <w:tc>
          <w:tcPr>
            <w:tcW w:w="4552" w:type="dxa"/>
          </w:tcPr>
          <w:p>
            <w:pPr>
              <w:pStyle w:val="TableParagraph"/>
              <w:spacing w:before="18"/>
              <w:ind w:left="20"/>
              <w:rPr>
                <w:sz w:val="18"/>
              </w:rPr>
            </w:pPr>
            <w:r>
              <w:rPr>
                <w:w w:val="110"/>
                <w:sz w:val="18"/>
              </w:rPr>
              <w:t>Special  charges  arising  from  terrorist  attacks, net*</w:t>
            </w:r>
          </w:p>
        </w:tc>
        <w:tc>
          <w:tcPr>
            <w:tcW w:w="2006" w:type="dxa"/>
          </w:tcPr>
          <w:p>
            <w:pPr>
              <w:pStyle w:val="TableParagraph"/>
              <w:tabs>
                <w:tab w:pos="928" w:val="left" w:leader="none"/>
                <w:tab w:pos="1342" w:val="left" w:leader="none"/>
              </w:tabs>
              <w:spacing w:before="18"/>
              <w:ind w:left="248"/>
              <w:rPr>
                <w:sz w:val="18"/>
              </w:rPr>
            </w:pPr>
            <w:r>
              <w:rPr>
                <w:w w:val="132"/>
                <w:sz w:val="18"/>
                <w:u w:val="single"/>
              </w:rPr>
              <w:t> </w:t>
            </w:r>
            <w:r>
              <w:rPr>
                <w:sz w:val="18"/>
                <w:u w:val="single"/>
              </w:rPr>
              <w:tab/>
            </w:r>
            <w:r>
              <w:rPr>
                <w:w w:val="80"/>
                <w:sz w:val="18"/>
                <w:u w:val="single"/>
              </w:rPr>
              <w:t>-</w:t>
            </w:r>
            <w:r>
              <w:rPr>
                <w:sz w:val="18"/>
                <w:u w:val="single"/>
              </w:rPr>
              <w:tab/>
            </w:r>
          </w:p>
        </w:tc>
        <w:tc>
          <w:tcPr>
            <w:tcW w:w="2702" w:type="dxa"/>
          </w:tcPr>
          <w:p>
            <w:pPr>
              <w:pStyle w:val="TableParagraph"/>
              <w:tabs>
                <w:tab w:pos="519" w:val="left" w:leader="none"/>
              </w:tabs>
              <w:spacing w:before="18"/>
              <w:ind w:right="1039"/>
              <w:jc w:val="right"/>
              <w:rPr>
                <w:sz w:val="18"/>
              </w:rPr>
            </w:pPr>
            <w:r>
              <w:rPr>
                <w:w w:val="132"/>
                <w:sz w:val="18"/>
                <w:u w:val="single"/>
              </w:rPr>
              <w:t> </w:t>
            </w:r>
            <w:r>
              <w:rPr>
                <w:sz w:val="18"/>
                <w:u w:val="single"/>
              </w:rPr>
              <w:tab/>
            </w:r>
            <w:r>
              <w:rPr>
                <w:spacing w:val="-2"/>
                <w:w w:val="115"/>
                <w:sz w:val="18"/>
                <w:u w:val="single"/>
              </w:rPr>
              <w:t>9,563</w:t>
            </w:r>
          </w:p>
        </w:tc>
      </w:tr>
      <w:tr>
        <w:trPr>
          <w:trHeight w:val="620" w:hRule="exact"/>
        </w:trPr>
        <w:tc>
          <w:tcPr>
            <w:tcW w:w="4552" w:type="dxa"/>
          </w:tcPr>
          <w:p>
            <w:pPr>
              <w:pStyle w:val="TableParagraph"/>
              <w:spacing w:line="283" w:lineRule="auto" w:before="18"/>
              <w:ind w:left="168" w:hanging="149"/>
              <w:rPr>
                <w:sz w:val="18"/>
              </w:rPr>
            </w:pPr>
            <w:r>
              <w:rPr>
                <w:w w:val="105"/>
                <w:sz w:val="18"/>
              </w:rPr>
              <w:t>Adjusted   consolidated   income,   excluding special  charges  and  unusual  items  (non-GAAP)</w:t>
            </w:r>
          </w:p>
        </w:tc>
        <w:tc>
          <w:tcPr>
            <w:tcW w:w="2006" w:type="dxa"/>
          </w:tcPr>
          <w:p>
            <w:pPr>
              <w:pStyle w:val="TableParagraph"/>
              <w:spacing w:before="9"/>
              <w:rPr>
                <w:sz w:val="22"/>
              </w:rPr>
            </w:pPr>
          </w:p>
          <w:p>
            <w:pPr>
              <w:pStyle w:val="TableParagraph"/>
              <w:tabs>
                <w:tab w:pos="568" w:val="left" w:leader="none"/>
              </w:tabs>
              <w:spacing w:before="1"/>
              <w:ind w:left="248"/>
              <w:rPr>
                <w:sz w:val="18"/>
              </w:rPr>
            </w:pPr>
            <w:r>
              <w:rPr>
                <w:w w:val="120"/>
                <w:sz w:val="18"/>
                <w:u w:val="thick"/>
              </w:rPr>
              <w:t>$</w:t>
              <w:tab/>
              <w:t>198,070</w:t>
            </w:r>
          </w:p>
        </w:tc>
        <w:tc>
          <w:tcPr>
            <w:tcW w:w="2702" w:type="dxa"/>
          </w:tcPr>
          <w:p>
            <w:pPr>
              <w:pStyle w:val="TableParagraph"/>
              <w:spacing w:before="9"/>
              <w:rPr>
                <w:sz w:val="22"/>
              </w:rPr>
            </w:pPr>
          </w:p>
          <w:p>
            <w:pPr>
              <w:pStyle w:val="TableParagraph"/>
              <w:spacing w:before="1"/>
              <w:ind w:right="1038"/>
              <w:jc w:val="right"/>
              <w:rPr>
                <w:sz w:val="18"/>
              </w:rPr>
            </w:pPr>
            <w:r>
              <w:rPr>
                <w:w w:val="120"/>
                <w:sz w:val="18"/>
                <w:u w:val="thick"/>
              </w:rPr>
              <w:t>$   412,949</w:t>
            </w:r>
          </w:p>
        </w:tc>
      </w:tr>
      <w:tr>
        <w:trPr>
          <w:trHeight w:val="360" w:hRule="exact"/>
        </w:trPr>
        <w:tc>
          <w:tcPr>
            <w:tcW w:w="4552" w:type="dxa"/>
          </w:tcPr>
          <w:p>
            <w:pPr>
              <w:pStyle w:val="TableParagraph"/>
              <w:spacing w:before="118"/>
              <w:ind w:left="20"/>
              <w:rPr>
                <w:sz w:val="18"/>
              </w:rPr>
            </w:pPr>
            <w:r>
              <w:rPr>
                <w:w w:val="110"/>
                <w:sz w:val="18"/>
              </w:rPr>
              <w:t>Net income per share, basic, as   reported</w:t>
            </w:r>
          </w:p>
        </w:tc>
        <w:tc>
          <w:tcPr>
            <w:tcW w:w="2006" w:type="dxa"/>
          </w:tcPr>
          <w:p>
            <w:pPr>
              <w:pStyle w:val="TableParagraph"/>
              <w:tabs>
                <w:tab w:pos="1048" w:val="left" w:leader="none"/>
              </w:tabs>
              <w:spacing w:before="118"/>
              <w:ind w:left="248"/>
              <w:rPr>
                <w:sz w:val="18"/>
              </w:rPr>
            </w:pPr>
            <w:r>
              <w:rPr>
                <w:w w:val="120"/>
                <w:sz w:val="18"/>
              </w:rPr>
              <w:t>$</w:t>
              <w:tab/>
            </w:r>
            <w:r>
              <w:rPr>
                <w:spacing w:val="-4"/>
                <w:w w:val="120"/>
                <w:sz w:val="18"/>
              </w:rPr>
              <w:t>.31</w:t>
            </w:r>
          </w:p>
        </w:tc>
        <w:tc>
          <w:tcPr>
            <w:tcW w:w="2702" w:type="dxa"/>
          </w:tcPr>
          <w:p>
            <w:pPr>
              <w:pStyle w:val="TableParagraph"/>
              <w:tabs>
                <w:tab w:pos="719" w:val="left" w:leader="none"/>
              </w:tabs>
              <w:spacing w:before="118"/>
              <w:ind w:right="1058"/>
              <w:jc w:val="right"/>
              <w:rPr>
                <w:sz w:val="18"/>
              </w:rPr>
            </w:pPr>
            <w:r>
              <w:rPr>
                <w:w w:val="120"/>
                <w:sz w:val="18"/>
              </w:rPr>
              <w:t>$</w:t>
              <w:tab/>
            </w:r>
            <w:r>
              <w:rPr>
                <w:spacing w:val="-4"/>
                <w:w w:val="115"/>
                <w:sz w:val="18"/>
              </w:rPr>
              <w:t>.67</w:t>
            </w:r>
          </w:p>
        </w:tc>
      </w:tr>
      <w:tr>
        <w:trPr>
          <w:trHeight w:val="260" w:hRule="exact"/>
        </w:trPr>
        <w:tc>
          <w:tcPr>
            <w:tcW w:w="4552" w:type="dxa"/>
          </w:tcPr>
          <w:p>
            <w:pPr>
              <w:pStyle w:val="TableParagraph"/>
              <w:spacing w:before="18"/>
              <w:ind w:left="20"/>
              <w:rPr>
                <w:sz w:val="18"/>
              </w:rPr>
            </w:pPr>
            <w:r>
              <w:rPr>
                <w:w w:val="105"/>
                <w:sz w:val="18"/>
              </w:rPr>
              <w:t>Government  grant  proceeds,  net*</w:t>
            </w:r>
          </w:p>
        </w:tc>
        <w:tc>
          <w:tcPr>
            <w:tcW w:w="2006" w:type="dxa"/>
          </w:tcPr>
          <w:p>
            <w:pPr>
              <w:pStyle w:val="TableParagraph"/>
              <w:spacing w:before="18"/>
              <w:ind w:right="660"/>
              <w:jc w:val="right"/>
              <w:rPr>
                <w:sz w:val="18"/>
              </w:rPr>
            </w:pPr>
            <w:r>
              <w:rPr>
                <w:w w:val="110"/>
                <w:sz w:val="18"/>
              </w:rPr>
              <w:t>(.03)</w:t>
            </w:r>
          </w:p>
        </w:tc>
        <w:tc>
          <w:tcPr>
            <w:tcW w:w="2702" w:type="dxa"/>
          </w:tcPr>
          <w:p>
            <w:pPr>
              <w:pStyle w:val="TableParagraph"/>
              <w:spacing w:before="18"/>
              <w:ind w:right="1022"/>
              <w:jc w:val="right"/>
              <w:rPr>
                <w:sz w:val="18"/>
              </w:rPr>
            </w:pPr>
            <w:r>
              <w:rPr>
                <w:w w:val="110"/>
                <w:sz w:val="18"/>
              </w:rPr>
              <w:t>(.16)</w:t>
            </w:r>
          </w:p>
        </w:tc>
      </w:tr>
      <w:tr>
        <w:trPr>
          <w:trHeight w:val="235" w:hRule="exact"/>
        </w:trPr>
        <w:tc>
          <w:tcPr>
            <w:tcW w:w="4552" w:type="dxa"/>
          </w:tcPr>
          <w:p>
            <w:pPr>
              <w:pStyle w:val="TableParagraph"/>
              <w:spacing w:before="18"/>
              <w:ind w:left="20"/>
              <w:rPr>
                <w:sz w:val="18"/>
              </w:rPr>
            </w:pPr>
            <w:r>
              <w:rPr>
                <w:w w:val="110"/>
                <w:sz w:val="18"/>
              </w:rPr>
              <w:t>Passenger revenue adjustments,  net*</w:t>
            </w:r>
          </w:p>
        </w:tc>
        <w:tc>
          <w:tcPr>
            <w:tcW w:w="2006" w:type="dxa"/>
          </w:tcPr>
          <w:p>
            <w:pPr>
              <w:pStyle w:val="TableParagraph"/>
              <w:spacing w:before="18"/>
              <w:ind w:right="661"/>
              <w:jc w:val="right"/>
              <w:rPr>
                <w:sz w:val="18"/>
              </w:rPr>
            </w:pPr>
            <w:r>
              <w:rPr>
                <w:w w:val="110"/>
                <w:sz w:val="18"/>
              </w:rPr>
              <w:t>(.02)</w:t>
            </w:r>
          </w:p>
        </w:tc>
        <w:tc>
          <w:tcPr>
            <w:tcW w:w="2702" w:type="dxa"/>
          </w:tcPr>
          <w:p>
            <w:pPr>
              <w:pStyle w:val="TableParagraph"/>
              <w:spacing w:before="18"/>
              <w:ind w:right="1062"/>
              <w:jc w:val="right"/>
              <w:rPr>
                <w:sz w:val="18"/>
              </w:rPr>
            </w:pPr>
            <w:r>
              <w:rPr>
                <w:w w:val="115"/>
                <w:sz w:val="18"/>
              </w:rPr>
              <w:t>.02</w:t>
            </w:r>
          </w:p>
        </w:tc>
      </w:tr>
    </w:tbl>
    <w:p>
      <w:pPr>
        <w:tabs>
          <w:tab w:pos="5419" w:val="left" w:leader="none"/>
          <w:tab w:pos="6099" w:val="left" w:leader="none"/>
          <w:tab w:pos="6513" w:val="left" w:leader="none"/>
          <w:tab w:pos="7839" w:val="left" w:leader="none"/>
          <w:tab w:pos="8559" w:val="left" w:leader="none"/>
        </w:tabs>
        <w:spacing w:line="283" w:lineRule="auto" w:before="43"/>
        <w:ind w:left="640" w:right="1162" w:firstLine="0"/>
        <w:jc w:val="left"/>
        <w:rPr>
          <w:sz w:val="18"/>
        </w:rPr>
      </w:pPr>
      <w:r>
        <w:rPr>
          <w:w w:val="105"/>
          <w:sz w:val="18"/>
        </w:rPr>
        <w:t>Special  charges  arising  from  terrorist   </w:t>
      </w:r>
      <w:r>
        <w:rPr>
          <w:spacing w:val="17"/>
          <w:w w:val="105"/>
          <w:sz w:val="18"/>
        </w:rPr>
        <w:t> </w:t>
      </w:r>
      <w:r>
        <w:rPr>
          <w:w w:val="105"/>
          <w:sz w:val="18"/>
        </w:rPr>
        <w:t>attacks, </w:t>
      </w:r>
      <w:r>
        <w:rPr>
          <w:spacing w:val="20"/>
          <w:w w:val="105"/>
          <w:sz w:val="18"/>
        </w:rPr>
        <w:t> </w:t>
      </w:r>
      <w:r>
        <w:rPr>
          <w:w w:val="105"/>
          <w:sz w:val="18"/>
        </w:rPr>
        <w:t>net*</w:t>
        <w:tab/>
      </w:r>
      <w:r>
        <w:rPr>
          <w:w w:val="105"/>
          <w:sz w:val="18"/>
          <w:u w:val="single"/>
        </w:rPr>
        <w:t> </w:t>
        <w:tab/>
      </w:r>
      <w:r>
        <w:rPr>
          <w:sz w:val="18"/>
          <w:u w:val="single"/>
        </w:rPr>
        <w:t>-</w:t>
        <w:tab/>
      </w:r>
      <w:r>
        <w:rPr>
          <w:sz w:val="18"/>
        </w:rPr>
        <w:tab/>
      </w:r>
      <w:r>
        <w:rPr>
          <w:sz w:val="18"/>
          <w:u w:val="single"/>
        </w:rPr>
        <w:t> </w:t>
        <w:tab/>
      </w:r>
      <w:r>
        <w:rPr>
          <w:spacing w:val="-5"/>
          <w:w w:val="105"/>
          <w:sz w:val="18"/>
          <w:u w:val="single"/>
        </w:rPr>
        <w:t>.01 </w:t>
      </w:r>
      <w:r>
        <w:rPr>
          <w:w w:val="105"/>
          <w:sz w:val="18"/>
        </w:rPr>
        <w:t>Adjusted  net  income  per  share,  basic,  </w:t>
      </w:r>
      <w:r>
        <w:rPr>
          <w:spacing w:val="41"/>
          <w:w w:val="105"/>
          <w:sz w:val="18"/>
        </w:rPr>
        <w:t> </w:t>
      </w:r>
      <w:r>
        <w:rPr>
          <w:w w:val="105"/>
          <w:sz w:val="18"/>
        </w:rPr>
        <w:t>excluding</w:t>
      </w:r>
    </w:p>
    <w:p>
      <w:pPr>
        <w:tabs>
          <w:tab w:pos="5419" w:val="left" w:leader="none"/>
          <w:tab w:pos="6219" w:val="left" w:leader="none"/>
          <w:tab w:pos="7839" w:val="left" w:leader="none"/>
          <w:tab w:pos="8559" w:val="left" w:leader="none"/>
        </w:tabs>
        <w:spacing w:before="0"/>
        <w:ind w:left="788" w:right="0" w:firstLine="0"/>
        <w:jc w:val="left"/>
        <w:rPr>
          <w:sz w:val="18"/>
        </w:rPr>
      </w:pPr>
      <w:r>
        <w:rPr>
          <w:w w:val="110"/>
          <w:sz w:val="18"/>
        </w:rPr>
        <w:t>special charges and unusual </w:t>
      </w:r>
      <w:r>
        <w:rPr>
          <w:spacing w:val="29"/>
          <w:w w:val="110"/>
          <w:sz w:val="18"/>
        </w:rPr>
        <w:t> </w:t>
      </w:r>
      <w:r>
        <w:rPr>
          <w:w w:val="110"/>
          <w:sz w:val="18"/>
        </w:rPr>
        <w:t>items</w:t>
      </w:r>
      <w:r>
        <w:rPr>
          <w:spacing w:val="18"/>
          <w:w w:val="110"/>
          <w:sz w:val="18"/>
        </w:rPr>
        <w:t> </w:t>
      </w:r>
      <w:r>
        <w:rPr>
          <w:w w:val="110"/>
          <w:sz w:val="18"/>
        </w:rPr>
        <w:t>(non-GAAP)</w:t>
        <w:tab/>
      </w:r>
      <w:r>
        <w:rPr>
          <w:w w:val="110"/>
          <w:sz w:val="18"/>
          <w:u w:val="thick"/>
        </w:rPr>
        <w:t>$</w:t>
        <w:tab/>
      </w:r>
      <w:r>
        <w:rPr>
          <w:spacing w:val="-4"/>
          <w:w w:val="110"/>
          <w:sz w:val="18"/>
          <w:u w:val="thick"/>
        </w:rPr>
        <w:t>.26</w:t>
      </w:r>
      <w:r>
        <w:rPr>
          <w:spacing w:val="-4"/>
          <w:w w:val="110"/>
          <w:sz w:val="18"/>
        </w:rPr>
        <w:tab/>
      </w:r>
      <w:r>
        <w:rPr>
          <w:w w:val="110"/>
          <w:sz w:val="18"/>
          <w:u w:val="thick"/>
        </w:rPr>
        <w:t>$</w:t>
        <w:tab/>
      </w:r>
      <w:r>
        <w:rPr>
          <w:spacing w:val="-5"/>
          <w:w w:val="110"/>
          <w:sz w:val="18"/>
          <w:u w:val="thick"/>
        </w:rPr>
        <w:t>.54</w:t>
      </w:r>
    </w:p>
    <w:p>
      <w:pPr>
        <w:pStyle w:val="BodyText"/>
        <w:rPr>
          <w:sz w:val="12"/>
        </w:rPr>
      </w:pPr>
    </w:p>
    <w:p>
      <w:pPr>
        <w:tabs>
          <w:tab w:pos="5419" w:val="left" w:leader="none"/>
          <w:tab w:pos="6159" w:val="left" w:leader="none"/>
          <w:tab w:pos="6219" w:val="left" w:leader="none"/>
          <w:tab w:pos="7839" w:val="left" w:leader="none"/>
          <w:tab w:pos="8499" w:val="left" w:leader="none"/>
          <w:tab w:pos="8559" w:val="left" w:leader="none"/>
        </w:tabs>
        <w:spacing w:line="283" w:lineRule="auto" w:before="93"/>
        <w:ind w:left="640" w:right="1122" w:firstLine="0"/>
        <w:jc w:val="left"/>
        <w:rPr>
          <w:sz w:val="18"/>
        </w:rPr>
      </w:pPr>
      <w:r>
        <w:rPr>
          <w:w w:val="110"/>
          <w:sz w:val="18"/>
        </w:rPr>
        <w:t>Net income per share, diluted,  </w:t>
      </w:r>
      <w:r>
        <w:rPr>
          <w:spacing w:val="2"/>
          <w:w w:val="110"/>
          <w:sz w:val="18"/>
        </w:rPr>
        <w:t> </w:t>
      </w:r>
      <w:r>
        <w:rPr>
          <w:w w:val="110"/>
          <w:sz w:val="18"/>
        </w:rPr>
        <w:t>as</w:t>
      </w:r>
      <w:r>
        <w:rPr>
          <w:spacing w:val="18"/>
          <w:w w:val="110"/>
          <w:sz w:val="18"/>
        </w:rPr>
        <w:t> </w:t>
      </w:r>
      <w:r>
        <w:rPr>
          <w:w w:val="110"/>
          <w:sz w:val="18"/>
        </w:rPr>
        <w:t>reported</w:t>
        <w:tab/>
        <w:t>$</w:t>
        <w:tab/>
        <w:tab/>
      </w:r>
      <w:r>
        <w:rPr>
          <w:spacing w:val="-4"/>
          <w:w w:val="110"/>
          <w:sz w:val="18"/>
        </w:rPr>
        <w:t>.30</w:t>
        <w:tab/>
      </w:r>
      <w:r>
        <w:rPr>
          <w:w w:val="110"/>
          <w:sz w:val="18"/>
        </w:rPr>
        <w:t>$</w:t>
        <w:tab/>
        <w:tab/>
      </w:r>
      <w:r>
        <w:rPr>
          <w:spacing w:val="-4"/>
          <w:w w:val="110"/>
          <w:sz w:val="18"/>
        </w:rPr>
        <w:t>.63 </w:t>
      </w:r>
      <w:r>
        <w:rPr>
          <w:w w:val="110"/>
          <w:sz w:val="18"/>
        </w:rPr>
        <w:t>Government grant</w:t>
      </w:r>
      <w:r>
        <w:rPr>
          <w:spacing w:val="39"/>
          <w:w w:val="110"/>
          <w:sz w:val="18"/>
        </w:rPr>
        <w:t> </w:t>
      </w:r>
      <w:r>
        <w:rPr>
          <w:w w:val="110"/>
          <w:sz w:val="18"/>
        </w:rPr>
        <w:t>proceeds,</w:t>
      </w:r>
      <w:r>
        <w:rPr>
          <w:spacing w:val="19"/>
          <w:w w:val="110"/>
          <w:sz w:val="18"/>
        </w:rPr>
        <w:t> </w:t>
      </w:r>
      <w:r>
        <w:rPr>
          <w:w w:val="110"/>
          <w:sz w:val="18"/>
        </w:rPr>
        <w:t>net*</w:t>
        <w:tab/>
        <w:tab/>
      </w:r>
      <w:r>
        <w:rPr>
          <w:spacing w:val="-4"/>
          <w:w w:val="110"/>
          <w:sz w:val="18"/>
        </w:rPr>
        <w:t>(.03)</w:t>
        <w:tab/>
        <w:tab/>
      </w:r>
      <w:r>
        <w:rPr>
          <w:spacing w:val="-5"/>
          <w:w w:val="110"/>
          <w:sz w:val="18"/>
        </w:rPr>
        <w:t>(.15)</w:t>
      </w:r>
    </w:p>
    <w:p>
      <w:pPr>
        <w:tabs>
          <w:tab w:pos="6159" w:val="left" w:leader="none"/>
          <w:tab w:pos="8559" w:val="left" w:leader="none"/>
        </w:tabs>
        <w:spacing w:before="0"/>
        <w:ind w:left="640" w:right="0" w:firstLine="0"/>
        <w:jc w:val="left"/>
        <w:rPr>
          <w:sz w:val="18"/>
        </w:rPr>
      </w:pPr>
      <w:r>
        <w:rPr>
          <w:w w:val="110"/>
          <w:sz w:val="18"/>
        </w:rPr>
        <w:t>Passenger revenue</w:t>
      </w:r>
      <w:r>
        <w:rPr>
          <w:spacing w:val="42"/>
          <w:w w:val="110"/>
          <w:sz w:val="18"/>
        </w:rPr>
        <w:t> </w:t>
      </w:r>
      <w:r>
        <w:rPr>
          <w:w w:val="110"/>
          <w:sz w:val="18"/>
        </w:rPr>
        <w:t>adjustments,</w:t>
      </w:r>
      <w:r>
        <w:rPr>
          <w:spacing w:val="21"/>
          <w:w w:val="110"/>
          <w:sz w:val="18"/>
        </w:rPr>
        <w:t> </w:t>
      </w:r>
      <w:r>
        <w:rPr>
          <w:w w:val="110"/>
          <w:sz w:val="18"/>
        </w:rPr>
        <w:t>net*</w:t>
        <w:tab/>
      </w:r>
      <w:r>
        <w:rPr>
          <w:spacing w:val="-4"/>
          <w:w w:val="110"/>
          <w:sz w:val="18"/>
        </w:rPr>
        <w:t>(.03)</w:t>
        <w:tab/>
      </w:r>
      <w:r>
        <w:rPr>
          <w:spacing w:val="-5"/>
          <w:w w:val="110"/>
          <w:sz w:val="18"/>
        </w:rPr>
        <w:t>.02</w:t>
      </w:r>
    </w:p>
    <w:p>
      <w:pPr>
        <w:tabs>
          <w:tab w:pos="6099" w:val="left" w:leader="none"/>
          <w:tab w:pos="8559" w:val="left" w:leader="none"/>
        </w:tabs>
        <w:spacing w:line="283" w:lineRule="auto" w:before="40"/>
        <w:ind w:left="640" w:right="1162" w:firstLine="0"/>
        <w:jc w:val="left"/>
        <w:rPr>
          <w:sz w:val="18"/>
        </w:rPr>
      </w:pPr>
      <w:r>
        <w:rPr/>
        <w:pict>
          <v:group style="position:absolute;margin-left:305.774994pt;margin-top:11.244641pt;width:55.15pt;height:.45pt;mso-position-horizontal-relative:page;mso-position-vertical-relative:paragraph;z-index:-277048" coordorigin="6115,225" coordsize="1103,9">
            <v:shape style="position:absolute;left:6120;top:229;width:694;height:2" coordorigin="6120,229" coordsize="694,0" path="m6120,229l6174,229m6160,229l6214,229m6200,229l6254,229m6240,229l6294,229m6280,229l6334,229m6320,229l6374,229m6360,229l6414,229m6400,229l6454,229m6440,229l6494,229m6480,229l6534,229m6520,229l6574,229m6560,229l6614,229m6600,229l6654,229m6640,229l6694,229m6680,229l6734,229m6720,229l6774,229m6760,229l6814,229e" filled="false" stroked="true" strokeweight=".45pt" strokecolor="#000000">
              <v:path arrowok="t"/>
              <v:stroke dashstyle="solid"/>
            </v:shape>
            <v:shape style="position:absolute;left:6800;top:229;width:40;height:2" coordorigin="6800,229" coordsize="40,0" path="m6800,229l6840,229m6800,229l6840,229e" filled="false" stroked="true" strokeweight=".45pt" strokecolor="#000000">
              <v:path arrowok="t"/>
              <v:stroke dashstyle="solid"/>
            </v:shape>
            <v:line style="position:absolute" from="6800,229" to="6840,229" stroked="true" strokeweight=".45pt" strokecolor="#000000">
              <v:stroke dashstyle="solid"/>
            </v:line>
            <v:shape style="position:absolute;left:6800;top:229;width:40;height:2" coordorigin="6800,229" coordsize="40,0" path="m6800,229l6840,229m6800,229l6840,229e" filled="false" stroked="true" strokeweight=".45pt" strokecolor="#000000">
              <v:path arrowok="t"/>
              <v:stroke dashstyle="solid"/>
            </v:shape>
            <v:shape style="position:absolute;left:6840;top:229;width:374;height:2" coordorigin="6840,229" coordsize="374,0" path="m6840,229l6894,229m6880,229l6934,229m6920,229l6974,229m6960,229l7014,229m7000,229l7054,229m7040,229l7094,229m7080,229l7134,229m7120,229l7174,229m7160,229l7214,229e" filled="false" stroked="true" strokeweight=".45pt" strokecolor="#000000">
              <v:path arrowok="t"/>
              <v:stroke dashstyle="solid"/>
            </v:shape>
            <w10:wrap type="none"/>
          </v:group>
        </w:pict>
      </w:r>
      <w:r>
        <w:rPr/>
        <w:pict>
          <v:group style="position:absolute;margin-left:426.774994pt;margin-top:11.244641pt;width:49.45pt;height:.45pt;mso-position-horizontal-relative:page;mso-position-vertical-relative:paragraph;z-index:-277024" coordorigin="8535,225" coordsize="989,9">
            <v:shape style="position:absolute;left:8540;top:229;width:734;height:2" coordorigin="8540,229" coordsize="734,0" path="m8540,229l8594,229m8580,229l8634,229m8620,229l8674,229m8660,229l8714,229m8700,229l8754,229m8740,229l8794,229m8780,229l8834,229m8820,229l8874,229m8860,229l8914,229m8900,229l8954,229m8940,229l8994,229m8980,229l9034,229m9020,229l9074,229m9060,229l9114,229m9100,229l9154,229m9140,229l9194,229m9180,229l9234,229m9220,229l9274,229e" filled="false" stroked="true" strokeweight=".45pt" strokecolor="#000000">
              <v:path arrowok="t"/>
              <v:stroke dashstyle="solid"/>
            </v:shape>
            <v:line style="position:absolute" from="9260,229" to="9314,229" stroked="true" strokeweight=".45pt" strokecolor="#000000">
              <v:stroke dashstyle="solid"/>
            </v:line>
            <v:line style="position:absolute" from="9280,229" to="9320,229" stroked="true" strokeweight=".45pt" strokecolor="#000000">
              <v:stroke dashstyle="solid"/>
            </v:line>
            <v:line style="position:absolute" from="9260,229" to="9520,229" stroked="true" strokeweight=".45pt" strokecolor="#000000">
              <v:stroke dashstyle="solid"/>
            </v:line>
            <v:line style="position:absolute" from="9420,229" to="9520,229" stroked="true" strokeweight=".45pt" strokecolor="#000000">
              <v:stroke dashstyle="solid"/>
            </v:line>
            <v:line style="position:absolute" from="9480,229" to="9520,229" stroked="true" strokeweight=".45pt" strokecolor="#000000">
              <v:stroke dashstyle="solid"/>
            </v:line>
            <w10:wrap type="none"/>
          </v:group>
        </w:pict>
      </w:r>
      <w:r>
        <w:rPr>
          <w:sz w:val="18"/>
        </w:rPr>
        <w:t>Special   charges   arising   from   terrorist  </w:t>
      </w:r>
      <w:r>
        <w:rPr>
          <w:spacing w:val="36"/>
          <w:sz w:val="18"/>
        </w:rPr>
        <w:t> </w:t>
      </w:r>
      <w:r>
        <w:rPr>
          <w:sz w:val="18"/>
        </w:rPr>
        <w:t>attacks,  </w:t>
      </w:r>
      <w:r>
        <w:rPr>
          <w:spacing w:val="7"/>
          <w:sz w:val="18"/>
        </w:rPr>
        <w:t> </w:t>
      </w:r>
      <w:r>
        <w:rPr>
          <w:sz w:val="18"/>
        </w:rPr>
        <w:t>net*</w:t>
        <w:tab/>
        <w:t>-</w:t>
        <w:tab/>
      </w:r>
      <w:r>
        <w:rPr>
          <w:spacing w:val="-5"/>
          <w:sz w:val="18"/>
        </w:rPr>
        <w:t>.01 </w:t>
      </w:r>
      <w:r>
        <w:rPr>
          <w:sz w:val="18"/>
        </w:rPr>
        <w:t>Adjusted   net   income   per   share   diluted, </w:t>
      </w:r>
      <w:r>
        <w:rPr>
          <w:spacing w:val="33"/>
          <w:sz w:val="18"/>
        </w:rPr>
        <w:t> </w:t>
      </w:r>
      <w:r>
        <w:rPr>
          <w:sz w:val="18"/>
        </w:rPr>
        <w:t>excluding</w:t>
      </w:r>
    </w:p>
    <w:p>
      <w:pPr>
        <w:tabs>
          <w:tab w:pos="4631" w:val="left" w:leader="none"/>
          <w:tab w:pos="5431" w:val="left" w:leader="none"/>
          <w:tab w:pos="7051" w:val="left" w:leader="none"/>
          <w:tab w:pos="7771" w:val="left" w:leader="none"/>
        </w:tabs>
        <w:spacing w:before="0"/>
        <w:ind w:left="0" w:right="374" w:firstLine="0"/>
        <w:jc w:val="center"/>
        <w:rPr>
          <w:sz w:val="18"/>
        </w:rPr>
      </w:pPr>
      <w:r>
        <w:rPr>
          <w:w w:val="110"/>
          <w:sz w:val="18"/>
        </w:rPr>
        <w:t>special charges and unusual </w:t>
      </w:r>
      <w:r>
        <w:rPr>
          <w:spacing w:val="29"/>
          <w:w w:val="110"/>
          <w:sz w:val="18"/>
        </w:rPr>
        <w:t> </w:t>
      </w:r>
      <w:r>
        <w:rPr>
          <w:w w:val="110"/>
          <w:sz w:val="18"/>
        </w:rPr>
        <w:t>items</w:t>
      </w:r>
      <w:r>
        <w:rPr>
          <w:spacing w:val="18"/>
          <w:w w:val="110"/>
          <w:sz w:val="18"/>
        </w:rPr>
        <w:t> </w:t>
      </w:r>
      <w:r>
        <w:rPr>
          <w:w w:val="110"/>
          <w:sz w:val="18"/>
        </w:rPr>
        <w:t>(non-GAAP)</w:t>
        <w:tab/>
      </w:r>
      <w:r>
        <w:rPr>
          <w:w w:val="110"/>
          <w:sz w:val="18"/>
          <w:u w:val="thick"/>
        </w:rPr>
        <w:t>$</w:t>
        <w:tab/>
      </w:r>
      <w:r>
        <w:rPr>
          <w:spacing w:val="-4"/>
          <w:w w:val="110"/>
          <w:sz w:val="18"/>
          <w:u w:val="thick"/>
        </w:rPr>
        <w:t>.24</w:t>
      </w:r>
      <w:r>
        <w:rPr>
          <w:spacing w:val="-4"/>
          <w:w w:val="110"/>
          <w:sz w:val="18"/>
        </w:rPr>
        <w:tab/>
      </w:r>
      <w:r>
        <w:rPr>
          <w:w w:val="110"/>
          <w:sz w:val="18"/>
          <w:u w:val="thick"/>
        </w:rPr>
        <w:t>$</w:t>
        <w:tab/>
      </w:r>
      <w:r>
        <w:rPr>
          <w:spacing w:val="-5"/>
          <w:w w:val="110"/>
          <w:sz w:val="18"/>
          <w:u w:val="thick"/>
        </w:rPr>
        <w:t>.51</w:t>
      </w:r>
    </w:p>
    <w:p>
      <w:pPr>
        <w:pStyle w:val="BodyText"/>
        <w:spacing w:before="5"/>
        <w:rPr>
          <w:sz w:val="18"/>
        </w:rPr>
      </w:pPr>
    </w:p>
    <w:p>
      <w:pPr>
        <w:spacing w:before="94"/>
        <w:ind w:left="640" w:right="0" w:firstLine="0"/>
        <w:jc w:val="left"/>
        <w:rPr>
          <w:sz w:val="16"/>
        </w:rPr>
      </w:pPr>
      <w:r>
        <w:rPr>
          <w:w w:val="105"/>
          <w:sz w:val="16"/>
        </w:rPr>
        <w:t>*Net  of  income  tax  and  Company  profitsharing  effects.</w:t>
      </w:r>
    </w:p>
    <w:p>
      <w:pPr>
        <w:pStyle w:val="BodyText"/>
        <w:spacing w:before="10"/>
        <w:rPr>
          <w:sz w:val="15"/>
        </w:rPr>
      </w:pPr>
    </w:p>
    <w:p>
      <w:pPr>
        <w:spacing w:after="0"/>
        <w:rPr>
          <w:sz w:val="15"/>
        </w:rPr>
        <w:sectPr>
          <w:type w:val="continuous"/>
          <w:pgSz w:w="11520" w:h="14400"/>
          <w:pgMar w:top="0" w:bottom="280" w:left="700" w:right="840"/>
        </w:sectPr>
      </w:pPr>
    </w:p>
    <w:p>
      <w:pPr>
        <w:pStyle w:val="BodyText"/>
        <w:spacing w:line="254" w:lineRule="auto" w:before="93"/>
        <w:ind w:left="100" w:firstLine="180"/>
        <w:jc w:val="both"/>
      </w:pPr>
      <w:r>
        <w:rPr>
          <w:w w:val="105"/>
        </w:rPr>
        <w:t>Following the terrorist attacks, all U.S.  </w:t>
      </w:r>
      <w:r>
        <w:rPr>
          <w:spacing w:val="8"/>
          <w:w w:val="105"/>
        </w:rPr>
        <w:t>commer- </w:t>
      </w:r>
      <w:r>
        <w:rPr>
          <w:w w:val="105"/>
        </w:rPr>
        <w:t>cial flight </w:t>
      </w:r>
      <w:r>
        <w:rPr>
          <w:spacing w:val="2"/>
          <w:w w:val="105"/>
        </w:rPr>
        <w:t>operations </w:t>
      </w:r>
      <w:r>
        <w:rPr>
          <w:w w:val="105"/>
        </w:rPr>
        <w:t>were </w:t>
      </w:r>
      <w:r>
        <w:rPr>
          <w:spacing w:val="3"/>
          <w:w w:val="105"/>
        </w:rPr>
        <w:t>suspended </w:t>
      </w:r>
      <w:r>
        <w:rPr>
          <w:spacing w:val="4"/>
          <w:w w:val="105"/>
        </w:rPr>
        <w:t>for </w:t>
      </w:r>
      <w:r>
        <w:rPr>
          <w:w w:val="105"/>
        </w:rPr>
        <w:t>approximately three days. However, the </w:t>
      </w:r>
      <w:r>
        <w:rPr>
          <w:spacing w:val="9"/>
          <w:w w:val="105"/>
        </w:rPr>
        <w:t>Company </w:t>
      </w:r>
      <w:r>
        <w:rPr>
          <w:spacing w:val="3"/>
          <w:w w:val="105"/>
        </w:rPr>
        <w:t>continued </w:t>
      </w:r>
      <w:r>
        <w:rPr>
          <w:w w:val="105"/>
        </w:rPr>
        <w:t>to incur  nearly  all  of  its  </w:t>
      </w:r>
      <w:r>
        <w:rPr>
          <w:spacing w:val="8"/>
          <w:w w:val="105"/>
        </w:rPr>
        <w:t>normal </w:t>
      </w:r>
      <w:r>
        <w:rPr>
          <w:spacing w:val="2"/>
          <w:w w:val="105"/>
        </w:rPr>
        <w:t>operating  expenses  </w:t>
      </w:r>
      <w:r>
        <w:rPr>
          <w:w w:val="105"/>
        </w:rPr>
        <w:t>(with   the   </w:t>
      </w:r>
      <w:r>
        <w:rPr>
          <w:spacing w:val="3"/>
          <w:w w:val="105"/>
        </w:rPr>
        <w:t>exception   </w:t>
      </w:r>
      <w:r>
        <w:rPr>
          <w:spacing w:val="6"/>
          <w:w w:val="105"/>
        </w:rPr>
        <w:t>of </w:t>
      </w:r>
      <w:r>
        <w:rPr>
          <w:w w:val="105"/>
        </w:rPr>
        <w:t>certain direct  trip-related  </w:t>
      </w:r>
      <w:r>
        <w:rPr>
          <w:spacing w:val="3"/>
          <w:w w:val="105"/>
        </w:rPr>
        <w:t>expenditures</w:t>
      </w:r>
      <w:r>
        <w:rPr>
          <w:spacing w:val="53"/>
          <w:w w:val="105"/>
        </w:rPr>
        <w:t> </w:t>
      </w:r>
      <w:r>
        <w:rPr>
          <w:w w:val="105"/>
        </w:rPr>
        <w:t>such  </w:t>
      </w:r>
      <w:r>
        <w:rPr>
          <w:spacing w:val="4"/>
          <w:w w:val="105"/>
        </w:rPr>
        <w:t>as </w:t>
      </w:r>
      <w:r>
        <w:rPr>
          <w:w w:val="105"/>
        </w:rPr>
        <w:t>fuel, </w:t>
      </w:r>
      <w:r>
        <w:rPr>
          <w:spacing w:val="2"/>
          <w:w w:val="105"/>
        </w:rPr>
        <w:t>landing </w:t>
      </w:r>
      <w:r>
        <w:rPr>
          <w:w w:val="105"/>
        </w:rPr>
        <w:t>fees, etc.). The </w:t>
      </w:r>
      <w:r>
        <w:rPr>
          <w:spacing w:val="2"/>
          <w:w w:val="105"/>
        </w:rPr>
        <w:t>Company </w:t>
      </w:r>
      <w:r>
        <w:rPr>
          <w:spacing w:val="8"/>
          <w:w w:val="105"/>
        </w:rPr>
        <w:t>canceled </w:t>
      </w:r>
      <w:r>
        <w:rPr>
          <w:w w:val="105"/>
        </w:rPr>
        <w:t>approximately 9,000 flights before resuming </w:t>
      </w:r>
      <w:r>
        <w:rPr>
          <w:spacing w:val="2"/>
          <w:w w:val="105"/>
        </w:rPr>
        <w:t>flight operations </w:t>
      </w:r>
      <w:r>
        <w:rPr>
          <w:w w:val="105"/>
        </w:rPr>
        <w:t>on </w:t>
      </w:r>
      <w:r>
        <w:rPr>
          <w:spacing w:val="2"/>
          <w:w w:val="105"/>
        </w:rPr>
        <w:t>September </w:t>
      </w:r>
      <w:r>
        <w:rPr>
          <w:w w:val="105"/>
        </w:rPr>
        <w:t>14, although it did </w:t>
      </w:r>
      <w:r>
        <w:rPr>
          <w:spacing w:val="6"/>
          <w:w w:val="105"/>
        </w:rPr>
        <w:t>not </w:t>
      </w:r>
      <w:r>
        <w:rPr>
          <w:w w:val="105"/>
        </w:rPr>
        <w:t>resume its  normal  </w:t>
      </w:r>
      <w:r>
        <w:rPr>
          <w:spacing w:val="2"/>
          <w:w w:val="105"/>
        </w:rPr>
        <w:t>pre-September  </w:t>
      </w:r>
      <w:r>
        <w:rPr>
          <w:w w:val="105"/>
        </w:rPr>
        <w:t>11  </w:t>
      </w:r>
      <w:r>
        <w:rPr>
          <w:spacing w:val="2"/>
          <w:w w:val="105"/>
        </w:rPr>
        <w:t>flight </w:t>
      </w:r>
      <w:r>
        <w:rPr>
          <w:w w:val="105"/>
        </w:rPr>
        <w:t>schedule until </w:t>
      </w:r>
      <w:r>
        <w:rPr>
          <w:spacing w:val="2"/>
          <w:w w:val="105"/>
        </w:rPr>
        <w:t>September  </w:t>
      </w:r>
      <w:r>
        <w:rPr>
          <w:w w:val="105"/>
        </w:rPr>
        <w:t>18,  2001.  </w:t>
      </w:r>
      <w:r>
        <w:rPr>
          <w:spacing w:val="3"/>
          <w:w w:val="105"/>
        </w:rPr>
        <w:t>After </w:t>
      </w:r>
      <w:r>
        <w:rPr>
          <w:spacing w:val="2"/>
          <w:w w:val="105"/>
        </w:rPr>
        <w:t>operations </w:t>
      </w:r>
      <w:r>
        <w:rPr>
          <w:w w:val="105"/>
        </w:rPr>
        <w:t>were fully resumed, load factors </w:t>
      </w:r>
      <w:r>
        <w:rPr>
          <w:spacing w:val="11"/>
          <w:w w:val="105"/>
        </w:rPr>
        <w:t>and </w:t>
      </w:r>
      <w:r>
        <w:rPr>
          <w:w w:val="105"/>
        </w:rPr>
        <w:t>passenger yields  were  severely  </w:t>
      </w:r>
      <w:r>
        <w:rPr>
          <w:spacing w:val="3"/>
          <w:w w:val="105"/>
        </w:rPr>
        <w:t>impacted,</w:t>
      </w:r>
      <w:r>
        <w:rPr>
          <w:spacing w:val="53"/>
          <w:w w:val="105"/>
        </w:rPr>
        <w:t> </w:t>
      </w:r>
      <w:r>
        <w:rPr>
          <w:spacing w:val="12"/>
          <w:w w:val="105"/>
        </w:rPr>
        <w:t>and </w:t>
      </w:r>
      <w:r>
        <w:rPr>
          <w:w w:val="105"/>
        </w:rPr>
        <w:t>ticket refund activity </w:t>
      </w:r>
      <w:r>
        <w:rPr>
          <w:spacing w:val="2"/>
          <w:w w:val="105"/>
        </w:rPr>
        <w:t>increased. </w:t>
      </w:r>
      <w:r>
        <w:rPr>
          <w:w w:val="105"/>
        </w:rPr>
        <w:t>The </w:t>
      </w:r>
      <w:r>
        <w:rPr>
          <w:spacing w:val="9"/>
          <w:w w:val="105"/>
        </w:rPr>
        <w:t>Company </w:t>
      </w:r>
      <w:r>
        <w:rPr>
          <w:w w:val="105"/>
        </w:rPr>
        <w:t>estimates     that    from     </w:t>
      </w:r>
      <w:r>
        <w:rPr>
          <w:spacing w:val="2"/>
          <w:w w:val="105"/>
        </w:rPr>
        <w:t>September     </w:t>
      </w:r>
      <w:r>
        <w:rPr>
          <w:w w:val="105"/>
        </w:rPr>
        <w:t>11   </w:t>
      </w:r>
      <w:r>
        <w:rPr>
          <w:spacing w:val="10"/>
          <w:w w:val="105"/>
        </w:rPr>
        <w:t> </w:t>
      </w:r>
      <w:r>
        <w:rPr>
          <w:spacing w:val="6"/>
          <w:w w:val="105"/>
        </w:rPr>
        <w:t>through</w:t>
      </w:r>
    </w:p>
    <w:p>
      <w:pPr>
        <w:pStyle w:val="BodyText"/>
        <w:spacing w:line="254" w:lineRule="auto" w:before="93"/>
        <w:ind w:left="100" w:right="142"/>
      </w:pPr>
      <w:r>
        <w:rPr/>
        <w:br w:type="column"/>
      </w:r>
      <w:r>
        <w:rPr>
          <w:w w:val="110"/>
        </w:rPr>
        <w:t>September 30, 2001, it </w:t>
      </w:r>
      <w:r>
        <w:rPr>
          <w:spacing w:val="2"/>
          <w:w w:val="110"/>
        </w:rPr>
        <w:t>incurred operating  </w:t>
      </w:r>
      <w:r>
        <w:rPr>
          <w:w w:val="110"/>
        </w:rPr>
        <w:t>losses  in  excess  of  $130 million.</w:t>
      </w:r>
    </w:p>
    <w:p>
      <w:pPr>
        <w:pStyle w:val="BodyText"/>
        <w:spacing w:before="4"/>
        <w:rPr>
          <w:sz w:val="21"/>
        </w:rPr>
      </w:pPr>
    </w:p>
    <w:p>
      <w:pPr>
        <w:pStyle w:val="BodyText"/>
        <w:spacing w:line="254" w:lineRule="auto"/>
        <w:ind w:left="100" w:right="107" w:firstLine="180"/>
        <w:jc w:val="both"/>
      </w:pPr>
      <w:r>
        <w:rPr>
          <w:i/>
          <w:w w:val="105"/>
        </w:rPr>
        <w:t>Operating Revenues</w:t>
      </w:r>
      <w:r>
        <w:rPr>
          <w:w w:val="105"/>
        </w:rPr>
        <w:t>. Consolidated operating revenues decreased $33.4 million, or .6 percent, primarily due to a $37.4 million, or .7 percent, decrease  in  passenger revenues.</w:t>
      </w:r>
    </w:p>
    <w:p>
      <w:pPr>
        <w:pStyle w:val="BodyText"/>
        <w:spacing w:line="254" w:lineRule="auto"/>
        <w:ind w:left="100" w:right="103" w:firstLine="180"/>
        <w:jc w:val="both"/>
      </w:pPr>
      <w:r>
        <w:rPr>
          <w:spacing w:val="4"/>
          <w:w w:val="105"/>
        </w:rPr>
        <w:t>The </w:t>
      </w:r>
      <w:r>
        <w:rPr>
          <w:spacing w:val="5"/>
          <w:w w:val="105"/>
        </w:rPr>
        <w:t>decrease </w:t>
      </w:r>
      <w:r>
        <w:rPr>
          <w:spacing w:val="6"/>
          <w:w w:val="105"/>
        </w:rPr>
        <w:t>in  </w:t>
      </w:r>
      <w:r>
        <w:rPr>
          <w:spacing w:val="5"/>
          <w:w w:val="105"/>
        </w:rPr>
        <w:t>passenger  </w:t>
      </w:r>
      <w:r>
        <w:rPr>
          <w:spacing w:val="8"/>
          <w:w w:val="105"/>
        </w:rPr>
        <w:t>revenues  </w:t>
      </w:r>
      <w:r>
        <w:rPr>
          <w:spacing w:val="6"/>
          <w:w w:val="105"/>
        </w:rPr>
        <w:t>was  </w:t>
      </w:r>
      <w:r>
        <w:rPr>
          <w:spacing w:val="12"/>
          <w:w w:val="105"/>
        </w:rPr>
        <w:t>due </w:t>
      </w:r>
      <w:r>
        <w:rPr>
          <w:w w:val="105"/>
        </w:rPr>
        <w:t>to </w:t>
      </w:r>
      <w:r>
        <w:rPr>
          <w:spacing w:val="4"/>
          <w:w w:val="105"/>
        </w:rPr>
        <w:t>lower load </w:t>
      </w:r>
      <w:r>
        <w:rPr>
          <w:spacing w:val="2"/>
          <w:w w:val="105"/>
        </w:rPr>
        <w:t>factors </w:t>
      </w:r>
      <w:r>
        <w:rPr>
          <w:spacing w:val="7"/>
          <w:w w:val="105"/>
        </w:rPr>
        <w:t>(revenue </w:t>
      </w:r>
      <w:r>
        <w:rPr>
          <w:spacing w:val="5"/>
          <w:w w:val="105"/>
        </w:rPr>
        <w:t>passenger </w:t>
      </w:r>
      <w:r>
        <w:rPr>
          <w:spacing w:val="6"/>
          <w:w w:val="105"/>
        </w:rPr>
        <w:t>miles </w:t>
      </w:r>
      <w:r>
        <w:rPr>
          <w:spacing w:val="12"/>
          <w:w w:val="105"/>
        </w:rPr>
        <w:t>or </w:t>
      </w:r>
      <w:r>
        <w:rPr>
          <w:spacing w:val="5"/>
          <w:w w:val="105"/>
        </w:rPr>
        <w:t>RPMs </w:t>
      </w:r>
      <w:r>
        <w:rPr>
          <w:spacing w:val="10"/>
          <w:w w:val="105"/>
        </w:rPr>
        <w:t>divided </w:t>
      </w:r>
      <w:r>
        <w:rPr>
          <w:spacing w:val="6"/>
          <w:w w:val="105"/>
        </w:rPr>
        <w:t>by available </w:t>
      </w:r>
      <w:r>
        <w:rPr>
          <w:spacing w:val="5"/>
          <w:w w:val="105"/>
        </w:rPr>
        <w:t>seat </w:t>
      </w:r>
      <w:r>
        <w:rPr>
          <w:spacing w:val="6"/>
          <w:w w:val="105"/>
        </w:rPr>
        <w:t>miles or </w:t>
      </w:r>
      <w:r>
        <w:rPr>
          <w:spacing w:val="3"/>
          <w:w w:val="105"/>
        </w:rPr>
        <w:t>ASMs) </w:t>
      </w:r>
      <w:r>
        <w:rPr>
          <w:spacing w:val="4"/>
          <w:w w:val="105"/>
        </w:rPr>
        <w:t>attributable </w:t>
      </w:r>
      <w:r>
        <w:rPr>
          <w:w w:val="105"/>
        </w:rPr>
        <w:t>to </w:t>
      </w:r>
      <w:r>
        <w:rPr>
          <w:spacing w:val="2"/>
          <w:w w:val="105"/>
        </w:rPr>
        <w:t>the </w:t>
      </w:r>
      <w:r>
        <w:rPr>
          <w:spacing w:val="5"/>
          <w:w w:val="105"/>
        </w:rPr>
        <w:t>post-September </w:t>
      </w:r>
      <w:r>
        <w:rPr>
          <w:w w:val="105"/>
        </w:rPr>
        <w:t>11, 2001, </w:t>
      </w:r>
      <w:r>
        <w:rPr>
          <w:spacing w:val="6"/>
          <w:w w:val="105"/>
        </w:rPr>
        <w:t>reduction in</w:t>
      </w:r>
      <w:r>
        <w:rPr>
          <w:spacing w:val="59"/>
          <w:w w:val="105"/>
        </w:rPr>
        <w:t> </w:t>
      </w:r>
      <w:r>
        <w:rPr>
          <w:spacing w:val="10"/>
          <w:w w:val="105"/>
        </w:rPr>
        <w:t>demand </w:t>
      </w:r>
      <w:r>
        <w:rPr>
          <w:spacing w:val="4"/>
          <w:w w:val="105"/>
        </w:rPr>
        <w:t>for </w:t>
      </w:r>
      <w:r>
        <w:rPr>
          <w:spacing w:val="8"/>
          <w:w w:val="105"/>
        </w:rPr>
        <w:t>air </w:t>
      </w:r>
      <w:r>
        <w:rPr>
          <w:spacing w:val="2"/>
          <w:w w:val="105"/>
        </w:rPr>
        <w:t>travel, </w:t>
      </w:r>
      <w:r>
        <w:rPr>
          <w:spacing w:val="8"/>
          <w:w w:val="105"/>
        </w:rPr>
        <w:t>and</w:t>
      </w:r>
      <w:r>
        <w:rPr>
          <w:spacing w:val="63"/>
          <w:w w:val="105"/>
        </w:rPr>
        <w:t> </w:t>
      </w:r>
      <w:r>
        <w:rPr>
          <w:spacing w:val="5"/>
          <w:w w:val="105"/>
        </w:rPr>
        <w:t>from </w:t>
      </w:r>
      <w:r>
        <w:rPr>
          <w:spacing w:val="4"/>
          <w:w w:val="105"/>
        </w:rPr>
        <w:t>lower </w:t>
      </w:r>
      <w:r>
        <w:rPr>
          <w:spacing w:val="5"/>
          <w:w w:val="105"/>
        </w:rPr>
        <w:t>passenger </w:t>
      </w:r>
      <w:r>
        <w:rPr>
          <w:spacing w:val="4"/>
          <w:w w:val="105"/>
        </w:rPr>
        <w:t>yields  </w:t>
      </w:r>
      <w:r>
        <w:rPr>
          <w:spacing w:val="5"/>
          <w:w w:val="105"/>
        </w:rPr>
        <w:t>(passenger  </w:t>
      </w:r>
      <w:r>
        <w:rPr>
          <w:spacing w:val="9"/>
          <w:w w:val="105"/>
        </w:rPr>
        <w:t>revenue </w:t>
      </w:r>
      <w:r>
        <w:rPr>
          <w:spacing w:val="10"/>
          <w:w w:val="105"/>
        </w:rPr>
        <w:t>divided </w:t>
      </w:r>
      <w:r>
        <w:rPr>
          <w:spacing w:val="6"/>
          <w:w w:val="105"/>
        </w:rPr>
        <w:t>by </w:t>
      </w:r>
      <w:r>
        <w:rPr>
          <w:spacing w:val="3"/>
          <w:w w:val="105"/>
        </w:rPr>
        <w:t>RPMs) </w:t>
      </w:r>
      <w:r>
        <w:rPr>
          <w:spacing w:val="6"/>
          <w:w w:val="105"/>
        </w:rPr>
        <w:t>caused by </w:t>
      </w:r>
      <w:r>
        <w:rPr>
          <w:w w:val="105"/>
        </w:rPr>
        <w:t>a </w:t>
      </w:r>
      <w:r>
        <w:rPr>
          <w:spacing w:val="6"/>
          <w:w w:val="105"/>
        </w:rPr>
        <w:t>decline in </w:t>
      </w:r>
      <w:r>
        <w:rPr>
          <w:w w:val="105"/>
        </w:rPr>
        <w:t>full-fare </w:t>
      </w:r>
      <w:r>
        <w:rPr>
          <w:spacing w:val="2"/>
          <w:w w:val="105"/>
        </w:rPr>
        <w:t>traffic.  </w:t>
      </w:r>
      <w:r>
        <w:rPr>
          <w:spacing w:val="4"/>
          <w:w w:val="105"/>
        </w:rPr>
        <w:t>The  </w:t>
      </w:r>
      <w:r>
        <w:rPr>
          <w:spacing w:val="6"/>
          <w:w w:val="105"/>
        </w:rPr>
        <w:t>Company’s  </w:t>
      </w:r>
      <w:r>
        <w:rPr>
          <w:spacing w:val="4"/>
          <w:w w:val="105"/>
        </w:rPr>
        <w:t>load  factor  for  </w:t>
      </w:r>
      <w:r>
        <w:rPr>
          <w:w w:val="105"/>
        </w:rPr>
        <w:t>2002   </w:t>
      </w:r>
      <w:r>
        <w:rPr>
          <w:spacing w:val="6"/>
          <w:w w:val="105"/>
        </w:rPr>
        <w:t>was</w:t>
      </w:r>
    </w:p>
    <w:p>
      <w:pPr>
        <w:spacing w:after="0" w:line="254" w:lineRule="auto"/>
        <w:jc w:val="both"/>
        <w:sectPr>
          <w:type w:val="continuous"/>
          <w:pgSz w:w="11520" w:h="14400"/>
          <w:pgMar w:top="0" w:bottom="280" w:left="700" w:right="840"/>
          <w:cols w:num="2" w:equalWidth="0">
            <w:col w:w="4730" w:space="410"/>
            <w:col w:w="4840"/>
          </w:cols>
        </w:sectPr>
      </w:pPr>
    </w:p>
    <w:p>
      <w:pPr>
        <w:pStyle w:val="BodyText"/>
        <w:spacing w:line="254" w:lineRule="auto" w:before="69"/>
        <w:ind w:left="100" w:right="6"/>
        <w:jc w:val="both"/>
      </w:pPr>
      <w:r>
        <w:rPr>
          <w:w w:val="105"/>
        </w:rPr>
        <w:t>65.9 </w:t>
      </w:r>
      <w:r>
        <w:rPr>
          <w:spacing w:val="5"/>
          <w:w w:val="105"/>
        </w:rPr>
        <w:t>percent,  </w:t>
      </w:r>
      <w:r>
        <w:rPr>
          <w:spacing w:val="8"/>
          <w:w w:val="105"/>
        </w:rPr>
        <w:t>compared</w:t>
      </w:r>
      <w:r>
        <w:rPr>
          <w:spacing w:val="63"/>
          <w:w w:val="105"/>
        </w:rPr>
        <w:t> </w:t>
      </w:r>
      <w:r>
        <w:rPr>
          <w:w w:val="105"/>
        </w:rPr>
        <w:t>to  68.1  </w:t>
      </w:r>
      <w:r>
        <w:rPr>
          <w:spacing w:val="6"/>
          <w:w w:val="105"/>
        </w:rPr>
        <w:t>percent </w:t>
      </w:r>
      <w:r>
        <w:rPr>
          <w:spacing w:val="59"/>
          <w:w w:val="105"/>
        </w:rPr>
        <w:t> </w:t>
      </w:r>
      <w:r>
        <w:rPr>
          <w:spacing w:val="4"/>
          <w:w w:val="105"/>
        </w:rPr>
        <w:t>for </w:t>
      </w:r>
      <w:r>
        <w:rPr>
          <w:w w:val="105"/>
        </w:rPr>
        <w:t>2001, </w:t>
      </w:r>
      <w:r>
        <w:rPr>
          <w:spacing w:val="3"/>
          <w:w w:val="105"/>
        </w:rPr>
        <w:t>resulting </w:t>
      </w:r>
      <w:r>
        <w:rPr>
          <w:w w:val="105"/>
        </w:rPr>
        <w:t>from  a  </w:t>
      </w:r>
      <w:r>
        <w:rPr>
          <w:spacing w:val="6"/>
          <w:w w:val="105"/>
        </w:rPr>
        <w:t>capacity  </w:t>
      </w:r>
      <w:r>
        <w:rPr>
          <w:spacing w:val="4"/>
          <w:w w:val="105"/>
        </w:rPr>
        <w:t>(ASM)  </w:t>
      </w:r>
      <w:r>
        <w:rPr>
          <w:spacing w:val="5"/>
          <w:w w:val="105"/>
        </w:rPr>
        <w:t>increase  </w:t>
      </w:r>
      <w:r>
        <w:rPr>
          <w:spacing w:val="12"/>
          <w:w w:val="105"/>
        </w:rPr>
        <w:t>of</w:t>
      </w:r>
    </w:p>
    <w:p>
      <w:pPr>
        <w:pStyle w:val="BodyText"/>
        <w:ind w:left="100"/>
        <w:jc w:val="both"/>
      </w:pPr>
      <w:r>
        <w:rPr>
          <w:w w:val="110"/>
        </w:rPr>
        <w:t>5.5   </w:t>
      </w:r>
      <w:r>
        <w:rPr>
          <w:spacing w:val="6"/>
          <w:w w:val="110"/>
        </w:rPr>
        <w:t>percent  </w:t>
      </w:r>
      <w:r>
        <w:rPr>
          <w:spacing w:val="4"/>
          <w:w w:val="110"/>
        </w:rPr>
        <w:t>versus  </w:t>
      </w:r>
      <w:r>
        <w:rPr>
          <w:spacing w:val="6"/>
          <w:w w:val="110"/>
        </w:rPr>
        <w:t>an </w:t>
      </w:r>
      <w:r>
        <w:rPr>
          <w:spacing w:val="61"/>
          <w:w w:val="110"/>
        </w:rPr>
        <w:t> </w:t>
      </w:r>
      <w:r>
        <w:rPr>
          <w:w w:val="110"/>
        </w:rPr>
        <w:t>RPM   </w:t>
      </w:r>
      <w:r>
        <w:rPr>
          <w:spacing w:val="5"/>
          <w:w w:val="110"/>
        </w:rPr>
        <w:t>increase   </w:t>
      </w:r>
      <w:r>
        <w:rPr>
          <w:spacing w:val="6"/>
          <w:w w:val="110"/>
        </w:rPr>
        <w:t>of  </w:t>
      </w:r>
      <w:r>
        <w:rPr>
          <w:spacing w:val="4"/>
          <w:w w:val="110"/>
        </w:rPr>
        <w:t>only</w:t>
      </w:r>
    </w:p>
    <w:p>
      <w:pPr>
        <w:pStyle w:val="BodyText"/>
        <w:spacing w:line="254" w:lineRule="auto" w:before="15"/>
        <w:ind w:left="100"/>
        <w:jc w:val="both"/>
      </w:pPr>
      <w:r>
        <w:rPr>
          <w:w w:val="105"/>
        </w:rPr>
        <w:t>2.0 </w:t>
      </w:r>
      <w:r>
        <w:rPr>
          <w:spacing w:val="5"/>
          <w:w w:val="105"/>
        </w:rPr>
        <w:t>percent. </w:t>
      </w:r>
      <w:r>
        <w:rPr>
          <w:spacing w:val="7"/>
          <w:w w:val="105"/>
        </w:rPr>
        <w:t>Excluding </w:t>
      </w:r>
      <w:r>
        <w:rPr>
          <w:spacing w:val="6"/>
          <w:w w:val="105"/>
        </w:rPr>
        <w:t>special </w:t>
      </w:r>
      <w:r>
        <w:rPr>
          <w:spacing w:val="5"/>
          <w:w w:val="105"/>
        </w:rPr>
        <w:t>items, </w:t>
      </w:r>
      <w:r>
        <w:rPr>
          <w:spacing w:val="7"/>
          <w:w w:val="105"/>
        </w:rPr>
        <w:t>passenger </w:t>
      </w:r>
      <w:r>
        <w:rPr>
          <w:spacing w:val="4"/>
          <w:w w:val="105"/>
        </w:rPr>
        <w:t>yields for </w:t>
      </w:r>
      <w:r>
        <w:rPr>
          <w:w w:val="105"/>
        </w:rPr>
        <w:t>2002 </w:t>
      </w:r>
      <w:r>
        <w:rPr>
          <w:spacing w:val="4"/>
          <w:w w:val="105"/>
        </w:rPr>
        <w:t>were  </w:t>
      </w:r>
      <w:r>
        <w:rPr>
          <w:w w:val="105"/>
        </w:rPr>
        <w:t>$.1169  </w:t>
      </w:r>
      <w:r>
        <w:rPr>
          <w:spacing w:val="8"/>
          <w:w w:val="105"/>
        </w:rPr>
        <w:t>compared  </w:t>
      </w:r>
      <w:r>
        <w:rPr>
          <w:w w:val="105"/>
        </w:rPr>
        <w:t>to  $.1216 </w:t>
      </w:r>
      <w:r>
        <w:rPr>
          <w:spacing w:val="6"/>
          <w:w w:val="105"/>
        </w:rPr>
        <w:t>in</w:t>
      </w:r>
      <w:r>
        <w:rPr>
          <w:spacing w:val="59"/>
          <w:w w:val="105"/>
        </w:rPr>
        <w:t> </w:t>
      </w:r>
      <w:r>
        <w:rPr>
          <w:w w:val="105"/>
        </w:rPr>
        <w:t>2001, a  </w:t>
      </w:r>
      <w:r>
        <w:rPr>
          <w:spacing w:val="5"/>
          <w:w w:val="105"/>
        </w:rPr>
        <w:t>decrease  </w:t>
      </w:r>
      <w:r>
        <w:rPr>
          <w:spacing w:val="6"/>
          <w:w w:val="105"/>
        </w:rPr>
        <w:t>of </w:t>
      </w:r>
      <w:r>
        <w:rPr>
          <w:spacing w:val="59"/>
          <w:w w:val="105"/>
        </w:rPr>
        <w:t> </w:t>
      </w:r>
      <w:r>
        <w:rPr>
          <w:w w:val="105"/>
        </w:rPr>
        <w:t>3.9  </w:t>
      </w:r>
      <w:r>
        <w:rPr>
          <w:spacing w:val="5"/>
          <w:w w:val="105"/>
        </w:rPr>
        <w:t>percent.  </w:t>
      </w:r>
      <w:r>
        <w:rPr>
          <w:spacing w:val="4"/>
          <w:w w:val="105"/>
        </w:rPr>
        <w:t>In  </w:t>
      </w:r>
      <w:r>
        <w:rPr>
          <w:w w:val="105"/>
        </w:rPr>
        <w:t>2002, </w:t>
      </w:r>
      <w:r>
        <w:rPr>
          <w:spacing w:val="3"/>
          <w:w w:val="105"/>
        </w:rPr>
        <w:t>there </w:t>
      </w:r>
      <w:r>
        <w:rPr>
          <w:spacing w:val="8"/>
          <w:w w:val="105"/>
        </w:rPr>
        <w:t>continued </w:t>
      </w:r>
      <w:r>
        <w:rPr>
          <w:w w:val="105"/>
        </w:rPr>
        <w:t>to </w:t>
      </w:r>
      <w:r>
        <w:rPr>
          <w:spacing w:val="6"/>
          <w:w w:val="105"/>
        </w:rPr>
        <w:t>be </w:t>
      </w:r>
      <w:r>
        <w:rPr>
          <w:spacing w:val="9"/>
          <w:w w:val="105"/>
        </w:rPr>
        <w:t>heavy </w:t>
      </w:r>
      <w:r>
        <w:rPr>
          <w:w w:val="105"/>
        </w:rPr>
        <w:t>fare </w:t>
      </w:r>
      <w:r>
        <w:rPr>
          <w:spacing w:val="7"/>
          <w:w w:val="105"/>
        </w:rPr>
        <w:t>discounting </w:t>
      </w:r>
      <w:r>
        <w:rPr>
          <w:spacing w:val="12"/>
          <w:w w:val="105"/>
        </w:rPr>
        <w:t>by </w:t>
      </w:r>
      <w:r>
        <w:rPr>
          <w:spacing w:val="2"/>
          <w:w w:val="105"/>
        </w:rPr>
        <w:t>the </w:t>
      </w:r>
      <w:r>
        <w:rPr>
          <w:spacing w:val="8"/>
          <w:w w:val="105"/>
        </w:rPr>
        <w:t>Company and </w:t>
      </w:r>
      <w:r>
        <w:rPr>
          <w:spacing w:val="2"/>
          <w:w w:val="105"/>
        </w:rPr>
        <w:t>the </w:t>
      </w:r>
      <w:r>
        <w:rPr>
          <w:spacing w:val="5"/>
          <w:w w:val="105"/>
        </w:rPr>
        <w:t>airline  </w:t>
      </w:r>
      <w:r>
        <w:rPr>
          <w:spacing w:val="4"/>
          <w:w w:val="105"/>
        </w:rPr>
        <w:t>industry  </w:t>
      </w:r>
      <w:r>
        <w:rPr>
          <w:spacing w:val="6"/>
          <w:w w:val="105"/>
        </w:rPr>
        <w:t>in  </w:t>
      </w:r>
      <w:r>
        <w:rPr>
          <w:spacing w:val="8"/>
          <w:w w:val="105"/>
        </w:rPr>
        <w:t>general </w:t>
      </w:r>
      <w:r>
        <w:rPr>
          <w:w w:val="105"/>
        </w:rPr>
        <w:t>to </w:t>
      </w:r>
      <w:r>
        <w:rPr>
          <w:spacing w:val="3"/>
          <w:w w:val="105"/>
        </w:rPr>
        <w:t>stimulate </w:t>
      </w:r>
      <w:r>
        <w:rPr>
          <w:spacing w:val="10"/>
          <w:w w:val="105"/>
        </w:rPr>
        <w:t>demand.  </w:t>
      </w:r>
      <w:r>
        <w:rPr>
          <w:spacing w:val="4"/>
          <w:w w:val="105"/>
        </w:rPr>
        <w:t>The  </w:t>
      </w:r>
      <w:r>
        <w:rPr>
          <w:spacing w:val="5"/>
          <w:w w:val="105"/>
        </w:rPr>
        <w:t>increase  </w:t>
      </w:r>
      <w:r>
        <w:rPr>
          <w:spacing w:val="6"/>
          <w:w w:val="105"/>
        </w:rPr>
        <w:t>in  </w:t>
      </w:r>
      <w:r>
        <w:rPr>
          <w:spacing w:val="5"/>
          <w:w w:val="105"/>
        </w:rPr>
        <w:t>capacity,  </w:t>
      </w:r>
      <w:r>
        <w:rPr>
          <w:spacing w:val="6"/>
          <w:w w:val="105"/>
        </w:rPr>
        <w:t>as </w:t>
      </w:r>
      <w:r>
        <w:rPr>
          <w:spacing w:val="7"/>
          <w:w w:val="105"/>
        </w:rPr>
        <w:t>measured </w:t>
      </w:r>
      <w:r>
        <w:rPr>
          <w:spacing w:val="6"/>
          <w:w w:val="105"/>
        </w:rPr>
        <w:t>by </w:t>
      </w:r>
      <w:r>
        <w:rPr>
          <w:spacing w:val="3"/>
          <w:w w:val="105"/>
        </w:rPr>
        <w:t>ASMs, </w:t>
      </w:r>
      <w:r>
        <w:rPr>
          <w:spacing w:val="6"/>
          <w:w w:val="105"/>
        </w:rPr>
        <w:t>was </w:t>
      </w:r>
      <w:r>
        <w:rPr>
          <w:spacing w:val="8"/>
          <w:w w:val="105"/>
        </w:rPr>
        <w:t>due </w:t>
      </w:r>
      <w:r>
        <w:rPr>
          <w:w w:val="105"/>
        </w:rPr>
        <w:t>to </w:t>
      </w:r>
      <w:r>
        <w:rPr>
          <w:spacing w:val="2"/>
          <w:w w:val="105"/>
        </w:rPr>
        <w:t>the  </w:t>
      </w:r>
      <w:r>
        <w:rPr>
          <w:spacing w:val="12"/>
          <w:w w:val="105"/>
        </w:rPr>
        <w:t>net  </w:t>
      </w:r>
      <w:r>
        <w:rPr>
          <w:spacing w:val="8"/>
          <w:w w:val="105"/>
        </w:rPr>
        <w:t>addition </w:t>
      </w:r>
      <w:r>
        <w:rPr>
          <w:spacing w:val="6"/>
          <w:w w:val="105"/>
        </w:rPr>
        <w:t>of </w:t>
      </w:r>
      <w:r>
        <w:rPr>
          <w:w w:val="105"/>
        </w:rPr>
        <w:t>20 </w:t>
      </w:r>
      <w:r>
        <w:rPr>
          <w:spacing w:val="4"/>
          <w:w w:val="105"/>
        </w:rPr>
        <w:t>aircraft </w:t>
      </w:r>
      <w:r>
        <w:rPr>
          <w:spacing w:val="7"/>
          <w:w w:val="105"/>
        </w:rPr>
        <w:t>during </w:t>
      </w:r>
      <w:r>
        <w:rPr>
          <w:w w:val="105"/>
        </w:rPr>
        <w:t>2002 </w:t>
      </w:r>
      <w:r>
        <w:rPr>
          <w:spacing w:val="6"/>
          <w:w w:val="105"/>
        </w:rPr>
        <w:t>(net of </w:t>
      </w:r>
      <w:r>
        <w:rPr>
          <w:spacing w:val="3"/>
          <w:w w:val="105"/>
        </w:rPr>
        <w:t>three </w:t>
      </w:r>
      <w:r>
        <w:rPr>
          <w:spacing w:val="4"/>
          <w:w w:val="105"/>
        </w:rPr>
        <w:t>aircraft retirements). </w:t>
      </w:r>
      <w:r>
        <w:rPr>
          <w:spacing w:val="5"/>
          <w:w w:val="105"/>
        </w:rPr>
        <w:t>For </w:t>
      </w:r>
      <w:r>
        <w:rPr>
          <w:spacing w:val="2"/>
          <w:w w:val="105"/>
        </w:rPr>
        <w:t>the </w:t>
      </w:r>
      <w:r>
        <w:rPr>
          <w:w w:val="105"/>
        </w:rPr>
        <w:t>full  </w:t>
      </w:r>
      <w:r>
        <w:rPr>
          <w:spacing w:val="3"/>
          <w:w w:val="105"/>
        </w:rPr>
        <w:t>year,</w:t>
      </w:r>
      <w:r>
        <w:rPr>
          <w:spacing w:val="53"/>
          <w:w w:val="105"/>
        </w:rPr>
        <w:t> </w:t>
      </w:r>
      <w:r>
        <w:rPr>
          <w:spacing w:val="2"/>
          <w:w w:val="105"/>
        </w:rPr>
        <w:t>the </w:t>
      </w:r>
      <w:r>
        <w:rPr>
          <w:spacing w:val="8"/>
          <w:w w:val="105"/>
        </w:rPr>
        <w:t>Company experienced </w:t>
      </w:r>
      <w:r>
        <w:rPr>
          <w:w w:val="105"/>
        </w:rPr>
        <w:t>a 2.2 </w:t>
      </w:r>
      <w:r>
        <w:rPr>
          <w:spacing w:val="6"/>
          <w:w w:val="105"/>
        </w:rPr>
        <w:t>percent </w:t>
      </w:r>
      <w:r>
        <w:rPr>
          <w:spacing w:val="5"/>
          <w:w w:val="105"/>
        </w:rPr>
        <w:t>decrease </w:t>
      </w:r>
      <w:r>
        <w:rPr>
          <w:spacing w:val="6"/>
          <w:w w:val="105"/>
        </w:rPr>
        <w:t>in </w:t>
      </w:r>
      <w:r>
        <w:rPr>
          <w:spacing w:val="8"/>
          <w:w w:val="105"/>
        </w:rPr>
        <w:t>revenue </w:t>
      </w:r>
      <w:r>
        <w:rPr>
          <w:spacing w:val="4"/>
          <w:w w:val="105"/>
        </w:rPr>
        <w:t>passengers carried </w:t>
      </w:r>
      <w:r>
        <w:rPr>
          <w:spacing w:val="8"/>
          <w:w w:val="105"/>
        </w:rPr>
        <w:t>and </w:t>
      </w:r>
      <w:r>
        <w:rPr>
          <w:w w:val="105"/>
        </w:rPr>
        <w:t>a 4.3 </w:t>
      </w:r>
      <w:r>
        <w:rPr>
          <w:spacing w:val="6"/>
          <w:w w:val="105"/>
        </w:rPr>
        <w:t>percent </w:t>
      </w:r>
      <w:r>
        <w:rPr>
          <w:spacing w:val="5"/>
          <w:w w:val="105"/>
        </w:rPr>
        <w:t>increase </w:t>
      </w:r>
      <w:r>
        <w:rPr>
          <w:spacing w:val="6"/>
          <w:w w:val="105"/>
        </w:rPr>
        <w:t>in</w:t>
      </w:r>
      <w:r>
        <w:rPr>
          <w:spacing w:val="59"/>
          <w:w w:val="105"/>
        </w:rPr>
        <w:t> </w:t>
      </w:r>
      <w:r>
        <w:rPr>
          <w:spacing w:val="6"/>
          <w:w w:val="105"/>
        </w:rPr>
        <w:t>average</w:t>
      </w:r>
      <w:r>
        <w:rPr>
          <w:spacing w:val="59"/>
          <w:w w:val="105"/>
        </w:rPr>
        <w:t> </w:t>
      </w:r>
      <w:r>
        <w:rPr>
          <w:w w:val="105"/>
        </w:rPr>
        <w:t>length </w:t>
      </w:r>
      <w:r>
        <w:rPr>
          <w:spacing w:val="6"/>
          <w:w w:val="105"/>
        </w:rPr>
        <w:t>of</w:t>
      </w:r>
      <w:r>
        <w:rPr>
          <w:spacing w:val="59"/>
          <w:w w:val="105"/>
        </w:rPr>
        <w:t> </w:t>
      </w:r>
      <w:r>
        <w:rPr>
          <w:spacing w:val="5"/>
          <w:w w:val="105"/>
        </w:rPr>
        <w:t>passenger </w:t>
      </w:r>
      <w:r>
        <w:rPr>
          <w:spacing w:val="12"/>
          <w:w w:val="105"/>
        </w:rPr>
        <w:t>haul </w:t>
      </w:r>
      <w:r>
        <w:rPr>
          <w:spacing w:val="4"/>
          <w:w w:val="105"/>
        </w:rPr>
        <w:t>(RPMs </w:t>
      </w:r>
      <w:r>
        <w:rPr>
          <w:spacing w:val="10"/>
          <w:w w:val="105"/>
        </w:rPr>
        <w:t>divided  </w:t>
      </w:r>
      <w:r>
        <w:rPr>
          <w:spacing w:val="6"/>
          <w:w w:val="105"/>
        </w:rPr>
        <w:t>by </w:t>
      </w:r>
      <w:r>
        <w:rPr>
          <w:spacing w:val="8"/>
          <w:w w:val="105"/>
        </w:rPr>
        <w:t>revenue  </w:t>
      </w:r>
      <w:r>
        <w:rPr>
          <w:spacing w:val="4"/>
          <w:w w:val="105"/>
        </w:rPr>
        <w:t>passengers</w:t>
      </w:r>
      <w:r>
        <w:rPr>
          <w:spacing w:val="-3"/>
          <w:w w:val="105"/>
        </w:rPr>
        <w:t> </w:t>
      </w:r>
      <w:r>
        <w:rPr>
          <w:spacing w:val="4"/>
          <w:w w:val="105"/>
        </w:rPr>
        <w:t>carried).</w:t>
      </w:r>
    </w:p>
    <w:p>
      <w:pPr>
        <w:pStyle w:val="BodyText"/>
        <w:spacing w:line="254" w:lineRule="auto" w:before="1"/>
        <w:ind w:left="100" w:right="6" w:firstLine="180"/>
        <w:jc w:val="both"/>
      </w:pPr>
      <w:r>
        <w:rPr>
          <w:w w:val="105"/>
        </w:rPr>
        <w:t>The Company’s 2002  load  factor  was  </w:t>
      </w:r>
      <w:r>
        <w:rPr>
          <w:spacing w:val="9"/>
          <w:w w:val="105"/>
        </w:rPr>
        <w:t>attained </w:t>
      </w:r>
      <w:r>
        <w:rPr>
          <w:w w:val="105"/>
        </w:rPr>
        <w:t>only through heavy </w:t>
      </w:r>
      <w:r>
        <w:rPr>
          <w:spacing w:val="3"/>
          <w:w w:val="105"/>
        </w:rPr>
        <w:t>promotional </w:t>
      </w:r>
      <w:r>
        <w:rPr>
          <w:spacing w:val="2"/>
          <w:w w:val="105"/>
        </w:rPr>
        <w:t>activities </w:t>
      </w:r>
      <w:r>
        <w:rPr>
          <w:spacing w:val="12"/>
          <w:w w:val="105"/>
        </w:rPr>
        <w:t>and </w:t>
      </w:r>
      <w:r>
        <w:rPr>
          <w:w w:val="105"/>
        </w:rPr>
        <w:t>aggressive  </w:t>
      </w:r>
      <w:r>
        <w:rPr>
          <w:spacing w:val="3"/>
          <w:w w:val="105"/>
        </w:rPr>
        <w:t>revenue</w:t>
      </w:r>
      <w:r>
        <w:rPr>
          <w:spacing w:val="53"/>
          <w:w w:val="105"/>
        </w:rPr>
        <w:t> </w:t>
      </w:r>
      <w:r>
        <w:rPr>
          <w:spacing w:val="3"/>
          <w:w w:val="105"/>
        </w:rPr>
        <w:t>management.   </w:t>
      </w:r>
      <w:r>
        <w:rPr>
          <w:w w:val="105"/>
        </w:rPr>
        <w:t>Load   factors thus  far  in  January  2003  and  </w:t>
      </w:r>
      <w:r>
        <w:rPr>
          <w:spacing w:val="2"/>
          <w:w w:val="105"/>
        </w:rPr>
        <w:t>bookings   for </w:t>
      </w:r>
      <w:r>
        <w:rPr>
          <w:w w:val="105"/>
        </w:rPr>
        <w:t>February and March 2003 have been satisfactory. However, we expect the air fare </w:t>
      </w:r>
      <w:r>
        <w:rPr>
          <w:spacing w:val="4"/>
          <w:w w:val="105"/>
        </w:rPr>
        <w:t>environment to </w:t>
      </w:r>
      <w:r>
        <w:rPr>
          <w:spacing w:val="3"/>
          <w:w w:val="105"/>
        </w:rPr>
        <w:t>continue</w:t>
      </w:r>
      <w:r>
        <w:rPr>
          <w:spacing w:val="53"/>
          <w:w w:val="105"/>
        </w:rPr>
        <w:t> </w:t>
      </w:r>
      <w:r>
        <w:rPr>
          <w:w w:val="105"/>
        </w:rPr>
        <w:t>to   be   weak,   relative   to   </w:t>
      </w:r>
      <w:r>
        <w:rPr>
          <w:spacing w:val="5"/>
          <w:w w:val="105"/>
        </w:rPr>
        <w:t>pre- </w:t>
      </w:r>
      <w:r>
        <w:rPr>
          <w:spacing w:val="2"/>
          <w:w w:val="105"/>
        </w:rPr>
        <w:t>September </w:t>
      </w:r>
      <w:r>
        <w:rPr>
          <w:w w:val="105"/>
        </w:rPr>
        <w:t>11, 2001,  </w:t>
      </w:r>
      <w:r>
        <w:rPr>
          <w:spacing w:val="2"/>
          <w:w w:val="105"/>
        </w:rPr>
        <w:t>performance,  </w:t>
      </w:r>
      <w:r>
        <w:rPr>
          <w:w w:val="105"/>
        </w:rPr>
        <w:t>through  </w:t>
      </w:r>
      <w:r>
        <w:rPr>
          <w:spacing w:val="6"/>
          <w:w w:val="105"/>
        </w:rPr>
        <w:t>the </w:t>
      </w:r>
      <w:r>
        <w:rPr>
          <w:w w:val="105"/>
        </w:rPr>
        <w:t>first quarter 2003. If current booking and </w:t>
      </w:r>
      <w:r>
        <w:rPr>
          <w:spacing w:val="11"/>
          <w:w w:val="105"/>
        </w:rPr>
        <w:t>revenue </w:t>
      </w:r>
      <w:r>
        <w:rPr>
          <w:w w:val="105"/>
        </w:rPr>
        <w:t>trends continue, first quarter 2003 unit </w:t>
      </w:r>
      <w:r>
        <w:rPr>
          <w:spacing w:val="9"/>
          <w:w w:val="105"/>
        </w:rPr>
        <w:t>revenues </w:t>
      </w:r>
      <w:r>
        <w:rPr>
          <w:w w:val="105"/>
        </w:rPr>
        <w:t>should, however, exceed first quarter 2002’s </w:t>
      </w:r>
      <w:r>
        <w:rPr>
          <w:spacing w:val="10"/>
          <w:w w:val="105"/>
        </w:rPr>
        <w:t>unit </w:t>
      </w:r>
      <w:r>
        <w:rPr>
          <w:w w:val="105"/>
        </w:rPr>
        <w:t>revenue   of </w:t>
      </w:r>
      <w:r>
        <w:rPr>
          <w:spacing w:val="26"/>
          <w:w w:val="105"/>
        </w:rPr>
        <w:t> </w:t>
      </w:r>
      <w:r>
        <w:rPr>
          <w:w w:val="105"/>
        </w:rPr>
        <w:t>$.0761.</w:t>
      </w:r>
    </w:p>
    <w:p>
      <w:pPr>
        <w:pStyle w:val="BodyText"/>
        <w:tabs>
          <w:tab w:pos="1739" w:val="left" w:leader="none"/>
          <w:tab w:pos="2579" w:val="left" w:leader="none"/>
          <w:tab w:pos="3719" w:val="left" w:leader="none"/>
        </w:tabs>
        <w:spacing w:before="1"/>
        <w:ind w:left="259"/>
        <w:jc w:val="center"/>
      </w:pPr>
      <w:r>
        <w:rPr>
          <w:spacing w:val="5"/>
          <w:w w:val="105"/>
        </w:rPr>
        <w:t>Consolidated</w:t>
        <w:tab/>
      </w:r>
      <w:r>
        <w:rPr>
          <w:spacing w:val="4"/>
          <w:w w:val="105"/>
        </w:rPr>
        <w:t>freight</w:t>
        <w:tab/>
      </w:r>
      <w:r>
        <w:rPr>
          <w:spacing w:val="8"/>
          <w:w w:val="105"/>
        </w:rPr>
        <w:t>revenues</w:t>
        <w:tab/>
      </w:r>
      <w:r>
        <w:rPr>
          <w:spacing w:val="7"/>
          <w:w w:val="105"/>
        </w:rPr>
        <w:t>decreased</w:t>
      </w:r>
    </w:p>
    <w:p>
      <w:pPr>
        <w:pStyle w:val="BodyText"/>
        <w:spacing w:before="15"/>
        <w:ind w:left="100"/>
        <w:jc w:val="both"/>
      </w:pPr>
      <w:r>
        <w:rPr>
          <w:w w:val="105"/>
        </w:rPr>
        <w:t>$6.6  million,  or  7.2  percent,  primarily  due  to   a</w:t>
      </w:r>
    </w:p>
    <w:p>
      <w:pPr>
        <w:pStyle w:val="BodyText"/>
        <w:spacing w:before="15"/>
        <w:ind w:left="100"/>
        <w:jc w:val="both"/>
      </w:pPr>
      <w:r>
        <w:rPr>
          <w:w w:val="110"/>
        </w:rPr>
        <w:t>40.3    percent    decrease    in    mail    revenues.</w:t>
      </w:r>
    </w:p>
    <w:p>
      <w:pPr>
        <w:pStyle w:val="BodyText"/>
        <w:spacing w:line="254" w:lineRule="auto" w:before="69"/>
        <w:ind w:left="100" w:right="103"/>
        <w:jc w:val="both"/>
      </w:pPr>
      <w:r>
        <w:rPr/>
        <w:br w:type="column"/>
      </w:r>
      <w:r>
        <w:rPr>
          <w:spacing w:val="4"/>
          <w:w w:val="105"/>
        </w:rPr>
        <w:t>Following </w:t>
      </w:r>
      <w:r>
        <w:rPr>
          <w:spacing w:val="2"/>
          <w:w w:val="105"/>
        </w:rPr>
        <w:t>the </w:t>
      </w:r>
      <w:r>
        <w:rPr>
          <w:w w:val="105"/>
        </w:rPr>
        <w:t>terrorist attacks, </w:t>
      </w:r>
      <w:r>
        <w:rPr>
          <w:spacing w:val="2"/>
          <w:w w:val="105"/>
        </w:rPr>
        <w:t>the </w:t>
      </w:r>
      <w:r>
        <w:rPr>
          <w:spacing w:val="7"/>
          <w:w w:val="105"/>
        </w:rPr>
        <w:t>United </w:t>
      </w:r>
      <w:r>
        <w:rPr>
          <w:spacing w:val="4"/>
          <w:w w:val="105"/>
        </w:rPr>
        <w:t>States Postal Service shifted </w:t>
      </w:r>
      <w:r>
        <w:rPr>
          <w:w w:val="105"/>
        </w:rPr>
        <w:t>a </w:t>
      </w:r>
      <w:r>
        <w:rPr>
          <w:spacing w:val="5"/>
          <w:w w:val="105"/>
        </w:rPr>
        <w:t>portion </w:t>
      </w:r>
      <w:r>
        <w:rPr>
          <w:spacing w:val="6"/>
          <w:w w:val="105"/>
        </w:rPr>
        <w:t>of </w:t>
      </w:r>
      <w:r>
        <w:rPr>
          <w:spacing w:val="2"/>
          <w:w w:val="105"/>
        </w:rPr>
        <w:t>the </w:t>
      </w:r>
      <w:r>
        <w:rPr>
          <w:spacing w:val="10"/>
          <w:w w:val="105"/>
        </w:rPr>
        <w:t>mail </w:t>
      </w:r>
      <w:r>
        <w:rPr>
          <w:spacing w:val="8"/>
          <w:w w:val="105"/>
        </w:rPr>
        <w:t>that commercial </w:t>
      </w:r>
      <w:r>
        <w:rPr>
          <w:spacing w:val="3"/>
          <w:w w:val="105"/>
        </w:rPr>
        <w:t>carriers </w:t>
      </w:r>
      <w:r>
        <w:rPr>
          <w:spacing w:val="8"/>
          <w:w w:val="105"/>
        </w:rPr>
        <w:t>had </w:t>
      </w:r>
      <w:r>
        <w:rPr>
          <w:spacing w:val="5"/>
          <w:w w:val="105"/>
        </w:rPr>
        <w:t>previously </w:t>
      </w:r>
      <w:r>
        <w:rPr>
          <w:spacing w:val="4"/>
          <w:w w:val="105"/>
        </w:rPr>
        <w:t>carried </w:t>
      </w:r>
      <w:r>
        <w:rPr>
          <w:w w:val="105"/>
        </w:rPr>
        <w:t>to </w:t>
      </w:r>
      <w:r>
        <w:rPr>
          <w:spacing w:val="4"/>
          <w:w w:val="105"/>
        </w:rPr>
        <w:t>freight </w:t>
      </w:r>
      <w:r>
        <w:rPr>
          <w:spacing w:val="2"/>
          <w:w w:val="105"/>
        </w:rPr>
        <w:t>carriers. </w:t>
      </w:r>
      <w:r>
        <w:rPr>
          <w:spacing w:val="4"/>
          <w:w w:val="105"/>
        </w:rPr>
        <w:t>The </w:t>
      </w:r>
      <w:r>
        <w:rPr>
          <w:spacing w:val="10"/>
          <w:w w:val="105"/>
        </w:rPr>
        <w:t>mail </w:t>
      </w:r>
      <w:r>
        <w:rPr>
          <w:spacing w:val="5"/>
          <w:w w:val="105"/>
        </w:rPr>
        <w:t>decrease </w:t>
      </w:r>
      <w:r>
        <w:rPr>
          <w:spacing w:val="6"/>
          <w:w w:val="105"/>
        </w:rPr>
        <w:t>more</w:t>
      </w:r>
      <w:r>
        <w:rPr>
          <w:spacing w:val="59"/>
          <w:w w:val="105"/>
        </w:rPr>
        <w:t> </w:t>
      </w:r>
      <w:r>
        <w:rPr>
          <w:spacing w:val="8"/>
          <w:w w:val="105"/>
        </w:rPr>
        <w:t>than </w:t>
      </w:r>
      <w:r>
        <w:rPr>
          <w:spacing w:val="3"/>
          <w:w w:val="105"/>
        </w:rPr>
        <w:t>offset</w:t>
      </w:r>
      <w:r>
        <w:rPr>
          <w:spacing w:val="53"/>
          <w:w w:val="105"/>
        </w:rPr>
        <w:t> </w:t>
      </w:r>
      <w:r>
        <w:rPr>
          <w:spacing w:val="6"/>
          <w:w w:val="105"/>
        </w:rPr>
        <w:t>an </w:t>
      </w:r>
      <w:r>
        <w:rPr>
          <w:spacing w:val="59"/>
          <w:w w:val="105"/>
        </w:rPr>
        <w:t> </w:t>
      </w:r>
      <w:r>
        <w:rPr>
          <w:w w:val="105"/>
        </w:rPr>
        <w:t>11.4   </w:t>
      </w:r>
      <w:r>
        <w:rPr>
          <w:spacing w:val="6"/>
          <w:w w:val="105"/>
        </w:rPr>
        <w:t>percent </w:t>
      </w:r>
      <w:r>
        <w:rPr>
          <w:spacing w:val="59"/>
          <w:w w:val="105"/>
        </w:rPr>
        <w:t> </w:t>
      </w:r>
      <w:r>
        <w:rPr>
          <w:spacing w:val="5"/>
          <w:w w:val="105"/>
        </w:rPr>
        <w:t>increase   </w:t>
      </w:r>
      <w:r>
        <w:rPr>
          <w:spacing w:val="6"/>
          <w:w w:val="105"/>
        </w:rPr>
        <w:t>in </w:t>
      </w:r>
      <w:r>
        <w:rPr>
          <w:spacing w:val="59"/>
          <w:w w:val="105"/>
        </w:rPr>
        <w:t> </w:t>
      </w:r>
      <w:r>
        <w:rPr>
          <w:spacing w:val="6"/>
          <w:w w:val="105"/>
        </w:rPr>
        <w:t>other </w:t>
      </w:r>
      <w:r>
        <w:rPr>
          <w:spacing w:val="4"/>
          <w:w w:val="105"/>
        </w:rPr>
        <w:t>freight    </w:t>
      </w:r>
      <w:r>
        <w:rPr>
          <w:spacing w:val="7"/>
          <w:w w:val="105"/>
        </w:rPr>
        <w:t>revenues.    </w:t>
      </w:r>
      <w:r>
        <w:rPr>
          <w:spacing w:val="5"/>
          <w:w w:val="105"/>
        </w:rPr>
        <w:t>Other    </w:t>
      </w:r>
      <w:r>
        <w:rPr>
          <w:spacing w:val="8"/>
          <w:w w:val="105"/>
        </w:rPr>
        <w:t>revenues    </w:t>
      </w:r>
      <w:r>
        <w:rPr>
          <w:spacing w:val="7"/>
          <w:w w:val="105"/>
        </w:rPr>
        <w:t>increased</w:t>
      </w:r>
    </w:p>
    <w:p>
      <w:pPr>
        <w:pStyle w:val="BodyText"/>
        <w:spacing w:line="254" w:lineRule="auto"/>
        <w:ind w:left="100" w:right="115"/>
        <w:jc w:val="both"/>
      </w:pPr>
      <w:r>
        <w:rPr>
          <w:w w:val="105"/>
        </w:rPr>
        <w:t>$10.5 </w:t>
      </w:r>
      <w:r>
        <w:rPr>
          <w:spacing w:val="6"/>
          <w:w w:val="105"/>
        </w:rPr>
        <w:t>million, or  </w:t>
      </w:r>
      <w:r>
        <w:rPr>
          <w:w w:val="105"/>
        </w:rPr>
        <w:t>12.4  </w:t>
      </w:r>
      <w:r>
        <w:rPr>
          <w:spacing w:val="5"/>
          <w:w w:val="105"/>
        </w:rPr>
        <w:t>percent,  primarily  </w:t>
      </w:r>
      <w:r>
        <w:rPr>
          <w:spacing w:val="8"/>
          <w:w w:val="105"/>
        </w:rPr>
        <w:t>due</w:t>
      </w:r>
      <w:r>
        <w:rPr>
          <w:spacing w:val="63"/>
          <w:w w:val="105"/>
        </w:rPr>
        <w:t> </w:t>
      </w:r>
      <w:r>
        <w:rPr>
          <w:w w:val="105"/>
        </w:rPr>
        <w:t>to </w:t>
      </w:r>
      <w:r>
        <w:rPr>
          <w:spacing w:val="6"/>
          <w:w w:val="105"/>
        </w:rPr>
        <w:t>an </w:t>
      </w:r>
      <w:r>
        <w:rPr>
          <w:spacing w:val="5"/>
          <w:w w:val="105"/>
        </w:rPr>
        <w:t>increase </w:t>
      </w:r>
      <w:r>
        <w:rPr>
          <w:spacing w:val="6"/>
          <w:w w:val="105"/>
        </w:rPr>
        <w:t>in </w:t>
      </w:r>
      <w:r>
        <w:rPr>
          <w:spacing w:val="8"/>
          <w:w w:val="105"/>
        </w:rPr>
        <w:t>commissions</w:t>
      </w:r>
      <w:r>
        <w:rPr>
          <w:spacing w:val="63"/>
          <w:w w:val="105"/>
        </w:rPr>
        <w:t> </w:t>
      </w:r>
      <w:r>
        <w:rPr>
          <w:spacing w:val="7"/>
          <w:w w:val="105"/>
        </w:rPr>
        <w:t>earned  </w:t>
      </w:r>
      <w:r>
        <w:rPr>
          <w:spacing w:val="5"/>
          <w:w w:val="105"/>
        </w:rPr>
        <w:t>from programs </w:t>
      </w:r>
      <w:r>
        <w:rPr>
          <w:spacing w:val="2"/>
          <w:w w:val="105"/>
        </w:rPr>
        <w:t>the </w:t>
      </w:r>
      <w:r>
        <w:rPr>
          <w:spacing w:val="8"/>
          <w:w w:val="105"/>
        </w:rPr>
        <w:t>Company </w:t>
      </w:r>
      <w:r>
        <w:rPr>
          <w:spacing w:val="4"/>
          <w:w w:val="105"/>
        </w:rPr>
        <w:t>sponsors with </w:t>
      </w:r>
      <w:r>
        <w:rPr>
          <w:spacing w:val="6"/>
          <w:w w:val="105"/>
        </w:rPr>
        <w:t>certain business </w:t>
      </w:r>
      <w:r>
        <w:rPr>
          <w:spacing w:val="3"/>
          <w:w w:val="105"/>
        </w:rPr>
        <w:t>partners, such </w:t>
      </w:r>
      <w:r>
        <w:rPr>
          <w:spacing w:val="6"/>
          <w:w w:val="105"/>
        </w:rPr>
        <w:t>as </w:t>
      </w:r>
      <w:r>
        <w:rPr>
          <w:spacing w:val="2"/>
          <w:w w:val="105"/>
        </w:rPr>
        <w:t>the </w:t>
      </w:r>
      <w:r>
        <w:rPr>
          <w:spacing w:val="7"/>
          <w:w w:val="105"/>
        </w:rPr>
        <w:t>Company- </w:t>
      </w:r>
      <w:r>
        <w:rPr>
          <w:spacing w:val="5"/>
          <w:w w:val="105"/>
        </w:rPr>
        <w:t>sponsored  </w:t>
      </w:r>
      <w:r>
        <w:rPr>
          <w:w w:val="105"/>
        </w:rPr>
        <w:t>First  </w:t>
      </w:r>
      <w:r>
        <w:rPr>
          <w:spacing w:val="2"/>
          <w:w w:val="105"/>
        </w:rPr>
        <w:t>USA  </w:t>
      </w:r>
      <w:r>
        <w:rPr>
          <w:spacing w:val="4"/>
          <w:w w:val="105"/>
        </w:rPr>
        <w:t>Visa</w:t>
      </w:r>
      <w:r>
        <w:rPr>
          <w:spacing w:val="10"/>
          <w:w w:val="105"/>
        </w:rPr>
        <w:t> </w:t>
      </w:r>
      <w:r>
        <w:rPr>
          <w:spacing w:val="4"/>
          <w:w w:val="105"/>
        </w:rPr>
        <w:t>card.</w:t>
      </w:r>
    </w:p>
    <w:p>
      <w:pPr>
        <w:pStyle w:val="BodyText"/>
        <w:spacing w:before="4"/>
        <w:rPr>
          <w:sz w:val="21"/>
        </w:rPr>
      </w:pPr>
    </w:p>
    <w:p>
      <w:pPr>
        <w:pStyle w:val="BodyText"/>
        <w:spacing w:line="254" w:lineRule="auto"/>
        <w:ind w:left="100" w:right="109" w:firstLine="180"/>
        <w:jc w:val="both"/>
      </w:pPr>
      <w:r>
        <w:rPr>
          <w:i/>
          <w:w w:val="105"/>
        </w:rPr>
        <w:t>Operating Expenses. </w:t>
      </w:r>
      <w:r>
        <w:rPr>
          <w:w w:val="105"/>
        </w:rPr>
        <w:t>Consolidated operating expenses   for  2002   increased    $180.4   million,   or</w:t>
      </w:r>
    </w:p>
    <w:p>
      <w:pPr>
        <w:pStyle w:val="BodyText"/>
        <w:spacing w:line="254" w:lineRule="auto" w:before="1"/>
        <w:ind w:left="100" w:right="103"/>
        <w:jc w:val="both"/>
      </w:pPr>
      <w:r>
        <w:rPr>
          <w:w w:val="110"/>
        </w:rPr>
        <w:t>3.7 percent, </w:t>
      </w:r>
      <w:r>
        <w:rPr>
          <w:spacing w:val="3"/>
          <w:w w:val="110"/>
        </w:rPr>
        <w:t>compared </w:t>
      </w:r>
      <w:r>
        <w:rPr>
          <w:w w:val="110"/>
        </w:rPr>
        <w:t>to  the  5.5  </w:t>
      </w:r>
      <w:r>
        <w:rPr>
          <w:spacing w:val="7"/>
          <w:w w:val="110"/>
        </w:rPr>
        <w:t>percent </w:t>
      </w:r>
      <w:r>
        <w:rPr>
          <w:w w:val="110"/>
        </w:rPr>
        <w:t>increase in capacity. </w:t>
      </w:r>
      <w:r>
        <w:rPr>
          <w:spacing w:val="5"/>
          <w:w w:val="110"/>
        </w:rPr>
        <w:t>Operating  </w:t>
      </w:r>
      <w:r>
        <w:rPr>
          <w:spacing w:val="8"/>
          <w:w w:val="110"/>
        </w:rPr>
        <w:t>expenses</w:t>
      </w:r>
      <w:r>
        <w:rPr>
          <w:spacing w:val="65"/>
          <w:w w:val="110"/>
        </w:rPr>
        <w:t> </w:t>
      </w:r>
      <w:r>
        <w:rPr>
          <w:spacing w:val="12"/>
          <w:w w:val="110"/>
        </w:rPr>
        <w:t>per </w:t>
      </w:r>
      <w:r>
        <w:rPr>
          <w:w w:val="110"/>
        </w:rPr>
        <w:t>ASM </w:t>
      </w:r>
      <w:r>
        <w:rPr>
          <w:spacing w:val="6"/>
          <w:w w:val="110"/>
        </w:rPr>
        <w:t>decreased </w:t>
      </w:r>
      <w:r>
        <w:rPr>
          <w:w w:val="110"/>
        </w:rPr>
        <w:t>1.7 </w:t>
      </w:r>
      <w:r>
        <w:rPr>
          <w:spacing w:val="6"/>
          <w:w w:val="110"/>
        </w:rPr>
        <w:t>percent </w:t>
      </w:r>
      <w:r>
        <w:rPr>
          <w:w w:val="110"/>
        </w:rPr>
        <w:t>to $.0741, </w:t>
      </w:r>
      <w:r>
        <w:rPr>
          <w:spacing w:val="5"/>
          <w:w w:val="110"/>
        </w:rPr>
        <w:t>primarily </w:t>
      </w:r>
      <w:r>
        <w:rPr>
          <w:spacing w:val="8"/>
          <w:w w:val="110"/>
        </w:rPr>
        <w:t>due </w:t>
      </w:r>
      <w:r>
        <w:rPr>
          <w:w w:val="110"/>
        </w:rPr>
        <w:t>to </w:t>
      </w:r>
      <w:r>
        <w:rPr>
          <w:spacing w:val="6"/>
          <w:w w:val="110"/>
        </w:rPr>
        <w:t>decreases</w:t>
      </w:r>
      <w:r>
        <w:rPr>
          <w:spacing w:val="61"/>
          <w:w w:val="110"/>
        </w:rPr>
        <w:t> </w:t>
      </w:r>
      <w:r>
        <w:rPr>
          <w:spacing w:val="6"/>
          <w:w w:val="110"/>
        </w:rPr>
        <w:t>in</w:t>
      </w:r>
      <w:r>
        <w:rPr>
          <w:spacing w:val="61"/>
          <w:w w:val="110"/>
        </w:rPr>
        <w:t> </w:t>
      </w:r>
      <w:r>
        <w:rPr>
          <w:spacing w:val="5"/>
          <w:w w:val="110"/>
        </w:rPr>
        <w:t>profitsharing </w:t>
      </w:r>
      <w:r>
        <w:rPr>
          <w:spacing w:val="10"/>
          <w:w w:val="110"/>
        </w:rPr>
        <w:t>expense, </w:t>
      </w:r>
      <w:r>
        <w:rPr>
          <w:spacing w:val="6"/>
          <w:w w:val="110"/>
        </w:rPr>
        <w:t>average </w:t>
      </w:r>
      <w:r>
        <w:rPr>
          <w:spacing w:val="2"/>
          <w:w w:val="110"/>
        </w:rPr>
        <w:t>jet </w:t>
      </w:r>
      <w:r>
        <w:rPr>
          <w:spacing w:val="6"/>
          <w:w w:val="110"/>
        </w:rPr>
        <w:t>fuel </w:t>
      </w:r>
      <w:r>
        <w:rPr>
          <w:w w:val="110"/>
        </w:rPr>
        <w:t>costs, </w:t>
      </w:r>
      <w:r>
        <w:rPr>
          <w:spacing w:val="8"/>
          <w:w w:val="110"/>
        </w:rPr>
        <w:t>and </w:t>
      </w:r>
      <w:r>
        <w:rPr>
          <w:spacing w:val="7"/>
          <w:w w:val="110"/>
        </w:rPr>
        <w:t>commission </w:t>
      </w:r>
      <w:r>
        <w:rPr>
          <w:spacing w:val="10"/>
          <w:w w:val="110"/>
        </w:rPr>
        <w:t>expense. </w:t>
      </w:r>
      <w:r>
        <w:rPr>
          <w:spacing w:val="7"/>
          <w:w w:val="110"/>
        </w:rPr>
        <w:t>Excluding </w:t>
      </w:r>
      <w:r>
        <w:rPr>
          <w:w w:val="110"/>
        </w:rPr>
        <w:t>2001 </w:t>
      </w:r>
      <w:r>
        <w:rPr>
          <w:spacing w:val="6"/>
          <w:w w:val="110"/>
        </w:rPr>
        <w:t>special </w:t>
      </w:r>
      <w:r>
        <w:rPr>
          <w:spacing w:val="5"/>
          <w:w w:val="110"/>
        </w:rPr>
        <w:t>items, </w:t>
      </w:r>
      <w:r>
        <w:rPr>
          <w:spacing w:val="7"/>
          <w:w w:val="110"/>
        </w:rPr>
        <w:t>operating </w:t>
      </w:r>
      <w:r>
        <w:rPr>
          <w:spacing w:val="12"/>
          <w:w w:val="110"/>
        </w:rPr>
        <w:t>expen- </w:t>
      </w:r>
      <w:r>
        <w:rPr>
          <w:spacing w:val="2"/>
          <w:w w:val="110"/>
        </w:rPr>
        <w:t>ses </w:t>
      </w:r>
      <w:r>
        <w:rPr>
          <w:spacing w:val="8"/>
          <w:w w:val="110"/>
        </w:rPr>
        <w:t>per </w:t>
      </w:r>
      <w:r>
        <w:rPr>
          <w:w w:val="110"/>
        </w:rPr>
        <w:t>ASM </w:t>
      </w:r>
      <w:r>
        <w:rPr>
          <w:spacing w:val="6"/>
          <w:w w:val="110"/>
        </w:rPr>
        <w:t>decreased </w:t>
      </w:r>
      <w:r>
        <w:rPr>
          <w:w w:val="110"/>
        </w:rPr>
        <w:t>.9 </w:t>
      </w:r>
      <w:r>
        <w:rPr>
          <w:spacing w:val="5"/>
          <w:w w:val="110"/>
        </w:rPr>
        <w:t>percent. For </w:t>
      </w:r>
      <w:r>
        <w:rPr>
          <w:w w:val="110"/>
        </w:rPr>
        <w:t>2003, </w:t>
      </w:r>
      <w:r>
        <w:rPr>
          <w:spacing w:val="2"/>
          <w:w w:val="110"/>
        </w:rPr>
        <w:t>the </w:t>
      </w:r>
      <w:r>
        <w:rPr>
          <w:spacing w:val="8"/>
          <w:w w:val="110"/>
        </w:rPr>
        <w:t>Company </w:t>
      </w:r>
      <w:r>
        <w:rPr>
          <w:spacing w:val="2"/>
          <w:w w:val="110"/>
        </w:rPr>
        <w:t>currently </w:t>
      </w:r>
      <w:r>
        <w:rPr>
          <w:spacing w:val="6"/>
          <w:w w:val="110"/>
        </w:rPr>
        <w:t>expects</w:t>
      </w:r>
      <w:r>
        <w:rPr>
          <w:spacing w:val="61"/>
          <w:w w:val="110"/>
        </w:rPr>
        <w:t> </w:t>
      </w:r>
      <w:r>
        <w:rPr>
          <w:spacing w:val="6"/>
          <w:w w:val="110"/>
        </w:rPr>
        <w:t>an </w:t>
      </w:r>
      <w:r>
        <w:rPr>
          <w:spacing w:val="5"/>
          <w:w w:val="110"/>
        </w:rPr>
        <w:t>increase </w:t>
      </w:r>
      <w:r>
        <w:rPr>
          <w:spacing w:val="12"/>
          <w:w w:val="110"/>
        </w:rPr>
        <w:t>in </w:t>
      </w:r>
      <w:r>
        <w:rPr>
          <w:spacing w:val="7"/>
          <w:w w:val="110"/>
        </w:rPr>
        <w:t>operating </w:t>
      </w:r>
      <w:r>
        <w:rPr>
          <w:spacing w:val="8"/>
          <w:w w:val="110"/>
        </w:rPr>
        <w:t>expenses per </w:t>
      </w:r>
      <w:r>
        <w:rPr>
          <w:w w:val="110"/>
        </w:rPr>
        <w:t>ASM </w:t>
      </w:r>
      <w:r>
        <w:rPr>
          <w:spacing w:val="5"/>
          <w:w w:val="110"/>
        </w:rPr>
        <w:t>primarily </w:t>
      </w:r>
      <w:r>
        <w:rPr>
          <w:spacing w:val="8"/>
          <w:w w:val="110"/>
        </w:rPr>
        <w:t>due </w:t>
      </w:r>
      <w:r>
        <w:rPr>
          <w:w w:val="110"/>
        </w:rPr>
        <w:t>to </w:t>
      </w:r>
      <w:r>
        <w:rPr>
          <w:spacing w:val="8"/>
          <w:w w:val="110"/>
        </w:rPr>
        <w:t>higher </w:t>
      </w:r>
      <w:r>
        <w:rPr>
          <w:spacing w:val="6"/>
          <w:w w:val="110"/>
        </w:rPr>
        <w:t>fuel</w:t>
      </w:r>
      <w:r>
        <w:rPr>
          <w:spacing w:val="61"/>
          <w:w w:val="110"/>
        </w:rPr>
        <w:t> </w:t>
      </w:r>
      <w:r>
        <w:rPr>
          <w:w w:val="110"/>
        </w:rPr>
        <w:t>costs </w:t>
      </w:r>
      <w:r>
        <w:rPr>
          <w:spacing w:val="8"/>
          <w:w w:val="110"/>
        </w:rPr>
        <w:t>and </w:t>
      </w:r>
      <w:r>
        <w:rPr>
          <w:spacing w:val="3"/>
          <w:w w:val="110"/>
        </w:rPr>
        <w:t>salaries, </w:t>
      </w:r>
      <w:r>
        <w:rPr>
          <w:spacing w:val="4"/>
          <w:w w:val="110"/>
        </w:rPr>
        <w:t>wages, </w:t>
      </w:r>
      <w:r>
        <w:rPr>
          <w:spacing w:val="12"/>
          <w:w w:val="110"/>
        </w:rPr>
        <w:t>and </w:t>
      </w:r>
      <w:r>
        <w:rPr>
          <w:spacing w:val="5"/>
          <w:w w:val="110"/>
        </w:rPr>
        <w:t>benefits.</w:t>
      </w:r>
    </w:p>
    <w:p>
      <w:pPr>
        <w:pStyle w:val="BodyText"/>
        <w:spacing w:line="254" w:lineRule="auto" w:before="1"/>
        <w:ind w:left="100" w:right="109" w:firstLine="180"/>
        <w:jc w:val="both"/>
      </w:pPr>
      <w:r>
        <w:rPr>
          <w:w w:val="105"/>
        </w:rPr>
        <w:t>To  a  large  extent,  changes  in  </w:t>
      </w:r>
      <w:r>
        <w:rPr>
          <w:spacing w:val="8"/>
          <w:w w:val="105"/>
        </w:rPr>
        <w:t>operating </w:t>
      </w:r>
      <w:r>
        <w:rPr>
          <w:spacing w:val="2"/>
          <w:w w:val="105"/>
        </w:rPr>
        <w:t>expenses </w:t>
      </w:r>
      <w:r>
        <w:rPr>
          <w:w w:val="105"/>
        </w:rPr>
        <w:t>for airlines are </w:t>
      </w:r>
      <w:r>
        <w:rPr>
          <w:spacing w:val="2"/>
          <w:w w:val="105"/>
        </w:rPr>
        <w:t>driven </w:t>
      </w:r>
      <w:r>
        <w:rPr>
          <w:w w:val="105"/>
        </w:rPr>
        <w:t>by </w:t>
      </w:r>
      <w:r>
        <w:rPr>
          <w:spacing w:val="2"/>
          <w:w w:val="105"/>
        </w:rPr>
        <w:t>changes </w:t>
      </w:r>
      <w:r>
        <w:rPr>
          <w:spacing w:val="11"/>
          <w:w w:val="105"/>
        </w:rPr>
        <w:t>in </w:t>
      </w:r>
      <w:r>
        <w:rPr>
          <w:w w:val="105"/>
        </w:rPr>
        <w:t>capacity, or ASMs. The following </w:t>
      </w:r>
      <w:r>
        <w:rPr>
          <w:spacing w:val="4"/>
          <w:w w:val="105"/>
        </w:rPr>
        <w:t>presents </w:t>
      </w:r>
      <w:r>
        <w:rPr>
          <w:w w:val="105"/>
        </w:rPr>
        <w:t>Southwest’s  </w:t>
      </w:r>
      <w:r>
        <w:rPr>
          <w:spacing w:val="2"/>
          <w:w w:val="105"/>
        </w:rPr>
        <w:t>operating  expenses  </w:t>
      </w:r>
      <w:r>
        <w:rPr>
          <w:w w:val="105"/>
        </w:rPr>
        <w:t>per   ASM   for 2002 and 2001 followed by explanations of </w:t>
      </w:r>
      <w:r>
        <w:rPr>
          <w:spacing w:val="7"/>
          <w:w w:val="105"/>
        </w:rPr>
        <w:t>these </w:t>
      </w:r>
      <w:r>
        <w:rPr>
          <w:w w:val="105"/>
        </w:rPr>
        <w:t>changes  on  a  per  ASM  </w:t>
      </w:r>
      <w:r>
        <w:rPr>
          <w:spacing w:val="2"/>
          <w:w w:val="105"/>
        </w:rPr>
        <w:t> basis:</w:t>
      </w:r>
    </w:p>
    <w:p>
      <w:pPr>
        <w:spacing w:after="0" w:line="254" w:lineRule="auto"/>
        <w:jc w:val="both"/>
        <w:sectPr>
          <w:headerReference w:type="default" r:id="rId79"/>
          <w:footerReference w:type="default" r:id="rId80"/>
          <w:footerReference w:type="even" r:id="rId81"/>
          <w:pgSz w:w="11520" w:h="14400"/>
          <w:pgMar w:header="0" w:footer="706" w:top="960" w:bottom="900" w:left="700" w:right="840"/>
          <w:pgNumType w:start="15"/>
          <w:cols w:num="2" w:equalWidth="0">
            <w:col w:w="4741" w:space="399"/>
            <w:col w:w="4840"/>
          </w:cols>
        </w:sectPr>
      </w:pPr>
    </w:p>
    <w:p>
      <w:pPr>
        <w:pStyle w:val="BodyText"/>
        <w:spacing w:before="9"/>
        <w:rPr>
          <w:sz w:val="13"/>
        </w:rPr>
      </w:pPr>
    </w:p>
    <w:p>
      <w:pPr>
        <w:spacing w:after="0"/>
        <w:rPr>
          <w:sz w:val="13"/>
        </w:rPr>
        <w:sectPr>
          <w:type w:val="continuous"/>
          <w:pgSz w:w="11520" w:h="14400"/>
          <w:pgMar w:top="0" w:bottom="280" w:left="700" w:right="840"/>
        </w:sectPr>
      </w:pPr>
    </w:p>
    <w:p>
      <w:pPr>
        <w:pStyle w:val="BodyText"/>
        <w:spacing w:before="93"/>
        <w:ind w:left="1100"/>
      </w:pPr>
      <w:r>
        <w:rPr/>
        <w:pict>
          <v:line style="position:absolute;mso-position-horizontal-relative:page;mso-position-vertical-relative:paragraph;z-index:6400" from="89pt,17.291592pt" to="492.24pt,17.291592pt" stroked="true" strokeweight=".24pt" strokecolor="#000000">
            <v:stroke dashstyle="solid"/>
            <w10:wrap type="none"/>
          </v:line>
        </w:pict>
      </w:r>
      <w:r>
        <w:rPr>
          <w:w w:val="105"/>
        </w:rPr>
        <w:t>Operating  Expenses  per   ASM</w:t>
      </w:r>
    </w:p>
    <w:p>
      <w:pPr>
        <w:pStyle w:val="BodyText"/>
        <w:spacing w:before="11"/>
        <w:rPr>
          <w:sz w:val="28"/>
        </w:rPr>
      </w:pPr>
      <w:r>
        <w:rPr/>
        <w:br w:type="column"/>
      </w:r>
      <w:r>
        <w:rPr>
          <w:sz w:val="28"/>
        </w:rPr>
      </w:r>
    </w:p>
    <w:p>
      <w:pPr>
        <w:pStyle w:val="BodyText"/>
        <w:spacing w:line="228" w:lineRule="exact"/>
        <w:ind w:left="1100"/>
      </w:pPr>
      <w:r>
        <w:rPr>
          <w:w w:val="105"/>
        </w:rPr>
        <w:t>Increase</w:t>
      </w:r>
    </w:p>
    <w:p>
      <w:pPr>
        <w:pStyle w:val="BodyText"/>
        <w:spacing w:before="11"/>
        <w:rPr>
          <w:sz w:val="28"/>
        </w:rPr>
      </w:pPr>
      <w:r>
        <w:rPr/>
        <w:br w:type="column"/>
      </w:r>
      <w:r>
        <w:rPr>
          <w:sz w:val="28"/>
        </w:rPr>
      </w:r>
    </w:p>
    <w:p>
      <w:pPr>
        <w:pStyle w:val="BodyText"/>
        <w:spacing w:line="228" w:lineRule="exact"/>
        <w:ind w:left="372"/>
      </w:pPr>
      <w:r>
        <w:rPr>
          <w:w w:val="105"/>
        </w:rPr>
        <w:t>Percent</w:t>
      </w:r>
    </w:p>
    <w:p>
      <w:pPr>
        <w:spacing w:after="0" w:line="228" w:lineRule="exact"/>
        <w:sectPr>
          <w:type w:val="continuous"/>
          <w:pgSz w:w="11520" w:h="14400"/>
          <w:pgMar w:top="0" w:bottom="280" w:left="700" w:right="840"/>
          <w:cols w:num="3" w:equalWidth="0">
            <w:col w:w="3804" w:space="2176"/>
            <w:col w:w="1908" w:space="40"/>
            <w:col w:w="2052"/>
          </w:cols>
        </w:sectPr>
      </w:pPr>
    </w:p>
    <w:p>
      <w:pPr>
        <w:pStyle w:val="BodyText"/>
        <w:tabs>
          <w:tab w:pos="4999" w:val="left" w:leader="none"/>
          <w:tab w:pos="6079" w:val="left" w:leader="none"/>
          <w:tab w:pos="6999" w:val="left" w:leader="none"/>
          <w:tab w:pos="8319" w:val="left" w:leader="none"/>
        </w:tabs>
        <w:spacing w:line="236" w:lineRule="exact" w:after="43"/>
        <w:ind w:left="4680"/>
      </w:pPr>
      <w:r>
        <w:rPr>
          <w:rFonts w:ascii="Franklin Gothic Medium"/>
          <w:w w:val="116"/>
          <w:u w:val="single"/>
        </w:rPr>
        <w:t> </w:t>
      </w:r>
      <w:r>
        <w:rPr>
          <w:rFonts w:ascii="Franklin Gothic Medium"/>
          <w:u w:val="single"/>
        </w:rPr>
        <w:tab/>
      </w:r>
      <w:r>
        <w:rPr>
          <w:rFonts w:ascii="Franklin Gothic Medium"/>
          <w:spacing w:val="2"/>
          <w:w w:val="110"/>
          <w:u w:val="single"/>
        </w:rPr>
        <w:t>2002</w:t>
        <w:tab/>
      </w:r>
      <w:r>
        <w:rPr>
          <w:w w:val="110"/>
          <w:u w:val="single"/>
        </w:rPr>
        <w:t>2001</w:t>
        <w:tab/>
      </w:r>
      <w:r>
        <w:rPr>
          <w:spacing w:val="5"/>
          <w:w w:val="110"/>
          <w:u w:val="single"/>
        </w:rPr>
        <w:t>(decrease)</w:t>
        <w:tab/>
      </w:r>
      <w:r>
        <w:rPr>
          <w:spacing w:val="8"/>
          <w:w w:val="110"/>
          <w:u w:val="single"/>
        </w:rPr>
        <w:t>change</w:t>
      </w:r>
      <w:r>
        <w:rPr>
          <w:spacing w:val="8"/>
          <w:u w:val="single"/>
        </w:rPr>
        <w:t> </w:t>
      </w:r>
    </w:p>
    <w:tbl>
      <w:tblPr>
        <w:tblW w:w="0" w:type="auto"/>
        <w:jc w:val="left"/>
        <w:tblInd w:w="10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95"/>
        <w:gridCol w:w="1165"/>
        <w:gridCol w:w="1152"/>
        <w:gridCol w:w="1070"/>
        <w:gridCol w:w="883"/>
      </w:tblGrid>
      <w:tr>
        <w:trPr>
          <w:trHeight w:val="246" w:hRule="exact"/>
        </w:trPr>
        <w:tc>
          <w:tcPr>
            <w:tcW w:w="3695" w:type="dxa"/>
          </w:tcPr>
          <w:p>
            <w:pPr>
              <w:pStyle w:val="TableParagraph"/>
              <w:spacing w:line="237" w:lineRule="exact"/>
              <w:ind w:left="32"/>
              <w:rPr>
                <w:sz w:val="20"/>
              </w:rPr>
            </w:pPr>
            <w:r>
              <w:rPr>
                <w:w w:val="110"/>
                <w:sz w:val="20"/>
              </w:rPr>
              <w:t>Salaries,  wages,  and  benefits</w:t>
            </w:r>
          </w:p>
        </w:tc>
        <w:tc>
          <w:tcPr>
            <w:tcW w:w="1165" w:type="dxa"/>
          </w:tcPr>
          <w:p>
            <w:pPr>
              <w:pStyle w:val="TableParagraph"/>
              <w:spacing w:line="237" w:lineRule="exact"/>
              <w:ind w:left="377"/>
              <w:rPr>
                <w:sz w:val="20"/>
              </w:rPr>
            </w:pPr>
            <w:r>
              <w:rPr>
                <w:rFonts w:ascii="Franklin Gothic Medium" w:hAnsi="Franklin Gothic Medium"/>
                <w:w w:val="105"/>
                <w:sz w:val="20"/>
              </w:rPr>
              <w:t>2.89</w:t>
            </w:r>
            <w:r>
              <w:rPr>
                <w:w w:val="105"/>
                <w:sz w:val="20"/>
              </w:rPr>
              <w:t>¢</w:t>
            </w:r>
          </w:p>
        </w:tc>
        <w:tc>
          <w:tcPr>
            <w:tcW w:w="1152" w:type="dxa"/>
          </w:tcPr>
          <w:p>
            <w:pPr>
              <w:pStyle w:val="TableParagraph"/>
              <w:spacing w:line="237" w:lineRule="exact"/>
              <w:ind w:left="252"/>
              <w:rPr>
                <w:sz w:val="20"/>
              </w:rPr>
            </w:pPr>
            <w:r>
              <w:rPr>
                <w:w w:val="120"/>
                <w:sz w:val="20"/>
              </w:rPr>
              <w:t>2.84¢</w:t>
            </w:r>
          </w:p>
        </w:tc>
        <w:tc>
          <w:tcPr>
            <w:tcW w:w="1070" w:type="dxa"/>
          </w:tcPr>
          <w:p>
            <w:pPr>
              <w:pStyle w:val="TableParagraph"/>
              <w:spacing w:line="237" w:lineRule="exact"/>
              <w:ind w:left="420"/>
              <w:rPr>
                <w:sz w:val="20"/>
              </w:rPr>
            </w:pPr>
            <w:r>
              <w:rPr>
                <w:w w:val="120"/>
                <w:sz w:val="20"/>
              </w:rPr>
              <w:t>.05¢</w:t>
            </w:r>
          </w:p>
        </w:tc>
        <w:tc>
          <w:tcPr>
            <w:tcW w:w="883" w:type="dxa"/>
          </w:tcPr>
          <w:p>
            <w:pPr>
              <w:pStyle w:val="TableParagraph"/>
              <w:spacing w:line="237" w:lineRule="exact"/>
              <w:ind w:right="30"/>
              <w:jc w:val="right"/>
              <w:rPr>
                <w:sz w:val="20"/>
              </w:rPr>
            </w:pPr>
            <w:r>
              <w:rPr>
                <w:w w:val="110"/>
                <w:sz w:val="20"/>
              </w:rPr>
              <w:t>1.8%</w:t>
            </w:r>
          </w:p>
        </w:tc>
      </w:tr>
      <w:tr>
        <w:trPr>
          <w:trHeight w:val="260" w:hRule="exact"/>
        </w:trPr>
        <w:tc>
          <w:tcPr>
            <w:tcW w:w="3695" w:type="dxa"/>
          </w:tcPr>
          <w:p>
            <w:pPr>
              <w:pStyle w:val="TableParagraph"/>
              <w:spacing w:before="6"/>
              <w:ind w:left="32"/>
              <w:rPr>
                <w:sz w:val="20"/>
              </w:rPr>
            </w:pPr>
            <w:r>
              <w:rPr>
                <w:w w:val="105"/>
                <w:sz w:val="20"/>
              </w:rPr>
              <w:t>Fuel  and oil</w:t>
            </w:r>
          </w:p>
        </w:tc>
        <w:tc>
          <w:tcPr>
            <w:tcW w:w="1165" w:type="dxa"/>
          </w:tcPr>
          <w:p>
            <w:pPr>
              <w:pStyle w:val="TableParagraph"/>
              <w:spacing w:before="13"/>
              <w:ind w:left="377"/>
              <w:rPr>
                <w:rFonts w:ascii="Franklin Gothic Medium"/>
                <w:sz w:val="20"/>
              </w:rPr>
            </w:pPr>
            <w:r>
              <w:rPr>
                <w:rFonts w:ascii="Franklin Gothic Medium"/>
                <w:sz w:val="20"/>
              </w:rPr>
              <w:t>1.11</w:t>
            </w:r>
          </w:p>
        </w:tc>
        <w:tc>
          <w:tcPr>
            <w:tcW w:w="1152" w:type="dxa"/>
          </w:tcPr>
          <w:p>
            <w:pPr>
              <w:pStyle w:val="TableParagraph"/>
              <w:spacing w:before="6"/>
              <w:ind w:left="252"/>
              <w:rPr>
                <w:sz w:val="20"/>
              </w:rPr>
            </w:pPr>
            <w:r>
              <w:rPr>
                <w:w w:val="120"/>
                <w:sz w:val="20"/>
              </w:rPr>
              <w:t>1.18</w:t>
            </w:r>
          </w:p>
        </w:tc>
        <w:tc>
          <w:tcPr>
            <w:tcW w:w="1070" w:type="dxa"/>
          </w:tcPr>
          <w:p>
            <w:pPr>
              <w:pStyle w:val="TableParagraph"/>
              <w:spacing w:before="6"/>
              <w:ind w:left="360"/>
              <w:rPr>
                <w:sz w:val="20"/>
              </w:rPr>
            </w:pPr>
            <w:r>
              <w:rPr>
                <w:w w:val="110"/>
                <w:sz w:val="20"/>
              </w:rPr>
              <w:t>(.07)</w:t>
            </w:r>
          </w:p>
        </w:tc>
        <w:tc>
          <w:tcPr>
            <w:tcW w:w="883" w:type="dxa"/>
          </w:tcPr>
          <w:p>
            <w:pPr>
              <w:pStyle w:val="TableParagraph"/>
              <w:spacing w:before="6"/>
              <w:ind w:right="110"/>
              <w:jc w:val="right"/>
              <w:rPr>
                <w:sz w:val="20"/>
              </w:rPr>
            </w:pPr>
            <w:r>
              <w:rPr>
                <w:w w:val="110"/>
                <w:sz w:val="20"/>
              </w:rPr>
              <w:t>(5.9)</w:t>
            </w:r>
          </w:p>
        </w:tc>
      </w:tr>
      <w:tr>
        <w:trPr>
          <w:trHeight w:val="260" w:hRule="exact"/>
        </w:trPr>
        <w:tc>
          <w:tcPr>
            <w:tcW w:w="3695" w:type="dxa"/>
          </w:tcPr>
          <w:p>
            <w:pPr>
              <w:pStyle w:val="TableParagraph"/>
              <w:spacing w:before="6"/>
              <w:ind w:left="32"/>
              <w:rPr>
                <w:sz w:val="20"/>
              </w:rPr>
            </w:pPr>
            <w:r>
              <w:rPr>
                <w:w w:val="105"/>
                <w:sz w:val="20"/>
              </w:rPr>
              <w:t>Maintenance  materials  and   repairs</w:t>
            </w:r>
          </w:p>
        </w:tc>
        <w:tc>
          <w:tcPr>
            <w:tcW w:w="1165" w:type="dxa"/>
          </w:tcPr>
          <w:p>
            <w:pPr>
              <w:pStyle w:val="TableParagraph"/>
              <w:spacing w:before="13"/>
              <w:ind w:left="497"/>
              <w:rPr>
                <w:rFonts w:ascii="Franklin Gothic Medium"/>
                <w:sz w:val="20"/>
              </w:rPr>
            </w:pPr>
            <w:r>
              <w:rPr>
                <w:rFonts w:ascii="Franklin Gothic Medium"/>
                <w:sz w:val="20"/>
              </w:rPr>
              <w:t>.57</w:t>
            </w:r>
          </w:p>
        </w:tc>
        <w:tc>
          <w:tcPr>
            <w:tcW w:w="1152" w:type="dxa"/>
          </w:tcPr>
          <w:p>
            <w:pPr>
              <w:pStyle w:val="TableParagraph"/>
              <w:spacing w:before="6"/>
              <w:ind w:left="372"/>
              <w:rPr>
                <w:sz w:val="20"/>
              </w:rPr>
            </w:pPr>
            <w:r>
              <w:rPr>
                <w:w w:val="120"/>
                <w:sz w:val="20"/>
              </w:rPr>
              <w:t>.61</w:t>
            </w:r>
          </w:p>
        </w:tc>
        <w:tc>
          <w:tcPr>
            <w:tcW w:w="1070" w:type="dxa"/>
          </w:tcPr>
          <w:p>
            <w:pPr>
              <w:pStyle w:val="TableParagraph"/>
              <w:spacing w:before="6"/>
              <w:ind w:left="359"/>
              <w:rPr>
                <w:sz w:val="20"/>
              </w:rPr>
            </w:pPr>
            <w:r>
              <w:rPr>
                <w:w w:val="110"/>
                <w:sz w:val="20"/>
              </w:rPr>
              <w:t>(.04)</w:t>
            </w:r>
          </w:p>
        </w:tc>
        <w:tc>
          <w:tcPr>
            <w:tcW w:w="883" w:type="dxa"/>
          </w:tcPr>
          <w:p>
            <w:pPr>
              <w:pStyle w:val="TableParagraph"/>
              <w:spacing w:before="6"/>
              <w:ind w:right="110"/>
              <w:jc w:val="right"/>
              <w:rPr>
                <w:sz w:val="20"/>
              </w:rPr>
            </w:pPr>
            <w:r>
              <w:rPr>
                <w:w w:val="110"/>
                <w:sz w:val="20"/>
              </w:rPr>
              <w:t>(6.6)</w:t>
            </w:r>
          </w:p>
        </w:tc>
      </w:tr>
      <w:tr>
        <w:trPr>
          <w:trHeight w:val="260" w:hRule="exact"/>
        </w:trPr>
        <w:tc>
          <w:tcPr>
            <w:tcW w:w="3695" w:type="dxa"/>
          </w:tcPr>
          <w:p>
            <w:pPr>
              <w:pStyle w:val="TableParagraph"/>
              <w:spacing w:before="6"/>
              <w:ind w:left="32"/>
              <w:rPr>
                <w:sz w:val="20"/>
              </w:rPr>
            </w:pPr>
            <w:r>
              <w:rPr>
                <w:w w:val="105"/>
                <w:sz w:val="20"/>
              </w:rPr>
              <w:t>Agency   commissions</w:t>
            </w:r>
          </w:p>
        </w:tc>
        <w:tc>
          <w:tcPr>
            <w:tcW w:w="1165" w:type="dxa"/>
          </w:tcPr>
          <w:p>
            <w:pPr>
              <w:pStyle w:val="TableParagraph"/>
              <w:spacing w:before="13"/>
              <w:ind w:left="497"/>
              <w:rPr>
                <w:rFonts w:ascii="Franklin Gothic Medium"/>
                <w:sz w:val="20"/>
              </w:rPr>
            </w:pPr>
            <w:r>
              <w:rPr>
                <w:rFonts w:ascii="Franklin Gothic Medium"/>
                <w:sz w:val="20"/>
              </w:rPr>
              <w:t>.08</w:t>
            </w:r>
          </w:p>
        </w:tc>
        <w:tc>
          <w:tcPr>
            <w:tcW w:w="1152" w:type="dxa"/>
          </w:tcPr>
          <w:p>
            <w:pPr>
              <w:pStyle w:val="TableParagraph"/>
              <w:spacing w:before="6"/>
              <w:ind w:left="372"/>
              <w:rPr>
                <w:sz w:val="20"/>
              </w:rPr>
            </w:pPr>
            <w:r>
              <w:rPr>
                <w:w w:val="120"/>
                <w:sz w:val="20"/>
              </w:rPr>
              <w:t>.16</w:t>
            </w:r>
          </w:p>
        </w:tc>
        <w:tc>
          <w:tcPr>
            <w:tcW w:w="1070" w:type="dxa"/>
          </w:tcPr>
          <w:p>
            <w:pPr>
              <w:pStyle w:val="TableParagraph"/>
              <w:spacing w:before="6"/>
              <w:ind w:left="359"/>
              <w:rPr>
                <w:sz w:val="20"/>
              </w:rPr>
            </w:pPr>
            <w:r>
              <w:rPr>
                <w:w w:val="110"/>
                <w:sz w:val="20"/>
              </w:rPr>
              <w:t>(.08)</w:t>
            </w:r>
          </w:p>
        </w:tc>
        <w:tc>
          <w:tcPr>
            <w:tcW w:w="883" w:type="dxa"/>
          </w:tcPr>
          <w:p>
            <w:pPr>
              <w:pStyle w:val="TableParagraph"/>
              <w:spacing w:before="6"/>
              <w:ind w:left="229"/>
              <w:rPr>
                <w:sz w:val="20"/>
              </w:rPr>
            </w:pPr>
            <w:r>
              <w:rPr>
                <w:w w:val="115"/>
                <w:sz w:val="20"/>
              </w:rPr>
              <w:t>(50.0)</w:t>
            </w:r>
          </w:p>
        </w:tc>
      </w:tr>
      <w:tr>
        <w:trPr>
          <w:trHeight w:val="260" w:hRule="exact"/>
        </w:trPr>
        <w:tc>
          <w:tcPr>
            <w:tcW w:w="3695" w:type="dxa"/>
          </w:tcPr>
          <w:p>
            <w:pPr>
              <w:pStyle w:val="TableParagraph"/>
              <w:spacing w:before="6"/>
              <w:ind w:left="32"/>
              <w:rPr>
                <w:sz w:val="20"/>
              </w:rPr>
            </w:pPr>
            <w:r>
              <w:rPr>
                <w:w w:val="105"/>
                <w:sz w:val="20"/>
              </w:rPr>
              <w:t>Aircraft rentals</w:t>
            </w:r>
          </w:p>
        </w:tc>
        <w:tc>
          <w:tcPr>
            <w:tcW w:w="1165" w:type="dxa"/>
          </w:tcPr>
          <w:p>
            <w:pPr>
              <w:pStyle w:val="TableParagraph"/>
              <w:spacing w:before="13"/>
              <w:ind w:left="497"/>
              <w:rPr>
                <w:rFonts w:ascii="Franklin Gothic Medium"/>
                <w:sz w:val="20"/>
              </w:rPr>
            </w:pPr>
            <w:r>
              <w:rPr>
                <w:rFonts w:ascii="Franklin Gothic Medium"/>
                <w:sz w:val="20"/>
              </w:rPr>
              <w:t>.27</w:t>
            </w:r>
          </w:p>
        </w:tc>
        <w:tc>
          <w:tcPr>
            <w:tcW w:w="1152" w:type="dxa"/>
          </w:tcPr>
          <w:p>
            <w:pPr>
              <w:pStyle w:val="TableParagraph"/>
              <w:spacing w:before="6"/>
              <w:ind w:left="372"/>
              <w:rPr>
                <w:sz w:val="20"/>
              </w:rPr>
            </w:pPr>
            <w:r>
              <w:rPr>
                <w:w w:val="120"/>
                <w:sz w:val="20"/>
              </w:rPr>
              <w:t>.29</w:t>
            </w:r>
          </w:p>
        </w:tc>
        <w:tc>
          <w:tcPr>
            <w:tcW w:w="1070" w:type="dxa"/>
          </w:tcPr>
          <w:p>
            <w:pPr>
              <w:pStyle w:val="TableParagraph"/>
              <w:spacing w:before="6"/>
              <w:ind w:left="359"/>
              <w:rPr>
                <w:sz w:val="20"/>
              </w:rPr>
            </w:pPr>
            <w:r>
              <w:rPr>
                <w:w w:val="110"/>
                <w:sz w:val="20"/>
              </w:rPr>
              <w:t>(.02)</w:t>
            </w:r>
          </w:p>
        </w:tc>
        <w:tc>
          <w:tcPr>
            <w:tcW w:w="883" w:type="dxa"/>
          </w:tcPr>
          <w:p>
            <w:pPr>
              <w:pStyle w:val="TableParagraph"/>
              <w:spacing w:before="6"/>
              <w:ind w:right="110"/>
              <w:jc w:val="right"/>
              <w:rPr>
                <w:sz w:val="20"/>
              </w:rPr>
            </w:pPr>
            <w:r>
              <w:rPr>
                <w:w w:val="110"/>
                <w:sz w:val="20"/>
              </w:rPr>
              <w:t>(6.9)</w:t>
            </w:r>
          </w:p>
        </w:tc>
      </w:tr>
      <w:tr>
        <w:trPr>
          <w:trHeight w:val="260" w:hRule="exact"/>
        </w:trPr>
        <w:tc>
          <w:tcPr>
            <w:tcW w:w="3695" w:type="dxa"/>
          </w:tcPr>
          <w:p>
            <w:pPr>
              <w:pStyle w:val="TableParagraph"/>
              <w:spacing w:before="6"/>
              <w:ind w:left="32"/>
              <w:rPr>
                <w:sz w:val="20"/>
              </w:rPr>
            </w:pPr>
            <w:r>
              <w:rPr>
                <w:w w:val="105"/>
                <w:sz w:val="20"/>
              </w:rPr>
              <w:t>Landing  fees  and  other   rentals</w:t>
            </w:r>
          </w:p>
        </w:tc>
        <w:tc>
          <w:tcPr>
            <w:tcW w:w="1165" w:type="dxa"/>
          </w:tcPr>
          <w:p>
            <w:pPr>
              <w:pStyle w:val="TableParagraph"/>
              <w:spacing w:before="13"/>
              <w:ind w:left="497"/>
              <w:rPr>
                <w:rFonts w:ascii="Franklin Gothic Medium"/>
                <w:sz w:val="20"/>
              </w:rPr>
            </w:pPr>
            <w:r>
              <w:rPr>
                <w:rFonts w:ascii="Franklin Gothic Medium"/>
                <w:sz w:val="20"/>
              </w:rPr>
              <w:t>.50</w:t>
            </w:r>
          </w:p>
        </w:tc>
        <w:tc>
          <w:tcPr>
            <w:tcW w:w="1152" w:type="dxa"/>
          </w:tcPr>
          <w:p>
            <w:pPr>
              <w:pStyle w:val="TableParagraph"/>
              <w:spacing w:before="6"/>
              <w:ind w:left="372"/>
              <w:rPr>
                <w:sz w:val="20"/>
              </w:rPr>
            </w:pPr>
            <w:r>
              <w:rPr>
                <w:w w:val="120"/>
                <w:sz w:val="20"/>
              </w:rPr>
              <w:t>.48</w:t>
            </w:r>
          </w:p>
        </w:tc>
        <w:tc>
          <w:tcPr>
            <w:tcW w:w="1070" w:type="dxa"/>
          </w:tcPr>
          <w:p>
            <w:pPr>
              <w:pStyle w:val="TableParagraph"/>
              <w:spacing w:before="6"/>
              <w:ind w:left="419"/>
              <w:rPr>
                <w:sz w:val="20"/>
              </w:rPr>
            </w:pPr>
            <w:r>
              <w:rPr>
                <w:w w:val="120"/>
                <w:sz w:val="20"/>
              </w:rPr>
              <w:t>.02</w:t>
            </w:r>
          </w:p>
        </w:tc>
        <w:tc>
          <w:tcPr>
            <w:tcW w:w="883" w:type="dxa"/>
          </w:tcPr>
          <w:p>
            <w:pPr>
              <w:pStyle w:val="TableParagraph"/>
              <w:spacing w:before="6"/>
              <w:ind w:left="409"/>
              <w:rPr>
                <w:sz w:val="20"/>
              </w:rPr>
            </w:pPr>
            <w:r>
              <w:rPr>
                <w:w w:val="120"/>
                <w:sz w:val="20"/>
              </w:rPr>
              <w:t>4.2</w:t>
            </w:r>
          </w:p>
        </w:tc>
      </w:tr>
      <w:tr>
        <w:trPr>
          <w:trHeight w:val="246" w:hRule="exact"/>
        </w:trPr>
        <w:tc>
          <w:tcPr>
            <w:tcW w:w="3695" w:type="dxa"/>
          </w:tcPr>
          <w:p>
            <w:pPr>
              <w:pStyle w:val="TableParagraph"/>
              <w:spacing w:before="6"/>
              <w:ind w:left="32"/>
              <w:rPr>
                <w:sz w:val="20"/>
              </w:rPr>
            </w:pPr>
            <w:r>
              <w:rPr>
                <w:w w:val="105"/>
                <w:sz w:val="20"/>
              </w:rPr>
              <w:t>Depreciation</w:t>
            </w:r>
          </w:p>
        </w:tc>
        <w:tc>
          <w:tcPr>
            <w:tcW w:w="1165" w:type="dxa"/>
          </w:tcPr>
          <w:p>
            <w:pPr>
              <w:pStyle w:val="TableParagraph"/>
              <w:spacing w:before="13"/>
              <w:ind w:left="497"/>
              <w:rPr>
                <w:rFonts w:ascii="Franklin Gothic Medium"/>
                <w:sz w:val="20"/>
              </w:rPr>
            </w:pPr>
            <w:r>
              <w:rPr>
                <w:rFonts w:ascii="Franklin Gothic Medium"/>
                <w:sz w:val="20"/>
              </w:rPr>
              <w:t>.52</w:t>
            </w:r>
          </w:p>
        </w:tc>
        <w:tc>
          <w:tcPr>
            <w:tcW w:w="1152" w:type="dxa"/>
          </w:tcPr>
          <w:p>
            <w:pPr>
              <w:pStyle w:val="TableParagraph"/>
              <w:spacing w:before="6"/>
              <w:ind w:left="372"/>
              <w:rPr>
                <w:sz w:val="20"/>
              </w:rPr>
            </w:pPr>
            <w:r>
              <w:rPr>
                <w:w w:val="120"/>
                <w:sz w:val="20"/>
              </w:rPr>
              <w:t>.49</w:t>
            </w:r>
          </w:p>
        </w:tc>
        <w:tc>
          <w:tcPr>
            <w:tcW w:w="1070" w:type="dxa"/>
          </w:tcPr>
          <w:p>
            <w:pPr>
              <w:pStyle w:val="TableParagraph"/>
              <w:spacing w:before="6"/>
              <w:ind w:left="419"/>
              <w:rPr>
                <w:sz w:val="20"/>
              </w:rPr>
            </w:pPr>
            <w:r>
              <w:rPr>
                <w:w w:val="120"/>
                <w:sz w:val="20"/>
              </w:rPr>
              <w:t>.03</w:t>
            </w:r>
          </w:p>
        </w:tc>
        <w:tc>
          <w:tcPr>
            <w:tcW w:w="883" w:type="dxa"/>
          </w:tcPr>
          <w:p>
            <w:pPr>
              <w:pStyle w:val="TableParagraph"/>
              <w:spacing w:before="6"/>
              <w:ind w:left="409"/>
              <w:rPr>
                <w:sz w:val="20"/>
              </w:rPr>
            </w:pPr>
            <w:r>
              <w:rPr>
                <w:w w:val="120"/>
                <w:sz w:val="20"/>
              </w:rPr>
              <w:t>6.1</w:t>
            </w:r>
          </w:p>
        </w:tc>
      </w:tr>
    </w:tbl>
    <w:p>
      <w:pPr>
        <w:pStyle w:val="BodyText"/>
        <w:tabs>
          <w:tab w:pos="4679" w:val="left" w:leader="none"/>
          <w:tab w:pos="5119" w:val="left" w:leader="none"/>
          <w:tab w:pos="6159" w:val="left" w:leader="none"/>
          <w:tab w:pos="7419" w:val="left" w:leader="none"/>
          <w:tab w:pos="8479" w:val="left" w:leader="none"/>
          <w:tab w:pos="9144" w:val="left" w:leader="none"/>
        </w:tabs>
        <w:spacing w:line="276" w:lineRule="auto" w:before="19"/>
        <w:ind w:left="1440" w:right="833" w:hanging="360"/>
      </w:pPr>
      <w:r>
        <w:rPr>
          <w:spacing w:val="4"/>
          <w:w w:val="110"/>
        </w:rPr>
        <w:t>Other</w:t>
        <w:tab/>
      </w:r>
      <w:r>
        <w:rPr>
          <w:rFonts w:ascii="Franklin Gothic Medium" w:hAnsi="Franklin Gothic Medium"/>
          <w:spacing w:val="4"/>
          <w:w w:val="110"/>
          <w:u w:val="single"/>
        </w:rPr>
        <w:t> </w:t>
        <w:tab/>
        <w:t>1.47</w:t>
        <w:tab/>
      </w:r>
      <w:r>
        <w:rPr>
          <w:w w:val="110"/>
          <w:u w:val="single"/>
        </w:rPr>
        <w:t>1.49</w:t>
        <w:tab/>
        <w:t>(.02)</w:t>
        <w:tab/>
        <w:t>(1.3)</w:t>
        <w:tab/>
      </w:r>
      <w:r>
        <w:rPr>
          <w:w w:val="110"/>
        </w:rPr>
        <w:t> </w:t>
      </w:r>
      <w:r>
        <w:rPr>
          <w:spacing w:val="2"/>
          <w:w w:val="110"/>
        </w:rPr>
        <w:t>Total</w:t>
        <w:tab/>
      </w:r>
      <w:r>
        <w:rPr>
          <w:rFonts w:ascii="Franklin Gothic Medium" w:hAnsi="Franklin Gothic Medium"/>
          <w:spacing w:val="2"/>
          <w:w w:val="110"/>
          <w:u w:val="single"/>
        </w:rPr>
        <w:t> </w:t>
        <w:tab/>
        <w:t>7.41</w:t>
      </w:r>
      <w:r>
        <w:rPr>
          <w:spacing w:val="2"/>
          <w:w w:val="110"/>
          <w:u w:val="single"/>
        </w:rPr>
        <w:t>¢</w:t>
        <w:tab/>
      </w:r>
      <w:r>
        <w:rPr>
          <w:w w:val="110"/>
          <w:u w:val="single"/>
        </w:rPr>
        <w:t>7.54¢</w:t>
        <w:tab/>
        <w:t>(.13)¢</w:t>
        <w:tab/>
        <w:t>(1.7)%</w:t>
      </w:r>
      <w:r>
        <w:rPr>
          <w:spacing w:val="9"/>
          <w:u w:val="single"/>
        </w:rPr>
        <w:t> </w:t>
      </w:r>
    </w:p>
    <w:p>
      <w:pPr>
        <w:spacing w:after="0" w:line="276" w:lineRule="auto"/>
        <w:sectPr>
          <w:type w:val="continuous"/>
          <w:pgSz w:w="11520" w:h="14400"/>
          <w:pgMar w:top="0" w:bottom="280" w:left="700" w:right="840"/>
        </w:sectPr>
      </w:pPr>
    </w:p>
    <w:p>
      <w:pPr>
        <w:pStyle w:val="BodyText"/>
        <w:spacing w:line="254" w:lineRule="auto" w:before="69"/>
        <w:ind w:left="100" w:right="2" w:firstLine="180"/>
        <w:jc w:val="both"/>
      </w:pPr>
      <w:r>
        <w:rPr>
          <w:spacing w:val="3"/>
          <w:w w:val="110"/>
        </w:rPr>
        <w:t>Salaries, </w:t>
      </w:r>
      <w:r>
        <w:rPr>
          <w:spacing w:val="4"/>
          <w:w w:val="110"/>
        </w:rPr>
        <w:t>wages, </w:t>
      </w:r>
      <w:r>
        <w:rPr>
          <w:spacing w:val="8"/>
          <w:w w:val="110"/>
        </w:rPr>
        <w:t>and </w:t>
      </w:r>
      <w:r>
        <w:rPr>
          <w:spacing w:val="7"/>
          <w:w w:val="110"/>
        </w:rPr>
        <w:t>benefits </w:t>
      </w:r>
      <w:r>
        <w:rPr>
          <w:spacing w:val="8"/>
          <w:w w:val="110"/>
        </w:rPr>
        <w:t>expense</w:t>
      </w:r>
      <w:r>
        <w:rPr>
          <w:spacing w:val="65"/>
          <w:w w:val="110"/>
        </w:rPr>
        <w:t> </w:t>
      </w:r>
      <w:r>
        <w:rPr>
          <w:spacing w:val="12"/>
          <w:w w:val="110"/>
        </w:rPr>
        <w:t>per </w:t>
      </w:r>
      <w:r>
        <w:rPr>
          <w:w w:val="110"/>
        </w:rPr>
        <w:t>ASM </w:t>
      </w:r>
      <w:r>
        <w:rPr>
          <w:spacing w:val="6"/>
          <w:w w:val="110"/>
        </w:rPr>
        <w:t>increased </w:t>
      </w:r>
      <w:r>
        <w:rPr>
          <w:w w:val="110"/>
        </w:rPr>
        <w:t>1.8 </w:t>
      </w:r>
      <w:r>
        <w:rPr>
          <w:spacing w:val="6"/>
          <w:w w:val="110"/>
        </w:rPr>
        <w:t>percent </w:t>
      </w:r>
      <w:r>
        <w:rPr>
          <w:spacing w:val="8"/>
          <w:w w:val="110"/>
        </w:rPr>
        <w:t>due </w:t>
      </w:r>
      <w:r>
        <w:rPr>
          <w:w w:val="110"/>
        </w:rPr>
        <w:t>to a 5.7 </w:t>
      </w:r>
      <w:r>
        <w:rPr>
          <w:spacing w:val="6"/>
          <w:w w:val="110"/>
        </w:rPr>
        <w:t>percent </w:t>
      </w:r>
      <w:r>
        <w:rPr>
          <w:spacing w:val="5"/>
          <w:w w:val="110"/>
        </w:rPr>
        <w:t>increase </w:t>
      </w:r>
      <w:r>
        <w:rPr>
          <w:spacing w:val="6"/>
          <w:w w:val="110"/>
        </w:rPr>
        <w:t>in  </w:t>
      </w:r>
      <w:r>
        <w:rPr>
          <w:spacing w:val="4"/>
          <w:w w:val="110"/>
        </w:rPr>
        <w:t>salaries  </w:t>
      </w:r>
      <w:r>
        <w:rPr>
          <w:spacing w:val="8"/>
          <w:w w:val="110"/>
        </w:rPr>
        <w:t>and  </w:t>
      </w:r>
      <w:r>
        <w:rPr>
          <w:spacing w:val="6"/>
          <w:w w:val="110"/>
        </w:rPr>
        <w:t>wages  </w:t>
      </w:r>
      <w:r>
        <w:rPr>
          <w:spacing w:val="8"/>
          <w:w w:val="110"/>
        </w:rPr>
        <w:t>per </w:t>
      </w:r>
      <w:r>
        <w:rPr>
          <w:w w:val="110"/>
        </w:rPr>
        <w:t>ASM  </w:t>
      </w:r>
      <w:r>
        <w:rPr>
          <w:spacing w:val="8"/>
          <w:w w:val="110"/>
        </w:rPr>
        <w:t>and </w:t>
      </w:r>
      <w:r>
        <w:rPr>
          <w:spacing w:val="11"/>
          <w:w w:val="110"/>
        </w:rPr>
        <w:t> </w:t>
      </w:r>
      <w:r>
        <w:rPr>
          <w:w w:val="110"/>
        </w:rPr>
        <w:t>a</w:t>
      </w:r>
    </w:p>
    <w:p>
      <w:pPr>
        <w:pStyle w:val="BodyText"/>
        <w:spacing w:line="254" w:lineRule="auto"/>
        <w:ind w:left="100" w:right="2"/>
        <w:jc w:val="both"/>
      </w:pPr>
      <w:r>
        <w:rPr>
          <w:w w:val="105"/>
        </w:rPr>
        <w:t>7.6 </w:t>
      </w:r>
      <w:r>
        <w:rPr>
          <w:spacing w:val="6"/>
          <w:w w:val="105"/>
        </w:rPr>
        <w:t>percent </w:t>
      </w:r>
      <w:r>
        <w:rPr>
          <w:spacing w:val="5"/>
          <w:w w:val="105"/>
        </w:rPr>
        <w:t>increase </w:t>
      </w:r>
      <w:r>
        <w:rPr>
          <w:spacing w:val="6"/>
          <w:w w:val="105"/>
        </w:rPr>
        <w:t>in</w:t>
      </w:r>
      <w:r>
        <w:rPr>
          <w:spacing w:val="59"/>
          <w:w w:val="105"/>
        </w:rPr>
        <w:t> </w:t>
      </w:r>
      <w:r>
        <w:rPr>
          <w:spacing w:val="7"/>
          <w:w w:val="105"/>
        </w:rPr>
        <w:t>benefits  </w:t>
      </w:r>
      <w:r>
        <w:rPr>
          <w:spacing w:val="8"/>
          <w:w w:val="105"/>
        </w:rPr>
        <w:t>expense</w:t>
      </w:r>
      <w:r>
        <w:rPr>
          <w:spacing w:val="63"/>
          <w:w w:val="105"/>
        </w:rPr>
        <w:t> </w:t>
      </w:r>
      <w:r>
        <w:rPr>
          <w:spacing w:val="12"/>
          <w:w w:val="105"/>
        </w:rPr>
        <w:t>per </w:t>
      </w:r>
      <w:r>
        <w:rPr>
          <w:spacing w:val="5"/>
          <w:w w:val="105"/>
        </w:rPr>
        <w:t>ASM, </w:t>
      </w:r>
      <w:r>
        <w:rPr>
          <w:spacing w:val="2"/>
          <w:w w:val="105"/>
        </w:rPr>
        <w:t>partially </w:t>
      </w:r>
      <w:r>
        <w:rPr>
          <w:spacing w:val="3"/>
          <w:w w:val="105"/>
        </w:rPr>
        <w:t>offset  </w:t>
      </w:r>
      <w:r>
        <w:rPr>
          <w:spacing w:val="6"/>
          <w:w w:val="105"/>
        </w:rPr>
        <w:t>by </w:t>
      </w:r>
      <w:r>
        <w:rPr>
          <w:w w:val="105"/>
        </w:rPr>
        <w:t>a  30.3  </w:t>
      </w:r>
      <w:r>
        <w:rPr>
          <w:spacing w:val="6"/>
          <w:w w:val="105"/>
        </w:rPr>
        <w:t>percent  </w:t>
      </w:r>
      <w:r>
        <w:rPr>
          <w:spacing w:val="5"/>
          <w:w w:val="105"/>
        </w:rPr>
        <w:t>decrease </w:t>
      </w:r>
      <w:r>
        <w:rPr>
          <w:spacing w:val="6"/>
          <w:w w:val="105"/>
        </w:rPr>
        <w:t>in Employee retirement </w:t>
      </w:r>
      <w:r>
        <w:rPr>
          <w:spacing w:val="5"/>
          <w:w w:val="105"/>
        </w:rPr>
        <w:t>plans </w:t>
      </w:r>
      <w:r>
        <w:rPr>
          <w:spacing w:val="8"/>
          <w:w w:val="105"/>
        </w:rPr>
        <w:t>expense per </w:t>
      </w:r>
      <w:r>
        <w:rPr>
          <w:spacing w:val="5"/>
          <w:w w:val="105"/>
        </w:rPr>
        <w:t>ASM. </w:t>
      </w:r>
      <w:r>
        <w:rPr>
          <w:spacing w:val="4"/>
          <w:w w:val="105"/>
        </w:rPr>
        <w:t>The </w:t>
      </w:r>
      <w:r>
        <w:rPr>
          <w:spacing w:val="5"/>
          <w:w w:val="105"/>
        </w:rPr>
        <w:t>majority </w:t>
      </w:r>
      <w:r>
        <w:rPr>
          <w:spacing w:val="6"/>
          <w:w w:val="105"/>
        </w:rPr>
        <w:t>of</w:t>
      </w:r>
      <w:r>
        <w:rPr>
          <w:spacing w:val="59"/>
          <w:w w:val="105"/>
        </w:rPr>
        <w:t> </w:t>
      </w:r>
      <w:r>
        <w:rPr>
          <w:spacing w:val="2"/>
          <w:w w:val="105"/>
        </w:rPr>
        <w:t>the </w:t>
      </w:r>
      <w:r>
        <w:rPr>
          <w:spacing w:val="5"/>
          <w:w w:val="105"/>
        </w:rPr>
        <w:t>increase </w:t>
      </w:r>
      <w:r>
        <w:rPr>
          <w:spacing w:val="6"/>
          <w:w w:val="105"/>
        </w:rPr>
        <w:t>in </w:t>
      </w:r>
      <w:r>
        <w:rPr>
          <w:spacing w:val="59"/>
          <w:w w:val="105"/>
        </w:rPr>
        <w:t> </w:t>
      </w:r>
      <w:r>
        <w:rPr>
          <w:spacing w:val="4"/>
          <w:w w:val="105"/>
        </w:rPr>
        <w:t>salaries  </w:t>
      </w:r>
      <w:r>
        <w:rPr>
          <w:spacing w:val="12"/>
          <w:w w:val="105"/>
        </w:rPr>
        <w:t>and </w:t>
      </w:r>
      <w:r>
        <w:rPr>
          <w:spacing w:val="6"/>
          <w:w w:val="105"/>
        </w:rPr>
        <w:t>wages was </w:t>
      </w:r>
      <w:r>
        <w:rPr>
          <w:spacing w:val="8"/>
          <w:w w:val="105"/>
        </w:rPr>
        <w:t>due </w:t>
      </w:r>
      <w:r>
        <w:rPr>
          <w:w w:val="105"/>
        </w:rPr>
        <w:t>to  </w:t>
      </w:r>
      <w:r>
        <w:rPr>
          <w:spacing w:val="9"/>
          <w:w w:val="105"/>
        </w:rPr>
        <w:t>headcount  </w:t>
      </w:r>
      <w:r>
        <w:rPr>
          <w:spacing w:val="10"/>
          <w:w w:val="105"/>
        </w:rPr>
        <w:t>additions </w:t>
      </w:r>
      <w:r>
        <w:rPr>
          <w:spacing w:val="8"/>
          <w:w w:val="105"/>
        </w:rPr>
        <w:t>outpacing </w:t>
      </w:r>
      <w:r>
        <w:rPr>
          <w:spacing w:val="2"/>
          <w:w w:val="105"/>
        </w:rPr>
        <w:t>the </w:t>
      </w:r>
      <w:r>
        <w:rPr>
          <w:spacing w:val="6"/>
          <w:w w:val="105"/>
        </w:rPr>
        <w:t>Company’s</w:t>
      </w:r>
      <w:r>
        <w:rPr>
          <w:spacing w:val="59"/>
          <w:w w:val="105"/>
        </w:rPr>
        <w:t> </w:t>
      </w:r>
      <w:r>
        <w:rPr>
          <w:spacing w:val="6"/>
          <w:w w:val="105"/>
        </w:rPr>
        <w:t>capacity</w:t>
      </w:r>
      <w:r>
        <w:rPr>
          <w:spacing w:val="59"/>
          <w:w w:val="105"/>
        </w:rPr>
        <w:t> </w:t>
      </w:r>
      <w:r>
        <w:rPr>
          <w:spacing w:val="2"/>
          <w:w w:val="105"/>
        </w:rPr>
        <w:t>growth </w:t>
      </w:r>
      <w:r>
        <w:rPr>
          <w:spacing w:val="12"/>
          <w:w w:val="105"/>
        </w:rPr>
        <w:t>in </w:t>
      </w:r>
      <w:r>
        <w:rPr>
          <w:spacing w:val="5"/>
          <w:w w:val="105"/>
        </w:rPr>
        <w:t>several </w:t>
      </w:r>
      <w:r>
        <w:rPr>
          <w:spacing w:val="8"/>
          <w:w w:val="105"/>
        </w:rPr>
        <w:t>operational </w:t>
      </w:r>
      <w:r>
        <w:rPr>
          <w:spacing w:val="4"/>
          <w:w w:val="105"/>
        </w:rPr>
        <w:t>areas, </w:t>
      </w:r>
      <w:r>
        <w:rPr>
          <w:spacing w:val="8"/>
          <w:w w:val="105"/>
        </w:rPr>
        <w:t>due </w:t>
      </w:r>
      <w:r>
        <w:rPr>
          <w:spacing w:val="6"/>
          <w:w w:val="105"/>
        </w:rPr>
        <w:t>in </w:t>
      </w:r>
      <w:r>
        <w:rPr>
          <w:spacing w:val="5"/>
          <w:w w:val="105"/>
        </w:rPr>
        <w:t>part  </w:t>
      </w:r>
      <w:r>
        <w:rPr>
          <w:w w:val="105"/>
        </w:rPr>
        <w:t>to </w:t>
      </w:r>
      <w:r>
        <w:rPr>
          <w:spacing w:val="9"/>
          <w:w w:val="105"/>
        </w:rPr>
        <w:t>additional </w:t>
      </w:r>
      <w:r>
        <w:rPr>
          <w:spacing w:val="3"/>
          <w:w w:val="105"/>
        </w:rPr>
        <w:t>security </w:t>
      </w:r>
      <w:r>
        <w:rPr>
          <w:spacing w:val="7"/>
          <w:w w:val="105"/>
        </w:rPr>
        <w:t>requirements </w:t>
      </w:r>
      <w:r>
        <w:rPr>
          <w:spacing w:val="6"/>
          <w:w w:val="105"/>
        </w:rPr>
        <w:t>at </w:t>
      </w:r>
      <w:r>
        <w:rPr>
          <w:spacing w:val="3"/>
          <w:w w:val="105"/>
        </w:rPr>
        <w:t>airports. </w:t>
      </w:r>
      <w:r>
        <w:rPr>
          <w:spacing w:val="4"/>
          <w:w w:val="105"/>
        </w:rPr>
        <w:t>The </w:t>
      </w:r>
      <w:r>
        <w:rPr>
          <w:spacing w:val="9"/>
          <w:w w:val="105"/>
        </w:rPr>
        <w:t>remaining </w:t>
      </w:r>
      <w:r>
        <w:rPr>
          <w:spacing w:val="5"/>
          <w:w w:val="105"/>
        </w:rPr>
        <w:t>portion </w:t>
      </w:r>
      <w:r>
        <w:rPr>
          <w:spacing w:val="6"/>
          <w:w w:val="105"/>
        </w:rPr>
        <w:t>of </w:t>
      </w:r>
      <w:r>
        <w:rPr>
          <w:spacing w:val="2"/>
          <w:w w:val="105"/>
        </w:rPr>
        <w:t>the </w:t>
      </w:r>
      <w:r>
        <w:rPr>
          <w:spacing w:val="5"/>
          <w:w w:val="105"/>
        </w:rPr>
        <w:t>increase </w:t>
      </w:r>
      <w:r>
        <w:rPr>
          <w:spacing w:val="6"/>
          <w:w w:val="105"/>
        </w:rPr>
        <w:t>in </w:t>
      </w:r>
      <w:r>
        <w:rPr>
          <w:spacing w:val="4"/>
          <w:w w:val="105"/>
        </w:rPr>
        <w:t>salaries </w:t>
      </w:r>
      <w:r>
        <w:rPr>
          <w:spacing w:val="12"/>
          <w:w w:val="105"/>
        </w:rPr>
        <w:t>and </w:t>
      </w:r>
      <w:r>
        <w:rPr>
          <w:spacing w:val="6"/>
          <w:w w:val="105"/>
        </w:rPr>
        <w:t>wages </w:t>
      </w:r>
      <w:r>
        <w:rPr>
          <w:spacing w:val="8"/>
          <w:w w:val="105"/>
        </w:rPr>
        <w:t>per </w:t>
      </w:r>
      <w:r>
        <w:rPr>
          <w:w w:val="105"/>
        </w:rPr>
        <w:t>ASM </w:t>
      </w:r>
      <w:r>
        <w:rPr>
          <w:spacing w:val="6"/>
          <w:w w:val="105"/>
        </w:rPr>
        <w:t>was </w:t>
      </w:r>
      <w:r>
        <w:rPr>
          <w:spacing w:val="5"/>
          <w:w w:val="105"/>
        </w:rPr>
        <w:t>primarily </w:t>
      </w:r>
      <w:r>
        <w:rPr>
          <w:spacing w:val="8"/>
          <w:w w:val="105"/>
        </w:rPr>
        <w:t>due </w:t>
      </w:r>
      <w:r>
        <w:rPr>
          <w:w w:val="105"/>
        </w:rPr>
        <w:t>to </w:t>
      </w:r>
      <w:r>
        <w:rPr>
          <w:spacing w:val="6"/>
          <w:w w:val="105"/>
        </w:rPr>
        <w:t>increases </w:t>
      </w:r>
      <w:r>
        <w:rPr>
          <w:spacing w:val="12"/>
          <w:w w:val="105"/>
        </w:rPr>
        <w:t>in </w:t>
      </w:r>
      <w:r>
        <w:rPr>
          <w:spacing w:val="6"/>
          <w:w w:val="105"/>
        </w:rPr>
        <w:t>average  </w:t>
      </w:r>
      <w:r>
        <w:rPr>
          <w:spacing w:val="5"/>
          <w:w w:val="105"/>
        </w:rPr>
        <w:t>wage</w:t>
      </w:r>
      <w:r>
        <w:rPr>
          <w:spacing w:val="27"/>
          <w:w w:val="105"/>
        </w:rPr>
        <w:t> </w:t>
      </w:r>
      <w:r>
        <w:rPr>
          <w:w w:val="105"/>
        </w:rPr>
        <w:t>rates.</w:t>
      </w:r>
    </w:p>
    <w:p>
      <w:pPr>
        <w:pStyle w:val="BodyText"/>
        <w:spacing w:line="254" w:lineRule="auto"/>
        <w:ind w:left="100" w:right="3" w:firstLine="180"/>
        <w:jc w:val="both"/>
      </w:pPr>
      <w:r>
        <w:rPr>
          <w:spacing w:val="4"/>
          <w:w w:val="105"/>
        </w:rPr>
        <w:t>The </w:t>
      </w:r>
      <w:r>
        <w:rPr>
          <w:spacing w:val="5"/>
          <w:w w:val="105"/>
        </w:rPr>
        <w:t>increase </w:t>
      </w:r>
      <w:r>
        <w:rPr>
          <w:spacing w:val="6"/>
          <w:w w:val="105"/>
        </w:rPr>
        <w:t>in </w:t>
      </w:r>
      <w:r>
        <w:rPr>
          <w:spacing w:val="7"/>
          <w:w w:val="105"/>
        </w:rPr>
        <w:t>benefits </w:t>
      </w:r>
      <w:r>
        <w:rPr>
          <w:spacing w:val="8"/>
          <w:w w:val="105"/>
        </w:rPr>
        <w:t>expense 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w:t>
      </w:r>
      <w:r>
        <w:rPr>
          <w:spacing w:val="63"/>
          <w:w w:val="105"/>
        </w:rPr>
        <w:t> </w:t>
      </w:r>
      <w:r>
        <w:rPr>
          <w:spacing w:val="4"/>
          <w:w w:val="105"/>
        </w:rPr>
        <w:t>healthcare  </w:t>
      </w:r>
      <w:r>
        <w:rPr>
          <w:w w:val="105"/>
        </w:rPr>
        <w:t>costs. </w:t>
      </w:r>
      <w:r>
        <w:rPr>
          <w:spacing w:val="6"/>
          <w:w w:val="105"/>
        </w:rPr>
        <w:t>Employee</w:t>
      </w:r>
      <w:r>
        <w:rPr>
          <w:spacing w:val="59"/>
          <w:w w:val="105"/>
        </w:rPr>
        <w:t> </w:t>
      </w:r>
      <w:r>
        <w:rPr>
          <w:spacing w:val="6"/>
          <w:w w:val="105"/>
        </w:rPr>
        <w:t>retirement </w:t>
      </w:r>
      <w:r>
        <w:rPr>
          <w:spacing w:val="5"/>
          <w:w w:val="105"/>
        </w:rPr>
        <w:t>plans </w:t>
      </w:r>
      <w:r>
        <w:rPr>
          <w:spacing w:val="8"/>
          <w:w w:val="105"/>
        </w:rPr>
        <w:t>expense per </w:t>
      </w:r>
      <w:r>
        <w:rPr>
          <w:w w:val="105"/>
        </w:rPr>
        <w:t>ASM </w:t>
      </w:r>
      <w:r>
        <w:rPr>
          <w:spacing w:val="6"/>
          <w:w w:val="105"/>
        </w:rPr>
        <w:t>decreased</w:t>
      </w:r>
      <w:r>
        <w:rPr>
          <w:spacing w:val="59"/>
          <w:w w:val="105"/>
        </w:rPr>
        <w:t> </w:t>
      </w:r>
      <w:r>
        <w:rPr>
          <w:spacing w:val="5"/>
          <w:w w:val="105"/>
        </w:rPr>
        <w:t>primarily </w:t>
      </w:r>
      <w:r>
        <w:rPr>
          <w:spacing w:val="8"/>
          <w:w w:val="105"/>
        </w:rPr>
        <w:t>due </w:t>
      </w:r>
      <w:r>
        <w:rPr>
          <w:w w:val="105"/>
        </w:rPr>
        <w:t>to </w:t>
      </w:r>
      <w:r>
        <w:rPr>
          <w:spacing w:val="2"/>
          <w:w w:val="105"/>
        </w:rPr>
        <w:t>the </w:t>
      </w:r>
      <w:r>
        <w:rPr>
          <w:spacing w:val="5"/>
          <w:w w:val="105"/>
        </w:rPr>
        <w:t>decrease </w:t>
      </w:r>
      <w:r>
        <w:rPr>
          <w:spacing w:val="12"/>
          <w:w w:val="105"/>
        </w:rPr>
        <w:t>in </w:t>
      </w:r>
      <w:r>
        <w:rPr>
          <w:spacing w:val="8"/>
          <w:w w:val="105"/>
        </w:rPr>
        <w:t>Company </w:t>
      </w:r>
      <w:r>
        <w:rPr>
          <w:spacing w:val="7"/>
          <w:w w:val="105"/>
        </w:rPr>
        <w:t>earnings </w:t>
      </w:r>
      <w:r>
        <w:rPr>
          <w:spacing w:val="6"/>
          <w:w w:val="105"/>
        </w:rPr>
        <w:t>available </w:t>
      </w:r>
      <w:r>
        <w:rPr>
          <w:spacing w:val="4"/>
          <w:w w:val="105"/>
        </w:rPr>
        <w:t>for profitsharing. In </w:t>
      </w:r>
      <w:r>
        <w:rPr>
          <w:w w:val="105"/>
        </w:rPr>
        <w:t>2002 </w:t>
      </w:r>
      <w:r>
        <w:rPr>
          <w:spacing w:val="8"/>
          <w:w w:val="105"/>
        </w:rPr>
        <w:t>and </w:t>
      </w:r>
      <w:r>
        <w:rPr>
          <w:w w:val="105"/>
        </w:rPr>
        <w:t>2001, </w:t>
      </w:r>
      <w:r>
        <w:rPr>
          <w:spacing w:val="7"/>
          <w:w w:val="105"/>
        </w:rPr>
        <w:t>earnings </w:t>
      </w:r>
      <w:r>
        <w:rPr>
          <w:spacing w:val="6"/>
          <w:w w:val="105"/>
        </w:rPr>
        <w:t>available</w:t>
      </w:r>
      <w:r>
        <w:rPr>
          <w:spacing w:val="59"/>
          <w:w w:val="105"/>
        </w:rPr>
        <w:t> </w:t>
      </w:r>
      <w:r>
        <w:rPr>
          <w:spacing w:val="4"/>
          <w:w w:val="105"/>
        </w:rPr>
        <w:t>for profit- </w:t>
      </w:r>
      <w:r>
        <w:rPr>
          <w:spacing w:val="5"/>
          <w:w w:val="105"/>
        </w:rPr>
        <w:t>sharing </w:t>
      </w:r>
      <w:r>
        <w:rPr>
          <w:spacing w:val="7"/>
          <w:w w:val="105"/>
        </w:rPr>
        <w:t>included </w:t>
      </w:r>
      <w:r>
        <w:rPr>
          <w:w w:val="105"/>
        </w:rPr>
        <w:t>$48 </w:t>
      </w:r>
      <w:r>
        <w:rPr>
          <w:spacing w:val="5"/>
          <w:w w:val="105"/>
        </w:rPr>
        <w:t>million </w:t>
      </w:r>
      <w:r>
        <w:rPr>
          <w:spacing w:val="8"/>
          <w:w w:val="105"/>
        </w:rPr>
        <w:t>and </w:t>
      </w:r>
      <w:r>
        <w:rPr>
          <w:w w:val="105"/>
        </w:rPr>
        <w:t>$235 </w:t>
      </w:r>
      <w:r>
        <w:rPr>
          <w:spacing w:val="7"/>
          <w:w w:val="105"/>
        </w:rPr>
        <w:t>million, </w:t>
      </w:r>
      <w:r>
        <w:rPr>
          <w:spacing w:val="4"/>
          <w:w w:val="105"/>
        </w:rPr>
        <w:t>respectively, </w:t>
      </w:r>
      <w:r>
        <w:rPr>
          <w:w w:val="105"/>
        </w:rPr>
        <w:t>from </w:t>
      </w:r>
      <w:r>
        <w:rPr>
          <w:spacing w:val="2"/>
          <w:w w:val="105"/>
        </w:rPr>
        <w:t>grants </w:t>
      </w:r>
      <w:r>
        <w:rPr>
          <w:spacing w:val="5"/>
          <w:w w:val="105"/>
        </w:rPr>
        <w:t>recognized </w:t>
      </w:r>
      <w:r>
        <w:rPr>
          <w:spacing w:val="9"/>
          <w:w w:val="105"/>
        </w:rPr>
        <w:t>under </w:t>
      </w:r>
      <w:r>
        <w:rPr>
          <w:spacing w:val="2"/>
          <w:w w:val="105"/>
        </w:rPr>
        <w:t>the </w:t>
      </w:r>
      <w:r>
        <w:rPr>
          <w:spacing w:val="10"/>
          <w:w w:val="105"/>
        </w:rPr>
        <w:t>Air </w:t>
      </w:r>
      <w:r>
        <w:rPr>
          <w:spacing w:val="4"/>
          <w:w w:val="105"/>
        </w:rPr>
        <w:t>Stabilization </w:t>
      </w:r>
      <w:r>
        <w:rPr>
          <w:spacing w:val="2"/>
          <w:w w:val="105"/>
        </w:rPr>
        <w:t>Act. See </w:t>
      </w:r>
      <w:r>
        <w:rPr>
          <w:spacing w:val="4"/>
          <w:w w:val="105"/>
        </w:rPr>
        <w:t>Note </w:t>
      </w:r>
      <w:r>
        <w:rPr>
          <w:w w:val="105"/>
        </w:rPr>
        <w:t>3 to </w:t>
      </w:r>
      <w:r>
        <w:rPr>
          <w:spacing w:val="2"/>
          <w:w w:val="105"/>
        </w:rPr>
        <w:t>the </w:t>
      </w:r>
      <w:r>
        <w:rPr>
          <w:spacing w:val="6"/>
          <w:w w:val="105"/>
        </w:rPr>
        <w:t>Consolidated </w:t>
      </w:r>
      <w:r>
        <w:rPr>
          <w:spacing w:val="8"/>
          <w:w w:val="105"/>
        </w:rPr>
        <w:t>Financial </w:t>
      </w:r>
      <w:r>
        <w:rPr>
          <w:spacing w:val="4"/>
          <w:w w:val="105"/>
        </w:rPr>
        <w:t>Statements. The </w:t>
      </w:r>
      <w:r>
        <w:rPr>
          <w:spacing w:val="8"/>
          <w:w w:val="105"/>
        </w:rPr>
        <w:t>Company </w:t>
      </w:r>
      <w:r>
        <w:rPr>
          <w:w w:val="105"/>
        </w:rPr>
        <w:t>also  </w:t>
      </w:r>
      <w:r>
        <w:rPr>
          <w:spacing w:val="6"/>
          <w:w w:val="105"/>
        </w:rPr>
        <w:t>expects  </w:t>
      </w:r>
      <w:r>
        <w:rPr>
          <w:w w:val="105"/>
        </w:rPr>
        <w:t>to </w:t>
      </w:r>
      <w:r>
        <w:rPr>
          <w:spacing w:val="8"/>
          <w:w w:val="105"/>
        </w:rPr>
        <w:t>experience </w:t>
      </w:r>
      <w:r>
        <w:rPr>
          <w:spacing w:val="6"/>
          <w:w w:val="105"/>
        </w:rPr>
        <w:t>an </w:t>
      </w:r>
      <w:r>
        <w:rPr>
          <w:spacing w:val="59"/>
          <w:w w:val="105"/>
        </w:rPr>
        <w:t> </w:t>
      </w:r>
      <w:r>
        <w:rPr>
          <w:spacing w:val="5"/>
          <w:w w:val="105"/>
        </w:rPr>
        <w:t>increase  </w:t>
      </w:r>
      <w:r>
        <w:rPr>
          <w:spacing w:val="6"/>
          <w:w w:val="105"/>
        </w:rPr>
        <w:t>in </w:t>
      </w:r>
      <w:r>
        <w:rPr>
          <w:spacing w:val="59"/>
          <w:w w:val="105"/>
        </w:rPr>
        <w:t> </w:t>
      </w:r>
      <w:r>
        <w:rPr>
          <w:spacing w:val="3"/>
          <w:w w:val="105"/>
        </w:rPr>
        <w:t>salaries,</w:t>
      </w:r>
      <w:r>
        <w:rPr>
          <w:spacing w:val="53"/>
          <w:w w:val="105"/>
        </w:rPr>
        <w:t> </w:t>
      </w:r>
      <w:r>
        <w:rPr>
          <w:spacing w:val="4"/>
          <w:w w:val="105"/>
        </w:rPr>
        <w:t>wages, </w:t>
      </w:r>
      <w:r>
        <w:rPr>
          <w:spacing w:val="8"/>
          <w:w w:val="105"/>
        </w:rPr>
        <w:t>and </w:t>
      </w:r>
      <w:r>
        <w:rPr>
          <w:spacing w:val="7"/>
          <w:w w:val="105"/>
        </w:rPr>
        <w:t>benefits </w:t>
      </w:r>
      <w:r>
        <w:rPr>
          <w:spacing w:val="8"/>
          <w:w w:val="105"/>
        </w:rPr>
        <w:t>per </w:t>
      </w:r>
      <w:r>
        <w:rPr>
          <w:w w:val="105"/>
        </w:rPr>
        <w:t>ASM </w:t>
      </w:r>
      <w:r>
        <w:rPr>
          <w:spacing w:val="6"/>
          <w:w w:val="105"/>
        </w:rPr>
        <w:t>in</w:t>
      </w:r>
      <w:r>
        <w:rPr>
          <w:spacing w:val="59"/>
          <w:w w:val="105"/>
        </w:rPr>
        <w:t> </w:t>
      </w:r>
      <w:r>
        <w:rPr>
          <w:w w:val="105"/>
        </w:rPr>
        <w:t>2003 </w:t>
      </w:r>
      <w:r>
        <w:rPr>
          <w:spacing w:val="8"/>
          <w:w w:val="105"/>
        </w:rPr>
        <w:t>due </w:t>
      </w:r>
      <w:r>
        <w:rPr>
          <w:w w:val="105"/>
        </w:rPr>
        <w:t>to </w:t>
      </w:r>
      <w:r>
        <w:rPr>
          <w:spacing w:val="6"/>
          <w:w w:val="105"/>
        </w:rPr>
        <w:t>the </w:t>
      </w:r>
      <w:r>
        <w:rPr>
          <w:spacing w:val="8"/>
          <w:w w:val="105"/>
        </w:rPr>
        <w:t>continued </w:t>
      </w:r>
      <w:r>
        <w:rPr>
          <w:spacing w:val="9"/>
          <w:w w:val="105"/>
        </w:rPr>
        <w:t>impact </w:t>
      </w:r>
      <w:r>
        <w:rPr>
          <w:spacing w:val="6"/>
          <w:w w:val="105"/>
        </w:rPr>
        <w:t>of</w:t>
      </w:r>
      <w:r>
        <w:rPr>
          <w:spacing w:val="59"/>
          <w:w w:val="105"/>
        </w:rPr>
        <w:t> </w:t>
      </w:r>
      <w:r>
        <w:rPr>
          <w:spacing w:val="9"/>
          <w:w w:val="105"/>
        </w:rPr>
        <w:t>headcount </w:t>
      </w:r>
      <w:r>
        <w:rPr>
          <w:spacing w:val="8"/>
          <w:w w:val="105"/>
        </w:rPr>
        <w:t>additions </w:t>
      </w:r>
      <w:r>
        <w:rPr>
          <w:spacing w:val="12"/>
          <w:w w:val="105"/>
        </w:rPr>
        <w:t>in </w:t>
      </w:r>
      <w:r>
        <w:rPr>
          <w:spacing w:val="6"/>
          <w:w w:val="105"/>
        </w:rPr>
        <w:t>excess of capacity </w:t>
      </w:r>
      <w:r>
        <w:rPr>
          <w:spacing w:val="3"/>
          <w:w w:val="105"/>
        </w:rPr>
        <w:t>growth, </w:t>
      </w:r>
      <w:r>
        <w:rPr>
          <w:spacing w:val="8"/>
          <w:w w:val="105"/>
        </w:rPr>
        <w:t>higher </w:t>
      </w:r>
      <w:r>
        <w:rPr>
          <w:spacing w:val="6"/>
          <w:w w:val="105"/>
        </w:rPr>
        <w:t>average </w:t>
      </w:r>
      <w:r>
        <w:rPr>
          <w:spacing w:val="5"/>
          <w:w w:val="105"/>
        </w:rPr>
        <w:t>wage </w:t>
      </w:r>
      <w:r>
        <w:rPr>
          <w:w w:val="105"/>
        </w:rPr>
        <w:t>rates,  </w:t>
      </w:r>
      <w:r>
        <w:rPr>
          <w:spacing w:val="8"/>
          <w:w w:val="105"/>
        </w:rPr>
        <w:t>and  higher </w:t>
      </w:r>
      <w:r>
        <w:rPr>
          <w:spacing w:val="7"/>
          <w:w w:val="105"/>
        </w:rPr>
        <w:t>anticipated  </w:t>
      </w:r>
      <w:r>
        <w:rPr>
          <w:spacing w:val="4"/>
          <w:w w:val="105"/>
        </w:rPr>
        <w:t>healthcare</w:t>
      </w:r>
      <w:r>
        <w:rPr>
          <w:spacing w:val="15"/>
          <w:w w:val="105"/>
        </w:rPr>
        <w:t> </w:t>
      </w:r>
      <w:r>
        <w:rPr>
          <w:w w:val="105"/>
        </w:rPr>
        <w:t>costs.</w:t>
      </w:r>
    </w:p>
    <w:p>
      <w:pPr>
        <w:pStyle w:val="BodyText"/>
        <w:spacing w:line="254" w:lineRule="auto"/>
        <w:ind w:left="100" w:firstLine="180"/>
        <w:jc w:val="both"/>
      </w:pPr>
      <w:r>
        <w:rPr>
          <w:spacing w:val="4"/>
          <w:w w:val="105"/>
        </w:rPr>
        <w:t>The </w:t>
      </w:r>
      <w:r>
        <w:rPr>
          <w:spacing w:val="6"/>
          <w:w w:val="105"/>
        </w:rPr>
        <w:t>Company’s </w:t>
      </w:r>
      <w:r>
        <w:rPr>
          <w:spacing w:val="9"/>
          <w:w w:val="105"/>
        </w:rPr>
        <w:t>Mechanics </w:t>
      </w:r>
      <w:r>
        <w:rPr>
          <w:spacing w:val="2"/>
          <w:w w:val="105"/>
        </w:rPr>
        <w:t>are </w:t>
      </w:r>
      <w:r>
        <w:rPr>
          <w:spacing w:val="4"/>
          <w:w w:val="105"/>
        </w:rPr>
        <w:t>subject </w:t>
      </w:r>
      <w:r>
        <w:rPr>
          <w:w w:val="105"/>
        </w:rPr>
        <w:t>to </w:t>
      </w:r>
      <w:r>
        <w:rPr>
          <w:spacing w:val="12"/>
          <w:w w:val="105"/>
        </w:rPr>
        <w:t>an </w:t>
      </w:r>
      <w:r>
        <w:rPr>
          <w:spacing w:val="8"/>
          <w:w w:val="105"/>
        </w:rPr>
        <w:t>agreement </w:t>
      </w:r>
      <w:r>
        <w:rPr>
          <w:spacing w:val="6"/>
          <w:w w:val="105"/>
        </w:rPr>
        <w:t>negotiated</w:t>
      </w:r>
      <w:r>
        <w:rPr>
          <w:spacing w:val="59"/>
          <w:w w:val="105"/>
        </w:rPr>
        <w:t> </w:t>
      </w:r>
      <w:r>
        <w:rPr>
          <w:spacing w:val="4"/>
          <w:w w:val="105"/>
        </w:rPr>
        <w:t>with </w:t>
      </w:r>
      <w:r>
        <w:rPr>
          <w:spacing w:val="2"/>
          <w:w w:val="105"/>
        </w:rPr>
        <w:t>the </w:t>
      </w:r>
      <w:r>
        <w:rPr>
          <w:spacing w:val="8"/>
          <w:w w:val="105"/>
        </w:rPr>
        <w:t>International </w:t>
      </w:r>
      <w:r>
        <w:rPr>
          <w:spacing w:val="5"/>
          <w:w w:val="105"/>
        </w:rPr>
        <w:t>Brotherhood </w:t>
      </w:r>
      <w:r>
        <w:rPr>
          <w:spacing w:val="6"/>
          <w:w w:val="105"/>
        </w:rPr>
        <w:t>of </w:t>
      </w:r>
      <w:r>
        <w:rPr>
          <w:spacing w:val="4"/>
          <w:w w:val="105"/>
        </w:rPr>
        <w:t>Teamsters </w:t>
      </w:r>
      <w:r>
        <w:rPr>
          <w:w w:val="105"/>
        </w:rPr>
        <w:t>(the </w:t>
      </w:r>
      <w:r>
        <w:rPr>
          <w:spacing w:val="3"/>
          <w:w w:val="105"/>
        </w:rPr>
        <w:t>Teamsters) </w:t>
      </w:r>
      <w:r>
        <w:rPr>
          <w:spacing w:val="8"/>
          <w:w w:val="105"/>
        </w:rPr>
        <w:t>that </w:t>
      </w:r>
      <w:r>
        <w:rPr>
          <w:spacing w:val="9"/>
          <w:w w:val="105"/>
        </w:rPr>
        <w:t>became </w:t>
      </w:r>
      <w:r>
        <w:rPr>
          <w:spacing w:val="8"/>
          <w:w w:val="105"/>
        </w:rPr>
        <w:t>amendable</w:t>
      </w:r>
      <w:r>
        <w:rPr>
          <w:spacing w:val="63"/>
          <w:w w:val="105"/>
        </w:rPr>
        <w:t> </w:t>
      </w:r>
      <w:r>
        <w:rPr>
          <w:spacing w:val="6"/>
          <w:w w:val="105"/>
        </w:rPr>
        <w:t>in</w:t>
      </w:r>
      <w:r>
        <w:rPr>
          <w:spacing w:val="59"/>
          <w:w w:val="105"/>
        </w:rPr>
        <w:t> </w:t>
      </w:r>
      <w:r>
        <w:rPr>
          <w:spacing w:val="4"/>
          <w:w w:val="105"/>
        </w:rPr>
        <w:t>August  </w:t>
      </w:r>
      <w:r>
        <w:rPr>
          <w:w w:val="105"/>
        </w:rPr>
        <w:t>2001.  </w:t>
      </w:r>
      <w:r>
        <w:rPr>
          <w:spacing w:val="4"/>
          <w:w w:val="105"/>
        </w:rPr>
        <w:t>The </w:t>
      </w:r>
      <w:r>
        <w:rPr>
          <w:spacing w:val="8"/>
          <w:w w:val="105"/>
        </w:rPr>
        <w:t>Company </w:t>
      </w:r>
      <w:r>
        <w:rPr>
          <w:spacing w:val="6"/>
          <w:w w:val="105"/>
        </w:rPr>
        <w:t>reached </w:t>
      </w:r>
      <w:r>
        <w:rPr>
          <w:w w:val="105"/>
        </w:rPr>
        <w:t>a </w:t>
      </w:r>
      <w:r>
        <w:rPr>
          <w:spacing w:val="5"/>
          <w:w w:val="105"/>
        </w:rPr>
        <w:t>tentative </w:t>
      </w:r>
      <w:r>
        <w:rPr>
          <w:spacing w:val="8"/>
          <w:w w:val="105"/>
        </w:rPr>
        <w:t>agreement </w:t>
      </w:r>
      <w:r>
        <w:rPr>
          <w:spacing w:val="4"/>
          <w:w w:val="105"/>
        </w:rPr>
        <w:t>with </w:t>
      </w:r>
      <w:r>
        <w:rPr>
          <w:spacing w:val="6"/>
          <w:w w:val="105"/>
        </w:rPr>
        <w:t>the </w:t>
      </w:r>
      <w:r>
        <w:rPr>
          <w:spacing w:val="3"/>
          <w:w w:val="105"/>
        </w:rPr>
        <w:t>Teamsters, </w:t>
      </w:r>
      <w:r>
        <w:rPr>
          <w:spacing w:val="7"/>
          <w:w w:val="105"/>
        </w:rPr>
        <w:t>which </w:t>
      </w:r>
      <w:r>
        <w:rPr>
          <w:spacing w:val="6"/>
          <w:w w:val="105"/>
        </w:rPr>
        <w:t>was </w:t>
      </w:r>
      <w:r>
        <w:rPr>
          <w:spacing w:val="5"/>
          <w:w w:val="105"/>
        </w:rPr>
        <w:t>ratified </w:t>
      </w:r>
      <w:r>
        <w:rPr>
          <w:spacing w:val="6"/>
          <w:w w:val="105"/>
        </w:rPr>
        <w:t>by  </w:t>
      </w:r>
      <w:r>
        <w:rPr>
          <w:spacing w:val="2"/>
          <w:w w:val="105"/>
        </w:rPr>
        <w:t>its  </w:t>
      </w:r>
      <w:r>
        <w:rPr>
          <w:spacing w:val="9"/>
          <w:w w:val="105"/>
        </w:rPr>
        <w:t>membership </w:t>
      </w:r>
      <w:r>
        <w:rPr>
          <w:spacing w:val="6"/>
          <w:w w:val="105"/>
        </w:rPr>
        <w:t>in</w:t>
      </w:r>
      <w:r>
        <w:rPr>
          <w:spacing w:val="59"/>
          <w:w w:val="105"/>
        </w:rPr>
        <w:t> </w:t>
      </w:r>
      <w:r>
        <w:rPr>
          <w:spacing w:val="6"/>
          <w:w w:val="105"/>
        </w:rPr>
        <w:t>October</w:t>
      </w:r>
      <w:r>
        <w:rPr>
          <w:spacing w:val="59"/>
          <w:w w:val="105"/>
        </w:rPr>
        <w:t> </w:t>
      </w:r>
      <w:r>
        <w:rPr>
          <w:w w:val="105"/>
        </w:rPr>
        <w:t>2002 </w:t>
      </w:r>
      <w:r>
        <w:rPr>
          <w:spacing w:val="4"/>
          <w:w w:val="105"/>
        </w:rPr>
        <w:t>(on </w:t>
      </w:r>
      <w:r>
        <w:rPr>
          <w:spacing w:val="6"/>
          <w:w w:val="105"/>
        </w:rPr>
        <w:t>January </w:t>
      </w:r>
      <w:r>
        <w:rPr>
          <w:spacing w:val="59"/>
          <w:w w:val="105"/>
        </w:rPr>
        <w:t> </w:t>
      </w:r>
      <w:r>
        <w:rPr>
          <w:w w:val="105"/>
        </w:rPr>
        <w:t>27,  2003,  </w:t>
      </w:r>
      <w:r>
        <w:rPr>
          <w:spacing w:val="2"/>
          <w:w w:val="105"/>
        </w:rPr>
        <w:t>the </w:t>
      </w:r>
      <w:r>
        <w:rPr>
          <w:spacing w:val="3"/>
          <w:w w:val="105"/>
        </w:rPr>
        <w:t>Aircraft </w:t>
      </w:r>
      <w:r>
        <w:rPr>
          <w:spacing w:val="9"/>
          <w:w w:val="105"/>
        </w:rPr>
        <w:t>Mechanics </w:t>
      </w:r>
      <w:r>
        <w:rPr>
          <w:spacing w:val="4"/>
          <w:w w:val="105"/>
        </w:rPr>
        <w:t>Fraternal </w:t>
      </w:r>
      <w:r>
        <w:rPr>
          <w:spacing w:val="5"/>
          <w:w w:val="105"/>
        </w:rPr>
        <w:t>Association </w:t>
      </w:r>
      <w:r>
        <w:rPr>
          <w:spacing w:val="10"/>
          <w:w w:val="105"/>
        </w:rPr>
        <w:t>was </w:t>
      </w:r>
      <w:r>
        <w:rPr>
          <w:spacing w:val="4"/>
          <w:w w:val="105"/>
        </w:rPr>
        <w:t>certified </w:t>
      </w:r>
      <w:r>
        <w:rPr>
          <w:spacing w:val="6"/>
          <w:w w:val="105"/>
        </w:rPr>
        <w:t>by </w:t>
      </w:r>
      <w:r>
        <w:rPr>
          <w:spacing w:val="2"/>
          <w:w w:val="105"/>
        </w:rPr>
        <w:t>the </w:t>
      </w:r>
      <w:r>
        <w:rPr>
          <w:spacing w:val="8"/>
          <w:w w:val="105"/>
        </w:rPr>
        <w:t>National </w:t>
      </w:r>
      <w:r>
        <w:rPr>
          <w:spacing w:val="9"/>
          <w:w w:val="105"/>
        </w:rPr>
        <w:t>Mediation </w:t>
      </w:r>
      <w:r>
        <w:rPr>
          <w:spacing w:val="3"/>
          <w:w w:val="105"/>
        </w:rPr>
        <w:t>Board </w:t>
      </w:r>
      <w:r>
        <w:rPr>
          <w:spacing w:val="6"/>
          <w:w w:val="105"/>
        </w:rPr>
        <w:t>as the </w:t>
      </w:r>
      <w:r>
        <w:rPr>
          <w:spacing w:val="8"/>
          <w:w w:val="105"/>
        </w:rPr>
        <w:t>new </w:t>
      </w:r>
      <w:r>
        <w:rPr>
          <w:spacing w:val="5"/>
          <w:w w:val="105"/>
        </w:rPr>
        <w:t>representative </w:t>
      </w:r>
      <w:r>
        <w:rPr>
          <w:spacing w:val="6"/>
          <w:w w:val="105"/>
        </w:rPr>
        <w:t>of </w:t>
      </w:r>
      <w:r>
        <w:rPr>
          <w:spacing w:val="2"/>
          <w:w w:val="105"/>
        </w:rPr>
        <w:t>the </w:t>
      </w:r>
      <w:r>
        <w:rPr>
          <w:spacing w:val="7"/>
          <w:w w:val="105"/>
        </w:rPr>
        <w:t>Mechanics). </w:t>
      </w:r>
      <w:r>
        <w:rPr>
          <w:spacing w:val="4"/>
          <w:w w:val="105"/>
        </w:rPr>
        <w:t>The </w:t>
      </w:r>
      <w:r>
        <w:rPr>
          <w:spacing w:val="12"/>
          <w:w w:val="105"/>
        </w:rPr>
        <w:t>new </w:t>
      </w:r>
      <w:r>
        <w:rPr>
          <w:spacing w:val="3"/>
          <w:w w:val="105"/>
        </w:rPr>
        <w:t>contract, </w:t>
      </w:r>
      <w:r>
        <w:rPr>
          <w:spacing w:val="7"/>
          <w:w w:val="105"/>
        </w:rPr>
        <w:t>which includes </w:t>
      </w:r>
      <w:r>
        <w:rPr>
          <w:spacing w:val="2"/>
          <w:w w:val="105"/>
        </w:rPr>
        <w:t>the </w:t>
      </w:r>
      <w:r>
        <w:rPr>
          <w:spacing w:val="5"/>
          <w:w w:val="105"/>
        </w:rPr>
        <w:t>issuance </w:t>
      </w:r>
      <w:r>
        <w:rPr>
          <w:spacing w:val="6"/>
          <w:w w:val="105"/>
        </w:rPr>
        <w:t>of</w:t>
      </w:r>
      <w:r>
        <w:rPr>
          <w:spacing w:val="59"/>
          <w:w w:val="105"/>
        </w:rPr>
        <w:t> </w:t>
      </w:r>
      <w:r>
        <w:rPr>
          <w:w w:val="105"/>
        </w:rPr>
        <w:t>stock </w:t>
      </w:r>
      <w:r>
        <w:rPr>
          <w:spacing w:val="6"/>
          <w:w w:val="105"/>
        </w:rPr>
        <w:t>options,  </w:t>
      </w:r>
      <w:r>
        <w:rPr>
          <w:spacing w:val="9"/>
          <w:w w:val="105"/>
        </w:rPr>
        <w:t>becomes </w:t>
      </w:r>
      <w:r>
        <w:rPr>
          <w:spacing w:val="8"/>
          <w:w w:val="105"/>
        </w:rPr>
        <w:t>amendable  </w:t>
      </w:r>
      <w:r>
        <w:rPr>
          <w:spacing w:val="6"/>
          <w:w w:val="105"/>
        </w:rPr>
        <w:t>in  </w:t>
      </w:r>
      <w:r>
        <w:rPr>
          <w:spacing w:val="4"/>
          <w:w w:val="105"/>
        </w:rPr>
        <w:t>August </w:t>
      </w:r>
      <w:r>
        <w:rPr>
          <w:w w:val="105"/>
        </w:rPr>
        <w:t>2005.</w:t>
      </w:r>
    </w:p>
    <w:p>
      <w:pPr>
        <w:pStyle w:val="BodyText"/>
        <w:spacing w:line="254" w:lineRule="auto"/>
        <w:ind w:left="100" w:right="2" w:firstLine="180"/>
        <w:jc w:val="both"/>
      </w:pPr>
      <w:r>
        <w:rPr>
          <w:spacing w:val="4"/>
          <w:w w:val="105"/>
        </w:rPr>
        <w:t>The </w:t>
      </w:r>
      <w:r>
        <w:rPr>
          <w:spacing w:val="6"/>
          <w:w w:val="105"/>
        </w:rPr>
        <w:t>Company’s </w:t>
      </w:r>
      <w:r>
        <w:rPr>
          <w:spacing w:val="5"/>
          <w:w w:val="105"/>
        </w:rPr>
        <w:t>Customer </w:t>
      </w:r>
      <w:r>
        <w:rPr>
          <w:spacing w:val="4"/>
          <w:w w:val="105"/>
        </w:rPr>
        <w:t>Service </w:t>
      </w:r>
      <w:r>
        <w:rPr>
          <w:spacing w:val="12"/>
          <w:w w:val="105"/>
        </w:rPr>
        <w:t>and </w:t>
      </w:r>
      <w:r>
        <w:rPr>
          <w:spacing w:val="5"/>
          <w:w w:val="105"/>
        </w:rPr>
        <w:t>Reservations </w:t>
      </w:r>
      <w:r>
        <w:rPr>
          <w:spacing w:val="4"/>
          <w:w w:val="105"/>
        </w:rPr>
        <w:t>Agents </w:t>
      </w:r>
      <w:r>
        <w:rPr>
          <w:spacing w:val="2"/>
          <w:w w:val="105"/>
        </w:rPr>
        <w:t>are </w:t>
      </w:r>
      <w:r>
        <w:rPr>
          <w:spacing w:val="4"/>
          <w:w w:val="105"/>
        </w:rPr>
        <w:t>subject </w:t>
      </w:r>
      <w:r>
        <w:rPr>
          <w:w w:val="105"/>
        </w:rPr>
        <w:t>to </w:t>
      </w:r>
      <w:r>
        <w:rPr>
          <w:spacing w:val="6"/>
          <w:w w:val="105"/>
        </w:rPr>
        <w:t>an </w:t>
      </w:r>
      <w:r>
        <w:rPr>
          <w:spacing w:val="9"/>
          <w:w w:val="105"/>
        </w:rPr>
        <w:t>agreement </w:t>
      </w:r>
      <w:r>
        <w:rPr>
          <w:spacing w:val="4"/>
          <w:w w:val="105"/>
        </w:rPr>
        <w:t>with </w:t>
      </w:r>
      <w:r>
        <w:rPr>
          <w:spacing w:val="2"/>
          <w:w w:val="105"/>
        </w:rPr>
        <w:t>the </w:t>
      </w:r>
      <w:r>
        <w:rPr>
          <w:spacing w:val="7"/>
          <w:w w:val="105"/>
        </w:rPr>
        <w:t>International </w:t>
      </w:r>
      <w:r>
        <w:rPr>
          <w:spacing w:val="5"/>
          <w:w w:val="105"/>
        </w:rPr>
        <w:t>Association </w:t>
      </w:r>
      <w:r>
        <w:rPr>
          <w:spacing w:val="6"/>
          <w:w w:val="105"/>
        </w:rPr>
        <w:t>of </w:t>
      </w:r>
      <w:r>
        <w:rPr>
          <w:spacing w:val="7"/>
          <w:w w:val="105"/>
        </w:rPr>
        <w:t>Machinists </w:t>
      </w:r>
      <w:r>
        <w:rPr>
          <w:spacing w:val="8"/>
          <w:w w:val="105"/>
        </w:rPr>
        <w:t>and </w:t>
      </w:r>
      <w:r>
        <w:rPr>
          <w:spacing w:val="5"/>
          <w:w w:val="105"/>
        </w:rPr>
        <w:t>Aerospace </w:t>
      </w:r>
      <w:r>
        <w:rPr>
          <w:spacing w:val="4"/>
          <w:w w:val="105"/>
        </w:rPr>
        <w:t>Workers </w:t>
      </w:r>
      <w:r>
        <w:rPr>
          <w:spacing w:val="6"/>
          <w:w w:val="105"/>
        </w:rPr>
        <w:t>(IAM) </w:t>
      </w:r>
      <w:r>
        <w:rPr>
          <w:spacing w:val="5"/>
          <w:w w:val="105"/>
        </w:rPr>
        <w:t>that </w:t>
      </w:r>
      <w:r>
        <w:rPr>
          <w:spacing w:val="9"/>
          <w:w w:val="105"/>
        </w:rPr>
        <w:t>became </w:t>
      </w:r>
      <w:r>
        <w:rPr>
          <w:spacing w:val="8"/>
          <w:w w:val="105"/>
        </w:rPr>
        <w:t>amendable </w:t>
      </w:r>
      <w:r>
        <w:rPr>
          <w:spacing w:val="6"/>
          <w:w w:val="105"/>
        </w:rPr>
        <w:t>in</w:t>
      </w:r>
      <w:r>
        <w:rPr>
          <w:spacing w:val="59"/>
          <w:w w:val="105"/>
        </w:rPr>
        <w:t> </w:t>
      </w:r>
      <w:r>
        <w:rPr>
          <w:spacing w:val="10"/>
          <w:w w:val="105"/>
        </w:rPr>
        <w:t>November </w:t>
      </w:r>
      <w:r>
        <w:rPr>
          <w:w w:val="105"/>
        </w:rPr>
        <w:t>2002. </w:t>
      </w:r>
      <w:r>
        <w:rPr>
          <w:spacing w:val="4"/>
          <w:w w:val="105"/>
        </w:rPr>
        <w:t>The </w:t>
      </w:r>
      <w:r>
        <w:rPr>
          <w:spacing w:val="10"/>
          <w:w w:val="105"/>
        </w:rPr>
        <w:t>Company </w:t>
      </w:r>
      <w:r>
        <w:rPr>
          <w:spacing w:val="6"/>
          <w:w w:val="105"/>
        </w:rPr>
        <w:t>reached  </w:t>
      </w:r>
      <w:r>
        <w:rPr>
          <w:w w:val="105"/>
        </w:rPr>
        <w:t>a  </w:t>
      </w:r>
      <w:r>
        <w:rPr>
          <w:spacing w:val="5"/>
          <w:w w:val="105"/>
        </w:rPr>
        <w:t>tentative  </w:t>
      </w:r>
      <w:r>
        <w:rPr>
          <w:spacing w:val="8"/>
          <w:w w:val="105"/>
        </w:rPr>
        <w:t>agreement  </w:t>
      </w:r>
      <w:r>
        <w:rPr>
          <w:spacing w:val="4"/>
          <w:w w:val="105"/>
        </w:rPr>
        <w:t>with  </w:t>
      </w:r>
      <w:r>
        <w:rPr>
          <w:spacing w:val="2"/>
          <w:w w:val="105"/>
        </w:rPr>
        <w:t>the  </w:t>
      </w:r>
      <w:r>
        <w:rPr>
          <w:spacing w:val="5"/>
          <w:w w:val="105"/>
        </w:rPr>
        <w:t>IAM </w:t>
      </w:r>
      <w:r>
        <w:rPr>
          <w:spacing w:val="12"/>
          <w:w w:val="105"/>
        </w:rPr>
        <w:t>in</w:t>
      </w:r>
    </w:p>
    <w:p>
      <w:pPr>
        <w:pStyle w:val="BodyText"/>
        <w:spacing w:line="254" w:lineRule="auto" w:before="69"/>
        <w:ind w:left="100" w:right="135"/>
        <w:jc w:val="both"/>
      </w:pPr>
      <w:r>
        <w:rPr/>
        <w:br w:type="column"/>
      </w:r>
      <w:r>
        <w:rPr>
          <w:spacing w:val="9"/>
          <w:w w:val="105"/>
        </w:rPr>
        <w:t>December </w:t>
      </w:r>
      <w:r>
        <w:rPr>
          <w:w w:val="105"/>
        </w:rPr>
        <w:t>2002, </w:t>
      </w:r>
      <w:r>
        <w:rPr>
          <w:spacing w:val="7"/>
          <w:w w:val="105"/>
        </w:rPr>
        <w:t>which </w:t>
      </w:r>
      <w:r>
        <w:rPr>
          <w:spacing w:val="6"/>
          <w:w w:val="105"/>
        </w:rPr>
        <w:t>was </w:t>
      </w:r>
      <w:r>
        <w:rPr>
          <w:spacing w:val="8"/>
          <w:w w:val="105"/>
        </w:rPr>
        <w:t>approved </w:t>
      </w:r>
      <w:r>
        <w:rPr>
          <w:spacing w:val="6"/>
          <w:w w:val="105"/>
        </w:rPr>
        <w:t>by </w:t>
      </w:r>
      <w:r>
        <w:rPr>
          <w:spacing w:val="5"/>
          <w:w w:val="105"/>
        </w:rPr>
        <w:t>IAM </w:t>
      </w:r>
      <w:r>
        <w:rPr>
          <w:spacing w:val="8"/>
          <w:w w:val="105"/>
        </w:rPr>
        <w:t>membership </w:t>
      </w:r>
      <w:r>
        <w:rPr>
          <w:spacing w:val="6"/>
          <w:w w:val="105"/>
        </w:rPr>
        <w:t>in January </w:t>
      </w:r>
      <w:r>
        <w:rPr>
          <w:w w:val="105"/>
        </w:rPr>
        <w:t>2003. </w:t>
      </w:r>
      <w:r>
        <w:rPr>
          <w:spacing w:val="4"/>
          <w:w w:val="105"/>
        </w:rPr>
        <w:t>The </w:t>
      </w:r>
      <w:r>
        <w:rPr>
          <w:spacing w:val="8"/>
          <w:w w:val="105"/>
        </w:rPr>
        <w:t>new </w:t>
      </w:r>
      <w:r>
        <w:rPr>
          <w:spacing w:val="4"/>
          <w:w w:val="105"/>
        </w:rPr>
        <w:t>contract </w:t>
      </w:r>
      <w:r>
        <w:rPr>
          <w:spacing w:val="7"/>
          <w:w w:val="105"/>
        </w:rPr>
        <w:t>includes </w:t>
      </w:r>
      <w:r>
        <w:rPr>
          <w:spacing w:val="2"/>
          <w:w w:val="105"/>
        </w:rPr>
        <w:t>the </w:t>
      </w:r>
      <w:r>
        <w:rPr>
          <w:spacing w:val="5"/>
          <w:w w:val="105"/>
        </w:rPr>
        <w:t>issuance </w:t>
      </w:r>
      <w:r>
        <w:rPr>
          <w:spacing w:val="6"/>
          <w:w w:val="105"/>
        </w:rPr>
        <w:t>of</w:t>
      </w:r>
      <w:r>
        <w:rPr>
          <w:spacing w:val="59"/>
          <w:w w:val="105"/>
        </w:rPr>
        <w:t> </w:t>
      </w:r>
      <w:r>
        <w:rPr>
          <w:w w:val="105"/>
        </w:rPr>
        <w:t>stock </w:t>
      </w:r>
      <w:r>
        <w:rPr>
          <w:spacing w:val="8"/>
          <w:w w:val="105"/>
        </w:rPr>
        <w:t>options </w:t>
      </w:r>
      <w:r>
        <w:rPr>
          <w:spacing w:val="12"/>
          <w:w w:val="105"/>
        </w:rPr>
        <w:t>and </w:t>
      </w:r>
      <w:r>
        <w:rPr>
          <w:spacing w:val="9"/>
          <w:w w:val="105"/>
        </w:rPr>
        <w:t>becomes </w:t>
      </w:r>
      <w:r>
        <w:rPr>
          <w:spacing w:val="8"/>
          <w:w w:val="105"/>
        </w:rPr>
        <w:t>amendable </w:t>
      </w:r>
      <w:r>
        <w:rPr>
          <w:spacing w:val="6"/>
          <w:w w:val="105"/>
        </w:rPr>
        <w:t>in </w:t>
      </w:r>
      <w:r>
        <w:rPr>
          <w:spacing w:val="59"/>
          <w:w w:val="105"/>
        </w:rPr>
        <w:t> </w:t>
      </w:r>
      <w:r>
        <w:rPr>
          <w:spacing w:val="10"/>
          <w:w w:val="105"/>
        </w:rPr>
        <w:t>November  </w:t>
      </w:r>
      <w:r>
        <w:rPr>
          <w:w w:val="105"/>
        </w:rPr>
        <w:t>2008  </w:t>
      </w:r>
      <w:r>
        <w:rPr>
          <w:spacing w:val="4"/>
          <w:w w:val="105"/>
        </w:rPr>
        <w:t>(or  </w:t>
      </w:r>
      <w:r>
        <w:rPr>
          <w:w w:val="105"/>
        </w:rPr>
        <w:t>2006 </w:t>
      </w:r>
      <w:r>
        <w:rPr>
          <w:spacing w:val="6"/>
          <w:w w:val="105"/>
        </w:rPr>
        <w:t>at </w:t>
      </w:r>
      <w:r>
        <w:rPr>
          <w:spacing w:val="2"/>
          <w:w w:val="105"/>
        </w:rPr>
        <w:t>the </w:t>
      </w:r>
      <w:r>
        <w:rPr>
          <w:spacing w:val="8"/>
          <w:w w:val="105"/>
        </w:rPr>
        <w:t>union’s </w:t>
      </w:r>
      <w:r>
        <w:rPr>
          <w:spacing w:val="7"/>
          <w:w w:val="105"/>
        </w:rPr>
        <w:t>option </w:t>
      </w:r>
      <w:r>
        <w:rPr>
          <w:spacing w:val="9"/>
          <w:w w:val="105"/>
        </w:rPr>
        <w:t>under </w:t>
      </w:r>
      <w:r>
        <w:rPr>
          <w:spacing w:val="6"/>
          <w:w w:val="105"/>
        </w:rPr>
        <w:t>certain </w:t>
      </w:r>
      <w:r>
        <w:rPr>
          <w:spacing w:val="8"/>
          <w:w w:val="105"/>
        </w:rPr>
        <w:t>conditions </w:t>
      </w:r>
      <w:r>
        <w:rPr>
          <w:spacing w:val="6"/>
          <w:w w:val="105"/>
        </w:rPr>
        <w:t>as </w:t>
      </w:r>
      <w:r>
        <w:rPr>
          <w:spacing w:val="8"/>
          <w:w w:val="105"/>
        </w:rPr>
        <w:t>defined </w:t>
      </w:r>
      <w:r>
        <w:rPr>
          <w:spacing w:val="6"/>
          <w:w w:val="105"/>
        </w:rPr>
        <w:t>in </w:t>
      </w:r>
      <w:r>
        <w:rPr>
          <w:spacing w:val="2"/>
          <w:w w:val="105"/>
        </w:rPr>
        <w:t>the </w:t>
      </w:r>
      <w:r>
        <w:rPr>
          <w:spacing w:val="49"/>
          <w:w w:val="105"/>
        </w:rPr>
        <w:t> </w:t>
      </w:r>
      <w:r>
        <w:rPr>
          <w:spacing w:val="6"/>
          <w:w w:val="105"/>
        </w:rPr>
        <w:t>agreement).</w:t>
      </w:r>
    </w:p>
    <w:p>
      <w:pPr>
        <w:pStyle w:val="BodyText"/>
        <w:spacing w:line="254" w:lineRule="auto"/>
        <w:ind w:left="100" w:right="123" w:firstLine="180"/>
        <w:jc w:val="both"/>
      </w:pPr>
      <w:r>
        <w:rPr>
          <w:spacing w:val="4"/>
          <w:w w:val="105"/>
        </w:rPr>
        <w:t>The </w:t>
      </w:r>
      <w:r>
        <w:rPr>
          <w:spacing w:val="6"/>
          <w:w w:val="105"/>
        </w:rPr>
        <w:t>Company’s </w:t>
      </w:r>
      <w:r>
        <w:rPr>
          <w:spacing w:val="3"/>
          <w:w w:val="105"/>
        </w:rPr>
        <w:t>Pilots </w:t>
      </w:r>
      <w:r>
        <w:rPr>
          <w:spacing w:val="2"/>
          <w:w w:val="105"/>
        </w:rPr>
        <w:t>are </w:t>
      </w:r>
      <w:r>
        <w:rPr>
          <w:spacing w:val="4"/>
          <w:w w:val="105"/>
        </w:rPr>
        <w:t>subject </w:t>
      </w:r>
      <w:r>
        <w:rPr>
          <w:w w:val="105"/>
        </w:rPr>
        <w:t>to </w:t>
      </w:r>
      <w:r>
        <w:rPr>
          <w:spacing w:val="12"/>
          <w:w w:val="105"/>
        </w:rPr>
        <w:t>an </w:t>
      </w:r>
      <w:r>
        <w:rPr>
          <w:spacing w:val="8"/>
          <w:w w:val="105"/>
        </w:rPr>
        <w:t>agreement </w:t>
      </w:r>
      <w:r>
        <w:rPr>
          <w:spacing w:val="4"/>
          <w:w w:val="105"/>
        </w:rPr>
        <w:t>with </w:t>
      </w:r>
      <w:r>
        <w:rPr>
          <w:spacing w:val="2"/>
          <w:w w:val="105"/>
        </w:rPr>
        <w:t>the </w:t>
      </w:r>
      <w:r>
        <w:rPr>
          <w:spacing w:val="4"/>
          <w:w w:val="105"/>
        </w:rPr>
        <w:t>Southwest </w:t>
      </w:r>
      <w:r>
        <w:rPr>
          <w:spacing w:val="5"/>
          <w:w w:val="105"/>
        </w:rPr>
        <w:t>Airlines </w:t>
      </w:r>
      <w:r>
        <w:rPr>
          <w:spacing w:val="2"/>
          <w:w w:val="105"/>
        </w:rPr>
        <w:t>Pilots’ </w:t>
      </w:r>
      <w:r>
        <w:rPr>
          <w:spacing w:val="5"/>
          <w:w w:val="105"/>
        </w:rPr>
        <w:t>Association </w:t>
      </w:r>
      <w:r>
        <w:rPr>
          <w:spacing w:val="4"/>
          <w:w w:val="105"/>
        </w:rPr>
        <w:t>(SWAPA). Although </w:t>
      </w:r>
      <w:r>
        <w:rPr>
          <w:spacing w:val="2"/>
          <w:w w:val="105"/>
        </w:rPr>
        <w:t>the </w:t>
      </w:r>
      <w:r>
        <w:rPr>
          <w:spacing w:val="4"/>
          <w:w w:val="105"/>
        </w:rPr>
        <w:t>contract </w:t>
      </w:r>
      <w:r>
        <w:rPr>
          <w:spacing w:val="7"/>
          <w:w w:val="105"/>
        </w:rPr>
        <w:t>between </w:t>
      </w:r>
      <w:r>
        <w:rPr>
          <w:spacing w:val="4"/>
          <w:w w:val="105"/>
        </w:rPr>
        <w:t>Southwest </w:t>
      </w:r>
      <w:r>
        <w:rPr>
          <w:spacing w:val="8"/>
          <w:w w:val="105"/>
        </w:rPr>
        <w:t>and </w:t>
      </w:r>
      <w:r>
        <w:rPr>
          <w:spacing w:val="5"/>
          <w:w w:val="105"/>
        </w:rPr>
        <w:t>SWAPA </w:t>
      </w:r>
      <w:r>
        <w:rPr>
          <w:spacing w:val="6"/>
          <w:w w:val="105"/>
        </w:rPr>
        <w:t>was </w:t>
      </w:r>
      <w:r>
        <w:rPr>
          <w:spacing w:val="8"/>
          <w:w w:val="105"/>
        </w:rPr>
        <w:t>not </w:t>
      </w:r>
      <w:r>
        <w:rPr>
          <w:spacing w:val="12"/>
          <w:w w:val="105"/>
        </w:rPr>
        <w:t>amend- </w:t>
      </w:r>
      <w:r>
        <w:rPr>
          <w:spacing w:val="4"/>
          <w:w w:val="105"/>
        </w:rPr>
        <w:t>able </w:t>
      </w:r>
      <w:r>
        <w:rPr>
          <w:spacing w:val="6"/>
          <w:w w:val="105"/>
        </w:rPr>
        <w:t>until</w:t>
      </w:r>
      <w:r>
        <w:rPr>
          <w:spacing w:val="59"/>
          <w:w w:val="105"/>
        </w:rPr>
        <w:t> </w:t>
      </w:r>
      <w:r>
        <w:rPr>
          <w:spacing w:val="7"/>
          <w:w w:val="105"/>
        </w:rPr>
        <w:t>September </w:t>
      </w:r>
      <w:r>
        <w:rPr>
          <w:w w:val="105"/>
        </w:rPr>
        <w:t>2004, </w:t>
      </w:r>
      <w:r>
        <w:rPr>
          <w:spacing w:val="7"/>
          <w:w w:val="105"/>
        </w:rPr>
        <w:t>during </w:t>
      </w:r>
      <w:r>
        <w:rPr>
          <w:w w:val="105"/>
        </w:rPr>
        <w:t>2002 </w:t>
      </w:r>
      <w:r>
        <w:rPr>
          <w:spacing w:val="2"/>
          <w:w w:val="105"/>
        </w:rPr>
        <w:t>the </w:t>
      </w:r>
      <w:r>
        <w:rPr>
          <w:spacing w:val="8"/>
          <w:w w:val="105"/>
        </w:rPr>
        <w:t>Company </w:t>
      </w:r>
      <w:r>
        <w:rPr>
          <w:spacing w:val="6"/>
          <w:w w:val="105"/>
        </w:rPr>
        <w:t>negotiated an </w:t>
      </w:r>
      <w:r>
        <w:rPr>
          <w:spacing w:val="7"/>
          <w:w w:val="105"/>
        </w:rPr>
        <w:t>extension </w:t>
      </w:r>
      <w:r>
        <w:rPr>
          <w:spacing w:val="4"/>
          <w:w w:val="105"/>
        </w:rPr>
        <w:t>with </w:t>
      </w:r>
      <w:r>
        <w:rPr>
          <w:spacing w:val="5"/>
          <w:w w:val="105"/>
        </w:rPr>
        <w:t>SWAPA that </w:t>
      </w:r>
      <w:r>
        <w:rPr>
          <w:spacing w:val="6"/>
          <w:w w:val="105"/>
        </w:rPr>
        <w:t>was </w:t>
      </w:r>
      <w:r>
        <w:rPr>
          <w:spacing w:val="5"/>
          <w:w w:val="105"/>
        </w:rPr>
        <w:t>ratified </w:t>
      </w:r>
      <w:r>
        <w:rPr>
          <w:spacing w:val="6"/>
          <w:w w:val="105"/>
        </w:rPr>
        <w:t>by </w:t>
      </w:r>
      <w:r>
        <w:rPr>
          <w:spacing w:val="2"/>
          <w:w w:val="105"/>
        </w:rPr>
        <w:t>its </w:t>
      </w:r>
      <w:r>
        <w:rPr>
          <w:spacing w:val="8"/>
          <w:w w:val="105"/>
        </w:rPr>
        <w:t>membership </w:t>
      </w:r>
      <w:r>
        <w:rPr>
          <w:spacing w:val="6"/>
          <w:w w:val="105"/>
        </w:rPr>
        <w:t>in </w:t>
      </w:r>
      <w:r>
        <w:rPr>
          <w:spacing w:val="4"/>
          <w:w w:val="105"/>
        </w:rPr>
        <w:t>August  </w:t>
      </w:r>
      <w:r>
        <w:rPr>
          <w:w w:val="105"/>
        </w:rPr>
        <w:t>2002. </w:t>
      </w:r>
      <w:r>
        <w:rPr>
          <w:spacing w:val="4"/>
          <w:w w:val="105"/>
        </w:rPr>
        <w:t>The </w:t>
      </w:r>
      <w:r>
        <w:rPr>
          <w:spacing w:val="8"/>
          <w:w w:val="105"/>
        </w:rPr>
        <w:t>extended </w:t>
      </w:r>
      <w:r>
        <w:rPr>
          <w:spacing w:val="3"/>
          <w:w w:val="105"/>
        </w:rPr>
        <w:t>contract, </w:t>
      </w:r>
      <w:r>
        <w:rPr>
          <w:spacing w:val="7"/>
          <w:w w:val="105"/>
        </w:rPr>
        <w:t>which includes </w:t>
      </w:r>
      <w:r>
        <w:rPr>
          <w:spacing w:val="6"/>
          <w:w w:val="105"/>
        </w:rPr>
        <w:t>the </w:t>
      </w:r>
      <w:r>
        <w:rPr>
          <w:spacing w:val="5"/>
          <w:w w:val="105"/>
        </w:rPr>
        <w:t>issuance </w:t>
      </w:r>
      <w:r>
        <w:rPr>
          <w:spacing w:val="6"/>
          <w:w w:val="105"/>
        </w:rPr>
        <w:t>of </w:t>
      </w:r>
      <w:r>
        <w:rPr>
          <w:w w:val="105"/>
        </w:rPr>
        <w:t>stock  </w:t>
      </w:r>
      <w:r>
        <w:rPr>
          <w:spacing w:val="6"/>
          <w:w w:val="105"/>
        </w:rPr>
        <w:t>options,  </w:t>
      </w:r>
      <w:r>
        <w:rPr>
          <w:spacing w:val="9"/>
          <w:w w:val="105"/>
        </w:rPr>
        <w:t>becomes  </w:t>
      </w:r>
      <w:r>
        <w:rPr>
          <w:spacing w:val="8"/>
          <w:w w:val="105"/>
        </w:rPr>
        <w:t>amendable  </w:t>
      </w:r>
      <w:r>
        <w:rPr>
          <w:spacing w:val="6"/>
          <w:w w:val="105"/>
        </w:rPr>
        <w:t>in  </w:t>
      </w:r>
      <w:r>
        <w:rPr>
          <w:spacing w:val="7"/>
          <w:w w:val="105"/>
        </w:rPr>
        <w:t>September</w:t>
      </w:r>
      <w:r>
        <w:rPr>
          <w:spacing w:val="50"/>
          <w:w w:val="105"/>
        </w:rPr>
        <w:t> </w:t>
      </w:r>
      <w:r>
        <w:rPr>
          <w:w w:val="105"/>
        </w:rPr>
        <w:t>2006.</w:t>
      </w:r>
    </w:p>
    <w:p>
      <w:pPr>
        <w:pStyle w:val="BodyText"/>
        <w:spacing w:line="254" w:lineRule="auto"/>
        <w:ind w:left="100" w:right="123" w:firstLine="180"/>
        <w:jc w:val="both"/>
      </w:pPr>
      <w:r>
        <w:rPr>
          <w:spacing w:val="4"/>
          <w:w w:val="105"/>
        </w:rPr>
        <w:t>The </w:t>
      </w:r>
      <w:r>
        <w:rPr>
          <w:spacing w:val="6"/>
          <w:w w:val="105"/>
        </w:rPr>
        <w:t>Company’s </w:t>
      </w:r>
      <w:r>
        <w:rPr>
          <w:spacing w:val="7"/>
          <w:w w:val="105"/>
        </w:rPr>
        <w:t>Ramp, </w:t>
      </w:r>
      <w:r>
        <w:rPr>
          <w:spacing w:val="6"/>
          <w:w w:val="105"/>
        </w:rPr>
        <w:t>Operations, </w:t>
      </w:r>
      <w:r>
        <w:rPr>
          <w:spacing w:val="12"/>
          <w:w w:val="105"/>
        </w:rPr>
        <w:t>and </w:t>
      </w:r>
      <w:r>
        <w:rPr>
          <w:spacing w:val="8"/>
          <w:w w:val="105"/>
        </w:rPr>
        <w:t>Provisioning </w:t>
      </w:r>
      <w:r>
        <w:rPr>
          <w:spacing w:val="4"/>
          <w:w w:val="105"/>
        </w:rPr>
        <w:t>Agents </w:t>
      </w:r>
      <w:r>
        <w:rPr>
          <w:spacing w:val="2"/>
          <w:w w:val="105"/>
        </w:rPr>
        <w:t>are </w:t>
      </w:r>
      <w:r>
        <w:rPr>
          <w:spacing w:val="5"/>
          <w:w w:val="105"/>
        </w:rPr>
        <w:t>represented </w:t>
      </w:r>
      <w:r>
        <w:rPr>
          <w:spacing w:val="6"/>
          <w:w w:val="105"/>
        </w:rPr>
        <w:t>by the </w:t>
      </w:r>
      <w:r>
        <w:rPr>
          <w:spacing w:val="4"/>
          <w:w w:val="105"/>
        </w:rPr>
        <w:t>Transport Workers </w:t>
      </w:r>
      <w:r>
        <w:rPr>
          <w:spacing w:val="9"/>
          <w:w w:val="105"/>
        </w:rPr>
        <w:t>Union </w:t>
      </w:r>
      <w:r>
        <w:rPr>
          <w:spacing w:val="6"/>
          <w:w w:val="105"/>
        </w:rPr>
        <w:t>of</w:t>
      </w:r>
      <w:r>
        <w:rPr>
          <w:spacing w:val="59"/>
          <w:w w:val="105"/>
        </w:rPr>
        <w:t> </w:t>
      </w:r>
      <w:r>
        <w:rPr>
          <w:spacing w:val="6"/>
          <w:w w:val="105"/>
        </w:rPr>
        <w:t>America </w:t>
      </w:r>
      <w:r>
        <w:rPr>
          <w:spacing w:val="4"/>
          <w:w w:val="105"/>
        </w:rPr>
        <w:t>(TWU). Although </w:t>
      </w:r>
      <w:r>
        <w:rPr>
          <w:spacing w:val="2"/>
          <w:w w:val="105"/>
        </w:rPr>
        <w:t>the </w:t>
      </w:r>
      <w:r>
        <w:rPr>
          <w:spacing w:val="4"/>
          <w:w w:val="105"/>
        </w:rPr>
        <w:t>contract </w:t>
      </w:r>
      <w:r>
        <w:rPr>
          <w:spacing w:val="7"/>
          <w:w w:val="105"/>
        </w:rPr>
        <w:t>between </w:t>
      </w:r>
      <w:r>
        <w:rPr>
          <w:spacing w:val="4"/>
          <w:w w:val="105"/>
        </w:rPr>
        <w:t>Southwest </w:t>
      </w:r>
      <w:r>
        <w:rPr>
          <w:spacing w:val="12"/>
          <w:w w:val="105"/>
        </w:rPr>
        <w:t>and </w:t>
      </w:r>
      <w:r>
        <w:rPr>
          <w:spacing w:val="5"/>
          <w:w w:val="105"/>
        </w:rPr>
        <w:t>TWU </w:t>
      </w:r>
      <w:r>
        <w:rPr>
          <w:spacing w:val="6"/>
          <w:w w:val="105"/>
        </w:rPr>
        <w:t>was </w:t>
      </w:r>
      <w:r>
        <w:rPr>
          <w:spacing w:val="8"/>
          <w:w w:val="105"/>
        </w:rPr>
        <w:t>not amendable </w:t>
      </w:r>
      <w:r>
        <w:rPr>
          <w:spacing w:val="6"/>
          <w:w w:val="105"/>
        </w:rPr>
        <w:t>until June </w:t>
      </w:r>
      <w:r>
        <w:rPr>
          <w:w w:val="105"/>
        </w:rPr>
        <w:t>2006, </w:t>
      </w:r>
      <w:r>
        <w:rPr>
          <w:spacing w:val="7"/>
          <w:w w:val="105"/>
        </w:rPr>
        <w:t>during </w:t>
      </w:r>
      <w:r>
        <w:rPr>
          <w:w w:val="105"/>
        </w:rPr>
        <w:t>2002 </w:t>
      </w:r>
      <w:r>
        <w:rPr>
          <w:spacing w:val="2"/>
          <w:w w:val="105"/>
        </w:rPr>
        <w:t>the </w:t>
      </w:r>
      <w:r>
        <w:rPr>
          <w:spacing w:val="8"/>
          <w:w w:val="105"/>
        </w:rPr>
        <w:t>Company </w:t>
      </w:r>
      <w:r>
        <w:rPr>
          <w:spacing w:val="6"/>
          <w:w w:val="105"/>
        </w:rPr>
        <w:t>negotiated </w:t>
      </w:r>
      <w:r>
        <w:rPr>
          <w:w w:val="105"/>
        </w:rPr>
        <w:t>a </w:t>
      </w:r>
      <w:r>
        <w:rPr>
          <w:spacing w:val="4"/>
          <w:w w:val="105"/>
        </w:rPr>
        <w:t>two-year contract </w:t>
      </w:r>
      <w:r>
        <w:rPr>
          <w:spacing w:val="7"/>
          <w:w w:val="105"/>
        </w:rPr>
        <w:t>extension </w:t>
      </w:r>
      <w:r>
        <w:rPr>
          <w:spacing w:val="4"/>
          <w:w w:val="105"/>
        </w:rPr>
        <w:t>with </w:t>
      </w:r>
      <w:r>
        <w:rPr>
          <w:spacing w:val="5"/>
          <w:w w:val="105"/>
        </w:rPr>
        <w:t>TWU that </w:t>
      </w:r>
      <w:r>
        <w:rPr>
          <w:spacing w:val="6"/>
          <w:w w:val="105"/>
        </w:rPr>
        <w:t>was</w:t>
      </w:r>
      <w:r>
        <w:rPr>
          <w:spacing w:val="59"/>
          <w:w w:val="105"/>
        </w:rPr>
        <w:t> </w:t>
      </w:r>
      <w:r>
        <w:rPr>
          <w:spacing w:val="5"/>
          <w:w w:val="105"/>
        </w:rPr>
        <w:t>ratified </w:t>
      </w:r>
      <w:r>
        <w:rPr>
          <w:spacing w:val="6"/>
          <w:w w:val="105"/>
        </w:rPr>
        <w:t>by</w:t>
      </w:r>
      <w:r>
        <w:rPr>
          <w:spacing w:val="59"/>
          <w:w w:val="105"/>
        </w:rPr>
        <w:t> </w:t>
      </w:r>
      <w:r>
        <w:rPr>
          <w:spacing w:val="2"/>
          <w:w w:val="105"/>
        </w:rPr>
        <w:t>its </w:t>
      </w:r>
      <w:r>
        <w:rPr>
          <w:spacing w:val="8"/>
          <w:w w:val="105"/>
        </w:rPr>
        <w:t>membership </w:t>
      </w:r>
      <w:r>
        <w:rPr>
          <w:spacing w:val="6"/>
          <w:w w:val="105"/>
        </w:rPr>
        <w:t>in</w:t>
      </w:r>
      <w:r>
        <w:rPr>
          <w:spacing w:val="59"/>
          <w:w w:val="105"/>
        </w:rPr>
        <w:t> </w:t>
      </w:r>
      <w:r>
        <w:rPr>
          <w:spacing w:val="9"/>
          <w:w w:val="105"/>
        </w:rPr>
        <w:t>December </w:t>
      </w:r>
      <w:r>
        <w:rPr>
          <w:w w:val="105"/>
        </w:rPr>
        <w:t>2002. </w:t>
      </w:r>
      <w:r>
        <w:rPr>
          <w:spacing w:val="4"/>
          <w:w w:val="105"/>
        </w:rPr>
        <w:t>The contract </w:t>
      </w:r>
      <w:r>
        <w:rPr>
          <w:spacing w:val="7"/>
          <w:w w:val="105"/>
        </w:rPr>
        <w:t>extension included  </w:t>
      </w:r>
      <w:r>
        <w:rPr>
          <w:spacing w:val="2"/>
          <w:w w:val="105"/>
        </w:rPr>
        <w:t>the  </w:t>
      </w:r>
      <w:r>
        <w:rPr>
          <w:spacing w:val="5"/>
          <w:w w:val="105"/>
        </w:rPr>
        <w:t>issuance  </w:t>
      </w:r>
      <w:r>
        <w:rPr>
          <w:spacing w:val="6"/>
          <w:w w:val="105"/>
        </w:rPr>
        <w:t>of</w:t>
      </w:r>
      <w:r>
        <w:rPr>
          <w:spacing w:val="59"/>
          <w:w w:val="105"/>
        </w:rPr>
        <w:t> </w:t>
      </w:r>
      <w:r>
        <w:rPr>
          <w:w w:val="105"/>
        </w:rPr>
        <w:t>stock  </w:t>
      </w:r>
      <w:r>
        <w:rPr>
          <w:spacing w:val="6"/>
          <w:w w:val="105"/>
        </w:rPr>
        <w:t>options. </w:t>
      </w:r>
      <w:r>
        <w:rPr>
          <w:spacing w:val="4"/>
          <w:w w:val="105"/>
        </w:rPr>
        <w:t>The contract with </w:t>
      </w:r>
      <w:r>
        <w:rPr>
          <w:spacing w:val="5"/>
          <w:w w:val="105"/>
        </w:rPr>
        <w:t>TWU </w:t>
      </w:r>
      <w:r>
        <w:rPr>
          <w:spacing w:val="8"/>
          <w:w w:val="105"/>
        </w:rPr>
        <w:t>now </w:t>
      </w:r>
      <w:r>
        <w:rPr>
          <w:spacing w:val="11"/>
          <w:w w:val="105"/>
        </w:rPr>
        <w:t>becomes </w:t>
      </w:r>
      <w:r>
        <w:rPr>
          <w:spacing w:val="8"/>
          <w:w w:val="105"/>
        </w:rPr>
        <w:t>amendable </w:t>
      </w:r>
      <w:r>
        <w:rPr>
          <w:spacing w:val="6"/>
          <w:w w:val="105"/>
        </w:rPr>
        <w:t>in June </w:t>
      </w:r>
      <w:r>
        <w:rPr>
          <w:w w:val="105"/>
        </w:rPr>
        <w:t>2008 </w:t>
      </w:r>
      <w:r>
        <w:rPr>
          <w:spacing w:val="4"/>
          <w:w w:val="105"/>
        </w:rPr>
        <w:t>(or </w:t>
      </w:r>
      <w:r>
        <w:rPr>
          <w:w w:val="105"/>
        </w:rPr>
        <w:t>2006 </w:t>
      </w:r>
      <w:r>
        <w:rPr>
          <w:spacing w:val="6"/>
          <w:w w:val="105"/>
        </w:rPr>
        <w:t>at </w:t>
      </w:r>
      <w:r>
        <w:rPr>
          <w:spacing w:val="2"/>
          <w:w w:val="105"/>
        </w:rPr>
        <w:t>the </w:t>
      </w:r>
      <w:r>
        <w:rPr>
          <w:spacing w:val="8"/>
          <w:w w:val="105"/>
        </w:rPr>
        <w:t>union’s </w:t>
      </w:r>
      <w:r>
        <w:rPr>
          <w:spacing w:val="7"/>
          <w:w w:val="105"/>
        </w:rPr>
        <w:t>option </w:t>
      </w:r>
      <w:r>
        <w:rPr>
          <w:spacing w:val="9"/>
          <w:w w:val="105"/>
        </w:rPr>
        <w:t>under </w:t>
      </w:r>
      <w:r>
        <w:rPr>
          <w:spacing w:val="4"/>
          <w:w w:val="105"/>
        </w:rPr>
        <w:t>certain </w:t>
      </w:r>
      <w:r>
        <w:rPr>
          <w:spacing w:val="8"/>
          <w:w w:val="105"/>
        </w:rPr>
        <w:t>conditions </w:t>
      </w:r>
      <w:r>
        <w:rPr>
          <w:spacing w:val="6"/>
          <w:w w:val="105"/>
        </w:rPr>
        <w:t>as </w:t>
      </w:r>
      <w:r>
        <w:rPr>
          <w:spacing w:val="8"/>
          <w:w w:val="105"/>
        </w:rPr>
        <w:t>defined </w:t>
      </w:r>
      <w:r>
        <w:rPr>
          <w:spacing w:val="6"/>
          <w:w w:val="105"/>
        </w:rPr>
        <w:t>in the agreement).</w:t>
      </w:r>
    </w:p>
    <w:p>
      <w:pPr>
        <w:pStyle w:val="BodyText"/>
        <w:spacing w:line="254" w:lineRule="auto"/>
        <w:ind w:left="100" w:right="135" w:firstLine="180"/>
        <w:jc w:val="both"/>
      </w:pPr>
      <w:r>
        <w:rPr>
          <w:spacing w:val="4"/>
          <w:w w:val="105"/>
        </w:rPr>
        <w:t>The </w:t>
      </w:r>
      <w:r>
        <w:rPr>
          <w:spacing w:val="6"/>
          <w:w w:val="105"/>
        </w:rPr>
        <w:t>Company’s </w:t>
      </w:r>
      <w:r>
        <w:rPr>
          <w:spacing w:val="3"/>
          <w:w w:val="105"/>
        </w:rPr>
        <w:t>Flight </w:t>
      </w:r>
      <w:r>
        <w:rPr>
          <w:spacing w:val="5"/>
          <w:w w:val="105"/>
        </w:rPr>
        <w:t>Attendants </w:t>
      </w:r>
      <w:r>
        <w:rPr>
          <w:spacing w:val="2"/>
          <w:w w:val="105"/>
        </w:rPr>
        <w:t>are </w:t>
      </w:r>
      <w:r>
        <w:rPr>
          <w:spacing w:val="4"/>
          <w:w w:val="105"/>
        </w:rPr>
        <w:t>subject </w:t>
      </w:r>
      <w:r>
        <w:rPr>
          <w:w w:val="105"/>
        </w:rPr>
        <w:t>to </w:t>
      </w:r>
      <w:r>
        <w:rPr>
          <w:spacing w:val="6"/>
          <w:w w:val="105"/>
        </w:rPr>
        <w:t>an</w:t>
      </w:r>
      <w:r>
        <w:rPr>
          <w:spacing w:val="59"/>
          <w:w w:val="105"/>
        </w:rPr>
        <w:t> </w:t>
      </w:r>
      <w:r>
        <w:rPr>
          <w:spacing w:val="8"/>
          <w:w w:val="105"/>
        </w:rPr>
        <w:t>agreement </w:t>
      </w:r>
      <w:r>
        <w:rPr>
          <w:spacing w:val="4"/>
          <w:w w:val="105"/>
        </w:rPr>
        <w:t>with </w:t>
      </w:r>
      <w:r>
        <w:rPr>
          <w:spacing w:val="2"/>
          <w:w w:val="105"/>
        </w:rPr>
        <w:t>the </w:t>
      </w:r>
      <w:r>
        <w:rPr>
          <w:spacing w:val="5"/>
          <w:w w:val="105"/>
        </w:rPr>
        <w:t>TWU that </w:t>
      </w:r>
      <w:r>
        <w:rPr>
          <w:spacing w:val="9"/>
          <w:w w:val="105"/>
        </w:rPr>
        <w:t>became </w:t>
      </w:r>
      <w:r>
        <w:rPr>
          <w:spacing w:val="8"/>
          <w:w w:val="105"/>
        </w:rPr>
        <w:t>amendable </w:t>
      </w:r>
      <w:r>
        <w:rPr>
          <w:spacing w:val="6"/>
          <w:w w:val="105"/>
        </w:rPr>
        <w:t>in June </w:t>
      </w:r>
      <w:r>
        <w:rPr>
          <w:w w:val="105"/>
        </w:rPr>
        <w:t>2002.  </w:t>
      </w:r>
      <w:r>
        <w:rPr>
          <w:spacing w:val="4"/>
          <w:w w:val="105"/>
        </w:rPr>
        <w:t>Southwest  </w:t>
      </w:r>
      <w:r>
        <w:rPr>
          <w:spacing w:val="6"/>
          <w:w w:val="105"/>
        </w:rPr>
        <w:t>is  </w:t>
      </w:r>
      <w:r>
        <w:rPr>
          <w:spacing w:val="2"/>
          <w:w w:val="105"/>
        </w:rPr>
        <w:t>currently </w:t>
      </w:r>
      <w:r>
        <w:rPr>
          <w:spacing w:val="6"/>
          <w:w w:val="105"/>
        </w:rPr>
        <w:t>in </w:t>
      </w:r>
      <w:r>
        <w:rPr>
          <w:spacing w:val="7"/>
          <w:w w:val="105"/>
        </w:rPr>
        <w:t>negotiations </w:t>
      </w:r>
      <w:r>
        <w:rPr>
          <w:spacing w:val="4"/>
          <w:w w:val="105"/>
        </w:rPr>
        <w:t>with </w:t>
      </w:r>
      <w:r>
        <w:rPr>
          <w:spacing w:val="2"/>
          <w:w w:val="105"/>
        </w:rPr>
        <w:t>the </w:t>
      </w:r>
      <w:r>
        <w:rPr>
          <w:spacing w:val="5"/>
          <w:w w:val="105"/>
        </w:rPr>
        <w:t>TWU </w:t>
      </w:r>
      <w:r>
        <w:rPr>
          <w:spacing w:val="4"/>
          <w:w w:val="105"/>
        </w:rPr>
        <w:t>for </w:t>
      </w:r>
      <w:r>
        <w:rPr>
          <w:w w:val="105"/>
        </w:rPr>
        <w:t>a </w:t>
      </w:r>
      <w:r>
        <w:rPr>
          <w:spacing w:val="8"/>
          <w:w w:val="105"/>
        </w:rPr>
        <w:t>new</w:t>
      </w:r>
      <w:r>
        <w:rPr>
          <w:spacing w:val="59"/>
          <w:w w:val="105"/>
        </w:rPr>
        <w:t> </w:t>
      </w:r>
      <w:r>
        <w:rPr>
          <w:spacing w:val="3"/>
          <w:w w:val="105"/>
        </w:rPr>
        <w:t>contract.</w:t>
      </w:r>
    </w:p>
    <w:p>
      <w:pPr>
        <w:pStyle w:val="BodyText"/>
        <w:tabs>
          <w:tab w:pos="2679" w:val="left" w:leader="none"/>
        </w:tabs>
        <w:ind w:left="280"/>
      </w:pPr>
      <w:r>
        <w:rPr>
          <w:w w:val="105"/>
        </w:rPr>
        <w:t>Fuel    and   </w:t>
      </w:r>
      <w:r>
        <w:rPr>
          <w:spacing w:val="4"/>
          <w:w w:val="105"/>
        </w:rPr>
        <w:t> </w:t>
      </w:r>
      <w:r>
        <w:rPr>
          <w:w w:val="105"/>
        </w:rPr>
        <w:t>oil  </w:t>
      </w:r>
      <w:r>
        <w:rPr>
          <w:spacing w:val="40"/>
          <w:w w:val="105"/>
        </w:rPr>
        <w:t> </w:t>
      </w:r>
      <w:r>
        <w:rPr>
          <w:spacing w:val="3"/>
          <w:w w:val="105"/>
        </w:rPr>
        <w:t>expense</w:t>
        <w:tab/>
      </w:r>
      <w:r>
        <w:rPr>
          <w:w w:val="105"/>
        </w:rPr>
        <w:t>per    ASM   </w:t>
      </w:r>
      <w:r>
        <w:rPr>
          <w:spacing w:val="25"/>
          <w:w w:val="105"/>
        </w:rPr>
        <w:t> </w:t>
      </w:r>
      <w:r>
        <w:rPr>
          <w:spacing w:val="8"/>
          <w:w w:val="105"/>
        </w:rPr>
        <w:t>decreased</w:t>
      </w:r>
    </w:p>
    <w:p>
      <w:pPr>
        <w:pStyle w:val="BodyText"/>
        <w:spacing w:line="254" w:lineRule="auto" w:before="15"/>
        <w:ind w:left="100" w:right="119"/>
        <w:jc w:val="both"/>
      </w:pPr>
      <w:r>
        <w:rPr>
          <w:w w:val="105"/>
        </w:rPr>
        <w:t>5.9 percent, primarily due  to  a  4.0  </w:t>
      </w:r>
      <w:r>
        <w:rPr>
          <w:spacing w:val="7"/>
          <w:w w:val="105"/>
        </w:rPr>
        <w:t>percent </w:t>
      </w:r>
      <w:r>
        <w:rPr>
          <w:w w:val="105"/>
        </w:rPr>
        <w:t>decrease in the </w:t>
      </w:r>
      <w:r>
        <w:rPr>
          <w:spacing w:val="2"/>
          <w:w w:val="105"/>
        </w:rPr>
        <w:t>average </w:t>
      </w:r>
      <w:r>
        <w:rPr>
          <w:w w:val="105"/>
        </w:rPr>
        <w:t>jet  fuel  cost  per  </w:t>
      </w:r>
      <w:r>
        <w:rPr>
          <w:spacing w:val="3"/>
          <w:w w:val="105"/>
        </w:rPr>
        <w:t>gallon.  </w:t>
      </w:r>
      <w:r>
        <w:rPr>
          <w:w w:val="105"/>
        </w:rPr>
        <w:t>The  average  cost  per  gallon  of  jet  fuel  in  2002 was  $.6801  </w:t>
      </w:r>
      <w:r>
        <w:rPr>
          <w:spacing w:val="3"/>
          <w:w w:val="105"/>
        </w:rPr>
        <w:t>compared</w:t>
      </w:r>
      <w:r>
        <w:rPr>
          <w:spacing w:val="53"/>
          <w:w w:val="105"/>
        </w:rPr>
        <w:t> </w:t>
      </w:r>
      <w:r>
        <w:rPr>
          <w:w w:val="105"/>
        </w:rPr>
        <w:t>to  $.7086  in  2001,  </w:t>
      </w:r>
      <w:r>
        <w:rPr>
          <w:spacing w:val="2"/>
          <w:w w:val="105"/>
        </w:rPr>
        <w:t>excluding </w:t>
      </w:r>
      <w:r>
        <w:rPr>
          <w:w w:val="105"/>
        </w:rPr>
        <w:t>fuel-related  taxes  but  </w:t>
      </w:r>
      <w:r>
        <w:rPr>
          <w:spacing w:val="2"/>
          <w:w w:val="105"/>
        </w:rPr>
        <w:t>including  </w:t>
      </w:r>
      <w:r>
        <w:rPr>
          <w:spacing w:val="6"/>
          <w:w w:val="105"/>
        </w:rPr>
        <w:t>the </w:t>
      </w:r>
      <w:r>
        <w:rPr>
          <w:w w:val="105"/>
        </w:rPr>
        <w:t>effects  of  </w:t>
      </w:r>
      <w:r>
        <w:rPr>
          <w:spacing w:val="2"/>
          <w:w w:val="105"/>
        </w:rPr>
        <w:t>hedging   activities.   </w:t>
      </w:r>
      <w:r>
        <w:rPr>
          <w:w w:val="105"/>
        </w:rPr>
        <w:t>The   </w:t>
      </w:r>
      <w:r>
        <w:rPr>
          <w:spacing w:val="6"/>
          <w:w w:val="105"/>
        </w:rPr>
        <w:t>Company’s </w:t>
      </w:r>
      <w:r>
        <w:rPr>
          <w:w w:val="105"/>
        </w:rPr>
        <w:t>2002 and 2001 </w:t>
      </w:r>
      <w:r>
        <w:rPr>
          <w:spacing w:val="2"/>
          <w:w w:val="105"/>
        </w:rPr>
        <w:t>average </w:t>
      </w:r>
      <w:r>
        <w:rPr>
          <w:w w:val="105"/>
        </w:rPr>
        <w:t>jet fuel costs are net </w:t>
      </w:r>
      <w:r>
        <w:rPr>
          <w:spacing w:val="6"/>
          <w:w w:val="105"/>
        </w:rPr>
        <w:t>of </w:t>
      </w:r>
      <w:r>
        <w:rPr>
          <w:w w:val="105"/>
        </w:rPr>
        <w:t>approximately $44.5 million and $79.9  million  </w:t>
      </w:r>
      <w:r>
        <w:rPr>
          <w:spacing w:val="12"/>
          <w:w w:val="105"/>
        </w:rPr>
        <w:t>in </w:t>
      </w:r>
      <w:r>
        <w:rPr>
          <w:w w:val="105"/>
        </w:rPr>
        <w:t>gains from  </w:t>
      </w:r>
      <w:r>
        <w:rPr>
          <w:spacing w:val="2"/>
          <w:w w:val="105"/>
        </w:rPr>
        <w:t>hedging  activities,  </w:t>
      </w:r>
      <w:r>
        <w:rPr>
          <w:spacing w:val="3"/>
          <w:w w:val="105"/>
        </w:rPr>
        <w:t>respectively.</w:t>
      </w:r>
      <w:r>
        <w:rPr>
          <w:spacing w:val="53"/>
          <w:w w:val="105"/>
        </w:rPr>
        <w:t> </w:t>
      </w:r>
      <w:r>
        <w:rPr>
          <w:spacing w:val="2"/>
          <w:w w:val="105"/>
        </w:rPr>
        <w:t>See </w:t>
      </w:r>
      <w:r>
        <w:rPr>
          <w:spacing w:val="4"/>
          <w:w w:val="105"/>
        </w:rPr>
        <w:t>Note </w:t>
      </w:r>
      <w:r>
        <w:rPr>
          <w:w w:val="105"/>
        </w:rPr>
        <w:t>2 </w:t>
      </w:r>
      <w:r>
        <w:rPr>
          <w:spacing w:val="8"/>
          <w:w w:val="105"/>
        </w:rPr>
        <w:t>and </w:t>
      </w:r>
      <w:r>
        <w:rPr>
          <w:spacing w:val="4"/>
          <w:w w:val="105"/>
        </w:rPr>
        <w:t>Note </w:t>
      </w:r>
      <w:r>
        <w:rPr>
          <w:w w:val="105"/>
        </w:rPr>
        <w:t>9 to </w:t>
      </w:r>
      <w:r>
        <w:rPr>
          <w:spacing w:val="2"/>
          <w:w w:val="105"/>
        </w:rPr>
        <w:t>the </w:t>
      </w:r>
      <w:r>
        <w:rPr>
          <w:spacing w:val="5"/>
          <w:w w:val="105"/>
        </w:rPr>
        <w:t>Consolidated </w:t>
      </w:r>
      <w:r>
        <w:rPr>
          <w:spacing w:val="10"/>
          <w:w w:val="105"/>
        </w:rPr>
        <w:t>Financial </w:t>
      </w:r>
      <w:r>
        <w:rPr>
          <w:spacing w:val="4"/>
          <w:w w:val="105"/>
        </w:rPr>
        <w:t>Statements. As </w:t>
      </w:r>
      <w:r>
        <w:rPr>
          <w:spacing w:val="6"/>
          <w:w w:val="105"/>
        </w:rPr>
        <w:t>detailed in </w:t>
      </w:r>
      <w:r>
        <w:rPr>
          <w:spacing w:val="4"/>
          <w:w w:val="105"/>
        </w:rPr>
        <w:t>Note </w:t>
      </w:r>
      <w:r>
        <w:rPr>
          <w:w w:val="105"/>
        </w:rPr>
        <w:t>9 to </w:t>
      </w:r>
      <w:r>
        <w:rPr>
          <w:spacing w:val="6"/>
          <w:w w:val="105"/>
        </w:rPr>
        <w:t>the </w:t>
      </w:r>
      <w:r>
        <w:rPr>
          <w:spacing w:val="5"/>
          <w:w w:val="105"/>
        </w:rPr>
        <w:t>Consolidated </w:t>
      </w:r>
      <w:r>
        <w:rPr>
          <w:spacing w:val="8"/>
          <w:w w:val="105"/>
        </w:rPr>
        <w:t>Financial </w:t>
      </w:r>
      <w:r>
        <w:rPr>
          <w:spacing w:val="4"/>
          <w:w w:val="105"/>
        </w:rPr>
        <w:t>Statements, </w:t>
      </w:r>
      <w:r>
        <w:rPr>
          <w:spacing w:val="2"/>
          <w:w w:val="105"/>
        </w:rPr>
        <w:t>the </w:t>
      </w:r>
      <w:r>
        <w:rPr>
          <w:spacing w:val="10"/>
          <w:w w:val="105"/>
        </w:rPr>
        <w:t>Company </w:t>
      </w:r>
      <w:r>
        <w:rPr>
          <w:spacing w:val="8"/>
          <w:w w:val="105"/>
        </w:rPr>
        <w:t>has hedges </w:t>
      </w:r>
      <w:r>
        <w:rPr>
          <w:spacing w:val="6"/>
          <w:w w:val="105"/>
        </w:rPr>
        <w:t>in  </w:t>
      </w:r>
      <w:r>
        <w:rPr>
          <w:spacing w:val="4"/>
          <w:w w:val="105"/>
        </w:rPr>
        <w:t>place  for </w:t>
      </w:r>
      <w:r>
        <w:rPr>
          <w:spacing w:val="7"/>
          <w:w w:val="105"/>
        </w:rPr>
        <w:t>approximately </w:t>
      </w:r>
      <w:r>
        <w:rPr>
          <w:w w:val="105"/>
        </w:rPr>
        <w:t>83</w:t>
      </w:r>
      <w:r>
        <w:rPr>
          <w:spacing w:val="25"/>
          <w:w w:val="105"/>
        </w:rPr>
        <w:t> </w:t>
      </w:r>
      <w:r>
        <w:rPr>
          <w:spacing w:val="8"/>
          <w:w w:val="105"/>
        </w:rPr>
        <w:t>percent</w:t>
      </w:r>
    </w:p>
    <w:p>
      <w:pPr>
        <w:spacing w:after="0" w:line="254" w:lineRule="auto"/>
        <w:jc w:val="both"/>
        <w:sectPr>
          <w:headerReference w:type="default" r:id="rId82"/>
          <w:pgSz w:w="11520" w:h="14400"/>
          <w:pgMar w:header="0" w:footer="706" w:top="960" w:bottom="900" w:left="700" w:right="820"/>
          <w:cols w:num="2" w:equalWidth="0">
            <w:col w:w="4741" w:space="399"/>
            <w:col w:w="4860"/>
          </w:cols>
        </w:sectPr>
      </w:pPr>
    </w:p>
    <w:p>
      <w:pPr>
        <w:pStyle w:val="BodyText"/>
        <w:spacing w:line="254" w:lineRule="auto" w:before="69"/>
        <w:ind w:left="100"/>
        <w:jc w:val="both"/>
      </w:pPr>
      <w:r>
        <w:rPr>
          <w:spacing w:val="6"/>
          <w:w w:val="105"/>
        </w:rPr>
        <w:t>of</w:t>
      </w:r>
      <w:r>
        <w:rPr>
          <w:spacing w:val="59"/>
          <w:w w:val="105"/>
        </w:rPr>
        <w:t> </w:t>
      </w:r>
      <w:r>
        <w:rPr>
          <w:spacing w:val="2"/>
          <w:w w:val="105"/>
        </w:rPr>
        <w:t>its </w:t>
      </w:r>
      <w:r>
        <w:rPr>
          <w:spacing w:val="7"/>
          <w:w w:val="105"/>
        </w:rPr>
        <w:t>anticipated </w:t>
      </w:r>
      <w:r>
        <w:rPr>
          <w:spacing w:val="6"/>
          <w:w w:val="105"/>
        </w:rPr>
        <w:t>fuel</w:t>
      </w:r>
      <w:r>
        <w:rPr>
          <w:spacing w:val="59"/>
          <w:w w:val="105"/>
        </w:rPr>
        <w:t> </w:t>
      </w:r>
      <w:r>
        <w:rPr>
          <w:spacing w:val="7"/>
          <w:w w:val="105"/>
        </w:rPr>
        <w:t>consumption </w:t>
      </w:r>
      <w:r>
        <w:rPr>
          <w:spacing w:val="6"/>
          <w:w w:val="105"/>
        </w:rPr>
        <w:t>in</w:t>
      </w:r>
      <w:r>
        <w:rPr>
          <w:spacing w:val="59"/>
          <w:w w:val="105"/>
        </w:rPr>
        <w:t> </w:t>
      </w:r>
      <w:r>
        <w:rPr>
          <w:w w:val="105"/>
        </w:rPr>
        <w:t>2003, </w:t>
      </w:r>
      <w:r>
        <w:rPr>
          <w:spacing w:val="7"/>
          <w:w w:val="105"/>
        </w:rPr>
        <w:t>including </w:t>
      </w:r>
      <w:r>
        <w:rPr>
          <w:w w:val="105"/>
        </w:rPr>
        <w:t>all </w:t>
      </w:r>
      <w:r>
        <w:rPr>
          <w:spacing w:val="6"/>
          <w:w w:val="105"/>
        </w:rPr>
        <w:t>of </w:t>
      </w:r>
      <w:r>
        <w:rPr>
          <w:spacing w:val="2"/>
          <w:w w:val="105"/>
        </w:rPr>
        <w:t>its </w:t>
      </w:r>
      <w:r>
        <w:rPr>
          <w:spacing w:val="7"/>
          <w:w w:val="105"/>
        </w:rPr>
        <w:t>anticipated requirements </w:t>
      </w:r>
      <w:r>
        <w:rPr>
          <w:spacing w:val="8"/>
          <w:w w:val="105"/>
        </w:rPr>
        <w:t>for </w:t>
      </w:r>
      <w:r>
        <w:rPr>
          <w:w w:val="105"/>
        </w:rPr>
        <w:t>first </w:t>
      </w:r>
      <w:r>
        <w:rPr>
          <w:spacing w:val="5"/>
          <w:w w:val="105"/>
        </w:rPr>
        <w:t>quarter </w:t>
      </w:r>
      <w:r>
        <w:rPr>
          <w:w w:val="105"/>
        </w:rPr>
        <w:t>2003.  </w:t>
      </w:r>
      <w:r>
        <w:rPr>
          <w:spacing w:val="2"/>
          <w:w w:val="105"/>
        </w:rPr>
        <w:t>Considering  </w:t>
      </w:r>
      <w:r>
        <w:rPr>
          <w:w w:val="105"/>
        </w:rPr>
        <w:t>current  </w:t>
      </w:r>
      <w:r>
        <w:rPr>
          <w:spacing w:val="6"/>
          <w:w w:val="105"/>
        </w:rPr>
        <w:t>market </w:t>
      </w:r>
      <w:r>
        <w:rPr>
          <w:w w:val="105"/>
        </w:rPr>
        <w:t>prices and the </w:t>
      </w:r>
      <w:r>
        <w:rPr>
          <w:spacing w:val="3"/>
          <w:w w:val="105"/>
        </w:rPr>
        <w:t>continued </w:t>
      </w:r>
      <w:r>
        <w:rPr>
          <w:spacing w:val="2"/>
          <w:w w:val="105"/>
        </w:rPr>
        <w:t>effectiveness </w:t>
      </w:r>
      <w:r>
        <w:rPr>
          <w:w w:val="105"/>
        </w:rPr>
        <w:t>of </w:t>
      </w:r>
      <w:r>
        <w:rPr>
          <w:spacing w:val="6"/>
          <w:w w:val="105"/>
        </w:rPr>
        <w:t>the </w:t>
      </w:r>
      <w:r>
        <w:rPr>
          <w:w w:val="105"/>
        </w:rPr>
        <w:t>Company’s fuel hedges,  the  </w:t>
      </w:r>
      <w:r>
        <w:rPr>
          <w:spacing w:val="2"/>
          <w:w w:val="105"/>
        </w:rPr>
        <w:t>Company  </w:t>
      </w:r>
      <w:r>
        <w:rPr>
          <w:w w:val="105"/>
        </w:rPr>
        <w:t>is  </w:t>
      </w:r>
      <w:r>
        <w:rPr>
          <w:spacing w:val="3"/>
          <w:w w:val="105"/>
        </w:rPr>
        <w:t>fore- </w:t>
      </w:r>
      <w:r>
        <w:rPr>
          <w:w w:val="105"/>
        </w:rPr>
        <w:t>casting first quarter 2003 </w:t>
      </w:r>
      <w:r>
        <w:rPr>
          <w:spacing w:val="2"/>
          <w:w w:val="105"/>
        </w:rPr>
        <w:t>average  </w:t>
      </w:r>
      <w:r>
        <w:rPr>
          <w:w w:val="105"/>
        </w:rPr>
        <w:t>fuel  cost  </w:t>
      </w:r>
      <w:r>
        <w:rPr>
          <w:spacing w:val="6"/>
          <w:w w:val="105"/>
        </w:rPr>
        <w:t>per </w:t>
      </w:r>
      <w:r>
        <w:rPr>
          <w:w w:val="105"/>
        </w:rPr>
        <w:t>gallon to  be  in  the  $.70  to  $.75  range.  </w:t>
      </w:r>
      <w:r>
        <w:rPr>
          <w:spacing w:val="8"/>
          <w:w w:val="105"/>
        </w:rPr>
        <w:t>The </w:t>
      </w:r>
      <w:r>
        <w:rPr>
          <w:w w:val="105"/>
        </w:rPr>
        <w:t>majority of the Company’s near term  </w:t>
      </w:r>
      <w:r>
        <w:rPr>
          <w:spacing w:val="12"/>
          <w:w w:val="105"/>
        </w:rPr>
        <w:t>hedge </w:t>
      </w:r>
      <w:r>
        <w:rPr>
          <w:spacing w:val="2"/>
          <w:w w:val="105"/>
        </w:rPr>
        <w:t>positions </w:t>
      </w:r>
      <w:r>
        <w:rPr>
          <w:w w:val="105"/>
        </w:rPr>
        <w:t>are  in  the  form  of  </w:t>
      </w:r>
      <w:r>
        <w:rPr>
          <w:spacing w:val="2"/>
          <w:w w:val="105"/>
        </w:rPr>
        <w:t>option  </w:t>
      </w:r>
      <w:r>
        <w:rPr>
          <w:spacing w:val="3"/>
          <w:w w:val="105"/>
        </w:rPr>
        <w:t>contracts, </w:t>
      </w:r>
      <w:r>
        <w:rPr>
          <w:w w:val="105"/>
        </w:rPr>
        <w:t>which protect the Company  in  the  event  of  </w:t>
      </w:r>
      <w:r>
        <w:rPr>
          <w:spacing w:val="5"/>
          <w:w w:val="105"/>
        </w:rPr>
        <w:t>rising </w:t>
      </w:r>
      <w:r>
        <w:rPr>
          <w:w w:val="105"/>
        </w:rPr>
        <w:t>jet fuel  prices.  The  Company  should  also  </w:t>
      </w:r>
      <w:r>
        <w:rPr>
          <w:spacing w:val="8"/>
          <w:w w:val="105"/>
        </w:rPr>
        <w:t>benefit, </w:t>
      </w:r>
      <w:r>
        <w:rPr>
          <w:w w:val="105"/>
        </w:rPr>
        <w:t>to a large extent, in the </w:t>
      </w:r>
      <w:r>
        <w:rPr>
          <w:spacing w:val="2"/>
          <w:w w:val="105"/>
        </w:rPr>
        <w:t>event </w:t>
      </w:r>
      <w:r>
        <w:rPr>
          <w:w w:val="105"/>
        </w:rPr>
        <w:t>of  a  </w:t>
      </w:r>
      <w:r>
        <w:rPr>
          <w:spacing w:val="2"/>
          <w:w w:val="105"/>
        </w:rPr>
        <w:t>decline  </w:t>
      </w:r>
      <w:r>
        <w:rPr>
          <w:w w:val="105"/>
        </w:rPr>
        <w:t>in  jet  fuel </w:t>
      </w:r>
      <w:r>
        <w:rPr>
          <w:spacing w:val="37"/>
          <w:w w:val="105"/>
        </w:rPr>
        <w:t> </w:t>
      </w:r>
      <w:r>
        <w:rPr>
          <w:w w:val="105"/>
        </w:rPr>
        <w:t>prices.</w:t>
      </w:r>
    </w:p>
    <w:p>
      <w:pPr>
        <w:pStyle w:val="BodyText"/>
        <w:spacing w:line="254" w:lineRule="auto"/>
        <w:ind w:left="100" w:firstLine="180"/>
        <w:jc w:val="both"/>
      </w:pPr>
      <w:r>
        <w:rPr>
          <w:spacing w:val="9"/>
          <w:w w:val="105"/>
        </w:rPr>
        <w:t>Maintenance </w:t>
      </w:r>
      <w:r>
        <w:rPr>
          <w:spacing w:val="5"/>
          <w:w w:val="105"/>
        </w:rPr>
        <w:t>materials </w:t>
      </w:r>
      <w:r>
        <w:rPr>
          <w:spacing w:val="8"/>
          <w:w w:val="105"/>
        </w:rPr>
        <w:t>and </w:t>
      </w:r>
      <w:r>
        <w:rPr>
          <w:spacing w:val="5"/>
          <w:w w:val="105"/>
        </w:rPr>
        <w:t>repairs </w:t>
      </w:r>
      <w:r>
        <w:rPr>
          <w:spacing w:val="8"/>
          <w:w w:val="105"/>
        </w:rPr>
        <w:t>per </w:t>
      </w:r>
      <w:r>
        <w:rPr>
          <w:w w:val="105"/>
        </w:rPr>
        <w:t>ASM </w:t>
      </w:r>
      <w:r>
        <w:rPr>
          <w:spacing w:val="6"/>
          <w:w w:val="105"/>
        </w:rPr>
        <w:t>decreased </w:t>
      </w:r>
      <w:r>
        <w:rPr>
          <w:w w:val="105"/>
        </w:rPr>
        <w:t>6.6 </w:t>
      </w:r>
      <w:r>
        <w:rPr>
          <w:spacing w:val="5"/>
          <w:w w:val="105"/>
        </w:rPr>
        <w:t>percent.  </w:t>
      </w:r>
      <w:r>
        <w:rPr>
          <w:spacing w:val="6"/>
          <w:w w:val="105"/>
        </w:rPr>
        <w:t>This</w:t>
      </w:r>
      <w:r>
        <w:rPr>
          <w:spacing w:val="59"/>
          <w:w w:val="105"/>
        </w:rPr>
        <w:t> </w:t>
      </w:r>
      <w:r>
        <w:rPr>
          <w:spacing w:val="5"/>
          <w:w w:val="105"/>
        </w:rPr>
        <w:t>decrease  </w:t>
      </w:r>
      <w:r>
        <w:rPr>
          <w:spacing w:val="6"/>
          <w:w w:val="105"/>
        </w:rPr>
        <w:t>was </w:t>
      </w:r>
      <w:r>
        <w:rPr>
          <w:spacing w:val="5"/>
          <w:w w:val="105"/>
        </w:rPr>
        <w:t>primarily </w:t>
      </w:r>
      <w:r>
        <w:rPr>
          <w:spacing w:val="8"/>
          <w:w w:val="105"/>
        </w:rPr>
        <w:t>due </w:t>
      </w:r>
      <w:r>
        <w:rPr>
          <w:w w:val="105"/>
        </w:rPr>
        <w:t>to a </w:t>
      </w:r>
      <w:r>
        <w:rPr>
          <w:spacing w:val="5"/>
          <w:w w:val="105"/>
        </w:rPr>
        <w:t>decrease </w:t>
      </w:r>
      <w:r>
        <w:rPr>
          <w:spacing w:val="6"/>
          <w:w w:val="105"/>
        </w:rPr>
        <w:t>in </w:t>
      </w:r>
      <w:r>
        <w:rPr>
          <w:spacing w:val="5"/>
          <w:w w:val="105"/>
        </w:rPr>
        <w:t>airframe </w:t>
      </w:r>
      <w:r>
        <w:rPr>
          <w:spacing w:val="8"/>
          <w:w w:val="105"/>
        </w:rPr>
        <w:t>expense </w:t>
      </w:r>
      <w:r>
        <w:rPr>
          <w:spacing w:val="3"/>
          <w:w w:val="105"/>
        </w:rPr>
        <w:t>resulting </w:t>
      </w:r>
      <w:r>
        <w:rPr>
          <w:w w:val="105"/>
        </w:rPr>
        <w:t>from </w:t>
      </w:r>
      <w:r>
        <w:rPr>
          <w:spacing w:val="6"/>
          <w:w w:val="105"/>
        </w:rPr>
        <w:t>fewer</w:t>
      </w:r>
      <w:r>
        <w:rPr>
          <w:spacing w:val="59"/>
          <w:w w:val="105"/>
        </w:rPr>
        <w:t> </w:t>
      </w:r>
      <w:r>
        <w:rPr>
          <w:spacing w:val="5"/>
          <w:w w:val="105"/>
        </w:rPr>
        <w:t>outsourced </w:t>
      </w:r>
      <w:r>
        <w:rPr>
          <w:spacing w:val="12"/>
          <w:w w:val="105"/>
        </w:rPr>
        <w:t>heavy </w:t>
      </w:r>
      <w:r>
        <w:rPr>
          <w:spacing w:val="9"/>
          <w:w w:val="105"/>
        </w:rPr>
        <w:t>maintenance </w:t>
      </w:r>
      <w:r>
        <w:rPr>
          <w:spacing w:val="7"/>
          <w:w w:val="105"/>
        </w:rPr>
        <w:t>events </w:t>
      </w:r>
      <w:r>
        <w:rPr>
          <w:spacing w:val="4"/>
          <w:w w:val="105"/>
        </w:rPr>
        <w:t>versus </w:t>
      </w:r>
      <w:r>
        <w:rPr>
          <w:w w:val="105"/>
        </w:rPr>
        <w:t>2001. </w:t>
      </w:r>
      <w:r>
        <w:rPr>
          <w:spacing w:val="6"/>
          <w:w w:val="105"/>
        </w:rPr>
        <w:t>More</w:t>
      </w:r>
      <w:r>
        <w:rPr>
          <w:spacing w:val="59"/>
          <w:w w:val="105"/>
        </w:rPr>
        <w:t> </w:t>
      </w:r>
      <w:r>
        <w:rPr>
          <w:spacing w:val="12"/>
          <w:w w:val="105"/>
        </w:rPr>
        <w:t>heavy </w:t>
      </w:r>
      <w:r>
        <w:rPr>
          <w:spacing w:val="9"/>
          <w:w w:val="105"/>
        </w:rPr>
        <w:t>maintenance </w:t>
      </w:r>
      <w:r>
        <w:rPr>
          <w:spacing w:val="7"/>
          <w:w w:val="105"/>
        </w:rPr>
        <w:t>events </w:t>
      </w:r>
      <w:r>
        <w:rPr>
          <w:spacing w:val="4"/>
          <w:w w:val="105"/>
        </w:rPr>
        <w:t>were </w:t>
      </w:r>
      <w:r>
        <w:rPr>
          <w:spacing w:val="6"/>
          <w:w w:val="105"/>
        </w:rPr>
        <w:t>performed </w:t>
      </w:r>
      <w:r>
        <w:rPr>
          <w:spacing w:val="3"/>
          <w:w w:val="105"/>
        </w:rPr>
        <w:t>internally </w:t>
      </w:r>
      <w:r>
        <w:rPr>
          <w:spacing w:val="12"/>
          <w:w w:val="105"/>
        </w:rPr>
        <w:t>in </w:t>
      </w:r>
      <w:r>
        <w:rPr>
          <w:w w:val="105"/>
        </w:rPr>
        <w:t>2002, </w:t>
      </w:r>
      <w:r>
        <w:rPr>
          <w:spacing w:val="3"/>
          <w:w w:val="105"/>
        </w:rPr>
        <w:t>resulting</w:t>
      </w:r>
      <w:r>
        <w:rPr>
          <w:spacing w:val="53"/>
          <w:w w:val="105"/>
        </w:rPr>
        <w:t> </w:t>
      </w:r>
      <w:r>
        <w:rPr>
          <w:spacing w:val="6"/>
          <w:w w:val="105"/>
        </w:rPr>
        <w:t>in </w:t>
      </w:r>
      <w:r>
        <w:rPr>
          <w:spacing w:val="59"/>
          <w:w w:val="105"/>
        </w:rPr>
        <w:t> </w:t>
      </w:r>
      <w:r>
        <w:rPr>
          <w:spacing w:val="2"/>
          <w:w w:val="105"/>
        </w:rPr>
        <w:t>the  </w:t>
      </w:r>
      <w:r>
        <w:rPr>
          <w:w w:val="105"/>
        </w:rPr>
        <w:t>costs  </w:t>
      </w:r>
      <w:r>
        <w:rPr>
          <w:spacing w:val="5"/>
          <w:w w:val="105"/>
        </w:rPr>
        <w:t>associated  </w:t>
      </w:r>
      <w:r>
        <w:rPr>
          <w:spacing w:val="3"/>
          <w:w w:val="105"/>
        </w:rPr>
        <w:t>with  those </w:t>
      </w:r>
      <w:r>
        <w:rPr>
          <w:spacing w:val="7"/>
          <w:w w:val="105"/>
        </w:rPr>
        <w:t>events </w:t>
      </w:r>
      <w:r>
        <w:rPr>
          <w:spacing w:val="9"/>
          <w:w w:val="105"/>
        </w:rPr>
        <w:t>being </w:t>
      </w:r>
      <w:r>
        <w:rPr>
          <w:spacing w:val="2"/>
          <w:w w:val="105"/>
        </w:rPr>
        <w:t>reflected </w:t>
      </w:r>
      <w:r>
        <w:rPr>
          <w:spacing w:val="6"/>
          <w:w w:val="105"/>
        </w:rPr>
        <w:t>in</w:t>
      </w:r>
      <w:r>
        <w:rPr>
          <w:spacing w:val="59"/>
          <w:w w:val="105"/>
        </w:rPr>
        <w:t> </w:t>
      </w:r>
      <w:r>
        <w:rPr>
          <w:spacing w:val="4"/>
          <w:w w:val="105"/>
        </w:rPr>
        <w:t>salaries  </w:t>
      </w:r>
      <w:r>
        <w:rPr>
          <w:spacing w:val="12"/>
          <w:w w:val="105"/>
        </w:rPr>
        <w:t>and </w:t>
      </w:r>
      <w:r>
        <w:rPr>
          <w:spacing w:val="4"/>
          <w:w w:val="105"/>
        </w:rPr>
        <w:t>wages. </w:t>
      </w:r>
      <w:r>
        <w:rPr>
          <w:w w:val="105"/>
        </w:rPr>
        <w:t>Currently, </w:t>
      </w:r>
      <w:r>
        <w:rPr>
          <w:spacing w:val="2"/>
          <w:w w:val="105"/>
        </w:rPr>
        <w:t>the  </w:t>
      </w:r>
      <w:r>
        <w:rPr>
          <w:spacing w:val="8"/>
          <w:w w:val="105"/>
        </w:rPr>
        <w:t>Company</w:t>
      </w:r>
      <w:r>
        <w:rPr>
          <w:spacing w:val="63"/>
          <w:w w:val="105"/>
        </w:rPr>
        <w:t> </w:t>
      </w:r>
      <w:r>
        <w:rPr>
          <w:w w:val="105"/>
        </w:rPr>
        <w:t>expects  </w:t>
      </w:r>
      <w:r>
        <w:rPr>
          <w:spacing w:val="12"/>
          <w:w w:val="105"/>
        </w:rPr>
        <w:t>an </w:t>
      </w:r>
      <w:r>
        <w:rPr>
          <w:spacing w:val="2"/>
          <w:w w:val="105"/>
        </w:rPr>
        <w:t>increase </w:t>
      </w:r>
      <w:r>
        <w:rPr>
          <w:w w:val="105"/>
        </w:rPr>
        <w:t>in </w:t>
      </w:r>
      <w:r>
        <w:rPr>
          <w:spacing w:val="4"/>
          <w:w w:val="105"/>
        </w:rPr>
        <w:t>maintenance </w:t>
      </w:r>
      <w:r>
        <w:rPr>
          <w:w w:val="105"/>
        </w:rPr>
        <w:t>materials and </w:t>
      </w:r>
      <w:r>
        <w:rPr>
          <w:spacing w:val="6"/>
          <w:w w:val="105"/>
        </w:rPr>
        <w:t>repairs </w:t>
      </w:r>
      <w:r>
        <w:rPr>
          <w:spacing w:val="3"/>
          <w:w w:val="105"/>
        </w:rPr>
        <w:t>expense </w:t>
      </w:r>
      <w:r>
        <w:rPr>
          <w:w w:val="105"/>
        </w:rPr>
        <w:t>per ASM in first  quarter  and  full  </w:t>
      </w:r>
      <w:r>
        <w:rPr>
          <w:spacing w:val="5"/>
          <w:w w:val="105"/>
        </w:rPr>
        <w:t>year  </w:t>
      </w:r>
      <w:r>
        <w:rPr>
          <w:w w:val="105"/>
        </w:rPr>
        <w:t>2003,  versus  2002,  due   to   an   increase   </w:t>
      </w:r>
      <w:r>
        <w:rPr>
          <w:spacing w:val="12"/>
          <w:w w:val="105"/>
        </w:rPr>
        <w:t>in </w:t>
      </w:r>
      <w:r>
        <w:rPr>
          <w:w w:val="105"/>
        </w:rPr>
        <w:t>contract  rates  from  </w:t>
      </w:r>
      <w:r>
        <w:rPr>
          <w:spacing w:val="2"/>
          <w:w w:val="105"/>
        </w:rPr>
        <w:t>outside  vendors  </w:t>
      </w:r>
      <w:r>
        <w:rPr>
          <w:w w:val="105"/>
        </w:rPr>
        <w:t>as  well   </w:t>
      </w:r>
      <w:r>
        <w:rPr>
          <w:spacing w:val="4"/>
          <w:w w:val="105"/>
        </w:rPr>
        <w:t>as </w:t>
      </w:r>
      <w:r>
        <w:rPr>
          <w:w w:val="105"/>
        </w:rPr>
        <w:t>the </w:t>
      </w:r>
      <w:r>
        <w:rPr>
          <w:spacing w:val="2"/>
          <w:w w:val="105"/>
        </w:rPr>
        <w:t>number </w:t>
      </w:r>
      <w:r>
        <w:rPr>
          <w:w w:val="105"/>
        </w:rPr>
        <w:t>of </w:t>
      </w:r>
      <w:r>
        <w:rPr>
          <w:spacing w:val="2"/>
          <w:w w:val="105"/>
        </w:rPr>
        <w:t>engine inspections </w:t>
      </w:r>
      <w:r>
        <w:rPr>
          <w:w w:val="105"/>
        </w:rPr>
        <w:t>and </w:t>
      </w:r>
      <w:r>
        <w:rPr>
          <w:spacing w:val="6"/>
          <w:w w:val="105"/>
        </w:rPr>
        <w:t>repairs </w:t>
      </w:r>
      <w:r>
        <w:rPr>
          <w:w w:val="105"/>
        </w:rPr>
        <w:t>scheduled. The majority of the Company’s </w:t>
      </w:r>
      <w:r>
        <w:rPr>
          <w:spacing w:val="12"/>
          <w:w w:val="105"/>
        </w:rPr>
        <w:t>engine </w:t>
      </w:r>
      <w:r>
        <w:rPr>
          <w:spacing w:val="2"/>
          <w:w w:val="105"/>
        </w:rPr>
        <w:t>maintenance  work  </w:t>
      </w:r>
      <w:r>
        <w:rPr>
          <w:w w:val="105"/>
        </w:rPr>
        <w:t>is </w:t>
      </w:r>
      <w:r>
        <w:rPr>
          <w:spacing w:val="36"/>
          <w:w w:val="105"/>
        </w:rPr>
        <w:t> </w:t>
      </w:r>
      <w:r>
        <w:rPr>
          <w:spacing w:val="3"/>
          <w:w w:val="105"/>
        </w:rPr>
        <w:t>outsourced.</w:t>
      </w:r>
    </w:p>
    <w:p>
      <w:pPr>
        <w:pStyle w:val="BodyText"/>
        <w:tabs>
          <w:tab w:pos="2579" w:val="left" w:leader="none"/>
          <w:tab w:pos="3099" w:val="left" w:leader="none"/>
          <w:tab w:pos="3739" w:val="left" w:leader="none"/>
        </w:tabs>
        <w:ind w:left="280"/>
      </w:pPr>
      <w:r>
        <w:rPr>
          <w:spacing w:val="6"/>
          <w:w w:val="110"/>
        </w:rPr>
        <w:t>Agency  </w:t>
      </w:r>
      <w:r>
        <w:rPr>
          <w:spacing w:val="12"/>
          <w:w w:val="110"/>
        </w:rPr>
        <w:t> </w:t>
      </w:r>
      <w:r>
        <w:rPr>
          <w:spacing w:val="8"/>
          <w:w w:val="110"/>
        </w:rPr>
        <w:t>commissions</w:t>
        <w:tab/>
        <w:t>per</w:t>
        <w:tab/>
      </w:r>
      <w:r>
        <w:rPr>
          <w:w w:val="110"/>
        </w:rPr>
        <w:t>ASM</w:t>
        <w:tab/>
      </w:r>
      <w:r>
        <w:rPr>
          <w:spacing w:val="7"/>
          <w:w w:val="110"/>
        </w:rPr>
        <w:t>decreased</w:t>
      </w:r>
    </w:p>
    <w:p>
      <w:pPr>
        <w:pStyle w:val="BodyText"/>
        <w:spacing w:line="254" w:lineRule="auto" w:before="15"/>
        <w:ind w:left="100"/>
        <w:jc w:val="both"/>
      </w:pPr>
      <w:r>
        <w:rPr>
          <w:w w:val="105"/>
        </w:rPr>
        <w:t>50.0 </w:t>
      </w:r>
      <w:r>
        <w:rPr>
          <w:spacing w:val="5"/>
          <w:w w:val="105"/>
        </w:rPr>
        <w:t>percent, primarily </w:t>
      </w:r>
      <w:r>
        <w:rPr>
          <w:spacing w:val="8"/>
          <w:w w:val="105"/>
        </w:rPr>
        <w:t>due </w:t>
      </w:r>
      <w:r>
        <w:rPr>
          <w:w w:val="105"/>
        </w:rPr>
        <w:t>to a </w:t>
      </w:r>
      <w:r>
        <w:rPr>
          <w:spacing w:val="6"/>
          <w:w w:val="105"/>
        </w:rPr>
        <w:t>change</w:t>
      </w:r>
      <w:r>
        <w:rPr>
          <w:spacing w:val="59"/>
          <w:w w:val="105"/>
        </w:rPr>
        <w:t> </w:t>
      </w:r>
      <w:r>
        <w:rPr>
          <w:spacing w:val="6"/>
          <w:w w:val="105"/>
        </w:rPr>
        <w:t>in</w:t>
      </w:r>
      <w:r>
        <w:rPr>
          <w:spacing w:val="59"/>
          <w:w w:val="105"/>
        </w:rPr>
        <w:t> </w:t>
      </w:r>
      <w:r>
        <w:rPr>
          <w:spacing w:val="6"/>
          <w:w w:val="105"/>
        </w:rPr>
        <w:t>the Company’s</w:t>
      </w:r>
      <w:r>
        <w:rPr>
          <w:spacing w:val="59"/>
          <w:w w:val="105"/>
        </w:rPr>
        <w:t> </w:t>
      </w:r>
      <w:r>
        <w:rPr>
          <w:spacing w:val="7"/>
          <w:w w:val="105"/>
        </w:rPr>
        <w:t>commission </w:t>
      </w:r>
      <w:r>
        <w:rPr>
          <w:w w:val="105"/>
        </w:rPr>
        <w:t>rate </w:t>
      </w:r>
      <w:r>
        <w:rPr>
          <w:spacing w:val="4"/>
          <w:w w:val="105"/>
        </w:rPr>
        <w:t>policy. </w:t>
      </w:r>
      <w:r>
        <w:rPr>
          <w:spacing w:val="6"/>
          <w:w w:val="105"/>
        </w:rPr>
        <w:t>Effective October</w:t>
      </w:r>
      <w:r>
        <w:rPr>
          <w:spacing w:val="59"/>
          <w:w w:val="105"/>
        </w:rPr>
        <w:t> </w:t>
      </w:r>
      <w:r>
        <w:rPr>
          <w:w w:val="105"/>
        </w:rPr>
        <w:t>15, 2001, </w:t>
      </w:r>
      <w:r>
        <w:rPr>
          <w:spacing w:val="2"/>
          <w:w w:val="105"/>
        </w:rPr>
        <w:t>the </w:t>
      </w:r>
      <w:r>
        <w:rPr>
          <w:spacing w:val="8"/>
          <w:w w:val="105"/>
        </w:rPr>
        <w:t>Company </w:t>
      </w:r>
      <w:r>
        <w:rPr>
          <w:spacing w:val="6"/>
          <w:w w:val="105"/>
        </w:rPr>
        <w:t>reduced</w:t>
      </w:r>
      <w:r>
        <w:rPr>
          <w:spacing w:val="59"/>
          <w:w w:val="105"/>
        </w:rPr>
        <w:t> </w:t>
      </w:r>
      <w:r>
        <w:rPr>
          <w:spacing w:val="6"/>
          <w:w w:val="105"/>
        </w:rPr>
        <w:t>the </w:t>
      </w:r>
      <w:r>
        <w:rPr>
          <w:spacing w:val="7"/>
          <w:w w:val="105"/>
        </w:rPr>
        <w:t>commission </w:t>
      </w:r>
      <w:r>
        <w:rPr>
          <w:spacing w:val="9"/>
          <w:w w:val="105"/>
        </w:rPr>
        <w:t>paid </w:t>
      </w:r>
      <w:r>
        <w:rPr>
          <w:w w:val="105"/>
        </w:rPr>
        <w:t>to </w:t>
      </w:r>
      <w:r>
        <w:rPr>
          <w:spacing w:val="4"/>
          <w:w w:val="105"/>
        </w:rPr>
        <w:t>travel </w:t>
      </w:r>
      <w:r>
        <w:rPr>
          <w:spacing w:val="5"/>
          <w:w w:val="105"/>
        </w:rPr>
        <w:t>agents </w:t>
      </w:r>
      <w:r>
        <w:rPr>
          <w:w w:val="105"/>
        </w:rPr>
        <w:t>from </w:t>
      </w:r>
      <w:r>
        <w:rPr>
          <w:spacing w:val="9"/>
          <w:w w:val="105"/>
        </w:rPr>
        <w:t>eight </w:t>
      </w:r>
      <w:r>
        <w:rPr>
          <w:spacing w:val="6"/>
          <w:w w:val="105"/>
        </w:rPr>
        <w:t>percent </w:t>
      </w:r>
      <w:r>
        <w:rPr>
          <w:spacing w:val="4"/>
          <w:w w:val="105"/>
        </w:rPr>
        <w:t>for </w:t>
      </w:r>
      <w:r>
        <w:rPr>
          <w:spacing w:val="2"/>
          <w:w w:val="105"/>
        </w:rPr>
        <w:t>Ticketless </w:t>
      </w:r>
      <w:r>
        <w:rPr>
          <w:spacing w:val="7"/>
          <w:w w:val="105"/>
        </w:rPr>
        <w:t>bookings </w:t>
      </w:r>
      <w:r>
        <w:rPr>
          <w:spacing w:val="8"/>
          <w:w w:val="105"/>
        </w:rPr>
        <w:t>and </w:t>
      </w:r>
      <w:r>
        <w:rPr>
          <w:spacing w:val="6"/>
          <w:w w:val="105"/>
        </w:rPr>
        <w:t>five  </w:t>
      </w:r>
      <w:r>
        <w:rPr>
          <w:spacing w:val="8"/>
          <w:w w:val="105"/>
        </w:rPr>
        <w:t>percent </w:t>
      </w:r>
      <w:r>
        <w:rPr>
          <w:spacing w:val="4"/>
          <w:w w:val="105"/>
        </w:rPr>
        <w:t>for </w:t>
      </w:r>
      <w:r>
        <w:rPr>
          <w:spacing w:val="9"/>
          <w:w w:val="105"/>
        </w:rPr>
        <w:t>paper </w:t>
      </w:r>
      <w:r>
        <w:rPr>
          <w:spacing w:val="4"/>
          <w:w w:val="105"/>
        </w:rPr>
        <w:t>ticket </w:t>
      </w:r>
      <w:r>
        <w:rPr>
          <w:spacing w:val="6"/>
          <w:w w:val="105"/>
        </w:rPr>
        <w:t>bookings, </w:t>
      </w:r>
      <w:r>
        <w:rPr>
          <w:w w:val="105"/>
        </w:rPr>
        <w:t>to  </w:t>
      </w:r>
      <w:r>
        <w:rPr>
          <w:spacing w:val="6"/>
          <w:w w:val="105"/>
        </w:rPr>
        <w:t>five  percent  </w:t>
      </w:r>
      <w:r>
        <w:rPr>
          <w:spacing w:val="3"/>
          <w:w w:val="105"/>
        </w:rPr>
        <w:t>(with  </w:t>
      </w:r>
      <w:r>
        <w:rPr>
          <w:spacing w:val="6"/>
          <w:w w:val="105"/>
        </w:rPr>
        <w:t>no </w:t>
      </w:r>
      <w:r>
        <w:rPr>
          <w:spacing w:val="59"/>
          <w:w w:val="105"/>
        </w:rPr>
        <w:t> </w:t>
      </w:r>
      <w:r>
        <w:rPr>
          <w:spacing w:val="5"/>
          <w:w w:val="105"/>
        </w:rPr>
        <w:t>cap),  </w:t>
      </w:r>
      <w:r>
        <w:rPr>
          <w:spacing w:val="2"/>
          <w:w w:val="105"/>
        </w:rPr>
        <w:t>regardless  </w:t>
      </w:r>
      <w:r>
        <w:rPr>
          <w:spacing w:val="6"/>
          <w:w w:val="105"/>
        </w:rPr>
        <w:t>of  </w:t>
      </w:r>
      <w:r>
        <w:rPr>
          <w:spacing w:val="2"/>
          <w:w w:val="105"/>
        </w:rPr>
        <w:t>the  </w:t>
      </w:r>
      <w:r>
        <w:rPr>
          <w:w w:val="105"/>
        </w:rPr>
        <w:t>type  </w:t>
      </w:r>
      <w:r>
        <w:rPr>
          <w:spacing w:val="6"/>
          <w:w w:val="105"/>
        </w:rPr>
        <w:t>of </w:t>
      </w:r>
      <w:r>
        <w:rPr>
          <w:spacing w:val="59"/>
          <w:w w:val="105"/>
        </w:rPr>
        <w:t> </w:t>
      </w:r>
      <w:r>
        <w:rPr>
          <w:spacing w:val="4"/>
          <w:w w:val="105"/>
        </w:rPr>
        <w:t>ticket  sold. In </w:t>
      </w:r>
      <w:r>
        <w:rPr>
          <w:spacing w:val="8"/>
          <w:w w:val="105"/>
        </w:rPr>
        <w:t>addition, </w:t>
      </w:r>
      <w:r>
        <w:rPr>
          <w:spacing w:val="2"/>
          <w:w w:val="105"/>
        </w:rPr>
        <w:t>the  </w:t>
      </w:r>
      <w:r>
        <w:rPr>
          <w:spacing w:val="9"/>
          <w:w w:val="105"/>
        </w:rPr>
        <w:t>mix  </w:t>
      </w:r>
      <w:r>
        <w:rPr>
          <w:spacing w:val="6"/>
          <w:w w:val="105"/>
        </w:rPr>
        <w:t>of </w:t>
      </w:r>
      <w:r>
        <w:rPr>
          <w:spacing w:val="59"/>
          <w:w w:val="105"/>
        </w:rPr>
        <w:t> </w:t>
      </w:r>
      <w:r>
        <w:rPr>
          <w:spacing w:val="2"/>
          <w:w w:val="105"/>
        </w:rPr>
        <w:t>tickets  </w:t>
      </w:r>
      <w:r>
        <w:rPr>
          <w:w w:val="105"/>
        </w:rPr>
        <w:t>sold  </w:t>
      </w:r>
      <w:r>
        <w:rPr>
          <w:spacing w:val="4"/>
          <w:w w:val="105"/>
        </w:rPr>
        <w:t>through travel </w:t>
      </w:r>
      <w:r>
        <w:rPr>
          <w:spacing w:val="5"/>
          <w:w w:val="105"/>
        </w:rPr>
        <w:t>agents </w:t>
      </w:r>
      <w:r>
        <w:rPr>
          <w:spacing w:val="7"/>
          <w:w w:val="105"/>
        </w:rPr>
        <w:t>declined  </w:t>
      </w:r>
      <w:r>
        <w:rPr>
          <w:w w:val="105"/>
        </w:rPr>
        <w:t>from  25 </w:t>
      </w:r>
      <w:r>
        <w:rPr>
          <w:spacing w:val="6"/>
          <w:w w:val="105"/>
        </w:rPr>
        <w:t>percent in  </w:t>
      </w:r>
      <w:r>
        <w:rPr>
          <w:w w:val="105"/>
        </w:rPr>
        <w:t>2001</w:t>
      </w:r>
      <w:r>
        <w:rPr>
          <w:spacing w:val="35"/>
          <w:w w:val="105"/>
        </w:rPr>
        <w:t> </w:t>
      </w:r>
      <w:r>
        <w:rPr>
          <w:w w:val="105"/>
        </w:rPr>
        <w:t>to</w:t>
      </w:r>
    </w:p>
    <w:p>
      <w:pPr>
        <w:pStyle w:val="BodyText"/>
        <w:spacing w:line="254" w:lineRule="auto" w:before="1"/>
        <w:ind w:left="100" w:right="10"/>
        <w:jc w:val="both"/>
      </w:pPr>
      <w:r>
        <w:rPr>
          <w:w w:val="110"/>
        </w:rPr>
        <w:t>20 percent in 2002, thereby reducing commis- sionable revenues and commission expense.</w:t>
      </w:r>
    </w:p>
    <w:p>
      <w:pPr>
        <w:pStyle w:val="BodyText"/>
        <w:spacing w:line="254" w:lineRule="auto" w:before="1"/>
        <w:ind w:left="100" w:right="5" w:firstLine="180"/>
        <w:jc w:val="both"/>
      </w:pPr>
      <w:r>
        <w:rPr>
          <w:w w:val="105"/>
        </w:rPr>
        <w:t>Aircraft rentals per ASM </w:t>
      </w:r>
      <w:r>
        <w:rPr>
          <w:spacing w:val="2"/>
          <w:w w:val="105"/>
        </w:rPr>
        <w:t>decreased </w:t>
      </w:r>
      <w:r>
        <w:rPr>
          <w:w w:val="105"/>
        </w:rPr>
        <w:t>6.9 </w:t>
      </w:r>
      <w:r>
        <w:rPr>
          <w:spacing w:val="7"/>
          <w:w w:val="105"/>
        </w:rPr>
        <w:t>percent </w:t>
      </w:r>
      <w:r>
        <w:rPr>
          <w:w w:val="105"/>
        </w:rPr>
        <w:t>primarily due to a lower percentage of the </w:t>
      </w:r>
      <w:r>
        <w:rPr>
          <w:spacing w:val="4"/>
          <w:w w:val="105"/>
        </w:rPr>
        <w:t>aircraft </w:t>
      </w:r>
      <w:r>
        <w:rPr>
          <w:w w:val="105"/>
        </w:rPr>
        <w:t>fleet being leased. Approximately  24.0  percent  </w:t>
      </w:r>
      <w:r>
        <w:rPr>
          <w:spacing w:val="6"/>
          <w:w w:val="105"/>
        </w:rPr>
        <w:t>of </w:t>
      </w:r>
      <w:r>
        <w:rPr>
          <w:w w:val="105"/>
        </w:rPr>
        <w:t>the  Company’s  aircraft  were  under  </w:t>
      </w:r>
      <w:r>
        <w:rPr>
          <w:spacing w:val="8"/>
          <w:w w:val="105"/>
        </w:rPr>
        <w:t>operating  </w:t>
      </w:r>
      <w:r>
        <w:rPr>
          <w:w w:val="105"/>
        </w:rPr>
        <w:t>lease    at    </w:t>
      </w:r>
      <w:r>
        <w:rPr>
          <w:spacing w:val="3"/>
          <w:w w:val="105"/>
        </w:rPr>
        <w:t>December     </w:t>
      </w:r>
      <w:r>
        <w:rPr>
          <w:w w:val="105"/>
        </w:rPr>
        <w:t>31,    2002,    </w:t>
      </w:r>
      <w:r>
        <w:rPr>
          <w:spacing w:val="3"/>
          <w:w w:val="105"/>
        </w:rPr>
        <w:t>compared    </w:t>
      </w:r>
      <w:r>
        <w:rPr>
          <w:spacing w:val="12"/>
          <w:w w:val="105"/>
        </w:rPr>
        <w:t> </w:t>
      </w:r>
      <w:r>
        <w:rPr>
          <w:spacing w:val="4"/>
          <w:w w:val="105"/>
        </w:rPr>
        <w:t>to</w:t>
      </w:r>
    </w:p>
    <w:p>
      <w:pPr>
        <w:pStyle w:val="BodyText"/>
        <w:spacing w:before="1"/>
        <w:ind w:left="100"/>
        <w:jc w:val="both"/>
      </w:pPr>
      <w:r>
        <w:rPr>
          <w:w w:val="115"/>
        </w:rPr>
        <w:t>25.9 percent  at  December  31, 2001. Based   on</w:t>
      </w:r>
    </w:p>
    <w:p>
      <w:pPr>
        <w:pStyle w:val="BodyText"/>
        <w:spacing w:line="254" w:lineRule="auto" w:before="69"/>
        <w:ind w:left="100" w:right="110"/>
        <w:jc w:val="both"/>
      </w:pPr>
      <w:r>
        <w:rPr/>
        <w:br w:type="column"/>
      </w:r>
      <w:r>
        <w:rPr>
          <w:w w:val="105"/>
        </w:rPr>
        <w:t>the Company’s current new aircraft  </w:t>
      </w:r>
      <w:r>
        <w:rPr>
          <w:spacing w:val="6"/>
          <w:w w:val="105"/>
        </w:rPr>
        <w:t>delivery </w:t>
      </w:r>
      <w:r>
        <w:rPr>
          <w:spacing w:val="2"/>
          <w:w w:val="105"/>
        </w:rPr>
        <w:t>schedule,   scheduled   </w:t>
      </w:r>
      <w:r>
        <w:rPr>
          <w:w w:val="105"/>
        </w:rPr>
        <w:t>aircraft   retirements   </w:t>
      </w:r>
      <w:r>
        <w:rPr>
          <w:spacing w:val="2"/>
          <w:w w:val="105"/>
        </w:rPr>
        <w:t>for </w:t>
      </w:r>
      <w:r>
        <w:rPr>
          <w:w w:val="105"/>
        </w:rPr>
        <w:t>2003,  and  financing  plans,  the   </w:t>
      </w:r>
      <w:r>
        <w:rPr>
          <w:spacing w:val="2"/>
          <w:w w:val="105"/>
        </w:rPr>
        <w:t>Company   </w:t>
      </w:r>
      <w:r>
        <w:rPr>
          <w:spacing w:val="7"/>
          <w:w w:val="105"/>
        </w:rPr>
        <w:t>expects </w:t>
      </w:r>
      <w:r>
        <w:rPr>
          <w:w w:val="105"/>
        </w:rPr>
        <w:t>a decline in aircraft rental </w:t>
      </w:r>
      <w:r>
        <w:rPr>
          <w:spacing w:val="3"/>
          <w:w w:val="105"/>
        </w:rPr>
        <w:t>expense </w:t>
      </w:r>
      <w:r>
        <w:rPr>
          <w:w w:val="105"/>
        </w:rPr>
        <w:t>per  ASM  </w:t>
      </w:r>
      <w:r>
        <w:rPr>
          <w:spacing w:val="11"/>
          <w:w w:val="105"/>
        </w:rPr>
        <w:t>in  </w:t>
      </w:r>
      <w:r>
        <w:rPr>
          <w:w w:val="105"/>
        </w:rPr>
        <w:t>2003,  including  the  first </w:t>
      </w:r>
      <w:r>
        <w:rPr>
          <w:spacing w:val="13"/>
          <w:w w:val="105"/>
        </w:rPr>
        <w:t> </w:t>
      </w:r>
      <w:r>
        <w:rPr>
          <w:w w:val="105"/>
        </w:rPr>
        <w:t>quarter.</w:t>
      </w:r>
    </w:p>
    <w:p>
      <w:pPr>
        <w:pStyle w:val="BodyText"/>
        <w:spacing w:line="254" w:lineRule="auto"/>
        <w:ind w:left="100" w:right="103" w:firstLine="180"/>
        <w:jc w:val="both"/>
      </w:pPr>
      <w:r>
        <w:rPr>
          <w:spacing w:val="8"/>
          <w:w w:val="110"/>
        </w:rPr>
        <w:t>Landing </w:t>
      </w:r>
      <w:r>
        <w:rPr>
          <w:spacing w:val="6"/>
          <w:w w:val="110"/>
        </w:rPr>
        <w:t>fees</w:t>
      </w:r>
      <w:r>
        <w:rPr>
          <w:spacing w:val="61"/>
          <w:w w:val="110"/>
        </w:rPr>
        <w:t> </w:t>
      </w:r>
      <w:r>
        <w:rPr>
          <w:spacing w:val="8"/>
          <w:w w:val="110"/>
        </w:rPr>
        <w:t>and </w:t>
      </w:r>
      <w:r>
        <w:rPr>
          <w:spacing w:val="6"/>
          <w:w w:val="110"/>
        </w:rPr>
        <w:t>other</w:t>
      </w:r>
      <w:r>
        <w:rPr>
          <w:spacing w:val="61"/>
          <w:w w:val="110"/>
        </w:rPr>
        <w:t> </w:t>
      </w:r>
      <w:r>
        <w:rPr>
          <w:spacing w:val="2"/>
          <w:w w:val="110"/>
        </w:rPr>
        <w:t>rentals </w:t>
      </w:r>
      <w:r>
        <w:rPr>
          <w:spacing w:val="8"/>
          <w:w w:val="110"/>
        </w:rPr>
        <w:t>per </w:t>
      </w:r>
      <w:r>
        <w:rPr>
          <w:w w:val="110"/>
        </w:rPr>
        <w:t>ASM </w:t>
      </w:r>
      <w:r>
        <w:rPr>
          <w:spacing w:val="6"/>
          <w:w w:val="110"/>
        </w:rPr>
        <w:t>increased </w:t>
      </w:r>
      <w:r>
        <w:rPr>
          <w:w w:val="110"/>
        </w:rPr>
        <w:t>4.2 </w:t>
      </w:r>
      <w:r>
        <w:rPr>
          <w:spacing w:val="6"/>
          <w:w w:val="110"/>
        </w:rPr>
        <w:t>percent </w:t>
      </w:r>
      <w:r>
        <w:rPr>
          <w:spacing w:val="5"/>
          <w:w w:val="110"/>
        </w:rPr>
        <w:t>primarily </w:t>
      </w:r>
      <w:r>
        <w:rPr>
          <w:spacing w:val="6"/>
          <w:w w:val="110"/>
        </w:rPr>
        <w:t>as </w:t>
      </w:r>
      <w:r>
        <w:rPr>
          <w:w w:val="110"/>
        </w:rPr>
        <w:t>a result </w:t>
      </w:r>
      <w:r>
        <w:rPr>
          <w:spacing w:val="6"/>
          <w:w w:val="110"/>
        </w:rPr>
        <w:t>of </w:t>
      </w:r>
      <w:r>
        <w:rPr>
          <w:spacing w:val="5"/>
          <w:w w:val="110"/>
        </w:rPr>
        <w:t>airport </w:t>
      </w:r>
      <w:r>
        <w:rPr>
          <w:w w:val="110"/>
        </w:rPr>
        <w:t>rate </w:t>
      </w:r>
      <w:r>
        <w:rPr>
          <w:spacing w:val="6"/>
          <w:w w:val="110"/>
        </w:rPr>
        <w:t>increases throughout </w:t>
      </w:r>
      <w:r>
        <w:rPr>
          <w:spacing w:val="2"/>
          <w:w w:val="110"/>
        </w:rPr>
        <w:t>the </w:t>
      </w:r>
      <w:r>
        <w:rPr>
          <w:spacing w:val="6"/>
          <w:w w:val="110"/>
        </w:rPr>
        <w:t>Company’s </w:t>
      </w:r>
      <w:r>
        <w:rPr>
          <w:w w:val="110"/>
        </w:rPr>
        <w:t>system. </w:t>
      </w:r>
      <w:r>
        <w:rPr>
          <w:spacing w:val="7"/>
          <w:w w:val="110"/>
        </w:rPr>
        <w:t>Moreover, </w:t>
      </w:r>
      <w:r>
        <w:rPr>
          <w:spacing w:val="4"/>
          <w:w w:val="110"/>
        </w:rPr>
        <w:t>following </w:t>
      </w:r>
      <w:r>
        <w:rPr>
          <w:spacing w:val="2"/>
          <w:w w:val="110"/>
        </w:rPr>
        <w:t>the </w:t>
      </w:r>
      <w:r>
        <w:rPr>
          <w:w w:val="110"/>
        </w:rPr>
        <w:t>terrorist attacks, </w:t>
      </w:r>
      <w:r>
        <w:rPr>
          <w:spacing w:val="6"/>
          <w:w w:val="110"/>
        </w:rPr>
        <w:t>most other </w:t>
      </w:r>
      <w:r>
        <w:rPr>
          <w:spacing w:val="7"/>
          <w:w w:val="110"/>
        </w:rPr>
        <w:t>major </w:t>
      </w:r>
      <w:r>
        <w:rPr>
          <w:spacing w:val="6"/>
          <w:w w:val="110"/>
        </w:rPr>
        <w:t>airlines reduced their </w:t>
      </w:r>
      <w:r>
        <w:rPr>
          <w:spacing w:val="4"/>
          <w:w w:val="110"/>
        </w:rPr>
        <w:t>flight </w:t>
      </w:r>
      <w:r>
        <w:rPr>
          <w:spacing w:val="5"/>
          <w:w w:val="110"/>
        </w:rPr>
        <w:t>schedules </w:t>
      </w:r>
      <w:r>
        <w:rPr>
          <w:spacing w:val="8"/>
          <w:w w:val="110"/>
        </w:rPr>
        <w:t>due </w:t>
      </w:r>
      <w:r>
        <w:rPr>
          <w:w w:val="110"/>
        </w:rPr>
        <w:t>to </w:t>
      </w:r>
      <w:r>
        <w:rPr>
          <w:spacing w:val="2"/>
          <w:w w:val="110"/>
        </w:rPr>
        <w:t>the </w:t>
      </w:r>
      <w:r>
        <w:rPr>
          <w:spacing w:val="5"/>
          <w:w w:val="110"/>
        </w:rPr>
        <w:t>drop </w:t>
      </w:r>
      <w:r>
        <w:rPr>
          <w:spacing w:val="6"/>
          <w:w w:val="110"/>
        </w:rPr>
        <w:t>in </w:t>
      </w:r>
      <w:r>
        <w:rPr>
          <w:spacing w:val="8"/>
          <w:w w:val="110"/>
        </w:rPr>
        <w:t>air </w:t>
      </w:r>
      <w:r>
        <w:rPr>
          <w:spacing w:val="2"/>
          <w:w w:val="110"/>
        </w:rPr>
        <w:t>travel. </w:t>
      </w:r>
      <w:r>
        <w:rPr>
          <w:spacing w:val="4"/>
          <w:w w:val="110"/>
        </w:rPr>
        <w:t>Since Southwest</w:t>
      </w:r>
      <w:r>
        <w:rPr>
          <w:spacing w:val="-12"/>
          <w:w w:val="110"/>
        </w:rPr>
        <w:t> </w:t>
      </w:r>
      <w:r>
        <w:rPr>
          <w:spacing w:val="8"/>
          <w:w w:val="110"/>
        </w:rPr>
        <w:t>did</w:t>
      </w:r>
      <w:r>
        <w:rPr>
          <w:w w:val="110"/>
        </w:rPr>
        <w:t> </w:t>
      </w:r>
      <w:r>
        <w:rPr>
          <w:spacing w:val="8"/>
          <w:w w:val="110"/>
        </w:rPr>
        <w:t>not</w:t>
      </w:r>
      <w:r>
        <w:rPr>
          <w:spacing w:val="-12"/>
          <w:w w:val="110"/>
        </w:rPr>
        <w:t> </w:t>
      </w:r>
      <w:r>
        <w:rPr>
          <w:spacing w:val="6"/>
          <w:w w:val="110"/>
        </w:rPr>
        <w:t>reduce</w:t>
      </w:r>
      <w:r>
        <w:rPr>
          <w:w w:val="110"/>
        </w:rPr>
        <w:t> </w:t>
      </w:r>
      <w:r>
        <w:rPr>
          <w:spacing w:val="2"/>
          <w:w w:val="110"/>
        </w:rPr>
        <w:t>its</w:t>
      </w:r>
      <w:r>
        <w:rPr>
          <w:spacing w:val="-12"/>
          <w:w w:val="110"/>
        </w:rPr>
        <w:t> </w:t>
      </w:r>
      <w:r>
        <w:rPr>
          <w:w w:val="110"/>
        </w:rPr>
        <w:t>flights,</w:t>
      </w:r>
      <w:r>
        <w:rPr>
          <w:spacing w:val="-9"/>
          <w:w w:val="110"/>
        </w:rPr>
        <w:t> </w:t>
      </w:r>
      <w:r>
        <w:rPr>
          <w:spacing w:val="2"/>
          <w:w w:val="110"/>
        </w:rPr>
        <w:t>the</w:t>
      </w:r>
      <w:r>
        <w:rPr>
          <w:spacing w:val="13"/>
          <w:w w:val="110"/>
        </w:rPr>
        <w:t> </w:t>
      </w:r>
      <w:r>
        <w:rPr>
          <w:spacing w:val="10"/>
          <w:w w:val="110"/>
        </w:rPr>
        <w:t>Company </w:t>
      </w:r>
      <w:r>
        <w:rPr>
          <w:spacing w:val="5"/>
          <w:w w:val="110"/>
        </w:rPr>
        <w:t>incurred </w:t>
      </w:r>
      <w:r>
        <w:rPr>
          <w:spacing w:val="8"/>
          <w:w w:val="110"/>
        </w:rPr>
        <w:t>higher </w:t>
      </w:r>
      <w:r>
        <w:rPr>
          <w:spacing w:val="5"/>
          <w:w w:val="110"/>
        </w:rPr>
        <w:t>airport </w:t>
      </w:r>
      <w:r>
        <w:rPr>
          <w:w w:val="110"/>
        </w:rPr>
        <w:t>costs </w:t>
      </w:r>
      <w:r>
        <w:rPr>
          <w:spacing w:val="6"/>
          <w:w w:val="110"/>
        </w:rPr>
        <w:t>based on </w:t>
      </w:r>
      <w:r>
        <w:rPr>
          <w:w w:val="110"/>
        </w:rPr>
        <w:t>a </w:t>
      </w:r>
      <w:r>
        <w:rPr>
          <w:spacing w:val="4"/>
          <w:w w:val="110"/>
        </w:rPr>
        <w:t>greater relative </w:t>
      </w:r>
      <w:r>
        <w:rPr>
          <w:spacing w:val="3"/>
          <w:w w:val="110"/>
        </w:rPr>
        <w:t>share </w:t>
      </w:r>
      <w:r>
        <w:rPr>
          <w:spacing w:val="6"/>
          <w:w w:val="110"/>
        </w:rPr>
        <w:t>of </w:t>
      </w:r>
      <w:r>
        <w:rPr>
          <w:spacing w:val="3"/>
          <w:w w:val="110"/>
        </w:rPr>
        <w:t>total </w:t>
      </w:r>
      <w:r>
        <w:rPr>
          <w:w w:val="110"/>
        </w:rPr>
        <w:t>flights </w:t>
      </w:r>
      <w:r>
        <w:rPr>
          <w:spacing w:val="8"/>
          <w:w w:val="110"/>
        </w:rPr>
        <w:t>and</w:t>
      </w:r>
      <w:r>
        <w:rPr>
          <w:spacing w:val="-4"/>
          <w:w w:val="110"/>
        </w:rPr>
        <w:t> </w:t>
      </w:r>
      <w:r>
        <w:rPr>
          <w:spacing w:val="4"/>
          <w:w w:val="110"/>
        </w:rPr>
        <w:t>passengers.</w:t>
      </w:r>
    </w:p>
    <w:p>
      <w:pPr>
        <w:pStyle w:val="BodyText"/>
        <w:tabs>
          <w:tab w:pos="1679" w:val="left" w:leader="none"/>
          <w:tab w:pos="2679" w:val="left" w:leader="none"/>
          <w:tab w:pos="3799" w:val="left" w:leader="none"/>
        </w:tabs>
        <w:ind w:left="280"/>
      </w:pPr>
      <w:r>
        <w:rPr>
          <w:spacing w:val="7"/>
          <w:w w:val="105"/>
        </w:rPr>
        <w:t>Depreciation</w:t>
        <w:tab/>
      </w:r>
      <w:r>
        <w:rPr>
          <w:spacing w:val="8"/>
          <w:w w:val="105"/>
        </w:rPr>
        <w:t>expense</w:t>
        <w:tab/>
        <w:t>per  </w:t>
      </w:r>
      <w:r>
        <w:rPr>
          <w:spacing w:val="36"/>
          <w:w w:val="105"/>
        </w:rPr>
        <w:t> </w:t>
      </w:r>
      <w:r>
        <w:rPr>
          <w:w w:val="105"/>
        </w:rPr>
        <w:t>ASM</w:t>
        <w:tab/>
      </w:r>
      <w:r>
        <w:rPr>
          <w:spacing w:val="7"/>
          <w:w w:val="105"/>
        </w:rPr>
        <w:t>increased</w:t>
      </w:r>
    </w:p>
    <w:p>
      <w:pPr>
        <w:pStyle w:val="BodyText"/>
        <w:spacing w:line="254" w:lineRule="auto" w:before="15"/>
        <w:ind w:left="100" w:right="103"/>
        <w:jc w:val="both"/>
      </w:pPr>
      <w:r>
        <w:rPr>
          <w:w w:val="105"/>
        </w:rPr>
        <w:t>6.1 </w:t>
      </w:r>
      <w:r>
        <w:rPr>
          <w:spacing w:val="6"/>
          <w:w w:val="105"/>
        </w:rPr>
        <w:t>percent</w:t>
      </w:r>
      <w:r>
        <w:rPr>
          <w:spacing w:val="59"/>
          <w:w w:val="105"/>
        </w:rPr>
        <w:t> </w:t>
      </w:r>
      <w:r>
        <w:rPr>
          <w:spacing w:val="5"/>
          <w:w w:val="105"/>
        </w:rPr>
        <w:t>primarily </w:t>
      </w:r>
      <w:r>
        <w:rPr>
          <w:spacing w:val="8"/>
          <w:w w:val="105"/>
        </w:rPr>
        <w:t>due </w:t>
      </w:r>
      <w:r>
        <w:rPr>
          <w:w w:val="105"/>
        </w:rPr>
        <w:t>to </w:t>
      </w:r>
      <w:r>
        <w:rPr>
          <w:spacing w:val="2"/>
          <w:w w:val="105"/>
        </w:rPr>
        <w:t>growth </w:t>
      </w:r>
      <w:r>
        <w:rPr>
          <w:spacing w:val="6"/>
          <w:w w:val="105"/>
        </w:rPr>
        <w:t>in</w:t>
      </w:r>
      <w:r>
        <w:rPr>
          <w:spacing w:val="59"/>
          <w:w w:val="105"/>
        </w:rPr>
        <w:t> </w:t>
      </w:r>
      <w:r>
        <w:rPr>
          <w:spacing w:val="6"/>
          <w:w w:val="105"/>
        </w:rPr>
        <w:t>the Company’s </w:t>
      </w:r>
      <w:r>
        <w:rPr>
          <w:spacing w:val="8"/>
          <w:w w:val="105"/>
        </w:rPr>
        <w:t>owned </w:t>
      </w:r>
      <w:r>
        <w:rPr>
          <w:spacing w:val="4"/>
          <w:w w:val="105"/>
        </w:rPr>
        <w:t>aircraft </w:t>
      </w:r>
      <w:r>
        <w:rPr>
          <w:w w:val="105"/>
        </w:rPr>
        <w:t>fleet. </w:t>
      </w:r>
      <w:r>
        <w:rPr>
          <w:spacing w:val="4"/>
          <w:w w:val="105"/>
        </w:rPr>
        <w:t>The </w:t>
      </w:r>
      <w:r>
        <w:rPr>
          <w:spacing w:val="10"/>
          <w:w w:val="105"/>
        </w:rPr>
        <w:t>Company </w:t>
      </w:r>
      <w:r>
        <w:rPr>
          <w:spacing w:val="7"/>
          <w:w w:val="105"/>
        </w:rPr>
        <w:t>received </w:t>
      </w:r>
      <w:r>
        <w:rPr>
          <w:spacing w:val="6"/>
          <w:w w:val="105"/>
        </w:rPr>
        <w:t>delivery</w:t>
      </w:r>
      <w:r>
        <w:rPr>
          <w:spacing w:val="59"/>
          <w:w w:val="105"/>
        </w:rPr>
        <w:t> </w:t>
      </w:r>
      <w:r>
        <w:rPr>
          <w:spacing w:val="6"/>
          <w:w w:val="105"/>
        </w:rPr>
        <w:t>of</w:t>
      </w:r>
      <w:r>
        <w:rPr>
          <w:spacing w:val="59"/>
          <w:w w:val="105"/>
        </w:rPr>
        <w:t> </w:t>
      </w:r>
      <w:r>
        <w:rPr>
          <w:w w:val="105"/>
        </w:rPr>
        <w:t>23 </w:t>
      </w:r>
      <w:r>
        <w:rPr>
          <w:spacing w:val="8"/>
          <w:w w:val="105"/>
        </w:rPr>
        <w:t>new </w:t>
      </w:r>
      <w:r>
        <w:rPr>
          <w:w w:val="105"/>
        </w:rPr>
        <w:t>737-700 </w:t>
      </w:r>
      <w:r>
        <w:rPr>
          <w:spacing w:val="4"/>
          <w:w w:val="105"/>
        </w:rPr>
        <w:t>aircraft </w:t>
      </w:r>
      <w:r>
        <w:rPr>
          <w:spacing w:val="7"/>
          <w:w w:val="105"/>
        </w:rPr>
        <w:t>during </w:t>
      </w:r>
      <w:r>
        <w:rPr>
          <w:w w:val="105"/>
        </w:rPr>
        <w:t>2002, all </w:t>
      </w:r>
      <w:r>
        <w:rPr>
          <w:spacing w:val="6"/>
          <w:w w:val="105"/>
        </w:rPr>
        <w:t>of </w:t>
      </w:r>
      <w:r>
        <w:rPr>
          <w:spacing w:val="7"/>
          <w:w w:val="105"/>
        </w:rPr>
        <w:t>which  </w:t>
      </w:r>
      <w:r>
        <w:rPr>
          <w:spacing w:val="4"/>
          <w:w w:val="105"/>
        </w:rPr>
        <w:t>were  </w:t>
      </w:r>
      <w:r>
        <w:rPr>
          <w:spacing w:val="6"/>
          <w:w w:val="105"/>
        </w:rPr>
        <w:t>purchased.</w:t>
      </w:r>
    </w:p>
    <w:p>
      <w:pPr>
        <w:pStyle w:val="BodyText"/>
        <w:spacing w:before="1"/>
        <w:ind w:left="280"/>
      </w:pPr>
      <w:r>
        <w:rPr>
          <w:w w:val="105"/>
        </w:rPr>
        <w:t>Other  operating  expenses  per  ASM decreased</w:t>
      </w:r>
    </w:p>
    <w:p>
      <w:pPr>
        <w:pStyle w:val="BodyText"/>
        <w:spacing w:line="254" w:lineRule="auto" w:before="16"/>
        <w:ind w:left="100" w:right="103"/>
        <w:jc w:val="both"/>
      </w:pPr>
      <w:r>
        <w:rPr>
          <w:w w:val="105"/>
        </w:rPr>
        <w:t>1.3 </w:t>
      </w:r>
      <w:r>
        <w:rPr>
          <w:spacing w:val="6"/>
          <w:w w:val="105"/>
        </w:rPr>
        <w:t>percent </w:t>
      </w:r>
      <w:r>
        <w:rPr>
          <w:spacing w:val="5"/>
          <w:w w:val="105"/>
        </w:rPr>
        <w:t>despite </w:t>
      </w:r>
      <w:r>
        <w:rPr>
          <w:w w:val="105"/>
        </w:rPr>
        <w:t>a </w:t>
      </w:r>
      <w:r>
        <w:rPr>
          <w:spacing w:val="2"/>
          <w:w w:val="105"/>
        </w:rPr>
        <w:t>per-ASM </w:t>
      </w:r>
      <w:r>
        <w:rPr>
          <w:spacing w:val="5"/>
          <w:w w:val="105"/>
        </w:rPr>
        <w:t>increase </w:t>
      </w:r>
      <w:r>
        <w:rPr>
          <w:spacing w:val="6"/>
          <w:w w:val="105"/>
        </w:rPr>
        <w:t>of more </w:t>
      </w:r>
      <w:r>
        <w:rPr>
          <w:spacing w:val="5"/>
          <w:w w:val="105"/>
        </w:rPr>
        <w:t>than </w:t>
      </w:r>
      <w:r>
        <w:rPr>
          <w:w w:val="105"/>
        </w:rPr>
        <w:t>175 </w:t>
      </w:r>
      <w:r>
        <w:rPr>
          <w:spacing w:val="6"/>
          <w:w w:val="105"/>
        </w:rPr>
        <w:t>percent in </w:t>
      </w:r>
      <w:r>
        <w:rPr>
          <w:spacing w:val="59"/>
          <w:w w:val="105"/>
        </w:rPr>
        <w:t> </w:t>
      </w:r>
      <w:r>
        <w:rPr>
          <w:spacing w:val="8"/>
          <w:w w:val="105"/>
        </w:rPr>
        <w:t>aviation</w:t>
      </w:r>
      <w:r>
        <w:rPr>
          <w:spacing w:val="63"/>
          <w:w w:val="105"/>
        </w:rPr>
        <w:t> </w:t>
      </w:r>
      <w:r>
        <w:rPr>
          <w:spacing w:val="6"/>
          <w:w w:val="105"/>
        </w:rPr>
        <w:t>insurance </w:t>
      </w:r>
      <w:r>
        <w:rPr>
          <w:spacing w:val="59"/>
          <w:w w:val="105"/>
        </w:rPr>
        <w:t> </w:t>
      </w:r>
      <w:r>
        <w:rPr>
          <w:w w:val="105"/>
        </w:rPr>
        <w:t>costs. </w:t>
      </w:r>
      <w:r>
        <w:rPr>
          <w:spacing w:val="3"/>
          <w:w w:val="105"/>
        </w:rPr>
        <w:t>(The </w:t>
      </w:r>
      <w:r>
        <w:rPr>
          <w:spacing w:val="6"/>
          <w:w w:val="105"/>
        </w:rPr>
        <w:t>insurance </w:t>
      </w:r>
      <w:r>
        <w:rPr>
          <w:spacing w:val="3"/>
          <w:w w:val="105"/>
        </w:rPr>
        <w:t>cost </w:t>
      </w:r>
      <w:r>
        <w:rPr>
          <w:spacing w:val="6"/>
          <w:w w:val="105"/>
        </w:rPr>
        <w:t>increases </w:t>
      </w:r>
      <w:r>
        <w:rPr>
          <w:spacing w:val="4"/>
          <w:w w:val="105"/>
        </w:rPr>
        <w:t>were </w:t>
      </w:r>
      <w:r>
        <w:rPr>
          <w:spacing w:val="6"/>
          <w:w w:val="105"/>
        </w:rPr>
        <w:t>more</w:t>
      </w:r>
      <w:r>
        <w:rPr>
          <w:spacing w:val="59"/>
          <w:w w:val="105"/>
        </w:rPr>
        <w:t> </w:t>
      </w:r>
      <w:r>
        <w:rPr>
          <w:spacing w:val="8"/>
          <w:w w:val="105"/>
        </w:rPr>
        <w:t>than </w:t>
      </w:r>
      <w:r>
        <w:rPr>
          <w:spacing w:val="3"/>
          <w:w w:val="105"/>
        </w:rPr>
        <w:t>offset </w:t>
      </w:r>
      <w:r>
        <w:rPr>
          <w:spacing w:val="4"/>
          <w:w w:val="105"/>
        </w:rPr>
        <w:t>through </w:t>
      </w:r>
      <w:r>
        <w:rPr>
          <w:spacing w:val="8"/>
          <w:w w:val="105"/>
        </w:rPr>
        <w:t>various </w:t>
      </w:r>
      <w:r>
        <w:rPr>
          <w:spacing w:val="3"/>
          <w:w w:val="105"/>
        </w:rPr>
        <w:t>cost </w:t>
      </w:r>
      <w:r>
        <w:rPr>
          <w:spacing w:val="4"/>
          <w:w w:val="105"/>
        </w:rPr>
        <w:t>control </w:t>
      </w:r>
      <w:r>
        <w:rPr>
          <w:spacing w:val="8"/>
          <w:w w:val="105"/>
        </w:rPr>
        <w:t>measures implemented immediately </w:t>
      </w:r>
      <w:r>
        <w:rPr>
          <w:spacing w:val="4"/>
          <w:w w:val="105"/>
        </w:rPr>
        <w:t>following </w:t>
      </w:r>
      <w:r>
        <w:rPr>
          <w:spacing w:val="2"/>
          <w:w w:val="105"/>
        </w:rPr>
        <w:t>the </w:t>
      </w:r>
      <w:r>
        <w:rPr>
          <w:spacing w:val="6"/>
          <w:w w:val="105"/>
        </w:rPr>
        <w:t>prior </w:t>
      </w:r>
      <w:r>
        <w:rPr>
          <w:spacing w:val="8"/>
          <w:w w:val="105"/>
        </w:rPr>
        <w:t>year </w:t>
      </w:r>
      <w:r>
        <w:rPr>
          <w:w w:val="105"/>
        </w:rPr>
        <w:t>terrorist attacks, </w:t>
      </w:r>
      <w:r>
        <w:rPr>
          <w:spacing w:val="7"/>
          <w:w w:val="105"/>
        </w:rPr>
        <w:t>including </w:t>
      </w:r>
      <w:r>
        <w:rPr>
          <w:spacing w:val="6"/>
          <w:w w:val="105"/>
        </w:rPr>
        <w:t>reductions</w:t>
      </w:r>
      <w:r>
        <w:rPr>
          <w:spacing w:val="59"/>
          <w:w w:val="105"/>
        </w:rPr>
        <w:t> </w:t>
      </w:r>
      <w:r>
        <w:rPr>
          <w:spacing w:val="12"/>
          <w:w w:val="105"/>
        </w:rPr>
        <w:t>in </w:t>
      </w:r>
      <w:r>
        <w:rPr>
          <w:spacing w:val="4"/>
          <w:w w:val="105"/>
        </w:rPr>
        <w:t>personnel-related </w:t>
      </w:r>
      <w:r>
        <w:rPr>
          <w:spacing w:val="8"/>
          <w:w w:val="105"/>
        </w:rPr>
        <w:t>expenses and </w:t>
      </w:r>
      <w:r>
        <w:rPr>
          <w:spacing w:val="4"/>
          <w:w w:val="105"/>
        </w:rPr>
        <w:t>office </w:t>
      </w:r>
      <w:r>
        <w:rPr>
          <w:spacing w:val="7"/>
          <w:w w:val="105"/>
        </w:rPr>
        <w:t>expenses; excluding </w:t>
      </w:r>
      <w:r>
        <w:rPr>
          <w:spacing w:val="6"/>
          <w:w w:val="105"/>
        </w:rPr>
        <w:t>insurance</w:t>
      </w:r>
      <w:r>
        <w:rPr>
          <w:spacing w:val="59"/>
          <w:w w:val="105"/>
        </w:rPr>
        <w:t> </w:t>
      </w:r>
      <w:r>
        <w:rPr>
          <w:spacing w:val="8"/>
          <w:w w:val="105"/>
        </w:rPr>
        <w:t>expense, </w:t>
      </w:r>
      <w:r>
        <w:rPr>
          <w:spacing w:val="6"/>
          <w:w w:val="105"/>
        </w:rPr>
        <w:t>other</w:t>
      </w:r>
      <w:r>
        <w:rPr>
          <w:spacing w:val="59"/>
          <w:w w:val="105"/>
        </w:rPr>
        <w:t> </w:t>
      </w:r>
      <w:r>
        <w:rPr>
          <w:spacing w:val="8"/>
          <w:w w:val="105"/>
        </w:rPr>
        <w:t>operating expenses per </w:t>
      </w:r>
      <w:r>
        <w:rPr>
          <w:w w:val="105"/>
        </w:rPr>
        <w:t>ASM </w:t>
      </w:r>
      <w:r>
        <w:rPr>
          <w:spacing w:val="6"/>
          <w:w w:val="105"/>
        </w:rPr>
        <w:t>decreased </w:t>
      </w:r>
      <w:r>
        <w:rPr>
          <w:w w:val="105"/>
        </w:rPr>
        <w:t>8.5 </w:t>
      </w:r>
      <w:r>
        <w:rPr>
          <w:spacing w:val="4"/>
          <w:w w:val="105"/>
        </w:rPr>
        <w:t>percent). </w:t>
      </w:r>
      <w:r>
        <w:rPr>
          <w:w w:val="105"/>
        </w:rPr>
        <w:t>Following  the  terrorist  attacks,  </w:t>
      </w:r>
      <w:r>
        <w:rPr>
          <w:spacing w:val="8"/>
          <w:w w:val="105"/>
        </w:rPr>
        <w:t>commercial </w:t>
      </w:r>
      <w:r>
        <w:rPr>
          <w:spacing w:val="3"/>
          <w:w w:val="105"/>
        </w:rPr>
        <w:t>aviation </w:t>
      </w:r>
      <w:r>
        <w:rPr>
          <w:w w:val="105"/>
        </w:rPr>
        <w:t>insurers significantly </w:t>
      </w:r>
      <w:r>
        <w:rPr>
          <w:spacing w:val="2"/>
          <w:w w:val="105"/>
        </w:rPr>
        <w:t>increased </w:t>
      </w:r>
      <w:r>
        <w:rPr>
          <w:spacing w:val="6"/>
          <w:w w:val="105"/>
        </w:rPr>
        <w:t>the </w:t>
      </w:r>
      <w:r>
        <w:rPr>
          <w:spacing w:val="2"/>
          <w:w w:val="105"/>
        </w:rPr>
        <w:t>premiums </w:t>
      </w:r>
      <w:r>
        <w:rPr>
          <w:w w:val="105"/>
        </w:rPr>
        <w:t>and </w:t>
      </w:r>
      <w:r>
        <w:rPr>
          <w:spacing w:val="2"/>
          <w:w w:val="105"/>
        </w:rPr>
        <w:t>reduced </w:t>
      </w:r>
      <w:r>
        <w:rPr>
          <w:w w:val="105"/>
        </w:rPr>
        <w:t>the </w:t>
      </w:r>
      <w:r>
        <w:rPr>
          <w:spacing w:val="2"/>
          <w:w w:val="105"/>
        </w:rPr>
        <w:t>amount </w:t>
      </w:r>
      <w:r>
        <w:rPr>
          <w:w w:val="105"/>
        </w:rPr>
        <w:t>of war-risk </w:t>
      </w:r>
      <w:r>
        <w:rPr>
          <w:spacing w:val="2"/>
          <w:w w:val="105"/>
        </w:rPr>
        <w:t>coverage available </w:t>
      </w:r>
      <w:r>
        <w:rPr>
          <w:w w:val="105"/>
        </w:rPr>
        <w:t>to </w:t>
      </w:r>
      <w:r>
        <w:rPr>
          <w:spacing w:val="2"/>
          <w:w w:val="105"/>
        </w:rPr>
        <w:t>commercial </w:t>
      </w:r>
      <w:r>
        <w:rPr>
          <w:w w:val="105"/>
        </w:rPr>
        <w:t>carriers. </w:t>
      </w:r>
      <w:r>
        <w:rPr>
          <w:spacing w:val="8"/>
          <w:w w:val="105"/>
        </w:rPr>
        <w:t>The </w:t>
      </w:r>
      <w:r>
        <w:rPr>
          <w:w w:val="105"/>
        </w:rPr>
        <w:t>federal </w:t>
      </w:r>
      <w:r>
        <w:rPr>
          <w:spacing w:val="3"/>
          <w:w w:val="105"/>
        </w:rPr>
        <w:t>government </w:t>
      </w:r>
      <w:r>
        <w:rPr>
          <w:w w:val="105"/>
        </w:rPr>
        <w:t>then stepped in to </w:t>
      </w:r>
      <w:r>
        <w:rPr>
          <w:spacing w:val="11"/>
          <w:w w:val="105"/>
        </w:rPr>
        <w:t>provide </w:t>
      </w:r>
      <w:r>
        <w:rPr>
          <w:spacing w:val="2"/>
          <w:w w:val="105"/>
        </w:rPr>
        <w:t>supplemental </w:t>
      </w:r>
      <w:r>
        <w:rPr>
          <w:w w:val="105"/>
        </w:rPr>
        <w:t>third-party war-risk </w:t>
      </w:r>
      <w:r>
        <w:rPr>
          <w:spacing w:val="8"/>
          <w:w w:val="105"/>
        </w:rPr>
        <w:t>insurance </w:t>
      </w:r>
      <w:r>
        <w:rPr>
          <w:spacing w:val="2"/>
          <w:w w:val="105"/>
        </w:rPr>
        <w:t>coverage </w:t>
      </w:r>
      <w:r>
        <w:rPr>
          <w:w w:val="105"/>
        </w:rPr>
        <w:t>to </w:t>
      </w:r>
      <w:r>
        <w:rPr>
          <w:spacing w:val="2"/>
          <w:w w:val="105"/>
        </w:rPr>
        <w:t>commercial </w:t>
      </w:r>
      <w:r>
        <w:rPr>
          <w:w w:val="105"/>
        </w:rPr>
        <w:t>carriers, for </w:t>
      </w:r>
      <w:r>
        <w:rPr>
          <w:spacing w:val="8"/>
          <w:w w:val="105"/>
        </w:rPr>
        <w:t>renewable </w:t>
      </w:r>
      <w:r>
        <w:rPr>
          <w:w w:val="105"/>
        </w:rPr>
        <w:t>60-day periods, at substantially  lower  </w:t>
      </w:r>
      <w:r>
        <w:rPr>
          <w:spacing w:val="10"/>
          <w:w w:val="105"/>
        </w:rPr>
        <w:t>premiums </w:t>
      </w:r>
      <w:r>
        <w:rPr>
          <w:w w:val="105"/>
        </w:rPr>
        <w:t>than  </w:t>
      </w:r>
      <w:r>
        <w:rPr>
          <w:spacing w:val="2"/>
          <w:w w:val="105"/>
        </w:rPr>
        <w:t>prevailing   commercial   </w:t>
      </w:r>
      <w:r>
        <w:rPr>
          <w:w w:val="105"/>
        </w:rPr>
        <w:t>rates   during   2002 and for levels of </w:t>
      </w:r>
      <w:r>
        <w:rPr>
          <w:spacing w:val="2"/>
          <w:w w:val="105"/>
        </w:rPr>
        <w:t>coverage </w:t>
      </w:r>
      <w:r>
        <w:rPr>
          <w:w w:val="105"/>
        </w:rPr>
        <w:t>not </w:t>
      </w:r>
      <w:r>
        <w:rPr>
          <w:spacing w:val="2"/>
          <w:w w:val="105"/>
        </w:rPr>
        <w:t>available </w:t>
      </w:r>
      <w:r>
        <w:rPr>
          <w:w w:val="105"/>
        </w:rPr>
        <w:t>in </w:t>
      </w:r>
      <w:r>
        <w:rPr>
          <w:spacing w:val="6"/>
          <w:w w:val="105"/>
        </w:rPr>
        <w:t>the </w:t>
      </w:r>
      <w:r>
        <w:rPr>
          <w:w w:val="105"/>
        </w:rPr>
        <w:t>commercial market. In November 2002, Congress passed  the  </w:t>
      </w:r>
      <w:r>
        <w:rPr>
          <w:spacing w:val="3"/>
          <w:w w:val="105"/>
        </w:rPr>
        <w:t>Homeland   </w:t>
      </w:r>
      <w:r>
        <w:rPr>
          <w:w w:val="105"/>
        </w:rPr>
        <w:t>Security   Act   of   2002, </w:t>
      </w:r>
      <w:r>
        <w:rPr>
          <w:spacing w:val="2"/>
          <w:w w:val="105"/>
        </w:rPr>
        <w:t>which mandated </w:t>
      </w:r>
      <w:r>
        <w:rPr>
          <w:w w:val="105"/>
        </w:rPr>
        <w:t>the federal </w:t>
      </w:r>
      <w:r>
        <w:rPr>
          <w:spacing w:val="3"/>
          <w:w w:val="105"/>
        </w:rPr>
        <w:t>government </w:t>
      </w:r>
      <w:r>
        <w:rPr>
          <w:spacing w:val="11"/>
          <w:w w:val="105"/>
        </w:rPr>
        <w:t>provide </w:t>
      </w:r>
      <w:r>
        <w:rPr>
          <w:w w:val="105"/>
        </w:rPr>
        <w:t>third-party, passenger, and hull war-risk </w:t>
      </w:r>
      <w:r>
        <w:rPr>
          <w:spacing w:val="8"/>
          <w:w w:val="105"/>
        </w:rPr>
        <w:t>insurance </w:t>
      </w:r>
      <w:r>
        <w:rPr>
          <w:spacing w:val="2"/>
          <w:w w:val="105"/>
        </w:rPr>
        <w:t>coverage   </w:t>
      </w:r>
      <w:r>
        <w:rPr>
          <w:w w:val="105"/>
        </w:rPr>
        <w:t>to   </w:t>
      </w:r>
      <w:r>
        <w:rPr>
          <w:spacing w:val="2"/>
          <w:w w:val="105"/>
        </w:rPr>
        <w:t>commercial     </w:t>
      </w:r>
      <w:r>
        <w:rPr>
          <w:w w:val="105"/>
        </w:rPr>
        <w:t>carriers    </w:t>
      </w:r>
      <w:r>
        <w:rPr>
          <w:spacing w:val="6"/>
          <w:w w:val="105"/>
        </w:rPr>
        <w:t>through </w:t>
      </w:r>
      <w:r>
        <w:rPr>
          <w:w w:val="105"/>
        </w:rPr>
        <w:t>August 31,  2003,  and  which   permits   </w:t>
      </w:r>
      <w:r>
        <w:rPr>
          <w:spacing w:val="8"/>
          <w:w w:val="105"/>
        </w:rPr>
        <w:t>such </w:t>
      </w:r>
      <w:r>
        <w:rPr>
          <w:spacing w:val="2"/>
          <w:w w:val="105"/>
        </w:rPr>
        <w:t>coverage </w:t>
      </w:r>
      <w:r>
        <w:rPr>
          <w:w w:val="105"/>
        </w:rPr>
        <w:t>to be </w:t>
      </w:r>
      <w:r>
        <w:rPr>
          <w:spacing w:val="3"/>
          <w:w w:val="105"/>
        </w:rPr>
        <w:t>extended </w:t>
      </w:r>
      <w:r>
        <w:rPr>
          <w:w w:val="105"/>
        </w:rPr>
        <w:t>by the  </w:t>
      </w:r>
      <w:r>
        <w:rPr>
          <w:spacing w:val="8"/>
          <w:w w:val="105"/>
        </w:rPr>
        <w:t>government </w:t>
      </w:r>
      <w:r>
        <w:rPr>
          <w:w w:val="105"/>
        </w:rPr>
        <w:t>through   </w:t>
      </w:r>
      <w:r>
        <w:rPr>
          <w:spacing w:val="3"/>
          <w:w w:val="105"/>
        </w:rPr>
        <w:t>December    </w:t>
      </w:r>
      <w:r>
        <w:rPr>
          <w:w w:val="105"/>
        </w:rPr>
        <w:t>31,   2003.   The    </w:t>
      </w:r>
      <w:r>
        <w:rPr>
          <w:spacing w:val="2"/>
          <w:w w:val="105"/>
        </w:rPr>
        <w:t>Company  </w:t>
      </w:r>
      <w:r>
        <w:rPr>
          <w:spacing w:val="35"/>
          <w:w w:val="105"/>
        </w:rPr>
        <w:t> </w:t>
      </w:r>
      <w:r>
        <w:rPr>
          <w:spacing w:val="4"/>
          <w:w w:val="105"/>
        </w:rPr>
        <w:t>is</w:t>
      </w:r>
    </w:p>
    <w:p>
      <w:pPr>
        <w:spacing w:after="0" w:line="254" w:lineRule="auto"/>
        <w:jc w:val="both"/>
        <w:sectPr>
          <w:headerReference w:type="default" r:id="rId83"/>
          <w:footerReference w:type="default" r:id="rId84"/>
          <w:footerReference w:type="even" r:id="rId85"/>
          <w:pgSz w:w="11520" w:h="14400"/>
          <w:pgMar w:header="0" w:footer="706" w:top="960" w:bottom="900" w:left="700" w:right="840"/>
          <w:pgNumType w:start="17"/>
          <w:cols w:num="2" w:equalWidth="0">
            <w:col w:w="4737" w:space="403"/>
            <w:col w:w="4840"/>
          </w:cols>
        </w:sectPr>
      </w:pPr>
    </w:p>
    <w:p>
      <w:pPr>
        <w:pStyle w:val="BodyText"/>
        <w:spacing w:line="254" w:lineRule="auto" w:before="69"/>
        <w:ind w:left="100" w:right="2"/>
        <w:jc w:val="both"/>
      </w:pPr>
      <w:bookmarkStart w:name="Results of Operations – 2001 vs. 2000" w:id="28"/>
      <w:bookmarkEnd w:id="28"/>
      <w:r>
        <w:rPr/>
      </w:r>
      <w:r>
        <w:rPr>
          <w:w w:val="105"/>
        </w:rPr>
        <w:t>unable to predict whether the </w:t>
      </w:r>
      <w:r>
        <w:rPr>
          <w:spacing w:val="3"/>
          <w:w w:val="105"/>
        </w:rPr>
        <w:t>government</w:t>
      </w:r>
      <w:r>
        <w:rPr>
          <w:spacing w:val="53"/>
          <w:w w:val="105"/>
        </w:rPr>
        <w:t> </w:t>
      </w:r>
      <w:r>
        <w:rPr>
          <w:w w:val="105"/>
        </w:rPr>
        <w:t>will </w:t>
      </w:r>
      <w:r>
        <w:rPr>
          <w:spacing w:val="2"/>
          <w:w w:val="105"/>
        </w:rPr>
        <w:t>extend </w:t>
      </w:r>
      <w:r>
        <w:rPr>
          <w:w w:val="105"/>
        </w:rPr>
        <w:t>this </w:t>
      </w:r>
      <w:r>
        <w:rPr>
          <w:spacing w:val="2"/>
          <w:w w:val="105"/>
        </w:rPr>
        <w:t>insurance coverage </w:t>
      </w:r>
      <w:r>
        <w:rPr>
          <w:w w:val="105"/>
        </w:rPr>
        <w:t>past  August  31, 2003; </w:t>
      </w:r>
      <w:r>
        <w:rPr>
          <w:spacing w:val="2"/>
          <w:w w:val="105"/>
        </w:rPr>
        <w:t>whether alternative commercial  </w:t>
      </w:r>
      <w:r>
        <w:rPr>
          <w:spacing w:val="8"/>
          <w:w w:val="105"/>
        </w:rPr>
        <w:t>insurance </w:t>
      </w:r>
      <w:r>
        <w:rPr>
          <w:w w:val="105"/>
        </w:rPr>
        <w:t>with </w:t>
      </w:r>
      <w:r>
        <w:rPr>
          <w:spacing w:val="2"/>
          <w:w w:val="105"/>
        </w:rPr>
        <w:t>comparable  coverage  </w:t>
      </w:r>
      <w:r>
        <w:rPr>
          <w:w w:val="105"/>
        </w:rPr>
        <w:t>will  </w:t>
      </w:r>
      <w:r>
        <w:rPr>
          <w:spacing w:val="3"/>
          <w:w w:val="105"/>
        </w:rPr>
        <w:t>become</w:t>
      </w:r>
      <w:r>
        <w:rPr>
          <w:spacing w:val="53"/>
          <w:w w:val="105"/>
        </w:rPr>
        <w:t> </w:t>
      </w:r>
      <w:r>
        <w:rPr>
          <w:spacing w:val="8"/>
          <w:w w:val="105"/>
        </w:rPr>
        <w:t>available </w:t>
      </w:r>
      <w:r>
        <w:rPr>
          <w:w w:val="105"/>
        </w:rPr>
        <w:t>at </w:t>
      </w:r>
      <w:r>
        <w:rPr>
          <w:spacing w:val="2"/>
          <w:w w:val="105"/>
        </w:rPr>
        <w:t>reasonable premiums; </w:t>
      </w:r>
      <w:r>
        <w:rPr>
          <w:w w:val="105"/>
        </w:rPr>
        <w:t>and what impact </w:t>
      </w:r>
      <w:r>
        <w:rPr>
          <w:spacing w:val="6"/>
          <w:w w:val="105"/>
        </w:rPr>
        <w:t>the </w:t>
      </w:r>
      <w:r>
        <w:rPr>
          <w:spacing w:val="2"/>
          <w:w w:val="105"/>
        </w:rPr>
        <w:t>outcome </w:t>
      </w:r>
      <w:r>
        <w:rPr>
          <w:w w:val="105"/>
        </w:rPr>
        <w:t>will have on the Company’s </w:t>
      </w:r>
      <w:r>
        <w:rPr>
          <w:spacing w:val="10"/>
          <w:w w:val="105"/>
        </w:rPr>
        <w:t>ongoing </w:t>
      </w:r>
      <w:r>
        <w:rPr>
          <w:spacing w:val="2"/>
          <w:w w:val="105"/>
        </w:rPr>
        <w:t>operations </w:t>
      </w:r>
      <w:r>
        <w:rPr>
          <w:w w:val="105"/>
        </w:rPr>
        <w:t>or future </w:t>
      </w:r>
      <w:r>
        <w:rPr>
          <w:spacing w:val="2"/>
          <w:w w:val="105"/>
        </w:rPr>
        <w:t>financial </w:t>
      </w:r>
      <w:r>
        <w:rPr>
          <w:spacing w:val="6"/>
          <w:w w:val="105"/>
        </w:rPr>
        <w:t>performance. </w:t>
      </w:r>
      <w:r>
        <w:rPr>
          <w:spacing w:val="3"/>
          <w:w w:val="105"/>
        </w:rPr>
        <w:t>As </w:t>
      </w:r>
      <w:r>
        <w:rPr>
          <w:w w:val="105"/>
        </w:rPr>
        <w:t>a result </w:t>
      </w:r>
      <w:r>
        <w:rPr>
          <w:spacing w:val="6"/>
          <w:w w:val="105"/>
        </w:rPr>
        <w:t>of </w:t>
      </w:r>
      <w:r>
        <w:rPr>
          <w:spacing w:val="3"/>
          <w:w w:val="105"/>
        </w:rPr>
        <w:t>recently </w:t>
      </w:r>
      <w:r>
        <w:rPr>
          <w:spacing w:val="6"/>
          <w:w w:val="105"/>
        </w:rPr>
        <w:t>concluded </w:t>
      </w:r>
      <w:r>
        <w:rPr>
          <w:spacing w:val="7"/>
          <w:w w:val="105"/>
        </w:rPr>
        <w:t>negotiations </w:t>
      </w:r>
      <w:r>
        <w:rPr>
          <w:spacing w:val="4"/>
          <w:w w:val="105"/>
        </w:rPr>
        <w:t>for </w:t>
      </w:r>
      <w:r>
        <w:rPr>
          <w:w w:val="105"/>
        </w:rPr>
        <w:t>2003 </w:t>
      </w:r>
      <w:r>
        <w:rPr>
          <w:spacing w:val="8"/>
          <w:w w:val="105"/>
        </w:rPr>
        <w:t>commercial </w:t>
      </w:r>
      <w:r>
        <w:rPr>
          <w:spacing w:val="6"/>
          <w:w w:val="105"/>
        </w:rPr>
        <w:t>insurance coverage</w:t>
      </w:r>
      <w:r>
        <w:rPr>
          <w:spacing w:val="59"/>
          <w:w w:val="105"/>
        </w:rPr>
        <w:t> </w:t>
      </w:r>
      <w:r>
        <w:rPr>
          <w:spacing w:val="8"/>
          <w:w w:val="105"/>
        </w:rPr>
        <w:t>and </w:t>
      </w:r>
      <w:r>
        <w:rPr>
          <w:spacing w:val="2"/>
          <w:w w:val="105"/>
        </w:rPr>
        <w:t>the </w:t>
      </w:r>
      <w:r>
        <w:rPr>
          <w:spacing w:val="12"/>
          <w:w w:val="105"/>
        </w:rPr>
        <w:t>addi- </w:t>
      </w:r>
      <w:r>
        <w:rPr>
          <w:spacing w:val="7"/>
          <w:w w:val="105"/>
        </w:rPr>
        <w:t>tional </w:t>
      </w:r>
      <w:r>
        <w:rPr>
          <w:spacing w:val="6"/>
          <w:w w:val="105"/>
        </w:rPr>
        <w:t>coverage </w:t>
      </w:r>
      <w:r>
        <w:rPr>
          <w:spacing w:val="8"/>
          <w:w w:val="105"/>
        </w:rPr>
        <w:t>provided </w:t>
      </w:r>
      <w:r>
        <w:rPr>
          <w:spacing w:val="6"/>
          <w:w w:val="105"/>
        </w:rPr>
        <w:t>by </w:t>
      </w:r>
      <w:r>
        <w:rPr>
          <w:spacing w:val="2"/>
          <w:w w:val="105"/>
        </w:rPr>
        <w:t>the </w:t>
      </w:r>
      <w:r>
        <w:rPr>
          <w:spacing w:val="7"/>
          <w:w w:val="105"/>
        </w:rPr>
        <w:t>government, </w:t>
      </w:r>
      <w:r>
        <w:rPr>
          <w:spacing w:val="6"/>
          <w:w w:val="105"/>
        </w:rPr>
        <w:t>the </w:t>
      </w:r>
      <w:r>
        <w:rPr>
          <w:spacing w:val="8"/>
          <w:w w:val="105"/>
        </w:rPr>
        <w:t>Company </w:t>
      </w:r>
      <w:r>
        <w:rPr>
          <w:spacing w:val="2"/>
          <w:w w:val="105"/>
        </w:rPr>
        <w:t>currently </w:t>
      </w:r>
      <w:r>
        <w:rPr>
          <w:spacing w:val="6"/>
          <w:w w:val="105"/>
        </w:rPr>
        <w:t>expects</w:t>
      </w:r>
      <w:r>
        <w:rPr>
          <w:spacing w:val="59"/>
          <w:w w:val="105"/>
        </w:rPr>
        <w:t> </w:t>
      </w:r>
      <w:r>
        <w:rPr>
          <w:spacing w:val="2"/>
          <w:w w:val="105"/>
        </w:rPr>
        <w:t>per-ASM </w:t>
      </w:r>
      <w:r>
        <w:rPr>
          <w:spacing w:val="6"/>
          <w:w w:val="105"/>
        </w:rPr>
        <w:t>insurance </w:t>
      </w:r>
      <w:r>
        <w:rPr>
          <w:w w:val="105"/>
        </w:rPr>
        <w:t>costs to </w:t>
      </w:r>
      <w:r>
        <w:rPr>
          <w:spacing w:val="5"/>
          <w:w w:val="105"/>
        </w:rPr>
        <w:t>decrease </w:t>
      </w:r>
      <w:r>
        <w:rPr>
          <w:spacing w:val="8"/>
          <w:w w:val="105"/>
        </w:rPr>
        <w:t>compared </w:t>
      </w:r>
      <w:r>
        <w:rPr>
          <w:w w:val="105"/>
        </w:rPr>
        <w:t>to 2002  </w:t>
      </w:r>
      <w:r>
        <w:rPr>
          <w:spacing w:val="4"/>
          <w:w w:val="105"/>
        </w:rPr>
        <w:t>for  </w:t>
      </w:r>
      <w:r>
        <w:rPr>
          <w:spacing w:val="6"/>
          <w:w w:val="105"/>
        </w:rPr>
        <w:t>at  </w:t>
      </w:r>
      <w:r>
        <w:rPr>
          <w:spacing w:val="2"/>
          <w:w w:val="105"/>
        </w:rPr>
        <w:t>least the  </w:t>
      </w:r>
      <w:r>
        <w:rPr>
          <w:spacing w:val="9"/>
          <w:w w:val="105"/>
        </w:rPr>
        <w:t>near </w:t>
      </w:r>
      <w:r>
        <w:rPr>
          <w:spacing w:val="4"/>
          <w:w w:val="105"/>
        </w:rPr>
        <w:t>term, </w:t>
      </w:r>
      <w:r>
        <w:rPr>
          <w:spacing w:val="7"/>
          <w:w w:val="105"/>
        </w:rPr>
        <w:t>including </w:t>
      </w:r>
      <w:r>
        <w:rPr>
          <w:w w:val="105"/>
        </w:rPr>
        <w:t>first </w:t>
      </w:r>
      <w:r>
        <w:rPr>
          <w:spacing w:val="5"/>
          <w:w w:val="105"/>
        </w:rPr>
        <w:t>quarter </w:t>
      </w:r>
      <w:r>
        <w:rPr>
          <w:w w:val="105"/>
        </w:rPr>
        <w:t>2003.</w:t>
      </w:r>
    </w:p>
    <w:p>
      <w:pPr>
        <w:pStyle w:val="BodyText"/>
        <w:spacing w:before="4"/>
        <w:rPr>
          <w:sz w:val="21"/>
        </w:rPr>
      </w:pPr>
    </w:p>
    <w:p>
      <w:pPr>
        <w:pStyle w:val="BodyText"/>
        <w:spacing w:line="254" w:lineRule="auto"/>
        <w:ind w:left="100" w:right="3" w:firstLine="180"/>
        <w:jc w:val="both"/>
      </w:pPr>
      <w:r>
        <w:rPr>
          <w:i/>
          <w:spacing w:val="3"/>
          <w:w w:val="105"/>
        </w:rPr>
        <w:t>Other</w:t>
      </w:r>
      <w:r>
        <w:rPr>
          <w:spacing w:val="3"/>
          <w:w w:val="105"/>
        </w:rPr>
        <w:t>. </w:t>
      </w:r>
      <w:r>
        <w:rPr>
          <w:w w:val="105"/>
        </w:rPr>
        <w:t>“Other </w:t>
      </w:r>
      <w:r>
        <w:rPr>
          <w:spacing w:val="2"/>
          <w:w w:val="105"/>
        </w:rPr>
        <w:t>expenses (income)” </w:t>
      </w:r>
      <w:r>
        <w:rPr>
          <w:spacing w:val="9"/>
          <w:w w:val="105"/>
        </w:rPr>
        <w:t>included </w:t>
      </w:r>
      <w:r>
        <w:rPr>
          <w:w w:val="105"/>
        </w:rPr>
        <w:t>interest </w:t>
      </w:r>
      <w:r>
        <w:rPr>
          <w:spacing w:val="2"/>
          <w:w w:val="105"/>
        </w:rPr>
        <w:t>expense, capitalized </w:t>
      </w:r>
      <w:r>
        <w:rPr>
          <w:w w:val="105"/>
        </w:rPr>
        <w:t>interest, </w:t>
      </w:r>
      <w:r>
        <w:rPr>
          <w:spacing w:val="4"/>
          <w:w w:val="105"/>
        </w:rPr>
        <w:t>interest </w:t>
      </w:r>
      <w:r>
        <w:rPr>
          <w:spacing w:val="2"/>
          <w:w w:val="105"/>
        </w:rPr>
        <w:t>income, </w:t>
      </w:r>
      <w:r>
        <w:rPr>
          <w:w w:val="105"/>
        </w:rPr>
        <w:t>and other gains  and  losses.  </w:t>
      </w:r>
      <w:r>
        <w:rPr>
          <w:spacing w:val="4"/>
          <w:w w:val="105"/>
        </w:rPr>
        <w:t>Interest </w:t>
      </w:r>
      <w:r>
        <w:rPr>
          <w:w w:val="105"/>
        </w:rPr>
        <w:t>expense increased $36.2 million, or 51.8 </w:t>
      </w:r>
      <w:r>
        <w:rPr>
          <w:spacing w:val="7"/>
          <w:w w:val="105"/>
        </w:rPr>
        <w:t>percent </w:t>
      </w:r>
      <w:r>
        <w:rPr>
          <w:spacing w:val="3"/>
          <w:w w:val="105"/>
        </w:rPr>
        <w:t>compared </w:t>
      </w:r>
      <w:r>
        <w:rPr>
          <w:w w:val="105"/>
        </w:rPr>
        <w:t>to the prior year, due to higher  </w:t>
      </w:r>
      <w:r>
        <w:rPr>
          <w:spacing w:val="10"/>
          <w:w w:val="105"/>
        </w:rPr>
        <w:t>debt </w:t>
      </w:r>
      <w:r>
        <w:rPr>
          <w:w w:val="105"/>
        </w:rPr>
        <w:t>levels.  In  fourth  quarter  2001,  the   </w:t>
      </w:r>
      <w:r>
        <w:rPr>
          <w:spacing w:val="9"/>
          <w:w w:val="105"/>
        </w:rPr>
        <w:t>Company </w:t>
      </w:r>
      <w:r>
        <w:rPr>
          <w:w w:val="105"/>
        </w:rPr>
        <w:t>issued $614.3  million  in  long-term  debt  in  </w:t>
      </w:r>
      <w:r>
        <w:rPr>
          <w:spacing w:val="6"/>
          <w:w w:val="105"/>
        </w:rPr>
        <w:t>the  </w:t>
      </w:r>
      <w:r>
        <w:rPr>
          <w:w w:val="105"/>
        </w:rPr>
        <w:t>form of Pass-Through Certificates. In first </w:t>
      </w:r>
      <w:r>
        <w:rPr>
          <w:spacing w:val="6"/>
          <w:w w:val="105"/>
        </w:rPr>
        <w:t>quarter </w:t>
      </w:r>
      <w:r>
        <w:rPr>
          <w:w w:val="105"/>
        </w:rPr>
        <w:t>2002, the Company  issued  $385  million  </w:t>
      </w:r>
      <w:r>
        <w:rPr>
          <w:spacing w:val="12"/>
          <w:w w:val="105"/>
        </w:rPr>
        <w:t>in </w:t>
      </w:r>
      <w:r>
        <w:rPr>
          <w:w w:val="105"/>
        </w:rPr>
        <w:t>unsecured notes. See Note 7 to the </w:t>
      </w:r>
      <w:r>
        <w:rPr>
          <w:spacing w:val="6"/>
          <w:w w:val="105"/>
        </w:rPr>
        <w:t>Consolidated </w:t>
      </w:r>
      <w:r>
        <w:rPr>
          <w:spacing w:val="2"/>
          <w:w w:val="105"/>
        </w:rPr>
        <w:t>Financial  </w:t>
      </w:r>
      <w:r>
        <w:rPr>
          <w:w w:val="105"/>
        </w:rPr>
        <w:t>Statements  for  more  </w:t>
      </w:r>
      <w:r>
        <w:rPr>
          <w:spacing w:val="3"/>
          <w:w w:val="105"/>
        </w:rPr>
        <w:t>information</w:t>
      </w:r>
      <w:r>
        <w:rPr>
          <w:spacing w:val="53"/>
          <w:w w:val="105"/>
        </w:rPr>
        <w:t> </w:t>
      </w:r>
      <w:r>
        <w:rPr>
          <w:spacing w:val="12"/>
          <w:w w:val="105"/>
        </w:rPr>
        <w:t>on </w:t>
      </w:r>
      <w:r>
        <w:rPr>
          <w:w w:val="105"/>
        </w:rPr>
        <w:t>these two borrowings. The increase in </w:t>
      </w:r>
      <w:r>
        <w:rPr>
          <w:spacing w:val="11"/>
          <w:w w:val="105"/>
        </w:rPr>
        <w:t>expense </w:t>
      </w:r>
      <w:r>
        <w:rPr>
          <w:w w:val="105"/>
        </w:rPr>
        <w:t>caused by these borrowings was partially offset  </w:t>
      </w:r>
      <w:r>
        <w:rPr>
          <w:spacing w:val="4"/>
          <w:w w:val="105"/>
        </w:rPr>
        <w:t>by    </w:t>
      </w:r>
      <w:r>
        <w:rPr>
          <w:w w:val="105"/>
        </w:rPr>
        <w:t>a decrease in interest rates on  the  </w:t>
      </w:r>
      <w:r>
        <w:rPr>
          <w:spacing w:val="6"/>
          <w:w w:val="105"/>
        </w:rPr>
        <w:t>Company’s </w:t>
      </w:r>
      <w:r>
        <w:rPr>
          <w:w w:val="105"/>
        </w:rPr>
        <w:t>floating rate  debt  and  the  July  2001  </w:t>
      </w:r>
      <w:r>
        <w:rPr>
          <w:spacing w:val="10"/>
          <w:w w:val="105"/>
        </w:rPr>
        <w:t>redemption </w:t>
      </w:r>
      <w:r>
        <w:rPr>
          <w:w w:val="105"/>
        </w:rPr>
        <w:t>of $100 </w:t>
      </w:r>
      <w:r>
        <w:rPr>
          <w:spacing w:val="2"/>
          <w:w w:val="105"/>
        </w:rPr>
        <w:t>million </w:t>
      </w:r>
      <w:r>
        <w:rPr>
          <w:w w:val="105"/>
        </w:rPr>
        <w:t>of </w:t>
      </w:r>
      <w:r>
        <w:rPr>
          <w:spacing w:val="2"/>
          <w:w w:val="105"/>
        </w:rPr>
        <w:t>unsecured </w:t>
      </w:r>
      <w:r>
        <w:rPr>
          <w:w w:val="105"/>
        </w:rPr>
        <w:t>notes. </w:t>
      </w:r>
      <w:r>
        <w:rPr>
          <w:spacing w:val="5"/>
          <w:w w:val="105"/>
        </w:rPr>
        <w:t>Capitalized </w:t>
      </w:r>
      <w:r>
        <w:rPr>
          <w:spacing w:val="4"/>
          <w:w w:val="105"/>
        </w:rPr>
        <w:t>interest </w:t>
      </w:r>
      <w:r>
        <w:rPr>
          <w:spacing w:val="6"/>
          <w:w w:val="105"/>
        </w:rPr>
        <w:t>decreased </w:t>
      </w:r>
      <w:r>
        <w:rPr>
          <w:w w:val="105"/>
        </w:rPr>
        <w:t>$3.9 </w:t>
      </w:r>
      <w:r>
        <w:rPr>
          <w:spacing w:val="6"/>
          <w:w w:val="105"/>
        </w:rPr>
        <w:t>million, or </w:t>
      </w:r>
      <w:r>
        <w:rPr>
          <w:w w:val="105"/>
        </w:rPr>
        <w:t>18.7 </w:t>
      </w:r>
      <w:r>
        <w:rPr>
          <w:spacing w:val="5"/>
          <w:w w:val="105"/>
        </w:rPr>
        <w:t>percent, primarily </w:t>
      </w:r>
      <w:r>
        <w:rPr>
          <w:spacing w:val="6"/>
          <w:w w:val="105"/>
        </w:rPr>
        <w:t>as</w:t>
      </w:r>
      <w:r>
        <w:rPr>
          <w:spacing w:val="59"/>
          <w:w w:val="105"/>
        </w:rPr>
        <w:t> </w:t>
      </w:r>
      <w:r>
        <w:rPr>
          <w:w w:val="105"/>
        </w:rPr>
        <w:t>a result </w:t>
      </w:r>
      <w:r>
        <w:rPr>
          <w:spacing w:val="6"/>
          <w:w w:val="105"/>
        </w:rPr>
        <w:t>of</w:t>
      </w:r>
      <w:r>
        <w:rPr>
          <w:spacing w:val="59"/>
          <w:w w:val="105"/>
        </w:rPr>
        <w:t> </w:t>
      </w:r>
      <w:r>
        <w:rPr>
          <w:spacing w:val="4"/>
          <w:w w:val="105"/>
        </w:rPr>
        <w:t>lower </w:t>
      </w:r>
      <w:r>
        <w:rPr>
          <w:w w:val="105"/>
        </w:rPr>
        <w:t>2002 </w:t>
      </w:r>
      <w:r>
        <w:rPr>
          <w:spacing w:val="3"/>
          <w:w w:val="105"/>
        </w:rPr>
        <w:t>progress </w:t>
      </w:r>
      <w:r>
        <w:rPr>
          <w:spacing w:val="8"/>
          <w:w w:val="105"/>
        </w:rPr>
        <w:t>payment </w:t>
      </w:r>
      <w:r>
        <w:rPr>
          <w:spacing w:val="7"/>
          <w:w w:val="105"/>
        </w:rPr>
        <w:t>balances </w:t>
      </w:r>
      <w:r>
        <w:rPr>
          <w:spacing w:val="4"/>
          <w:w w:val="105"/>
        </w:rPr>
        <w:t>for </w:t>
      </w:r>
      <w:r>
        <w:rPr>
          <w:spacing w:val="5"/>
          <w:w w:val="105"/>
        </w:rPr>
        <w:t>scheduled </w:t>
      </w:r>
      <w:r>
        <w:rPr>
          <w:spacing w:val="2"/>
          <w:w w:val="105"/>
        </w:rPr>
        <w:t>future </w:t>
      </w:r>
      <w:r>
        <w:rPr>
          <w:spacing w:val="4"/>
          <w:w w:val="105"/>
        </w:rPr>
        <w:t>aircraft </w:t>
      </w:r>
      <w:r>
        <w:rPr>
          <w:spacing w:val="6"/>
          <w:w w:val="105"/>
        </w:rPr>
        <w:t>deliveries,</w:t>
      </w:r>
      <w:r>
        <w:rPr>
          <w:spacing w:val="59"/>
          <w:w w:val="105"/>
        </w:rPr>
        <w:t> </w:t>
      </w:r>
      <w:r>
        <w:rPr>
          <w:spacing w:val="8"/>
          <w:w w:val="105"/>
        </w:rPr>
        <w:t>compared </w:t>
      </w:r>
      <w:r>
        <w:rPr>
          <w:w w:val="105"/>
        </w:rPr>
        <w:t>to 2001. </w:t>
      </w:r>
      <w:r>
        <w:rPr>
          <w:spacing w:val="3"/>
          <w:w w:val="105"/>
        </w:rPr>
        <w:t>Based </w:t>
      </w:r>
      <w:r>
        <w:rPr>
          <w:spacing w:val="6"/>
          <w:w w:val="105"/>
        </w:rPr>
        <w:t>on</w:t>
      </w:r>
      <w:r>
        <w:rPr>
          <w:spacing w:val="59"/>
          <w:w w:val="105"/>
        </w:rPr>
        <w:t> </w:t>
      </w:r>
      <w:r>
        <w:rPr>
          <w:spacing w:val="2"/>
          <w:w w:val="105"/>
        </w:rPr>
        <w:t>the </w:t>
      </w:r>
      <w:r>
        <w:rPr>
          <w:spacing w:val="6"/>
          <w:w w:val="105"/>
        </w:rPr>
        <w:t>Company’s </w:t>
      </w:r>
      <w:r>
        <w:rPr>
          <w:spacing w:val="4"/>
          <w:w w:val="105"/>
        </w:rPr>
        <w:t>current </w:t>
      </w:r>
      <w:r>
        <w:rPr>
          <w:spacing w:val="5"/>
          <w:w w:val="105"/>
        </w:rPr>
        <w:t>schedule  </w:t>
      </w:r>
      <w:r>
        <w:rPr>
          <w:spacing w:val="6"/>
          <w:w w:val="105"/>
        </w:rPr>
        <w:t>of </w:t>
      </w:r>
      <w:r>
        <w:rPr>
          <w:spacing w:val="59"/>
          <w:w w:val="105"/>
        </w:rPr>
        <w:t> </w:t>
      </w:r>
      <w:r>
        <w:rPr>
          <w:spacing w:val="3"/>
          <w:w w:val="105"/>
        </w:rPr>
        <w:t>progress </w:t>
      </w:r>
      <w:r>
        <w:rPr>
          <w:spacing w:val="7"/>
          <w:w w:val="105"/>
        </w:rPr>
        <w:t>payments </w:t>
      </w:r>
      <w:r>
        <w:rPr>
          <w:spacing w:val="8"/>
          <w:w w:val="105"/>
        </w:rPr>
        <w:t>and </w:t>
      </w:r>
      <w:r>
        <w:rPr>
          <w:spacing w:val="4"/>
          <w:w w:val="105"/>
        </w:rPr>
        <w:t>aircraft </w:t>
      </w:r>
      <w:r>
        <w:rPr>
          <w:spacing w:val="6"/>
          <w:w w:val="105"/>
        </w:rPr>
        <w:t>deliveries, </w:t>
      </w:r>
      <w:r>
        <w:rPr>
          <w:spacing w:val="2"/>
          <w:w w:val="105"/>
        </w:rPr>
        <w:t>the </w:t>
      </w:r>
      <w:r>
        <w:rPr>
          <w:spacing w:val="10"/>
          <w:w w:val="105"/>
        </w:rPr>
        <w:t>Company </w:t>
      </w:r>
      <w:r>
        <w:rPr>
          <w:spacing w:val="6"/>
          <w:w w:val="105"/>
        </w:rPr>
        <w:t>expects </w:t>
      </w:r>
      <w:r>
        <w:rPr>
          <w:spacing w:val="3"/>
          <w:w w:val="105"/>
        </w:rPr>
        <w:t>progress </w:t>
      </w:r>
      <w:r>
        <w:rPr>
          <w:spacing w:val="8"/>
          <w:w w:val="105"/>
        </w:rPr>
        <w:t>payment </w:t>
      </w:r>
      <w:r>
        <w:rPr>
          <w:spacing w:val="5"/>
          <w:w w:val="105"/>
        </w:rPr>
        <w:t>balances, </w:t>
      </w:r>
      <w:r>
        <w:rPr>
          <w:spacing w:val="12"/>
          <w:w w:val="105"/>
        </w:rPr>
        <w:t>and </w:t>
      </w:r>
      <w:r>
        <w:rPr>
          <w:spacing w:val="6"/>
          <w:w w:val="105"/>
        </w:rPr>
        <w:t>corresponding </w:t>
      </w:r>
      <w:r>
        <w:rPr>
          <w:spacing w:val="5"/>
          <w:w w:val="105"/>
        </w:rPr>
        <w:t>capitalized </w:t>
      </w:r>
      <w:r>
        <w:rPr>
          <w:spacing w:val="3"/>
          <w:w w:val="105"/>
        </w:rPr>
        <w:t>interest, </w:t>
      </w:r>
      <w:r>
        <w:rPr>
          <w:w w:val="105"/>
        </w:rPr>
        <w:t>to </w:t>
      </w:r>
      <w:r>
        <w:rPr>
          <w:spacing w:val="5"/>
          <w:w w:val="105"/>
        </w:rPr>
        <w:t>increase </w:t>
      </w:r>
      <w:r>
        <w:rPr>
          <w:spacing w:val="12"/>
          <w:w w:val="105"/>
        </w:rPr>
        <w:t>in </w:t>
      </w:r>
      <w:r>
        <w:rPr>
          <w:w w:val="105"/>
        </w:rPr>
        <w:t>2003 </w:t>
      </w:r>
      <w:r>
        <w:rPr>
          <w:spacing w:val="8"/>
          <w:w w:val="105"/>
        </w:rPr>
        <w:t>compared </w:t>
      </w:r>
      <w:r>
        <w:rPr>
          <w:w w:val="105"/>
        </w:rPr>
        <w:t>to 2002. </w:t>
      </w:r>
      <w:r>
        <w:rPr>
          <w:spacing w:val="4"/>
          <w:w w:val="105"/>
        </w:rPr>
        <w:t>Interest </w:t>
      </w:r>
      <w:r>
        <w:rPr>
          <w:spacing w:val="9"/>
          <w:w w:val="105"/>
        </w:rPr>
        <w:t>income  </w:t>
      </w:r>
      <w:r>
        <w:rPr>
          <w:spacing w:val="6"/>
          <w:w w:val="105"/>
        </w:rPr>
        <w:t>decreased </w:t>
      </w:r>
      <w:r>
        <w:rPr>
          <w:w w:val="105"/>
        </w:rPr>
        <w:t>$5.6 </w:t>
      </w:r>
      <w:r>
        <w:rPr>
          <w:spacing w:val="6"/>
          <w:w w:val="105"/>
        </w:rPr>
        <w:t>million,</w:t>
      </w:r>
      <w:r>
        <w:rPr>
          <w:spacing w:val="59"/>
          <w:w w:val="105"/>
        </w:rPr>
        <w:t> </w:t>
      </w:r>
      <w:r>
        <w:rPr>
          <w:spacing w:val="6"/>
          <w:w w:val="105"/>
        </w:rPr>
        <w:t>or </w:t>
      </w:r>
      <w:r>
        <w:rPr>
          <w:spacing w:val="59"/>
          <w:w w:val="105"/>
        </w:rPr>
        <w:t> </w:t>
      </w:r>
      <w:r>
        <w:rPr>
          <w:w w:val="105"/>
        </w:rPr>
        <w:t>13.2  </w:t>
      </w:r>
      <w:r>
        <w:rPr>
          <w:spacing w:val="5"/>
          <w:w w:val="105"/>
        </w:rPr>
        <w:t>percent,  </w:t>
      </w:r>
      <w:r>
        <w:rPr>
          <w:spacing w:val="6"/>
          <w:w w:val="105"/>
        </w:rPr>
        <w:t>as </w:t>
      </w:r>
      <w:r>
        <w:rPr>
          <w:spacing w:val="8"/>
          <w:w w:val="105"/>
        </w:rPr>
        <w:t>higher </w:t>
      </w:r>
      <w:r>
        <w:rPr>
          <w:spacing w:val="6"/>
          <w:w w:val="105"/>
        </w:rPr>
        <w:t>invested </w:t>
      </w:r>
      <w:r>
        <w:rPr>
          <w:spacing w:val="3"/>
          <w:w w:val="105"/>
        </w:rPr>
        <w:t>cash </w:t>
      </w:r>
      <w:r>
        <w:rPr>
          <w:spacing w:val="7"/>
          <w:w w:val="105"/>
        </w:rPr>
        <w:t>balances </w:t>
      </w:r>
      <w:r>
        <w:rPr>
          <w:spacing w:val="4"/>
          <w:w w:val="105"/>
        </w:rPr>
        <w:t>for </w:t>
      </w:r>
      <w:r>
        <w:rPr>
          <w:spacing w:val="2"/>
          <w:w w:val="105"/>
        </w:rPr>
        <w:t>the </w:t>
      </w:r>
      <w:r>
        <w:rPr>
          <w:spacing w:val="5"/>
          <w:w w:val="105"/>
        </w:rPr>
        <w:t>year </w:t>
      </w:r>
      <w:r>
        <w:rPr>
          <w:spacing w:val="4"/>
          <w:w w:val="105"/>
        </w:rPr>
        <w:t>were </w:t>
      </w:r>
      <w:r>
        <w:rPr>
          <w:spacing w:val="6"/>
          <w:w w:val="105"/>
        </w:rPr>
        <w:t>more </w:t>
      </w:r>
      <w:r>
        <w:rPr>
          <w:spacing w:val="5"/>
          <w:w w:val="105"/>
        </w:rPr>
        <w:t>than </w:t>
      </w:r>
      <w:r>
        <w:rPr>
          <w:spacing w:val="3"/>
          <w:w w:val="105"/>
        </w:rPr>
        <w:t>offset </w:t>
      </w:r>
      <w:r>
        <w:rPr>
          <w:spacing w:val="6"/>
          <w:w w:val="105"/>
        </w:rPr>
        <w:t>by </w:t>
      </w:r>
      <w:r>
        <w:rPr>
          <w:spacing w:val="4"/>
          <w:w w:val="105"/>
        </w:rPr>
        <w:t>lower </w:t>
      </w:r>
      <w:r>
        <w:rPr>
          <w:w w:val="105"/>
        </w:rPr>
        <w:t>rates. </w:t>
      </w:r>
      <w:r>
        <w:rPr>
          <w:spacing w:val="5"/>
          <w:w w:val="105"/>
        </w:rPr>
        <w:t>Other </w:t>
      </w:r>
      <w:r>
        <w:rPr>
          <w:spacing w:val="7"/>
          <w:w w:val="105"/>
        </w:rPr>
        <w:t>gains  </w:t>
      </w:r>
      <w:r>
        <w:rPr>
          <w:spacing w:val="12"/>
          <w:w w:val="105"/>
        </w:rPr>
        <w:t>in </w:t>
      </w:r>
      <w:r>
        <w:rPr>
          <w:w w:val="105"/>
        </w:rPr>
        <w:t>2002      </w:t>
      </w:r>
      <w:r>
        <w:rPr>
          <w:spacing w:val="8"/>
          <w:w w:val="105"/>
        </w:rPr>
        <w:t>and     </w:t>
      </w:r>
      <w:r>
        <w:rPr>
          <w:w w:val="105"/>
        </w:rPr>
        <w:t>2001      </w:t>
      </w:r>
      <w:r>
        <w:rPr>
          <w:spacing w:val="5"/>
          <w:w w:val="105"/>
        </w:rPr>
        <w:t>primarily      </w:t>
      </w:r>
      <w:r>
        <w:rPr>
          <w:w w:val="105"/>
        </w:rPr>
        <w:t>resulted     </w:t>
      </w:r>
      <w:r>
        <w:rPr>
          <w:spacing w:val="27"/>
          <w:w w:val="105"/>
        </w:rPr>
        <w:t> </w:t>
      </w:r>
      <w:r>
        <w:rPr>
          <w:w w:val="105"/>
        </w:rPr>
        <w:t>from</w:t>
      </w:r>
    </w:p>
    <w:p>
      <w:pPr>
        <w:pStyle w:val="BodyText"/>
        <w:spacing w:line="254" w:lineRule="auto" w:before="1"/>
        <w:ind w:left="100"/>
        <w:jc w:val="both"/>
      </w:pPr>
      <w:r>
        <w:rPr>
          <w:w w:val="105"/>
        </w:rPr>
        <w:t>$48 </w:t>
      </w:r>
      <w:r>
        <w:rPr>
          <w:spacing w:val="5"/>
          <w:w w:val="105"/>
        </w:rPr>
        <w:t>million </w:t>
      </w:r>
      <w:r>
        <w:rPr>
          <w:spacing w:val="8"/>
          <w:w w:val="105"/>
        </w:rPr>
        <w:t>and </w:t>
      </w:r>
      <w:r>
        <w:rPr>
          <w:w w:val="105"/>
        </w:rPr>
        <w:t>$235  </w:t>
      </w:r>
      <w:r>
        <w:rPr>
          <w:spacing w:val="6"/>
          <w:w w:val="105"/>
        </w:rPr>
        <w:t>million,</w:t>
      </w:r>
      <w:r>
        <w:rPr>
          <w:spacing w:val="59"/>
          <w:w w:val="105"/>
        </w:rPr>
        <w:t> </w:t>
      </w:r>
      <w:r>
        <w:rPr>
          <w:spacing w:val="4"/>
          <w:w w:val="105"/>
        </w:rPr>
        <w:t>respectively, </w:t>
      </w:r>
      <w:r>
        <w:rPr>
          <w:spacing w:val="7"/>
          <w:w w:val="105"/>
        </w:rPr>
        <w:t>received </w:t>
      </w:r>
      <w:r>
        <w:rPr>
          <w:spacing w:val="6"/>
          <w:w w:val="105"/>
        </w:rPr>
        <w:t>as </w:t>
      </w:r>
      <w:r>
        <w:rPr>
          <w:spacing w:val="2"/>
          <w:w w:val="105"/>
        </w:rPr>
        <w:t>the </w:t>
      </w:r>
      <w:r>
        <w:rPr>
          <w:spacing w:val="6"/>
          <w:w w:val="105"/>
        </w:rPr>
        <w:t>Company’s </w:t>
      </w:r>
      <w:r>
        <w:rPr>
          <w:spacing w:val="3"/>
          <w:w w:val="105"/>
        </w:rPr>
        <w:t>share </w:t>
      </w:r>
      <w:r>
        <w:rPr>
          <w:spacing w:val="6"/>
          <w:w w:val="105"/>
        </w:rPr>
        <w:t>of </w:t>
      </w:r>
      <w:r>
        <w:rPr>
          <w:spacing w:val="9"/>
          <w:w w:val="105"/>
        </w:rPr>
        <w:t>government </w:t>
      </w:r>
      <w:r>
        <w:rPr>
          <w:spacing w:val="4"/>
          <w:w w:val="105"/>
        </w:rPr>
        <w:t>grant </w:t>
      </w:r>
      <w:r>
        <w:rPr>
          <w:spacing w:val="7"/>
          <w:w w:val="105"/>
        </w:rPr>
        <w:t>funds </w:t>
      </w:r>
      <w:r>
        <w:rPr>
          <w:spacing w:val="9"/>
          <w:w w:val="105"/>
        </w:rPr>
        <w:t>under </w:t>
      </w:r>
      <w:r>
        <w:rPr>
          <w:spacing w:val="2"/>
          <w:w w:val="105"/>
        </w:rPr>
        <w:t>the </w:t>
      </w:r>
      <w:r>
        <w:rPr>
          <w:spacing w:val="6"/>
          <w:w w:val="105"/>
        </w:rPr>
        <w:t>Air </w:t>
      </w:r>
      <w:r>
        <w:rPr>
          <w:spacing w:val="4"/>
          <w:w w:val="105"/>
        </w:rPr>
        <w:t>Stabilization </w:t>
      </w:r>
      <w:r>
        <w:rPr>
          <w:spacing w:val="2"/>
          <w:w w:val="105"/>
        </w:rPr>
        <w:t>Act.  </w:t>
      </w:r>
      <w:r>
        <w:rPr>
          <w:spacing w:val="6"/>
          <w:w w:val="105"/>
        </w:rPr>
        <w:t>See </w:t>
      </w:r>
      <w:r>
        <w:rPr>
          <w:spacing w:val="4"/>
          <w:w w:val="105"/>
        </w:rPr>
        <w:t>Note  </w:t>
      </w:r>
      <w:r>
        <w:rPr>
          <w:w w:val="105"/>
        </w:rPr>
        <w:t>3  to  </w:t>
      </w:r>
      <w:r>
        <w:rPr>
          <w:spacing w:val="2"/>
          <w:w w:val="105"/>
        </w:rPr>
        <w:t>the  </w:t>
      </w:r>
      <w:r>
        <w:rPr>
          <w:spacing w:val="6"/>
          <w:w w:val="105"/>
        </w:rPr>
        <w:t>Company’s  </w:t>
      </w:r>
      <w:r>
        <w:rPr>
          <w:spacing w:val="5"/>
          <w:w w:val="105"/>
        </w:rPr>
        <w:t>Consolidated  </w:t>
      </w:r>
      <w:r>
        <w:rPr>
          <w:spacing w:val="10"/>
          <w:w w:val="105"/>
        </w:rPr>
        <w:t>Financial</w:t>
      </w:r>
    </w:p>
    <w:p>
      <w:pPr>
        <w:pStyle w:val="BodyText"/>
        <w:spacing w:line="254" w:lineRule="auto" w:before="69"/>
        <w:ind w:left="19" w:right="103"/>
        <w:jc w:val="right"/>
      </w:pPr>
      <w:r>
        <w:rPr/>
        <w:br w:type="column"/>
      </w:r>
      <w:r>
        <w:rPr>
          <w:w w:val="105"/>
        </w:rPr>
        <w:t>Statements for further discussion of the Air</w:t>
      </w:r>
      <w:r>
        <w:rPr>
          <w:w w:val="96"/>
        </w:rPr>
        <w:t> </w:t>
      </w:r>
      <w:r>
        <w:rPr>
          <w:w w:val="105"/>
        </w:rPr>
        <w:t>Stabilization Act and grants from  the  government.</w:t>
      </w:r>
    </w:p>
    <w:p>
      <w:pPr>
        <w:pStyle w:val="BodyText"/>
        <w:spacing w:before="4"/>
        <w:rPr>
          <w:sz w:val="21"/>
        </w:rPr>
      </w:pPr>
    </w:p>
    <w:p>
      <w:pPr>
        <w:pStyle w:val="BodyText"/>
        <w:spacing w:line="254" w:lineRule="auto"/>
        <w:ind w:left="100" w:right="119" w:firstLine="180"/>
        <w:jc w:val="both"/>
      </w:pPr>
      <w:r>
        <w:rPr>
          <w:i/>
          <w:spacing w:val="6"/>
          <w:w w:val="105"/>
        </w:rPr>
        <w:t>Income </w:t>
      </w:r>
      <w:r>
        <w:rPr>
          <w:i/>
          <w:spacing w:val="5"/>
          <w:w w:val="105"/>
        </w:rPr>
        <w:t>Taxes. </w:t>
      </w:r>
      <w:r>
        <w:rPr>
          <w:spacing w:val="4"/>
          <w:w w:val="105"/>
        </w:rPr>
        <w:t>The </w:t>
      </w:r>
      <w:r>
        <w:rPr>
          <w:spacing w:val="7"/>
          <w:w w:val="105"/>
        </w:rPr>
        <w:t>provision </w:t>
      </w:r>
      <w:r>
        <w:rPr>
          <w:spacing w:val="4"/>
          <w:w w:val="105"/>
        </w:rPr>
        <w:t>for </w:t>
      </w:r>
      <w:r>
        <w:rPr>
          <w:spacing w:val="9"/>
          <w:w w:val="105"/>
        </w:rPr>
        <w:t>income  </w:t>
      </w:r>
      <w:r>
        <w:rPr>
          <w:spacing w:val="4"/>
          <w:w w:val="105"/>
        </w:rPr>
        <w:t>taxes, </w:t>
      </w:r>
      <w:r>
        <w:rPr>
          <w:spacing w:val="6"/>
          <w:w w:val="105"/>
        </w:rPr>
        <w:t>as </w:t>
      </w:r>
      <w:r>
        <w:rPr>
          <w:w w:val="105"/>
        </w:rPr>
        <w:t>a </w:t>
      </w:r>
      <w:r>
        <w:rPr>
          <w:spacing w:val="5"/>
          <w:w w:val="105"/>
        </w:rPr>
        <w:t>percentage </w:t>
      </w:r>
      <w:r>
        <w:rPr>
          <w:spacing w:val="6"/>
          <w:w w:val="105"/>
        </w:rPr>
        <w:t>of</w:t>
      </w:r>
      <w:r>
        <w:rPr>
          <w:spacing w:val="59"/>
          <w:w w:val="105"/>
        </w:rPr>
        <w:t> </w:t>
      </w:r>
      <w:r>
        <w:rPr>
          <w:spacing w:val="9"/>
          <w:w w:val="105"/>
        </w:rPr>
        <w:t>income  </w:t>
      </w:r>
      <w:r>
        <w:rPr>
          <w:spacing w:val="5"/>
          <w:w w:val="105"/>
        </w:rPr>
        <w:t>before  </w:t>
      </w:r>
      <w:r>
        <w:rPr>
          <w:spacing w:val="4"/>
          <w:w w:val="105"/>
        </w:rPr>
        <w:t>taxes, </w:t>
      </w:r>
      <w:r>
        <w:rPr>
          <w:spacing w:val="6"/>
          <w:w w:val="105"/>
        </w:rPr>
        <w:t>increased    </w:t>
      </w:r>
      <w:r>
        <w:rPr>
          <w:w w:val="105"/>
        </w:rPr>
        <w:t>to     38.64     </w:t>
      </w:r>
      <w:r>
        <w:rPr>
          <w:spacing w:val="6"/>
          <w:w w:val="105"/>
        </w:rPr>
        <w:t>percent    in    </w:t>
      </w:r>
      <w:r>
        <w:rPr>
          <w:w w:val="105"/>
        </w:rPr>
        <w:t>2002    from</w:t>
      </w:r>
    </w:p>
    <w:p>
      <w:pPr>
        <w:pStyle w:val="BodyText"/>
        <w:spacing w:line="254" w:lineRule="auto" w:before="1"/>
        <w:ind w:left="100" w:right="119"/>
        <w:jc w:val="both"/>
      </w:pPr>
      <w:r>
        <w:rPr>
          <w:w w:val="110"/>
        </w:rPr>
        <w:t>38.24 </w:t>
      </w:r>
      <w:r>
        <w:rPr>
          <w:spacing w:val="6"/>
          <w:w w:val="110"/>
        </w:rPr>
        <w:t>percent in</w:t>
      </w:r>
      <w:r>
        <w:rPr>
          <w:spacing w:val="61"/>
          <w:w w:val="110"/>
        </w:rPr>
        <w:t> </w:t>
      </w:r>
      <w:r>
        <w:rPr>
          <w:w w:val="110"/>
        </w:rPr>
        <w:t>2001 </w:t>
      </w:r>
      <w:r>
        <w:rPr>
          <w:spacing w:val="5"/>
          <w:w w:val="110"/>
        </w:rPr>
        <w:t>primarily </w:t>
      </w:r>
      <w:r>
        <w:rPr>
          <w:spacing w:val="8"/>
          <w:w w:val="110"/>
        </w:rPr>
        <w:t>due </w:t>
      </w:r>
      <w:r>
        <w:rPr>
          <w:w w:val="110"/>
        </w:rPr>
        <w:t>to </w:t>
      </w:r>
      <w:r>
        <w:rPr>
          <w:spacing w:val="6"/>
          <w:w w:val="110"/>
        </w:rPr>
        <w:t>the Company’s </w:t>
      </w:r>
      <w:r>
        <w:rPr>
          <w:spacing w:val="4"/>
          <w:w w:val="110"/>
        </w:rPr>
        <w:t>lower </w:t>
      </w:r>
      <w:r>
        <w:rPr>
          <w:spacing w:val="7"/>
          <w:w w:val="110"/>
        </w:rPr>
        <w:t>earnings </w:t>
      </w:r>
      <w:r>
        <w:rPr>
          <w:spacing w:val="6"/>
          <w:w w:val="110"/>
        </w:rPr>
        <w:t>in </w:t>
      </w:r>
      <w:r>
        <w:rPr>
          <w:w w:val="110"/>
        </w:rPr>
        <w:t>2002.</w:t>
      </w:r>
    </w:p>
    <w:p>
      <w:pPr>
        <w:pStyle w:val="BodyText"/>
        <w:spacing w:before="4"/>
        <w:rPr>
          <w:sz w:val="21"/>
        </w:rPr>
      </w:pPr>
    </w:p>
    <w:p>
      <w:pPr>
        <w:pStyle w:val="BodyText"/>
        <w:spacing w:line="254" w:lineRule="auto" w:before="1"/>
        <w:ind w:left="100" w:right="107" w:firstLine="180"/>
        <w:jc w:val="both"/>
      </w:pPr>
      <w:r>
        <w:rPr>
          <w:i/>
          <w:w w:val="105"/>
        </w:rPr>
        <w:t>2001 Compared With 2000. </w:t>
      </w:r>
      <w:r>
        <w:rPr>
          <w:spacing w:val="2"/>
          <w:w w:val="105"/>
        </w:rPr>
        <w:t>Consolidated </w:t>
      </w:r>
      <w:r>
        <w:rPr>
          <w:spacing w:val="6"/>
          <w:w w:val="105"/>
        </w:rPr>
        <w:t>net </w:t>
      </w:r>
      <w:r>
        <w:rPr>
          <w:spacing w:val="3"/>
          <w:w w:val="105"/>
        </w:rPr>
        <w:t>income </w:t>
      </w:r>
      <w:r>
        <w:rPr>
          <w:w w:val="105"/>
        </w:rPr>
        <w:t>for 2001 was  $511.1  million  ($.63  </w:t>
      </w:r>
      <w:r>
        <w:rPr>
          <w:spacing w:val="6"/>
          <w:w w:val="105"/>
        </w:rPr>
        <w:t>per </w:t>
      </w:r>
      <w:r>
        <w:rPr>
          <w:w w:val="105"/>
        </w:rPr>
        <w:t>share,  diluted),  as  </w:t>
      </w:r>
      <w:r>
        <w:rPr>
          <w:spacing w:val="3"/>
          <w:w w:val="105"/>
        </w:rPr>
        <w:t>compared   </w:t>
      </w:r>
      <w:r>
        <w:rPr>
          <w:w w:val="105"/>
        </w:rPr>
        <w:t>to   2000   </w:t>
      </w:r>
      <w:r>
        <w:rPr>
          <w:spacing w:val="6"/>
          <w:w w:val="105"/>
        </w:rPr>
        <w:t>net </w:t>
      </w:r>
      <w:r>
        <w:rPr>
          <w:spacing w:val="3"/>
          <w:w w:val="105"/>
        </w:rPr>
        <w:t>income, </w:t>
      </w:r>
      <w:r>
        <w:rPr>
          <w:w w:val="105"/>
        </w:rPr>
        <w:t>before  the  </w:t>
      </w:r>
      <w:r>
        <w:rPr>
          <w:spacing w:val="3"/>
          <w:w w:val="105"/>
        </w:rPr>
        <w:t>cumulative</w:t>
      </w:r>
      <w:r>
        <w:rPr>
          <w:spacing w:val="53"/>
          <w:w w:val="105"/>
        </w:rPr>
        <w:t> </w:t>
      </w:r>
      <w:r>
        <w:rPr>
          <w:w w:val="105"/>
        </w:rPr>
        <w:t>effect  of  </w:t>
      </w:r>
      <w:r>
        <w:rPr>
          <w:spacing w:val="10"/>
          <w:w w:val="105"/>
        </w:rPr>
        <w:t>change  </w:t>
      </w:r>
      <w:r>
        <w:rPr>
          <w:w w:val="105"/>
        </w:rPr>
        <w:t>in   </w:t>
      </w:r>
      <w:r>
        <w:rPr>
          <w:spacing w:val="2"/>
          <w:w w:val="105"/>
        </w:rPr>
        <w:t>accounting   principle,    </w:t>
      </w:r>
      <w:r>
        <w:rPr>
          <w:w w:val="105"/>
        </w:rPr>
        <w:t>of    $625.2    </w:t>
      </w:r>
      <w:r>
        <w:rPr>
          <w:spacing w:val="8"/>
          <w:w w:val="105"/>
        </w:rPr>
        <w:t>million </w:t>
      </w:r>
      <w:r>
        <w:rPr>
          <w:w w:val="105"/>
        </w:rPr>
        <w:t>($.79     per     share,     diluted),      a     decrease      </w:t>
      </w:r>
      <w:r>
        <w:rPr>
          <w:spacing w:val="8"/>
          <w:w w:val="105"/>
        </w:rPr>
        <w:t> </w:t>
      </w:r>
      <w:r>
        <w:rPr>
          <w:spacing w:val="6"/>
          <w:w w:val="105"/>
        </w:rPr>
        <w:t>of</w:t>
      </w:r>
    </w:p>
    <w:p>
      <w:pPr>
        <w:pStyle w:val="BodyText"/>
        <w:spacing w:line="254" w:lineRule="auto" w:before="1"/>
        <w:ind w:left="100" w:right="106"/>
        <w:jc w:val="both"/>
      </w:pPr>
      <w:r>
        <w:rPr>
          <w:w w:val="110"/>
        </w:rPr>
        <w:t>$114.1 million, or 18.2 percent. Consolidated results for 2001 included $235  million  in  gains that the Company recognized from grants under the Air Stabilization Act and special  pre-tax charges of approximately $48 million arising from the terrorist attacks (see Note 3 to the Consoli- dated Financial Statements). Excluding the grant and special charges related  to  the  terrorist attacks, net income for 2001 was $412.9 million ($.51 per share, diluted). The cumulative effect of change   in   accounting   principle   for   2000   was</w:t>
      </w:r>
    </w:p>
    <w:p>
      <w:pPr>
        <w:pStyle w:val="BodyText"/>
        <w:spacing w:line="254" w:lineRule="auto" w:before="1"/>
        <w:ind w:left="100" w:right="111"/>
        <w:jc w:val="both"/>
      </w:pPr>
      <w:r>
        <w:rPr>
          <w:w w:val="105"/>
        </w:rPr>
        <w:t>$22.1 million, net of taxes  of  $14.0  million  </w:t>
      </w:r>
      <w:r>
        <w:rPr>
          <w:spacing w:val="6"/>
          <w:w w:val="105"/>
        </w:rPr>
        <w:t>(see </w:t>
      </w:r>
      <w:r>
        <w:rPr>
          <w:w w:val="105"/>
        </w:rPr>
        <w:t>Note  2  to  the  </w:t>
      </w:r>
      <w:r>
        <w:rPr>
          <w:spacing w:val="2"/>
          <w:w w:val="105"/>
        </w:rPr>
        <w:t>Consolidated  Financial   </w:t>
      </w:r>
      <w:r>
        <w:rPr>
          <w:w w:val="105"/>
        </w:rPr>
        <w:t>State- ments). Net </w:t>
      </w:r>
      <w:r>
        <w:rPr>
          <w:spacing w:val="2"/>
          <w:w w:val="105"/>
        </w:rPr>
        <w:t>income </w:t>
      </w:r>
      <w:r>
        <w:rPr>
          <w:w w:val="105"/>
        </w:rPr>
        <w:t>and net </w:t>
      </w:r>
      <w:r>
        <w:rPr>
          <w:spacing w:val="3"/>
          <w:w w:val="105"/>
        </w:rPr>
        <w:t>income </w:t>
      </w:r>
      <w:r>
        <w:rPr>
          <w:w w:val="105"/>
        </w:rPr>
        <w:t>per </w:t>
      </w:r>
      <w:r>
        <w:rPr>
          <w:spacing w:val="5"/>
          <w:w w:val="105"/>
        </w:rPr>
        <w:t>share, </w:t>
      </w:r>
      <w:r>
        <w:rPr>
          <w:w w:val="105"/>
        </w:rPr>
        <w:t>diluted, for 2000, after the </w:t>
      </w:r>
      <w:r>
        <w:rPr>
          <w:spacing w:val="2"/>
          <w:w w:val="105"/>
        </w:rPr>
        <w:t>cumulative change </w:t>
      </w:r>
      <w:r>
        <w:rPr>
          <w:spacing w:val="12"/>
          <w:w w:val="105"/>
        </w:rPr>
        <w:t>in </w:t>
      </w:r>
      <w:r>
        <w:rPr>
          <w:spacing w:val="2"/>
          <w:w w:val="105"/>
        </w:rPr>
        <w:t>accounting    principle,   </w:t>
      </w:r>
      <w:r>
        <w:rPr>
          <w:w w:val="105"/>
        </w:rPr>
        <w:t>were    $603.1   million   </w:t>
      </w:r>
      <w:r>
        <w:rPr>
          <w:spacing w:val="6"/>
          <w:w w:val="105"/>
        </w:rPr>
        <w:t> </w:t>
      </w:r>
      <w:r>
        <w:rPr>
          <w:spacing w:val="12"/>
          <w:w w:val="105"/>
        </w:rPr>
        <w:t>and</w:t>
      </w:r>
    </w:p>
    <w:p>
      <w:pPr>
        <w:pStyle w:val="BodyText"/>
        <w:spacing w:line="254" w:lineRule="auto" w:before="1"/>
        <w:ind w:left="100" w:right="117"/>
        <w:jc w:val="both"/>
      </w:pPr>
      <w:r>
        <w:rPr>
          <w:w w:val="105"/>
        </w:rPr>
        <w:t>$.76,  respectively.  Operating   income   for   2001 was        $631.1        million,         a        decrease        of</w:t>
      </w:r>
    </w:p>
    <w:p>
      <w:pPr>
        <w:pStyle w:val="BodyText"/>
        <w:spacing w:line="254" w:lineRule="auto" w:before="1"/>
        <w:ind w:left="100" w:right="117"/>
        <w:jc w:val="both"/>
      </w:pPr>
      <w:r>
        <w:rPr>
          <w:w w:val="110"/>
        </w:rPr>
        <w:t>$390.0 million, or 38.2 percent,  </w:t>
      </w:r>
      <w:r>
        <w:rPr>
          <w:spacing w:val="3"/>
          <w:w w:val="110"/>
        </w:rPr>
        <w:t>compared</w:t>
      </w:r>
      <w:r>
        <w:rPr>
          <w:spacing w:val="55"/>
          <w:w w:val="110"/>
        </w:rPr>
        <w:t> </w:t>
      </w:r>
      <w:r>
        <w:rPr>
          <w:spacing w:val="4"/>
          <w:w w:val="110"/>
        </w:rPr>
        <w:t>to </w:t>
      </w:r>
      <w:r>
        <w:rPr>
          <w:w w:val="110"/>
        </w:rPr>
        <w:t>2000.</w:t>
      </w:r>
    </w:p>
    <w:p>
      <w:pPr>
        <w:pStyle w:val="BodyText"/>
        <w:spacing w:before="4"/>
        <w:rPr>
          <w:sz w:val="21"/>
        </w:rPr>
      </w:pPr>
    </w:p>
    <w:p>
      <w:pPr>
        <w:pStyle w:val="BodyText"/>
        <w:spacing w:line="254" w:lineRule="auto" w:before="1"/>
        <w:ind w:left="100" w:right="103" w:firstLine="180"/>
        <w:jc w:val="both"/>
      </w:pPr>
      <w:r>
        <w:rPr>
          <w:i/>
          <w:w w:val="105"/>
        </w:rPr>
        <w:t>Operating Revenues. </w:t>
      </w:r>
      <w:r>
        <w:rPr>
          <w:spacing w:val="5"/>
          <w:w w:val="105"/>
        </w:rPr>
        <w:t>Consolidated </w:t>
      </w:r>
      <w:r>
        <w:rPr>
          <w:spacing w:val="8"/>
          <w:w w:val="105"/>
        </w:rPr>
        <w:t>operating revenues </w:t>
      </w:r>
      <w:r>
        <w:rPr>
          <w:spacing w:val="6"/>
          <w:w w:val="105"/>
        </w:rPr>
        <w:t>decreased</w:t>
      </w:r>
      <w:r>
        <w:rPr>
          <w:spacing w:val="59"/>
          <w:w w:val="105"/>
        </w:rPr>
        <w:t> </w:t>
      </w:r>
      <w:r>
        <w:rPr>
          <w:w w:val="105"/>
        </w:rPr>
        <w:t>$94.4 </w:t>
      </w:r>
      <w:r>
        <w:rPr>
          <w:spacing w:val="6"/>
          <w:w w:val="105"/>
        </w:rPr>
        <w:t>million,</w:t>
      </w:r>
      <w:r>
        <w:rPr>
          <w:spacing w:val="59"/>
          <w:w w:val="105"/>
        </w:rPr>
        <w:t> </w:t>
      </w:r>
      <w:r>
        <w:rPr>
          <w:spacing w:val="6"/>
          <w:w w:val="105"/>
        </w:rPr>
        <w:t>or </w:t>
      </w:r>
      <w:r>
        <w:rPr>
          <w:w w:val="105"/>
        </w:rPr>
        <w:t>1.7 </w:t>
      </w:r>
      <w:r>
        <w:rPr>
          <w:spacing w:val="5"/>
          <w:w w:val="105"/>
        </w:rPr>
        <w:t>per- </w:t>
      </w:r>
      <w:r>
        <w:rPr>
          <w:spacing w:val="4"/>
          <w:w w:val="105"/>
        </w:rPr>
        <w:t>cent, </w:t>
      </w:r>
      <w:r>
        <w:rPr>
          <w:spacing w:val="5"/>
          <w:w w:val="105"/>
        </w:rPr>
        <w:t>primarily </w:t>
      </w:r>
      <w:r>
        <w:rPr>
          <w:spacing w:val="8"/>
          <w:w w:val="105"/>
        </w:rPr>
        <w:t>due </w:t>
      </w:r>
      <w:r>
        <w:rPr>
          <w:w w:val="105"/>
        </w:rPr>
        <w:t>to a 1.6 </w:t>
      </w:r>
      <w:r>
        <w:rPr>
          <w:spacing w:val="6"/>
          <w:w w:val="105"/>
        </w:rPr>
        <w:t>percent </w:t>
      </w:r>
      <w:r>
        <w:rPr>
          <w:spacing w:val="5"/>
          <w:w w:val="105"/>
        </w:rPr>
        <w:t>decrease </w:t>
      </w:r>
      <w:r>
        <w:rPr>
          <w:spacing w:val="6"/>
          <w:w w:val="105"/>
        </w:rPr>
        <w:t>in </w:t>
      </w:r>
      <w:r>
        <w:rPr>
          <w:spacing w:val="5"/>
          <w:w w:val="105"/>
        </w:rPr>
        <w:t>passenger </w:t>
      </w:r>
      <w:r>
        <w:rPr>
          <w:spacing w:val="7"/>
          <w:w w:val="105"/>
        </w:rPr>
        <w:t>revenues. </w:t>
      </w:r>
      <w:r>
        <w:rPr>
          <w:spacing w:val="4"/>
          <w:w w:val="105"/>
        </w:rPr>
        <w:t>The </w:t>
      </w:r>
      <w:r>
        <w:rPr>
          <w:spacing w:val="5"/>
          <w:w w:val="105"/>
        </w:rPr>
        <w:t>decrease </w:t>
      </w:r>
      <w:r>
        <w:rPr>
          <w:spacing w:val="6"/>
          <w:w w:val="105"/>
        </w:rPr>
        <w:t>in </w:t>
      </w:r>
      <w:r>
        <w:rPr>
          <w:spacing w:val="7"/>
          <w:w w:val="105"/>
        </w:rPr>
        <w:t>passenger </w:t>
      </w:r>
      <w:r>
        <w:rPr>
          <w:spacing w:val="8"/>
          <w:w w:val="105"/>
        </w:rPr>
        <w:t>revenues </w:t>
      </w:r>
      <w:r>
        <w:rPr>
          <w:spacing w:val="6"/>
          <w:w w:val="105"/>
        </w:rPr>
        <w:t>was</w:t>
      </w:r>
      <w:r>
        <w:rPr>
          <w:spacing w:val="59"/>
          <w:w w:val="105"/>
        </w:rPr>
        <w:t> </w:t>
      </w:r>
      <w:r>
        <w:rPr>
          <w:w w:val="105"/>
        </w:rPr>
        <w:t>a </w:t>
      </w:r>
      <w:r>
        <w:rPr>
          <w:spacing w:val="6"/>
          <w:w w:val="105"/>
        </w:rPr>
        <w:t>direct</w:t>
      </w:r>
      <w:r>
        <w:rPr>
          <w:spacing w:val="59"/>
          <w:w w:val="105"/>
        </w:rPr>
        <w:t> </w:t>
      </w:r>
      <w:r>
        <w:rPr>
          <w:w w:val="105"/>
        </w:rPr>
        <w:t>result </w:t>
      </w:r>
      <w:r>
        <w:rPr>
          <w:spacing w:val="6"/>
          <w:w w:val="105"/>
        </w:rPr>
        <w:t>of</w:t>
      </w:r>
      <w:r>
        <w:rPr>
          <w:spacing w:val="59"/>
          <w:w w:val="105"/>
        </w:rPr>
        <w:t> </w:t>
      </w:r>
      <w:r>
        <w:rPr>
          <w:spacing w:val="2"/>
          <w:w w:val="105"/>
        </w:rPr>
        <w:t>the </w:t>
      </w:r>
      <w:r>
        <w:rPr>
          <w:w w:val="105"/>
        </w:rPr>
        <w:t>terrorist attacks. </w:t>
      </w:r>
      <w:r>
        <w:rPr>
          <w:spacing w:val="3"/>
          <w:w w:val="105"/>
        </w:rPr>
        <w:t>From </w:t>
      </w:r>
      <w:r>
        <w:rPr>
          <w:spacing w:val="6"/>
          <w:w w:val="105"/>
        </w:rPr>
        <w:t>January </w:t>
      </w:r>
      <w:r>
        <w:rPr>
          <w:spacing w:val="4"/>
          <w:w w:val="105"/>
        </w:rPr>
        <w:t>through August </w:t>
      </w:r>
      <w:r>
        <w:rPr>
          <w:w w:val="105"/>
        </w:rPr>
        <w:t>2001, </w:t>
      </w:r>
      <w:r>
        <w:rPr>
          <w:spacing w:val="5"/>
          <w:w w:val="105"/>
        </w:rPr>
        <w:t>pas- senger </w:t>
      </w:r>
      <w:r>
        <w:rPr>
          <w:spacing w:val="8"/>
          <w:w w:val="105"/>
        </w:rPr>
        <w:t>revenues </w:t>
      </w:r>
      <w:r>
        <w:rPr>
          <w:spacing w:val="4"/>
          <w:w w:val="105"/>
        </w:rPr>
        <w:t>were </w:t>
      </w:r>
      <w:r>
        <w:rPr>
          <w:spacing w:val="8"/>
          <w:w w:val="105"/>
        </w:rPr>
        <w:t>higher  </w:t>
      </w:r>
      <w:r>
        <w:rPr>
          <w:spacing w:val="6"/>
          <w:w w:val="105"/>
        </w:rPr>
        <w:t>by  </w:t>
      </w:r>
      <w:r>
        <w:rPr>
          <w:w w:val="105"/>
        </w:rPr>
        <w:t>$314.9  </w:t>
      </w:r>
      <w:r>
        <w:rPr>
          <w:spacing w:val="7"/>
          <w:w w:val="105"/>
        </w:rPr>
        <w:t>million, </w:t>
      </w:r>
      <w:r>
        <w:rPr>
          <w:spacing w:val="6"/>
          <w:w w:val="105"/>
        </w:rPr>
        <w:t>or </w:t>
      </w:r>
      <w:r>
        <w:rPr>
          <w:w w:val="105"/>
        </w:rPr>
        <w:t>8.7 </w:t>
      </w:r>
      <w:r>
        <w:rPr>
          <w:spacing w:val="5"/>
          <w:w w:val="105"/>
        </w:rPr>
        <w:t>percent, than </w:t>
      </w:r>
      <w:r>
        <w:rPr>
          <w:spacing w:val="2"/>
          <w:w w:val="105"/>
        </w:rPr>
        <w:t>the </w:t>
      </w:r>
      <w:r>
        <w:rPr>
          <w:spacing w:val="6"/>
          <w:w w:val="105"/>
        </w:rPr>
        <w:t>same </w:t>
      </w:r>
      <w:r>
        <w:rPr>
          <w:spacing w:val="7"/>
          <w:w w:val="105"/>
        </w:rPr>
        <w:t>period </w:t>
      </w:r>
      <w:r>
        <w:rPr>
          <w:spacing w:val="6"/>
          <w:w w:val="105"/>
        </w:rPr>
        <w:t>in </w:t>
      </w:r>
      <w:r>
        <w:rPr>
          <w:w w:val="105"/>
        </w:rPr>
        <w:t>2000 </w:t>
      </w:r>
      <w:r>
        <w:rPr>
          <w:spacing w:val="5"/>
          <w:w w:val="105"/>
        </w:rPr>
        <w:t>primarily </w:t>
      </w:r>
      <w:r>
        <w:rPr>
          <w:spacing w:val="8"/>
          <w:w w:val="105"/>
        </w:rPr>
        <w:t>due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5"/>
          <w:w w:val="105"/>
        </w:rPr>
        <w:t>capacity, </w:t>
      </w:r>
      <w:r>
        <w:rPr>
          <w:spacing w:val="12"/>
          <w:w w:val="105"/>
        </w:rPr>
        <w:t>as </w:t>
      </w:r>
      <w:r>
        <w:rPr>
          <w:spacing w:val="7"/>
          <w:w w:val="105"/>
        </w:rPr>
        <w:t>measured </w:t>
      </w:r>
      <w:r>
        <w:rPr>
          <w:spacing w:val="6"/>
          <w:w w:val="105"/>
        </w:rPr>
        <w:t>by</w:t>
      </w:r>
      <w:r>
        <w:rPr>
          <w:spacing w:val="59"/>
          <w:w w:val="105"/>
        </w:rPr>
        <w:t> </w:t>
      </w:r>
      <w:r>
        <w:rPr>
          <w:spacing w:val="3"/>
          <w:w w:val="105"/>
        </w:rPr>
        <w:t>ASMs, </w:t>
      </w:r>
      <w:r>
        <w:rPr>
          <w:spacing w:val="6"/>
          <w:w w:val="105"/>
        </w:rPr>
        <w:t>of </w:t>
      </w:r>
      <w:r>
        <w:rPr>
          <w:w w:val="105"/>
        </w:rPr>
        <w:t>11.6  </w:t>
      </w:r>
      <w:r>
        <w:rPr>
          <w:spacing w:val="5"/>
          <w:w w:val="105"/>
        </w:rPr>
        <w:t>percent.  </w:t>
      </w:r>
      <w:r>
        <w:rPr>
          <w:spacing w:val="6"/>
          <w:w w:val="105"/>
        </w:rPr>
        <w:t>This  capacity  </w:t>
      </w:r>
      <w:r>
        <w:rPr>
          <w:spacing w:val="5"/>
          <w:w w:val="105"/>
        </w:rPr>
        <w:t>increase   </w:t>
      </w:r>
      <w:r>
        <w:rPr>
          <w:spacing w:val="6"/>
          <w:w w:val="105"/>
        </w:rPr>
        <w:t>was  </w:t>
      </w:r>
      <w:r>
        <w:rPr>
          <w:spacing w:val="8"/>
          <w:w w:val="105"/>
        </w:rPr>
        <w:t>due  </w:t>
      </w:r>
      <w:r>
        <w:rPr>
          <w:w w:val="105"/>
        </w:rPr>
        <w:t>to   </w:t>
      </w:r>
      <w:r>
        <w:rPr>
          <w:spacing w:val="2"/>
          <w:w w:val="105"/>
        </w:rPr>
        <w:t>the   </w:t>
      </w:r>
      <w:r>
        <w:rPr>
          <w:spacing w:val="8"/>
          <w:w w:val="105"/>
        </w:rPr>
        <w:t>addition  </w:t>
      </w:r>
      <w:r>
        <w:rPr>
          <w:spacing w:val="50"/>
          <w:w w:val="105"/>
        </w:rPr>
        <w:t> </w:t>
      </w:r>
      <w:r>
        <w:rPr>
          <w:spacing w:val="12"/>
          <w:w w:val="105"/>
        </w:rPr>
        <w:t>of</w:t>
      </w:r>
    </w:p>
    <w:p>
      <w:pPr>
        <w:spacing w:after="0" w:line="254" w:lineRule="auto"/>
        <w:jc w:val="both"/>
        <w:sectPr>
          <w:headerReference w:type="default" r:id="rId86"/>
          <w:pgSz w:w="11520" w:h="14400"/>
          <w:pgMar w:header="0" w:footer="706" w:top="960" w:bottom="900" w:left="700" w:right="840"/>
          <w:cols w:num="2" w:equalWidth="0">
            <w:col w:w="4741" w:space="399"/>
            <w:col w:w="4840"/>
          </w:cols>
        </w:sectPr>
      </w:pPr>
    </w:p>
    <w:p>
      <w:pPr>
        <w:pStyle w:val="BodyText"/>
        <w:spacing w:line="254" w:lineRule="auto" w:before="69"/>
        <w:ind w:left="100" w:right="11"/>
        <w:jc w:val="both"/>
      </w:pPr>
      <w:r>
        <w:rPr>
          <w:w w:val="105"/>
        </w:rPr>
        <w:t>14 </w:t>
      </w:r>
      <w:r>
        <w:rPr>
          <w:spacing w:val="4"/>
          <w:w w:val="105"/>
        </w:rPr>
        <w:t>aircraft </w:t>
      </w:r>
      <w:r>
        <w:rPr>
          <w:spacing w:val="7"/>
          <w:w w:val="105"/>
        </w:rPr>
        <w:t>during </w:t>
      </w:r>
      <w:r>
        <w:rPr>
          <w:w w:val="105"/>
        </w:rPr>
        <w:t>2001 (all </w:t>
      </w:r>
      <w:r>
        <w:rPr>
          <w:spacing w:val="6"/>
          <w:w w:val="105"/>
        </w:rPr>
        <w:t>prior </w:t>
      </w:r>
      <w:r>
        <w:rPr>
          <w:w w:val="105"/>
        </w:rPr>
        <w:t>to </w:t>
      </w:r>
      <w:r>
        <w:rPr>
          <w:spacing w:val="7"/>
          <w:w w:val="105"/>
        </w:rPr>
        <w:t>September </w:t>
      </w:r>
      <w:r>
        <w:rPr>
          <w:w w:val="105"/>
        </w:rPr>
        <w:t>11) </w:t>
      </w:r>
      <w:r>
        <w:rPr>
          <w:spacing w:val="8"/>
          <w:w w:val="105"/>
        </w:rPr>
        <w:t>and </w:t>
      </w:r>
      <w:r>
        <w:rPr>
          <w:spacing w:val="2"/>
          <w:w w:val="105"/>
        </w:rPr>
        <w:t>its </w:t>
      </w:r>
      <w:r>
        <w:rPr>
          <w:spacing w:val="8"/>
          <w:w w:val="105"/>
        </w:rPr>
        <w:t>revenue </w:t>
      </w:r>
      <w:r>
        <w:rPr>
          <w:spacing w:val="3"/>
          <w:w w:val="105"/>
        </w:rPr>
        <w:t>effects </w:t>
      </w:r>
      <w:r>
        <w:rPr>
          <w:spacing w:val="4"/>
          <w:w w:val="105"/>
        </w:rPr>
        <w:t>were </w:t>
      </w:r>
      <w:r>
        <w:rPr>
          <w:spacing w:val="2"/>
          <w:w w:val="105"/>
        </w:rPr>
        <w:t>partially </w:t>
      </w:r>
      <w:r>
        <w:rPr>
          <w:spacing w:val="3"/>
          <w:w w:val="105"/>
        </w:rPr>
        <w:t>offset </w:t>
      </w:r>
      <w:r>
        <w:rPr>
          <w:spacing w:val="6"/>
          <w:w w:val="105"/>
        </w:rPr>
        <w:t>by </w:t>
      </w:r>
      <w:r>
        <w:rPr>
          <w:w w:val="105"/>
        </w:rPr>
        <w:t>a </w:t>
      </w:r>
      <w:r>
        <w:rPr>
          <w:spacing w:val="5"/>
          <w:w w:val="105"/>
        </w:rPr>
        <w:t>decrease </w:t>
      </w:r>
      <w:r>
        <w:rPr>
          <w:spacing w:val="6"/>
          <w:w w:val="105"/>
        </w:rPr>
        <w:t>of</w:t>
      </w:r>
      <w:r>
        <w:rPr>
          <w:spacing w:val="59"/>
          <w:w w:val="105"/>
        </w:rPr>
        <w:t> </w:t>
      </w:r>
      <w:r>
        <w:rPr>
          <w:w w:val="105"/>
        </w:rPr>
        <w:t>1.9 </w:t>
      </w:r>
      <w:r>
        <w:rPr>
          <w:spacing w:val="6"/>
          <w:w w:val="105"/>
        </w:rPr>
        <w:t>percent</w:t>
      </w:r>
      <w:r>
        <w:rPr>
          <w:spacing w:val="59"/>
          <w:w w:val="105"/>
        </w:rPr>
        <w:t> </w:t>
      </w:r>
      <w:r>
        <w:rPr>
          <w:spacing w:val="6"/>
          <w:w w:val="105"/>
        </w:rPr>
        <w:t>in </w:t>
      </w:r>
      <w:r>
        <w:rPr>
          <w:spacing w:val="5"/>
          <w:w w:val="105"/>
        </w:rPr>
        <w:t>passenger </w:t>
      </w:r>
      <w:r>
        <w:rPr>
          <w:spacing w:val="4"/>
          <w:w w:val="105"/>
        </w:rPr>
        <w:t>yield. </w:t>
      </w:r>
      <w:r>
        <w:rPr>
          <w:spacing w:val="5"/>
          <w:w w:val="105"/>
        </w:rPr>
        <w:t>Passenger </w:t>
      </w:r>
      <w:r>
        <w:rPr>
          <w:spacing w:val="2"/>
          <w:w w:val="105"/>
        </w:rPr>
        <w:t>yield </w:t>
      </w:r>
      <w:r>
        <w:rPr>
          <w:spacing w:val="6"/>
          <w:w w:val="105"/>
        </w:rPr>
        <w:t>decreased</w:t>
      </w:r>
      <w:r>
        <w:rPr>
          <w:spacing w:val="59"/>
          <w:w w:val="105"/>
        </w:rPr>
        <w:t> </w:t>
      </w:r>
      <w:r>
        <w:rPr>
          <w:spacing w:val="6"/>
          <w:w w:val="105"/>
        </w:rPr>
        <w:t>as </w:t>
      </w:r>
      <w:r>
        <w:rPr>
          <w:w w:val="105"/>
        </w:rPr>
        <w:t>a result </w:t>
      </w:r>
      <w:r>
        <w:rPr>
          <w:spacing w:val="6"/>
          <w:w w:val="105"/>
        </w:rPr>
        <w:t>of</w:t>
      </w:r>
      <w:r>
        <w:rPr>
          <w:spacing w:val="59"/>
          <w:w w:val="105"/>
        </w:rPr>
        <w:t> </w:t>
      </w:r>
      <w:r>
        <w:rPr>
          <w:w w:val="105"/>
        </w:rPr>
        <w:t>fare </w:t>
      </w:r>
      <w:r>
        <w:rPr>
          <w:spacing w:val="7"/>
          <w:w w:val="105"/>
        </w:rPr>
        <w:t>discounting </w:t>
      </w:r>
      <w:r>
        <w:rPr>
          <w:spacing w:val="6"/>
          <w:w w:val="105"/>
        </w:rPr>
        <w:t>by</w:t>
      </w:r>
      <w:r>
        <w:rPr>
          <w:spacing w:val="59"/>
          <w:w w:val="105"/>
        </w:rPr>
        <w:t> </w:t>
      </w:r>
      <w:r>
        <w:rPr>
          <w:spacing w:val="2"/>
          <w:w w:val="105"/>
        </w:rPr>
        <w:t>the </w:t>
      </w:r>
      <w:r>
        <w:rPr>
          <w:spacing w:val="8"/>
          <w:w w:val="105"/>
        </w:rPr>
        <w:t>Company and </w:t>
      </w:r>
      <w:r>
        <w:rPr>
          <w:spacing w:val="2"/>
          <w:w w:val="105"/>
        </w:rPr>
        <w:t>the </w:t>
      </w:r>
      <w:r>
        <w:rPr>
          <w:spacing w:val="6"/>
          <w:w w:val="105"/>
        </w:rPr>
        <w:t>airline </w:t>
      </w:r>
      <w:r>
        <w:rPr>
          <w:spacing w:val="4"/>
          <w:w w:val="105"/>
        </w:rPr>
        <w:t>industry </w:t>
      </w:r>
      <w:r>
        <w:rPr>
          <w:spacing w:val="6"/>
          <w:w w:val="105"/>
        </w:rPr>
        <w:t>in general as </w:t>
      </w:r>
      <w:r>
        <w:rPr>
          <w:spacing w:val="2"/>
          <w:w w:val="105"/>
        </w:rPr>
        <w:t>the </w:t>
      </w:r>
      <w:r>
        <w:rPr>
          <w:spacing w:val="7"/>
          <w:w w:val="105"/>
        </w:rPr>
        <w:t>United </w:t>
      </w:r>
      <w:r>
        <w:rPr>
          <w:w w:val="105"/>
        </w:rPr>
        <w:t>States </w:t>
      </w:r>
      <w:r>
        <w:rPr>
          <w:spacing w:val="9"/>
          <w:w w:val="105"/>
        </w:rPr>
        <w:t>economy </w:t>
      </w:r>
      <w:r>
        <w:rPr>
          <w:spacing w:val="8"/>
          <w:w w:val="105"/>
        </w:rPr>
        <w:t>weakened </w:t>
      </w:r>
      <w:r>
        <w:rPr>
          <w:spacing w:val="6"/>
          <w:w w:val="105"/>
        </w:rPr>
        <w:t>throughout </w:t>
      </w:r>
      <w:r>
        <w:rPr>
          <w:w w:val="105"/>
        </w:rPr>
        <w:t>2001. </w:t>
      </w:r>
      <w:r>
        <w:rPr>
          <w:spacing w:val="4"/>
          <w:w w:val="105"/>
        </w:rPr>
        <w:t>The </w:t>
      </w:r>
      <w:r>
        <w:rPr>
          <w:spacing w:val="6"/>
          <w:w w:val="105"/>
        </w:rPr>
        <w:t>Company’s </w:t>
      </w:r>
      <w:r>
        <w:rPr>
          <w:spacing w:val="7"/>
          <w:w w:val="105"/>
        </w:rPr>
        <w:t>load </w:t>
      </w:r>
      <w:r>
        <w:rPr>
          <w:spacing w:val="4"/>
          <w:w w:val="105"/>
        </w:rPr>
        <w:t>factor (RPMs </w:t>
      </w:r>
      <w:r>
        <w:rPr>
          <w:spacing w:val="10"/>
          <w:w w:val="105"/>
        </w:rPr>
        <w:t>divided </w:t>
      </w:r>
      <w:r>
        <w:rPr>
          <w:spacing w:val="6"/>
          <w:w w:val="105"/>
        </w:rPr>
        <w:t>by </w:t>
      </w:r>
      <w:r>
        <w:rPr>
          <w:spacing w:val="3"/>
          <w:w w:val="105"/>
        </w:rPr>
        <w:t>ASMs) </w:t>
      </w:r>
      <w:r>
        <w:rPr>
          <w:spacing w:val="9"/>
          <w:w w:val="105"/>
        </w:rPr>
        <w:t>over </w:t>
      </w:r>
      <w:r>
        <w:rPr>
          <w:spacing w:val="5"/>
          <w:w w:val="105"/>
        </w:rPr>
        <w:t>this </w:t>
      </w:r>
      <w:r>
        <w:rPr>
          <w:spacing w:val="6"/>
          <w:w w:val="105"/>
        </w:rPr>
        <w:t>time </w:t>
      </w:r>
      <w:r>
        <w:rPr>
          <w:spacing w:val="7"/>
          <w:w w:val="105"/>
        </w:rPr>
        <w:t>period </w:t>
      </w:r>
      <w:r>
        <w:rPr>
          <w:spacing w:val="6"/>
          <w:w w:val="105"/>
        </w:rPr>
        <w:t>was </w:t>
      </w:r>
      <w:r>
        <w:rPr>
          <w:w w:val="105"/>
        </w:rPr>
        <w:t>71.2 </w:t>
      </w:r>
      <w:r>
        <w:rPr>
          <w:spacing w:val="5"/>
          <w:w w:val="105"/>
        </w:rPr>
        <w:t>percent, </w:t>
      </w:r>
      <w:r>
        <w:rPr>
          <w:spacing w:val="8"/>
          <w:w w:val="105"/>
        </w:rPr>
        <w:t>compared </w:t>
      </w:r>
      <w:r>
        <w:rPr>
          <w:w w:val="105"/>
        </w:rPr>
        <w:t>to 71.7 </w:t>
      </w:r>
      <w:r>
        <w:rPr>
          <w:spacing w:val="5"/>
          <w:w w:val="105"/>
        </w:rPr>
        <w:t>per- </w:t>
      </w:r>
      <w:r>
        <w:rPr>
          <w:spacing w:val="7"/>
          <w:w w:val="105"/>
        </w:rPr>
        <w:t>cent </w:t>
      </w:r>
      <w:r>
        <w:rPr>
          <w:spacing w:val="4"/>
          <w:w w:val="105"/>
        </w:rPr>
        <w:t>for </w:t>
      </w:r>
      <w:r>
        <w:rPr>
          <w:spacing w:val="2"/>
          <w:w w:val="105"/>
        </w:rPr>
        <w:t>the  </w:t>
      </w:r>
      <w:r>
        <w:rPr>
          <w:spacing w:val="6"/>
          <w:w w:val="105"/>
        </w:rPr>
        <w:t>same  </w:t>
      </w:r>
      <w:r>
        <w:rPr>
          <w:spacing w:val="7"/>
          <w:w w:val="105"/>
        </w:rPr>
        <w:t>period  </w:t>
      </w:r>
      <w:r>
        <w:rPr>
          <w:spacing w:val="6"/>
          <w:w w:val="105"/>
        </w:rPr>
        <w:t>in </w:t>
      </w:r>
      <w:r>
        <w:rPr>
          <w:w w:val="105"/>
        </w:rPr>
        <w:t>2000.</w:t>
      </w:r>
    </w:p>
    <w:p>
      <w:pPr>
        <w:pStyle w:val="BodyText"/>
        <w:spacing w:line="254" w:lineRule="auto"/>
        <w:ind w:left="100" w:firstLine="180"/>
        <w:jc w:val="both"/>
      </w:pPr>
      <w:r>
        <w:rPr>
          <w:w w:val="105"/>
        </w:rPr>
        <w:t>From September through December 2001, passenger   revenues   were    $404.2    million,    or</w:t>
      </w:r>
    </w:p>
    <w:p>
      <w:pPr>
        <w:pStyle w:val="BodyText"/>
        <w:spacing w:line="254" w:lineRule="auto"/>
        <w:ind w:left="100"/>
        <w:jc w:val="both"/>
      </w:pPr>
      <w:r>
        <w:rPr>
          <w:w w:val="105"/>
        </w:rPr>
        <w:t>21.7 </w:t>
      </w:r>
      <w:r>
        <w:rPr>
          <w:spacing w:val="5"/>
          <w:w w:val="105"/>
        </w:rPr>
        <w:t>percent, </w:t>
      </w:r>
      <w:r>
        <w:rPr>
          <w:spacing w:val="4"/>
          <w:w w:val="105"/>
        </w:rPr>
        <w:t>lower </w:t>
      </w:r>
      <w:r>
        <w:rPr>
          <w:spacing w:val="5"/>
          <w:w w:val="105"/>
        </w:rPr>
        <w:t>than </w:t>
      </w:r>
      <w:r>
        <w:rPr>
          <w:spacing w:val="2"/>
          <w:w w:val="105"/>
        </w:rPr>
        <w:t>the </w:t>
      </w:r>
      <w:r>
        <w:rPr>
          <w:spacing w:val="6"/>
          <w:w w:val="105"/>
        </w:rPr>
        <w:t>same </w:t>
      </w:r>
      <w:r>
        <w:rPr>
          <w:spacing w:val="59"/>
          <w:w w:val="105"/>
        </w:rPr>
        <w:t> </w:t>
      </w:r>
      <w:r>
        <w:rPr>
          <w:spacing w:val="7"/>
          <w:w w:val="105"/>
        </w:rPr>
        <w:t>period  </w:t>
      </w:r>
      <w:r>
        <w:rPr>
          <w:spacing w:val="12"/>
          <w:w w:val="105"/>
        </w:rPr>
        <w:t>of </w:t>
      </w:r>
      <w:r>
        <w:rPr>
          <w:w w:val="105"/>
        </w:rPr>
        <w:t>2000. </w:t>
      </w:r>
      <w:r>
        <w:rPr>
          <w:spacing w:val="5"/>
          <w:w w:val="105"/>
        </w:rPr>
        <w:t>Capacity </w:t>
      </w:r>
      <w:r>
        <w:rPr>
          <w:spacing w:val="6"/>
          <w:w w:val="105"/>
        </w:rPr>
        <w:t>increased</w:t>
      </w:r>
      <w:r>
        <w:rPr>
          <w:spacing w:val="59"/>
          <w:w w:val="105"/>
        </w:rPr>
        <w:t> </w:t>
      </w:r>
      <w:r>
        <w:rPr>
          <w:w w:val="105"/>
        </w:rPr>
        <w:t>4.0 </w:t>
      </w:r>
      <w:r>
        <w:rPr>
          <w:spacing w:val="6"/>
          <w:w w:val="105"/>
        </w:rPr>
        <w:t>percent </w:t>
      </w:r>
      <w:r>
        <w:rPr>
          <w:spacing w:val="8"/>
          <w:w w:val="105"/>
        </w:rPr>
        <w:t>and </w:t>
      </w:r>
      <w:r>
        <w:rPr>
          <w:spacing w:val="6"/>
          <w:w w:val="105"/>
        </w:rPr>
        <w:t>the Company’s</w:t>
      </w:r>
      <w:r>
        <w:rPr>
          <w:spacing w:val="59"/>
          <w:w w:val="105"/>
        </w:rPr>
        <w:t> </w:t>
      </w:r>
      <w:r>
        <w:rPr>
          <w:spacing w:val="4"/>
          <w:w w:val="105"/>
        </w:rPr>
        <w:t>load factor </w:t>
      </w:r>
      <w:r>
        <w:rPr>
          <w:w w:val="105"/>
        </w:rPr>
        <w:t>fell to 62.0 </w:t>
      </w:r>
      <w:r>
        <w:rPr>
          <w:spacing w:val="5"/>
          <w:w w:val="105"/>
        </w:rPr>
        <w:t>percent, </w:t>
      </w:r>
      <w:r>
        <w:rPr>
          <w:spacing w:val="8"/>
          <w:w w:val="105"/>
        </w:rPr>
        <w:t>compared </w:t>
      </w:r>
      <w:r>
        <w:rPr>
          <w:w w:val="105"/>
        </w:rPr>
        <w:t>to 68.2 </w:t>
      </w:r>
      <w:r>
        <w:rPr>
          <w:spacing w:val="6"/>
          <w:w w:val="105"/>
        </w:rPr>
        <w:t>percent </w:t>
      </w:r>
      <w:r>
        <w:rPr>
          <w:spacing w:val="59"/>
          <w:w w:val="105"/>
        </w:rPr>
        <w:t> </w:t>
      </w:r>
      <w:r>
        <w:rPr>
          <w:spacing w:val="7"/>
          <w:w w:val="105"/>
        </w:rPr>
        <w:t>during  </w:t>
      </w:r>
      <w:r>
        <w:rPr>
          <w:spacing w:val="2"/>
          <w:w w:val="105"/>
        </w:rPr>
        <w:t>the  </w:t>
      </w:r>
      <w:r>
        <w:rPr>
          <w:spacing w:val="6"/>
          <w:w w:val="105"/>
        </w:rPr>
        <w:t>same </w:t>
      </w:r>
      <w:r>
        <w:rPr>
          <w:spacing w:val="7"/>
          <w:w w:val="105"/>
        </w:rPr>
        <w:t>period </w:t>
      </w:r>
      <w:r>
        <w:rPr>
          <w:spacing w:val="6"/>
          <w:w w:val="105"/>
        </w:rPr>
        <w:t>of </w:t>
      </w:r>
      <w:r>
        <w:rPr>
          <w:w w:val="105"/>
        </w:rPr>
        <w:t>2000. </w:t>
      </w:r>
      <w:r>
        <w:rPr>
          <w:spacing w:val="5"/>
          <w:w w:val="105"/>
        </w:rPr>
        <w:t>Passenger </w:t>
      </w:r>
      <w:r>
        <w:rPr>
          <w:spacing w:val="4"/>
          <w:w w:val="105"/>
        </w:rPr>
        <w:t>yields were </w:t>
      </w:r>
      <w:r>
        <w:rPr>
          <w:w w:val="105"/>
        </w:rPr>
        <w:t>17.2 </w:t>
      </w:r>
      <w:r>
        <w:rPr>
          <w:spacing w:val="5"/>
          <w:w w:val="105"/>
        </w:rPr>
        <w:t>per- </w:t>
      </w:r>
      <w:r>
        <w:rPr>
          <w:spacing w:val="7"/>
          <w:w w:val="105"/>
        </w:rPr>
        <w:t>cent </w:t>
      </w:r>
      <w:r>
        <w:rPr>
          <w:spacing w:val="4"/>
          <w:w w:val="105"/>
        </w:rPr>
        <w:t>lower </w:t>
      </w:r>
      <w:r>
        <w:rPr>
          <w:spacing w:val="7"/>
          <w:w w:val="105"/>
        </w:rPr>
        <w:t>during </w:t>
      </w:r>
      <w:r>
        <w:rPr>
          <w:spacing w:val="5"/>
          <w:w w:val="105"/>
        </w:rPr>
        <w:t>this </w:t>
      </w:r>
      <w:r>
        <w:rPr>
          <w:spacing w:val="8"/>
          <w:w w:val="105"/>
        </w:rPr>
        <w:t>period, </w:t>
      </w:r>
      <w:r>
        <w:rPr>
          <w:spacing w:val="4"/>
          <w:w w:val="105"/>
        </w:rPr>
        <w:t>versus </w:t>
      </w:r>
      <w:r>
        <w:rPr>
          <w:spacing w:val="2"/>
          <w:w w:val="105"/>
        </w:rPr>
        <w:t>the </w:t>
      </w:r>
      <w:r>
        <w:rPr>
          <w:spacing w:val="6"/>
          <w:w w:val="105"/>
        </w:rPr>
        <w:t>same </w:t>
      </w:r>
      <w:r>
        <w:rPr>
          <w:spacing w:val="7"/>
          <w:w w:val="105"/>
        </w:rPr>
        <w:t>period </w:t>
      </w:r>
      <w:r>
        <w:rPr>
          <w:spacing w:val="6"/>
          <w:w w:val="105"/>
        </w:rPr>
        <w:t>in</w:t>
      </w:r>
      <w:r>
        <w:rPr>
          <w:spacing w:val="59"/>
          <w:w w:val="105"/>
        </w:rPr>
        <w:t> </w:t>
      </w:r>
      <w:r>
        <w:rPr>
          <w:w w:val="105"/>
        </w:rPr>
        <w:t>2000, </w:t>
      </w:r>
      <w:r>
        <w:rPr>
          <w:spacing w:val="8"/>
          <w:w w:val="105"/>
        </w:rPr>
        <w:t>due </w:t>
      </w:r>
      <w:r>
        <w:rPr>
          <w:w w:val="105"/>
        </w:rPr>
        <w:t>to </w:t>
      </w:r>
      <w:r>
        <w:rPr>
          <w:spacing w:val="3"/>
          <w:w w:val="105"/>
        </w:rPr>
        <w:t>aggressive </w:t>
      </w:r>
      <w:r>
        <w:rPr>
          <w:w w:val="105"/>
        </w:rPr>
        <w:t>fare </w:t>
      </w:r>
      <w:r>
        <w:rPr>
          <w:spacing w:val="4"/>
          <w:w w:val="105"/>
        </w:rPr>
        <w:t>sales following </w:t>
      </w:r>
      <w:r>
        <w:rPr>
          <w:spacing w:val="2"/>
          <w:w w:val="105"/>
        </w:rPr>
        <w:t>the  </w:t>
      </w:r>
      <w:r>
        <w:rPr>
          <w:w w:val="105"/>
        </w:rPr>
        <w:t>terrorist</w:t>
      </w:r>
      <w:r>
        <w:rPr>
          <w:spacing w:val="12"/>
          <w:w w:val="105"/>
        </w:rPr>
        <w:t> </w:t>
      </w:r>
      <w:r>
        <w:rPr>
          <w:w w:val="105"/>
        </w:rPr>
        <w:t>attacks.</w:t>
      </w:r>
    </w:p>
    <w:p>
      <w:pPr>
        <w:pStyle w:val="BodyText"/>
        <w:spacing w:line="254" w:lineRule="auto"/>
        <w:ind w:left="100" w:firstLine="180"/>
        <w:jc w:val="both"/>
      </w:pPr>
      <w:r>
        <w:rPr>
          <w:spacing w:val="5"/>
          <w:w w:val="105"/>
        </w:rPr>
        <w:t>For </w:t>
      </w:r>
      <w:r>
        <w:rPr>
          <w:spacing w:val="2"/>
          <w:w w:val="105"/>
        </w:rPr>
        <w:t>the </w:t>
      </w:r>
      <w:r>
        <w:rPr>
          <w:w w:val="105"/>
        </w:rPr>
        <w:t>full </w:t>
      </w:r>
      <w:r>
        <w:rPr>
          <w:spacing w:val="5"/>
          <w:w w:val="105"/>
        </w:rPr>
        <w:t>year </w:t>
      </w:r>
      <w:r>
        <w:rPr>
          <w:w w:val="105"/>
        </w:rPr>
        <w:t>2001, </w:t>
      </w:r>
      <w:r>
        <w:rPr>
          <w:spacing w:val="2"/>
          <w:w w:val="105"/>
        </w:rPr>
        <w:t>the </w:t>
      </w:r>
      <w:r>
        <w:rPr>
          <w:spacing w:val="8"/>
          <w:w w:val="105"/>
        </w:rPr>
        <w:t>Company </w:t>
      </w:r>
      <w:r>
        <w:rPr>
          <w:spacing w:val="9"/>
          <w:w w:val="105"/>
        </w:rPr>
        <w:t>experi-  </w:t>
      </w:r>
      <w:r>
        <w:rPr>
          <w:spacing w:val="8"/>
          <w:w w:val="105"/>
        </w:rPr>
        <w:t>enced </w:t>
      </w:r>
      <w:r>
        <w:rPr>
          <w:w w:val="105"/>
        </w:rPr>
        <w:t>a 1.2 </w:t>
      </w:r>
      <w:r>
        <w:rPr>
          <w:spacing w:val="6"/>
          <w:w w:val="105"/>
        </w:rPr>
        <w:t>percent </w:t>
      </w:r>
      <w:r>
        <w:rPr>
          <w:spacing w:val="5"/>
          <w:w w:val="105"/>
        </w:rPr>
        <w:t>increase </w:t>
      </w:r>
      <w:r>
        <w:rPr>
          <w:spacing w:val="6"/>
          <w:w w:val="105"/>
        </w:rPr>
        <w:t>in</w:t>
      </w:r>
      <w:r>
        <w:rPr>
          <w:spacing w:val="59"/>
          <w:w w:val="105"/>
        </w:rPr>
        <w:t> </w:t>
      </w:r>
      <w:r>
        <w:rPr>
          <w:spacing w:val="9"/>
          <w:w w:val="105"/>
        </w:rPr>
        <w:t>revenue </w:t>
      </w:r>
      <w:r>
        <w:rPr>
          <w:spacing w:val="4"/>
          <w:w w:val="105"/>
        </w:rPr>
        <w:t>passengers </w:t>
      </w:r>
      <w:r>
        <w:rPr>
          <w:spacing w:val="5"/>
          <w:w w:val="105"/>
        </w:rPr>
        <w:t>carried, </w:t>
      </w:r>
      <w:r>
        <w:rPr>
          <w:w w:val="105"/>
        </w:rPr>
        <w:t>a 5.4 </w:t>
      </w:r>
      <w:r>
        <w:rPr>
          <w:spacing w:val="6"/>
          <w:w w:val="105"/>
        </w:rPr>
        <w:t>percent</w:t>
      </w:r>
      <w:r>
        <w:rPr>
          <w:spacing w:val="59"/>
          <w:w w:val="105"/>
        </w:rPr>
        <w:t> </w:t>
      </w:r>
      <w:r>
        <w:rPr>
          <w:spacing w:val="5"/>
          <w:w w:val="105"/>
        </w:rPr>
        <w:t>increase </w:t>
      </w:r>
      <w:r>
        <w:rPr>
          <w:spacing w:val="6"/>
          <w:w w:val="105"/>
        </w:rPr>
        <w:t>in </w:t>
      </w:r>
      <w:r>
        <w:rPr>
          <w:spacing w:val="8"/>
          <w:w w:val="105"/>
        </w:rPr>
        <w:t>revenue     </w:t>
      </w:r>
      <w:r>
        <w:rPr>
          <w:spacing w:val="5"/>
          <w:w w:val="105"/>
        </w:rPr>
        <w:t>passenger     </w:t>
      </w:r>
      <w:r>
        <w:rPr>
          <w:spacing w:val="6"/>
          <w:w w:val="105"/>
        </w:rPr>
        <w:t>miles     </w:t>
      </w:r>
      <w:r>
        <w:rPr>
          <w:spacing w:val="2"/>
          <w:w w:val="105"/>
        </w:rPr>
        <w:t>(RPMs),     </w:t>
      </w:r>
      <w:r>
        <w:rPr>
          <w:spacing w:val="8"/>
          <w:w w:val="105"/>
        </w:rPr>
        <w:t>and   </w:t>
      </w:r>
      <w:r>
        <w:rPr>
          <w:spacing w:val="61"/>
          <w:w w:val="105"/>
        </w:rPr>
        <w:t> </w:t>
      </w:r>
      <w:r>
        <w:rPr>
          <w:w w:val="105"/>
        </w:rPr>
        <w:t>a</w:t>
      </w:r>
    </w:p>
    <w:p>
      <w:pPr>
        <w:pStyle w:val="BodyText"/>
        <w:spacing w:line="254" w:lineRule="auto"/>
        <w:ind w:left="100" w:right="10"/>
        <w:jc w:val="both"/>
      </w:pPr>
      <w:r>
        <w:rPr>
          <w:w w:val="110"/>
        </w:rPr>
        <w:t>9.0 </w:t>
      </w:r>
      <w:r>
        <w:rPr>
          <w:spacing w:val="6"/>
          <w:w w:val="110"/>
        </w:rPr>
        <w:t>percent </w:t>
      </w:r>
      <w:r>
        <w:rPr>
          <w:spacing w:val="5"/>
          <w:w w:val="110"/>
        </w:rPr>
        <w:t>increase </w:t>
      </w:r>
      <w:r>
        <w:rPr>
          <w:spacing w:val="6"/>
          <w:w w:val="110"/>
        </w:rPr>
        <w:t>in </w:t>
      </w:r>
      <w:r>
        <w:rPr>
          <w:spacing w:val="3"/>
          <w:w w:val="110"/>
        </w:rPr>
        <w:t>ASMs. </w:t>
      </w:r>
      <w:r>
        <w:rPr>
          <w:spacing w:val="4"/>
          <w:w w:val="110"/>
        </w:rPr>
        <w:t>The </w:t>
      </w:r>
      <w:r>
        <w:rPr>
          <w:spacing w:val="6"/>
          <w:w w:val="110"/>
        </w:rPr>
        <w:t>Company’s </w:t>
      </w:r>
      <w:r>
        <w:rPr>
          <w:spacing w:val="4"/>
          <w:w w:val="110"/>
        </w:rPr>
        <w:t>load   factor   for   </w:t>
      </w:r>
      <w:r>
        <w:rPr>
          <w:w w:val="110"/>
        </w:rPr>
        <w:t>2001   </w:t>
      </w:r>
      <w:r>
        <w:rPr>
          <w:spacing w:val="6"/>
          <w:w w:val="110"/>
        </w:rPr>
        <w:t>was </w:t>
      </w:r>
      <w:r>
        <w:rPr>
          <w:spacing w:val="61"/>
          <w:w w:val="110"/>
        </w:rPr>
        <w:t> </w:t>
      </w:r>
      <w:r>
        <w:rPr>
          <w:spacing w:val="4"/>
          <w:w w:val="110"/>
        </w:rPr>
        <w:t>off   </w:t>
      </w:r>
      <w:r>
        <w:rPr>
          <w:w w:val="110"/>
        </w:rPr>
        <w:t>2.4   </w:t>
      </w:r>
      <w:r>
        <w:rPr>
          <w:spacing w:val="5"/>
          <w:w w:val="110"/>
        </w:rPr>
        <w:t>points, </w:t>
      </w:r>
      <w:r>
        <w:rPr>
          <w:w w:val="110"/>
        </w:rPr>
        <w:t>to</w:t>
      </w:r>
    </w:p>
    <w:p>
      <w:pPr>
        <w:pStyle w:val="BodyText"/>
        <w:spacing w:line="254" w:lineRule="auto" w:before="69"/>
        <w:ind w:left="100" w:right="115"/>
        <w:jc w:val="both"/>
      </w:pPr>
      <w:r>
        <w:rPr/>
        <w:br w:type="column"/>
      </w:r>
      <w:r>
        <w:rPr>
          <w:w w:val="110"/>
        </w:rPr>
        <w:t>68.1 percent, and there was a 6.6 percent decrease in 2001 passenger  yield.</w:t>
      </w:r>
    </w:p>
    <w:p>
      <w:pPr>
        <w:pStyle w:val="BodyText"/>
        <w:spacing w:line="254" w:lineRule="auto"/>
        <w:ind w:left="100" w:right="103" w:firstLine="180"/>
        <w:jc w:val="both"/>
      </w:pPr>
      <w:r>
        <w:rPr>
          <w:spacing w:val="4"/>
          <w:w w:val="105"/>
        </w:rPr>
        <w:t>As </w:t>
      </w:r>
      <w:r>
        <w:rPr>
          <w:w w:val="105"/>
        </w:rPr>
        <w:t>a result </w:t>
      </w:r>
      <w:r>
        <w:rPr>
          <w:spacing w:val="6"/>
          <w:w w:val="105"/>
        </w:rPr>
        <w:t>of </w:t>
      </w:r>
      <w:r>
        <w:rPr>
          <w:spacing w:val="8"/>
          <w:w w:val="105"/>
        </w:rPr>
        <w:t>weak </w:t>
      </w:r>
      <w:r>
        <w:rPr>
          <w:spacing w:val="10"/>
          <w:w w:val="105"/>
        </w:rPr>
        <w:t>economic </w:t>
      </w:r>
      <w:r>
        <w:rPr>
          <w:spacing w:val="9"/>
          <w:w w:val="105"/>
        </w:rPr>
        <w:t>conditions </w:t>
      </w:r>
      <w:r>
        <w:rPr>
          <w:spacing w:val="6"/>
          <w:w w:val="105"/>
        </w:rPr>
        <w:t>throughout </w:t>
      </w:r>
      <w:r>
        <w:rPr>
          <w:w w:val="105"/>
        </w:rPr>
        <w:t>2001, </w:t>
      </w:r>
      <w:r>
        <w:rPr>
          <w:spacing w:val="6"/>
          <w:w w:val="105"/>
        </w:rPr>
        <w:t>consolidated</w:t>
      </w:r>
      <w:r>
        <w:rPr>
          <w:spacing w:val="59"/>
          <w:w w:val="105"/>
        </w:rPr>
        <w:t> </w:t>
      </w:r>
      <w:r>
        <w:rPr>
          <w:spacing w:val="4"/>
          <w:w w:val="105"/>
        </w:rPr>
        <w:t>freight </w:t>
      </w:r>
      <w:r>
        <w:rPr>
          <w:spacing w:val="10"/>
          <w:w w:val="105"/>
        </w:rPr>
        <w:t>revenues </w:t>
      </w:r>
      <w:r>
        <w:rPr>
          <w:spacing w:val="6"/>
          <w:w w:val="105"/>
        </w:rPr>
        <w:t>decreased </w:t>
      </w:r>
      <w:r>
        <w:rPr>
          <w:w w:val="105"/>
        </w:rPr>
        <w:t>$19.5 </w:t>
      </w:r>
      <w:r>
        <w:rPr>
          <w:spacing w:val="6"/>
          <w:w w:val="105"/>
        </w:rPr>
        <w:t>million, or </w:t>
      </w:r>
      <w:r>
        <w:rPr>
          <w:w w:val="105"/>
        </w:rPr>
        <w:t>17.6 </w:t>
      </w:r>
      <w:r>
        <w:rPr>
          <w:spacing w:val="5"/>
          <w:w w:val="105"/>
        </w:rPr>
        <w:t>percent. </w:t>
      </w:r>
      <w:r>
        <w:rPr>
          <w:spacing w:val="4"/>
          <w:w w:val="105"/>
        </w:rPr>
        <w:t>There were </w:t>
      </w:r>
      <w:r>
        <w:rPr>
          <w:spacing w:val="6"/>
          <w:w w:val="105"/>
        </w:rPr>
        <w:t>decreases in </w:t>
      </w:r>
      <w:r>
        <w:rPr>
          <w:spacing w:val="5"/>
          <w:w w:val="105"/>
        </w:rPr>
        <w:t>both </w:t>
      </w:r>
      <w:r>
        <w:rPr>
          <w:spacing w:val="2"/>
          <w:w w:val="105"/>
        </w:rPr>
        <w:t>the </w:t>
      </w:r>
      <w:r>
        <w:rPr>
          <w:spacing w:val="10"/>
          <w:w w:val="105"/>
        </w:rPr>
        <w:t>number </w:t>
      </w:r>
      <w:r>
        <w:rPr>
          <w:spacing w:val="6"/>
          <w:w w:val="105"/>
        </w:rPr>
        <w:t>of freight </w:t>
      </w:r>
      <w:r>
        <w:rPr>
          <w:spacing w:val="7"/>
          <w:w w:val="105"/>
        </w:rPr>
        <w:t>shipments </w:t>
      </w:r>
      <w:r>
        <w:rPr>
          <w:spacing w:val="8"/>
          <w:w w:val="105"/>
        </w:rPr>
        <w:t>and revenue per </w:t>
      </w:r>
      <w:r>
        <w:rPr>
          <w:spacing w:val="7"/>
          <w:w w:val="105"/>
        </w:rPr>
        <w:t>shipment. </w:t>
      </w:r>
      <w:r>
        <w:rPr>
          <w:spacing w:val="5"/>
          <w:w w:val="105"/>
        </w:rPr>
        <w:t>Other </w:t>
      </w:r>
      <w:r>
        <w:rPr>
          <w:spacing w:val="8"/>
          <w:w w:val="105"/>
        </w:rPr>
        <w:t>rev- </w:t>
      </w:r>
      <w:r>
        <w:rPr>
          <w:spacing w:val="9"/>
          <w:w w:val="105"/>
        </w:rPr>
        <w:t>enues </w:t>
      </w:r>
      <w:r>
        <w:rPr>
          <w:spacing w:val="6"/>
          <w:w w:val="105"/>
        </w:rPr>
        <w:t>increased </w:t>
      </w:r>
      <w:r>
        <w:rPr>
          <w:w w:val="105"/>
        </w:rPr>
        <w:t>$14.3 </w:t>
      </w:r>
      <w:r>
        <w:rPr>
          <w:spacing w:val="6"/>
          <w:w w:val="105"/>
        </w:rPr>
        <w:t>million, or </w:t>
      </w:r>
      <w:r>
        <w:rPr>
          <w:w w:val="105"/>
        </w:rPr>
        <w:t>20.3 </w:t>
      </w:r>
      <w:r>
        <w:rPr>
          <w:spacing w:val="5"/>
          <w:w w:val="105"/>
        </w:rPr>
        <w:t>percent, primarily </w:t>
      </w:r>
      <w:r>
        <w:rPr>
          <w:spacing w:val="8"/>
          <w:w w:val="105"/>
        </w:rPr>
        <w:t>due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9"/>
          <w:w w:val="105"/>
        </w:rPr>
        <w:t>commissions </w:t>
      </w:r>
      <w:r>
        <w:rPr>
          <w:spacing w:val="7"/>
          <w:w w:val="105"/>
        </w:rPr>
        <w:t>earned </w:t>
      </w:r>
      <w:r>
        <w:rPr>
          <w:w w:val="105"/>
        </w:rPr>
        <w:t>from </w:t>
      </w:r>
      <w:r>
        <w:rPr>
          <w:spacing w:val="5"/>
          <w:w w:val="105"/>
        </w:rPr>
        <w:t>programs  </w:t>
      </w:r>
      <w:r>
        <w:rPr>
          <w:spacing w:val="2"/>
          <w:w w:val="105"/>
        </w:rPr>
        <w:t>the  </w:t>
      </w:r>
      <w:r>
        <w:rPr>
          <w:spacing w:val="8"/>
          <w:w w:val="105"/>
        </w:rPr>
        <w:t>Company</w:t>
      </w:r>
      <w:r>
        <w:rPr>
          <w:spacing w:val="63"/>
          <w:w w:val="105"/>
        </w:rPr>
        <w:t> </w:t>
      </w:r>
      <w:r>
        <w:rPr>
          <w:spacing w:val="4"/>
          <w:w w:val="105"/>
        </w:rPr>
        <w:t>sponsors with certain </w:t>
      </w:r>
      <w:r>
        <w:rPr>
          <w:spacing w:val="6"/>
          <w:w w:val="105"/>
        </w:rPr>
        <w:t>business</w:t>
      </w:r>
      <w:r>
        <w:rPr>
          <w:spacing w:val="59"/>
          <w:w w:val="105"/>
        </w:rPr>
        <w:t> </w:t>
      </w:r>
      <w:r>
        <w:rPr>
          <w:spacing w:val="3"/>
          <w:w w:val="105"/>
        </w:rPr>
        <w:t>partners, such </w:t>
      </w:r>
      <w:r>
        <w:rPr>
          <w:spacing w:val="6"/>
          <w:w w:val="105"/>
        </w:rPr>
        <w:t>as</w:t>
      </w:r>
      <w:r>
        <w:rPr>
          <w:spacing w:val="59"/>
          <w:w w:val="105"/>
        </w:rPr>
        <w:t> </w:t>
      </w:r>
      <w:r>
        <w:rPr>
          <w:spacing w:val="6"/>
          <w:w w:val="105"/>
        </w:rPr>
        <w:t>the</w:t>
      </w:r>
      <w:r>
        <w:rPr>
          <w:spacing w:val="59"/>
          <w:w w:val="105"/>
        </w:rPr>
        <w:t> </w:t>
      </w:r>
      <w:r>
        <w:rPr>
          <w:spacing w:val="5"/>
          <w:w w:val="105"/>
        </w:rPr>
        <w:t>Company-sponsored  </w:t>
      </w:r>
      <w:r>
        <w:rPr>
          <w:w w:val="105"/>
        </w:rPr>
        <w:t>First  </w:t>
      </w:r>
      <w:r>
        <w:rPr>
          <w:spacing w:val="2"/>
          <w:w w:val="105"/>
        </w:rPr>
        <w:t>USA  </w:t>
      </w:r>
      <w:r>
        <w:rPr>
          <w:spacing w:val="4"/>
          <w:w w:val="105"/>
        </w:rPr>
        <w:t>Visa card.</w:t>
      </w:r>
    </w:p>
    <w:p>
      <w:pPr>
        <w:pStyle w:val="BodyText"/>
        <w:spacing w:before="4"/>
        <w:rPr>
          <w:sz w:val="21"/>
        </w:rPr>
      </w:pPr>
    </w:p>
    <w:p>
      <w:pPr>
        <w:pStyle w:val="BodyText"/>
        <w:spacing w:line="254" w:lineRule="auto"/>
        <w:ind w:left="100" w:right="109" w:firstLine="180"/>
        <w:jc w:val="both"/>
      </w:pPr>
      <w:r>
        <w:rPr>
          <w:i/>
          <w:w w:val="105"/>
        </w:rPr>
        <w:t>Operating Expenses. </w:t>
      </w:r>
      <w:r>
        <w:rPr>
          <w:w w:val="105"/>
        </w:rPr>
        <w:t>Consolidated operating expenses   for  2001   increased    $295.6   million,   or</w:t>
      </w:r>
    </w:p>
    <w:p>
      <w:pPr>
        <w:pStyle w:val="BodyText"/>
        <w:spacing w:line="254" w:lineRule="auto" w:before="1"/>
        <w:ind w:left="100" w:right="103"/>
        <w:jc w:val="both"/>
      </w:pPr>
      <w:r>
        <w:rPr>
          <w:w w:val="110"/>
        </w:rPr>
        <w:t>6.4 percent, </w:t>
      </w:r>
      <w:r>
        <w:rPr>
          <w:spacing w:val="3"/>
          <w:w w:val="110"/>
        </w:rPr>
        <w:t>compared </w:t>
      </w:r>
      <w:r>
        <w:rPr>
          <w:w w:val="110"/>
        </w:rPr>
        <w:t>to  the  9.0  </w:t>
      </w:r>
      <w:r>
        <w:rPr>
          <w:spacing w:val="7"/>
          <w:w w:val="110"/>
        </w:rPr>
        <w:t>percent </w:t>
      </w:r>
      <w:r>
        <w:rPr>
          <w:w w:val="110"/>
        </w:rPr>
        <w:t>increase in capacity. </w:t>
      </w:r>
      <w:r>
        <w:rPr>
          <w:spacing w:val="5"/>
          <w:w w:val="110"/>
        </w:rPr>
        <w:t>Operating  </w:t>
      </w:r>
      <w:r>
        <w:rPr>
          <w:spacing w:val="8"/>
          <w:w w:val="110"/>
        </w:rPr>
        <w:t>expenses</w:t>
      </w:r>
      <w:r>
        <w:rPr>
          <w:spacing w:val="65"/>
          <w:w w:val="110"/>
        </w:rPr>
        <w:t> </w:t>
      </w:r>
      <w:r>
        <w:rPr>
          <w:spacing w:val="12"/>
          <w:w w:val="110"/>
        </w:rPr>
        <w:t>per </w:t>
      </w:r>
      <w:r>
        <w:rPr>
          <w:w w:val="110"/>
        </w:rPr>
        <w:t>ASM </w:t>
      </w:r>
      <w:r>
        <w:rPr>
          <w:spacing w:val="6"/>
          <w:w w:val="110"/>
        </w:rPr>
        <w:t>decreased </w:t>
      </w:r>
      <w:r>
        <w:rPr>
          <w:w w:val="110"/>
        </w:rPr>
        <w:t>2.5 </w:t>
      </w:r>
      <w:r>
        <w:rPr>
          <w:spacing w:val="6"/>
          <w:w w:val="110"/>
        </w:rPr>
        <w:t>percent </w:t>
      </w:r>
      <w:r>
        <w:rPr>
          <w:w w:val="110"/>
        </w:rPr>
        <w:t>to $.0754, </w:t>
      </w:r>
      <w:r>
        <w:rPr>
          <w:spacing w:val="8"/>
          <w:w w:val="110"/>
        </w:rPr>
        <w:t>compared </w:t>
      </w:r>
      <w:r>
        <w:rPr>
          <w:w w:val="110"/>
        </w:rPr>
        <w:t>to $.0773 </w:t>
      </w:r>
      <w:r>
        <w:rPr>
          <w:spacing w:val="6"/>
          <w:w w:val="110"/>
        </w:rPr>
        <w:t>in </w:t>
      </w:r>
      <w:r>
        <w:rPr>
          <w:w w:val="110"/>
        </w:rPr>
        <w:t>2000, </w:t>
      </w:r>
      <w:r>
        <w:rPr>
          <w:spacing w:val="5"/>
          <w:w w:val="110"/>
        </w:rPr>
        <w:t>primarily </w:t>
      </w:r>
      <w:r>
        <w:rPr>
          <w:spacing w:val="8"/>
          <w:w w:val="110"/>
        </w:rPr>
        <w:t>due </w:t>
      </w:r>
      <w:r>
        <w:rPr>
          <w:w w:val="110"/>
        </w:rPr>
        <w:t>to a </w:t>
      </w:r>
      <w:r>
        <w:rPr>
          <w:spacing w:val="5"/>
          <w:w w:val="110"/>
        </w:rPr>
        <w:t>decrease </w:t>
      </w:r>
      <w:r>
        <w:rPr>
          <w:spacing w:val="12"/>
          <w:w w:val="110"/>
        </w:rPr>
        <w:t>in </w:t>
      </w:r>
      <w:r>
        <w:rPr>
          <w:spacing w:val="6"/>
          <w:w w:val="110"/>
        </w:rPr>
        <w:t>average </w:t>
      </w:r>
      <w:r>
        <w:rPr>
          <w:spacing w:val="2"/>
          <w:w w:val="110"/>
        </w:rPr>
        <w:t>jet </w:t>
      </w:r>
      <w:r>
        <w:rPr>
          <w:spacing w:val="6"/>
          <w:w w:val="110"/>
        </w:rPr>
        <w:t>fuel </w:t>
      </w:r>
      <w:r>
        <w:rPr>
          <w:spacing w:val="4"/>
          <w:w w:val="110"/>
        </w:rPr>
        <w:t>prices. The </w:t>
      </w:r>
      <w:r>
        <w:rPr>
          <w:spacing w:val="6"/>
          <w:w w:val="110"/>
        </w:rPr>
        <w:t>average fuel </w:t>
      </w:r>
      <w:r>
        <w:rPr>
          <w:spacing w:val="3"/>
          <w:w w:val="110"/>
        </w:rPr>
        <w:t>cost </w:t>
      </w:r>
      <w:r>
        <w:rPr>
          <w:spacing w:val="12"/>
          <w:w w:val="110"/>
        </w:rPr>
        <w:t>per </w:t>
      </w:r>
      <w:r>
        <w:rPr>
          <w:w w:val="110"/>
        </w:rPr>
        <w:t>gallon </w:t>
      </w:r>
      <w:r>
        <w:rPr>
          <w:spacing w:val="6"/>
          <w:w w:val="110"/>
        </w:rPr>
        <w:t>in </w:t>
      </w:r>
      <w:r>
        <w:rPr>
          <w:w w:val="110"/>
        </w:rPr>
        <w:t>2001 </w:t>
      </w:r>
      <w:r>
        <w:rPr>
          <w:spacing w:val="6"/>
          <w:w w:val="110"/>
        </w:rPr>
        <w:t>was </w:t>
      </w:r>
      <w:r>
        <w:rPr>
          <w:w w:val="110"/>
        </w:rPr>
        <w:t>$.7086, 10.0 </w:t>
      </w:r>
      <w:r>
        <w:rPr>
          <w:spacing w:val="6"/>
          <w:w w:val="110"/>
        </w:rPr>
        <w:t>percent </w:t>
      </w:r>
      <w:r>
        <w:rPr>
          <w:spacing w:val="4"/>
          <w:w w:val="110"/>
        </w:rPr>
        <w:t>lower </w:t>
      </w:r>
      <w:r>
        <w:rPr>
          <w:spacing w:val="5"/>
          <w:w w:val="110"/>
        </w:rPr>
        <w:t>than  </w:t>
      </w:r>
      <w:r>
        <w:rPr>
          <w:spacing w:val="2"/>
          <w:w w:val="110"/>
        </w:rPr>
        <w:t>the   </w:t>
      </w:r>
      <w:r>
        <w:rPr>
          <w:spacing w:val="6"/>
          <w:w w:val="110"/>
        </w:rPr>
        <w:t>average </w:t>
      </w:r>
      <w:r>
        <w:rPr>
          <w:spacing w:val="61"/>
          <w:w w:val="110"/>
        </w:rPr>
        <w:t> </w:t>
      </w:r>
      <w:r>
        <w:rPr>
          <w:spacing w:val="3"/>
          <w:w w:val="110"/>
        </w:rPr>
        <w:t>cost  </w:t>
      </w:r>
      <w:r>
        <w:rPr>
          <w:spacing w:val="8"/>
          <w:w w:val="110"/>
        </w:rPr>
        <w:t>per  </w:t>
      </w:r>
      <w:r>
        <w:rPr>
          <w:w w:val="110"/>
        </w:rPr>
        <w:t>gallon   </w:t>
      </w:r>
      <w:r>
        <w:rPr>
          <w:spacing w:val="6"/>
          <w:w w:val="110"/>
        </w:rPr>
        <w:t>in </w:t>
      </w:r>
      <w:r>
        <w:rPr>
          <w:spacing w:val="61"/>
          <w:w w:val="110"/>
        </w:rPr>
        <w:t> </w:t>
      </w:r>
      <w:r>
        <w:rPr>
          <w:w w:val="110"/>
        </w:rPr>
        <w:t>2000 </w:t>
      </w:r>
      <w:r>
        <w:rPr>
          <w:spacing w:val="6"/>
          <w:w w:val="110"/>
        </w:rPr>
        <w:t>of</w:t>
      </w:r>
    </w:p>
    <w:p>
      <w:pPr>
        <w:pStyle w:val="BodyText"/>
        <w:spacing w:line="254" w:lineRule="auto" w:before="1"/>
        <w:ind w:left="100" w:right="107"/>
        <w:jc w:val="both"/>
      </w:pPr>
      <w:r>
        <w:rPr>
          <w:w w:val="110"/>
        </w:rPr>
        <w:t>$.7869. Excluding fuel expense, operating expenses per ASM decreased .3 percent.</w:t>
      </w:r>
    </w:p>
    <w:p>
      <w:pPr>
        <w:spacing w:after="0" w:line="254" w:lineRule="auto"/>
        <w:jc w:val="both"/>
        <w:sectPr>
          <w:headerReference w:type="default" r:id="rId87"/>
          <w:footerReference w:type="default" r:id="rId88"/>
          <w:footerReference w:type="even" r:id="rId89"/>
          <w:pgSz w:w="11520" w:h="14400"/>
          <w:pgMar w:header="0" w:footer="706" w:top="960" w:bottom="900" w:left="700" w:right="840"/>
          <w:pgNumType w:start="19"/>
          <w:cols w:num="2" w:equalWidth="0">
            <w:col w:w="4737" w:space="403"/>
            <w:col w:w="4840"/>
          </w:cols>
        </w:sectPr>
      </w:pPr>
    </w:p>
    <w:p>
      <w:pPr>
        <w:pStyle w:val="BodyText"/>
        <w:spacing w:before="9"/>
        <w:rPr>
          <w:sz w:val="13"/>
        </w:rPr>
      </w:pPr>
    </w:p>
    <w:p>
      <w:pPr>
        <w:spacing w:after="0"/>
        <w:rPr>
          <w:sz w:val="13"/>
        </w:rPr>
        <w:sectPr>
          <w:type w:val="continuous"/>
          <w:pgSz w:w="11520" w:h="14400"/>
          <w:pgMar w:top="0" w:bottom="280" w:left="700" w:right="840"/>
        </w:sectPr>
      </w:pPr>
    </w:p>
    <w:p>
      <w:pPr>
        <w:pStyle w:val="BodyText"/>
        <w:spacing w:before="93"/>
        <w:ind w:left="1100"/>
      </w:pPr>
      <w:r>
        <w:rPr/>
        <w:pict>
          <v:line style="position:absolute;mso-position-horizontal-relative:page;mso-position-vertical-relative:paragraph;z-index:6424" from="89pt,17.291576pt" to="492.24pt,17.291576pt" stroked="true" strokeweight=".24pt" strokecolor="#000000">
            <v:stroke dashstyle="solid"/>
            <w10:wrap type="none"/>
          </v:line>
        </w:pict>
      </w:r>
      <w:r>
        <w:rPr>
          <w:w w:val="110"/>
        </w:rPr>
        <w:t>Operating Expenses per ASM for 2001 and 2000 were as follows:</w:t>
      </w:r>
    </w:p>
    <w:p>
      <w:pPr>
        <w:pStyle w:val="BodyText"/>
        <w:spacing w:line="228" w:lineRule="exact" w:before="16"/>
        <w:jc w:val="right"/>
      </w:pPr>
      <w:r>
        <w:rPr>
          <w:w w:val="110"/>
        </w:rPr>
        <w:t>Increase</w:t>
      </w:r>
    </w:p>
    <w:p>
      <w:pPr>
        <w:pStyle w:val="BodyText"/>
        <w:spacing w:before="11"/>
        <w:rPr>
          <w:sz w:val="28"/>
        </w:rPr>
      </w:pPr>
      <w:r>
        <w:rPr/>
        <w:br w:type="column"/>
      </w:r>
      <w:r>
        <w:rPr>
          <w:sz w:val="28"/>
        </w:rPr>
      </w:r>
    </w:p>
    <w:p>
      <w:pPr>
        <w:pStyle w:val="BodyText"/>
        <w:spacing w:line="228" w:lineRule="exact"/>
        <w:ind w:left="372"/>
      </w:pPr>
      <w:r>
        <w:rPr>
          <w:w w:val="105"/>
        </w:rPr>
        <w:t>Percent</w:t>
      </w:r>
    </w:p>
    <w:p>
      <w:pPr>
        <w:spacing w:after="0" w:line="228" w:lineRule="exact"/>
        <w:sectPr>
          <w:type w:val="continuous"/>
          <w:pgSz w:w="11520" w:h="14400"/>
          <w:pgMar w:top="0" w:bottom="280" w:left="700" w:right="840"/>
          <w:cols w:num="2" w:equalWidth="0">
            <w:col w:w="7888" w:space="40"/>
            <w:col w:w="2052"/>
          </w:cols>
        </w:sectPr>
      </w:pPr>
    </w:p>
    <w:p>
      <w:pPr>
        <w:pStyle w:val="BodyText"/>
        <w:tabs>
          <w:tab w:pos="4999" w:val="left" w:leader="none"/>
          <w:tab w:pos="6079" w:val="left" w:leader="none"/>
          <w:tab w:pos="6999" w:val="left" w:leader="none"/>
          <w:tab w:pos="8319" w:val="left" w:leader="none"/>
        </w:tabs>
        <w:spacing w:line="236" w:lineRule="exact" w:after="43"/>
        <w:ind w:left="4680"/>
      </w:pPr>
      <w:r>
        <w:rPr>
          <w:rFonts w:ascii="Franklin Gothic Medium"/>
          <w:w w:val="116"/>
          <w:u w:val="single"/>
        </w:rPr>
        <w:t> </w:t>
      </w:r>
      <w:r>
        <w:rPr>
          <w:rFonts w:ascii="Franklin Gothic Medium"/>
          <w:u w:val="single"/>
        </w:rPr>
        <w:tab/>
      </w:r>
      <w:r>
        <w:rPr>
          <w:rFonts w:ascii="Franklin Gothic Medium"/>
          <w:spacing w:val="2"/>
          <w:w w:val="110"/>
          <w:u w:val="single"/>
        </w:rPr>
        <w:t>2001</w:t>
        <w:tab/>
      </w:r>
      <w:r>
        <w:rPr>
          <w:w w:val="110"/>
          <w:u w:val="single"/>
        </w:rPr>
        <w:t>2000</w:t>
        <w:tab/>
      </w:r>
      <w:r>
        <w:rPr>
          <w:spacing w:val="5"/>
          <w:w w:val="110"/>
          <w:u w:val="single"/>
        </w:rPr>
        <w:t>(decrease)</w:t>
        <w:tab/>
      </w:r>
      <w:r>
        <w:rPr>
          <w:spacing w:val="8"/>
          <w:w w:val="110"/>
          <w:u w:val="single"/>
        </w:rPr>
        <w:t>change</w:t>
      </w:r>
      <w:r>
        <w:rPr>
          <w:spacing w:val="8"/>
          <w:u w:val="single"/>
        </w:rPr>
        <w:t> </w:t>
      </w:r>
    </w:p>
    <w:tbl>
      <w:tblPr>
        <w:tblW w:w="0" w:type="auto"/>
        <w:jc w:val="left"/>
        <w:tblInd w:w="10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95"/>
        <w:gridCol w:w="1165"/>
        <w:gridCol w:w="1152"/>
        <w:gridCol w:w="1070"/>
        <w:gridCol w:w="883"/>
      </w:tblGrid>
      <w:tr>
        <w:trPr>
          <w:trHeight w:val="246" w:hRule="exact"/>
        </w:trPr>
        <w:tc>
          <w:tcPr>
            <w:tcW w:w="3695" w:type="dxa"/>
          </w:tcPr>
          <w:p>
            <w:pPr>
              <w:pStyle w:val="TableParagraph"/>
              <w:spacing w:line="237" w:lineRule="exact"/>
              <w:ind w:left="32"/>
              <w:rPr>
                <w:sz w:val="20"/>
              </w:rPr>
            </w:pPr>
            <w:r>
              <w:rPr>
                <w:w w:val="110"/>
                <w:sz w:val="20"/>
              </w:rPr>
              <w:t>Salaries,  wages,  and  benefits</w:t>
            </w:r>
          </w:p>
        </w:tc>
        <w:tc>
          <w:tcPr>
            <w:tcW w:w="1165" w:type="dxa"/>
          </w:tcPr>
          <w:p>
            <w:pPr>
              <w:pStyle w:val="TableParagraph"/>
              <w:spacing w:line="237" w:lineRule="exact"/>
              <w:ind w:left="377"/>
              <w:rPr>
                <w:sz w:val="20"/>
              </w:rPr>
            </w:pPr>
            <w:r>
              <w:rPr>
                <w:rFonts w:ascii="Franklin Gothic Medium" w:hAnsi="Franklin Gothic Medium"/>
                <w:w w:val="105"/>
                <w:sz w:val="20"/>
              </w:rPr>
              <w:t>2.84</w:t>
            </w:r>
            <w:r>
              <w:rPr>
                <w:w w:val="105"/>
                <w:sz w:val="20"/>
              </w:rPr>
              <w:t>¢</w:t>
            </w:r>
          </w:p>
        </w:tc>
        <w:tc>
          <w:tcPr>
            <w:tcW w:w="1152" w:type="dxa"/>
          </w:tcPr>
          <w:p>
            <w:pPr>
              <w:pStyle w:val="TableParagraph"/>
              <w:spacing w:line="237" w:lineRule="exact"/>
              <w:ind w:left="252"/>
              <w:rPr>
                <w:sz w:val="20"/>
              </w:rPr>
            </w:pPr>
            <w:r>
              <w:rPr>
                <w:w w:val="120"/>
                <w:sz w:val="20"/>
              </w:rPr>
              <w:t>2.81¢</w:t>
            </w:r>
          </w:p>
        </w:tc>
        <w:tc>
          <w:tcPr>
            <w:tcW w:w="1070" w:type="dxa"/>
          </w:tcPr>
          <w:p>
            <w:pPr>
              <w:pStyle w:val="TableParagraph"/>
              <w:spacing w:line="237" w:lineRule="exact"/>
              <w:ind w:left="420"/>
              <w:rPr>
                <w:sz w:val="20"/>
              </w:rPr>
            </w:pPr>
            <w:r>
              <w:rPr>
                <w:w w:val="120"/>
                <w:sz w:val="20"/>
              </w:rPr>
              <w:t>.03¢</w:t>
            </w:r>
          </w:p>
        </w:tc>
        <w:tc>
          <w:tcPr>
            <w:tcW w:w="883" w:type="dxa"/>
          </w:tcPr>
          <w:p>
            <w:pPr>
              <w:pStyle w:val="TableParagraph"/>
              <w:spacing w:line="237" w:lineRule="exact"/>
              <w:ind w:right="30"/>
              <w:jc w:val="right"/>
              <w:rPr>
                <w:sz w:val="20"/>
              </w:rPr>
            </w:pPr>
            <w:r>
              <w:rPr>
                <w:w w:val="110"/>
                <w:sz w:val="20"/>
              </w:rPr>
              <w:t>1.1%</w:t>
            </w:r>
          </w:p>
        </w:tc>
      </w:tr>
      <w:tr>
        <w:trPr>
          <w:trHeight w:val="260" w:hRule="exact"/>
        </w:trPr>
        <w:tc>
          <w:tcPr>
            <w:tcW w:w="3695" w:type="dxa"/>
          </w:tcPr>
          <w:p>
            <w:pPr>
              <w:pStyle w:val="TableParagraph"/>
              <w:spacing w:before="6"/>
              <w:ind w:left="32"/>
              <w:rPr>
                <w:sz w:val="20"/>
              </w:rPr>
            </w:pPr>
            <w:r>
              <w:rPr>
                <w:w w:val="105"/>
                <w:sz w:val="20"/>
              </w:rPr>
              <w:t>Fuel  and oil</w:t>
            </w:r>
          </w:p>
        </w:tc>
        <w:tc>
          <w:tcPr>
            <w:tcW w:w="1165" w:type="dxa"/>
          </w:tcPr>
          <w:p>
            <w:pPr>
              <w:pStyle w:val="TableParagraph"/>
              <w:spacing w:before="13"/>
              <w:ind w:left="377"/>
              <w:rPr>
                <w:rFonts w:ascii="Franklin Gothic Medium"/>
                <w:sz w:val="20"/>
              </w:rPr>
            </w:pPr>
            <w:r>
              <w:rPr>
                <w:rFonts w:ascii="Franklin Gothic Medium"/>
                <w:sz w:val="20"/>
              </w:rPr>
              <w:t>1.18</w:t>
            </w:r>
          </w:p>
        </w:tc>
        <w:tc>
          <w:tcPr>
            <w:tcW w:w="1152" w:type="dxa"/>
          </w:tcPr>
          <w:p>
            <w:pPr>
              <w:pStyle w:val="TableParagraph"/>
              <w:spacing w:before="6"/>
              <w:ind w:left="252"/>
              <w:rPr>
                <w:sz w:val="20"/>
              </w:rPr>
            </w:pPr>
            <w:r>
              <w:rPr>
                <w:w w:val="120"/>
                <w:sz w:val="20"/>
              </w:rPr>
              <w:t>1.34</w:t>
            </w:r>
          </w:p>
        </w:tc>
        <w:tc>
          <w:tcPr>
            <w:tcW w:w="1070" w:type="dxa"/>
          </w:tcPr>
          <w:p>
            <w:pPr>
              <w:pStyle w:val="TableParagraph"/>
              <w:spacing w:before="6"/>
              <w:ind w:left="360"/>
              <w:rPr>
                <w:sz w:val="20"/>
              </w:rPr>
            </w:pPr>
            <w:r>
              <w:rPr>
                <w:w w:val="110"/>
                <w:sz w:val="20"/>
              </w:rPr>
              <w:t>(.16)</w:t>
            </w:r>
          </w:p>
        </w:tc>
        <w:tc>
          <w:tcPr>
            <w:tcW w:w="883" w:type="dxa"/>
          </w:tcPr>
          <w:p>
            <w:pPr>
              <w:pStyle w:val="TableParagraph"/>
              <w:spacing w:before="6"/>
              <w:ind w:left="230"/>
              <w:rPr>
                <w:sz w:val="20"/>
              </w:rPr>
            </w:pPr>
            <w:r>
              <w:rPr>
                <w:w w:val="115"/>
                <w:sz w:val="20"/>
              </w:rPr>
              <w:t>(11.9)</w:t>
            </w:r>
          </w:p>
        </w:tc>
      </w:tr>
      <w:tr>
        <w:trPr>
          <w:trHeight w:val="260" w:hRule="exact"/>
        </w:trPr>
        <w:tc>
          <w:tcPr>
            <w:tcW w:w="3695" w:type="dxa"/>
          </w:tcPr>
          <w:p>
            <w:pPr>
              <w:pStyle w:val="TableParagraph"/>
              <w:spacing w:before="6"/>
              <w:ind w:left="32"/>
              <w:rPr>
                <w:sz w:val="20"/>
              </w:rPr>
            </w:pPr>
            <w:r>
              <w:rPr>
                <w:w w:val="105"/>
                <w:sz w:val="20"/>
              </w:rPr>
              <w:t>Maintenance  materials  and   repairs</w:t>
            </w:r>
          </w:p>
        </w:tc>
        <w:tc>
          <w:tcPr>
            <w:tcW w:w="1165" w:type="dxa"/>
          </w:tcPr>
          <w:p>
            <w:pPr>
              <w:pStyle w:val="TableParagraph"/>
              <w:spacing w:before="13"/>
              <w:ind w:left="497"/>
              <w:rPr>
                <w:rFonts w:ascii="Franklin Gothic Medium"/>
                <w:sz w:val="20"/>
              </w:rPr>
            </w:pPr>
            <w:r>
              <w:rPr>
                <w:rFonts w:ascii="Franklin Gothic Medium"/>
                <w:sz w:val="20"/>
              </w:rPr>
              <w:t>.61</w:t>
            </w:r>
          </w:p>
        </w:tc>
        <w:tc>
          <w:tcPr>
            <w:tcW w:w="1152" w:type="dxa"/>
          </w:tcPr>
          <w:p>
            <w:pPr>
              <w:pStyle w:val="TableParagraph"/>
              <w:spacing w:before="6"/>
              <w:ind w:left="372"/>
              <w:rPr>
                <w:sz w:val="20"/>
              </w:rPr>
            </w:pPr>
            <w:r>
              <w:rPr>
                <w:w w:val="120"/>
                <w:sz w:val="20"/>
              </w:rPr>
              <w:t>.63</w:t>
            </w:r>
          </w:p>
        </w:tc>
        <w:tc>
          <w:tcPr>
            <w:tcW w:w="1070" w:type="dxa"/>
          </w:tcPr>
          <w:p>
            <w:pPr>
              <w:pStyle w:val="TableParagraph"/>
              <w:spacing w:before="6"/>
              <w:ind w:left="359"/>
              <w:rPr>
                <w:sz w:val="20"/>
              </w:rPr>
            </w:pPr>
            <w:r>
              <w:rPr>
                <w:w w:val="110"/>
                <w:sz w:val="20"/>
              </w:rPr>
              <w:t>(.02)</w:t>
            </w:r>
          </w:p>
        </w:tc>
        <w:tc>
          <w:tcPr>
            <w:tcW w:w="883" w:type="dxa"/>
          </w:tcPr>
          <w:p>
            <w:pPr>
              <w:pStyle w:val="TableParagraph"/>
              <w:spacing w:before="6"/>
              <w:ind w:right="110"/>
              <w:jc w:val="right"/>
              <w:rPr>
                <w:sz w:val="20"/>
              </w:rPr>
            </w:pPr>
            <w:r>
              <w:rPr>
                <w:w w:val="110"/>
                <w:sz w:val="20"/>
              </w:rPr>
              <w:t>(3.2)</w:t>
            </w:r>
          </w:p>
        </w:tc>
      </w:tr>
      <w:tr>
        <w:trPr>
          <w:trHeight w:val="260" w:hRule="exact"/>
        </w:trPr>
        <w:tc>
          <w:tcPr>
            <w:tcW w:w="3695" w:type="dxa"/>
          </w:tcPr>
          <w:p>
            <w:pPr>
              <w:pStyle w:val="TableParagraph"/>
              <w:spacing w:before="6"/>
              <w:ind w:left="32"/>
              <w:rPr>
                <w:sz w:val="20"/>
              </w:rPr>
            </w:pPr>
            <w:r>
              <w:rPr>
                <w:w w:val="105"/>
                <w:sz w:val="20"/>
              </w:rPr>
              <w:t>Agency   commissions</w:t>
            </w:r>
          </w:p>
        </w:tc>
        <w:tc>
          <w:tcPr>
            <w:tcW w:w="1165" w:type="dxa"/>
          </w:tcPr>
          <w:p>
            <w:pPr>
              <w:pStyle w:val="TableParagraph"/>
              <w:spacing w:before="13"/>
              <w:ind w:left="497"/>
              <w:rPr>
                <w:rFonts w:ascii="Franklin Gothic Medium"/>
                <w:sz w:val="20"/>
              </w:rPr>
            </w:pPr>
            <w:r>
              <w:rPr>
                <w:rFonts w:ascii="Franklin Gothic Medium"/>
                <w:sz w:val="20"/>
              </w:rPr>
              <w:t>.16</w:t>
            </w:r>
          </w:p>
        </w:tc>
        <w:tc>
          <w:tcPr>
            <w:tcW w:w="1152" w:type="dxa"/>
          </w:tcPr>
          <w:p>
            <w:pPr>
              <w:pStyle w:val="TableParagraph"/>
              <w:spacing w:before="6"/>
              <w:ind w:left="372"/>
              <w:rPr>
                <w:sz w:val="20"/>
              </w:rPr>
            </w:pPr>
            <w:r>
              <w:rPr>
                <w:w w:val="120"/>
                <w:sz w:val="20"/>
              </w:rPr>
              <w:t>.27</w:t>
            </w:r>
          </w:p>
        </w:tc>
        <w:tc>
          <w:tcPr>
            <w:tcW w:w="1070" w:type="dxa"/>
          </w:tcPr>
          <w:p>
            <w:pPr>
              <w:pStyle w:val="TableParagraph"/>
              <w:spacing w:before="6"/>
              <w:ind w:left="359"/>
              <w:rPr>
                <w:sz w:val="20"/>
              </w:rPr>
            </w:pPr>
            <w:r>
              <w:rPr>
                <w:w w:val="110"/>
                <w:sz w:val="20"/>
              </w:rPr>
              <w:t>(.11)</w:t>
            </w:r>
          </w:p>
        </w:tc>
        <w:tc>
          <w:tcPr>
            <w:tcW w:w="883" w:type="dxa"/>
          </w:tcPr>
          <w:p>
            <w:pPr>
              <w:pStyle w:val="TableParagraph"/>
              <w:spacing w:before="6"/>
              <w:ind w:left="229"/>
              <w:rPr>
                <w:sz w:val="20"/>
              </w:rPr>
            </w:pPr>
            <w:r>
              <w:rPr>
                <w:w w:val="115"/>
                <w:sz w:val="20"/>
              </w:rPr>
              <w:t>(40.7)</w:t>
            </w:r>
          </w:p>
        </w:tc>
      </w:tr>
      <w:tr>
        <w:trPr>
          <w:trHeight w:val="260" w:hRule="exact"/>
        </w:trPr>
        <w:tc>
          <w:tcPr>
            <w:tcW w:w="3695" w:type="dxa"/>
          </w:tcPr>
          <w:p>
            <w:pPr>
              <w:pStyle w:val="TableParagraph"/>
              <w:spacing w:before="6"/>
              <w:ind w:left="32"/>
              <w:rPr>
                <w:sz w:val="20"/>
              </w:rPr>
            </w:pPr>
            <w:r>
              <w:rPr>
                <w:w w:val="105"/>
                <w:sz w:val="20"/>
              </w:rPr>
              <w:t>Aircraft rentals</w:t>
            </w:r>
          </w:p>
        </w:tc>
        <w:tc>
          <w:tcPr>
            <w:tcW w:w="1165" w:type="dxa"/>
          </w:tcPr>
          <w:p>
            <w:pPr>
              <w:pStyle w:val="TableParagraph"/>
              <w:spacing w:before="13"/>
              <w:ind w:left="497"/>
              <w:rPr>
                <w:rFonts w:ascii="Franklin Gothic Medium"/>
                <w:sz w:val="20"/>
              </w:rPr>
            </w:pPr>
            <w:r>
              <w:rPr>
                <w:rFonts w:ascii="Franklin Gothic Medium"/>
                <w:sz w:val="20"/>
              </w:rPr>
              <w:t>.29</w:t>
            </w:r>
          </w:p>
        </w:tc>
        <w:tc>
          <w:tcPr>
            <w:tcW w:w="1152" w:type="dxa"/>
          </w:tcPr>
          <w:p>
            <w:pPr>
              <w:pStyle w:val="TableParagraph"/>
              <w:spacing w:before="6"/>
              <w:ind w:left="372"/>
              <w:rPr>
                <w:sz w:val="20"/>
              </w:rPr>
            </w:pPr>
            <w:r>
              <w:rPr>
                <w:w w:val="120"/>
                <w:sz w:val="20"/>
              </w:rPr>
              <w:t>.33</w:t>
            </w:r>
          </w:p>
        </w:tc>
        <w:tc>
          <w:tcPr>
            <w:tcW w:w="1070" w:type="dxa"/>
          </w:tcPr>
          <w:p>
            <w:pPr>
              <w:pStyle w:val="TableParagraph"/>
              <w:spacing w:before="6"/>
              <w:ind w:left="359"/>
              <w:rPr>
                <w:sz w:val="20"/>
              </w:rPr>
            </w:pPr>
            <w:r>
              <w:rPr>
                <w:w w:val="110"/>
                <w:sz w:val="20"/>
              </w:rPr>
              <w:t>(.04)</w:t>
            </w:r>
          </w:p>
        </w:tc>
        <w:tc>
          <w:tcPr>
            <w:tcW w:w="883" w:type="dxa"/>
          </w:tcPr>
          <w:p>
            <w:pPr>
              <w:pStyle w:val="TableParagraph"/>
              <w:spacing w:before="6"/>
              <w:ind w:left="229"/>
              <w:rPr>
                <w:sz w:val="20"/>
              </w:rPr>
            </w:pPr>
            <w:r>
              <w:rPr>
                <w:w w:val="115"/>
                <w:sz w:val="20"/>
              </w:rPr>
              <w:t>(12.1)</w:t>
            </w:r>
          </w:p>
        </w:tc>
      </w:tr>
      <w:tr>
        <w:trPr>
          <w:trHeight w:val="260" w:hRule="exact"/>
        </w:trPr>
        <w:tc>
          <w:tcPr>
            <w:tcW w:w="3695" w:type="dxa"/>
          </w:tcPr>
          <w:p>
            <w:pPr>
              <w:pStyle w:val="TableParagraph"/>
              <w:spacing w:before="6"/>
              <w:ind w:left="32"/>
              <w:rPr>
                <w:sz w:val="20"/>
              </w:rPr>
            </w:pPr>
            <w:r>
              <w:rPr>
                <w:w w:val="105"/>
                <w:sz w:val="20"/>
              </w:rPr>
              <w:t>Landing  fees  and  other   rentals</w:t>
            </w:r>
          </w:p>
        </w:tc>
        <w:tc>
          <w:tcPr>
            <w:tcW w:w="1165" w:type="dxa"/>
          </w:tcPr>
          <w:p>
            <w:pPr>
              <w:pStyle w:val="TableParagraph"/>
              <w:spacing w:before="13"/>
              <w:ind w:left="497"/>
              <w:rPr>
                <w:rFonts w:ascii="Franklin Gothic Medium"/>
                <w:sz w:val="20"/>
              </w:rPr>
            </w:pPr>
            <w:r>
              <w:rPr>
                <w:rFonts w:ascii="Franklin Gothic Medium"/>
                <w:sz w:val="20"/>
              </w:rPr>
              <w:t>.48</w:t>
            </w:r>
          </w:p>
        </w:tc>
        <w:tc>
          <w:tcPr>
            <w:tcW w:w="1152" w:type="dxa"/>
          </w:tcPr>
          <w:p>
            <w:pPr>
              <w:pStyle w:val="TableParagraph"/>
              <w:spacing w:before="6"/>
              <w:ind w:left="372"/>
              <w:rPr>
                <w:sz w:val="20"/>
              </w:rPr>
            </w:pPr>
            <w:r>
              <w:rPr>
                <w:w w:val="120"/>
                <w:sz w:val="20"/>
              </w:rPr>
              <w:t>.44</w:t>
            </w:r>
          </w:p>
        </w:tc>
        <w:tc>
          <w:tcPr>
            <w:tcW w:w="1070" w:type="dxa"/>
          </w:tcPr>
          <w:p>
            <w:pPr>
              <w:pStyle w:val="TableParagraph"/>
              <w:spacing w:before="6"/>
              <w:ind w:left="419"/>
              <w:rPr>
                <w:sz w:val="20"/>
              </w:rPr>
            </w:pPr>
            <w:r>
              <w:rPr>
                <w:w w:val="120"/>
                <w:sz w:val="20"/>
              </w:rPr>
              <w:t>.04</w:t>
            </w:r>
          </w:p>
        </w:tc>
        <w:tc>
          <w:tcPr>
            <w:tcW w:w="883" w:type="dxa"/>
          </w:tcPr>
          <w:p>
            <w:pPr>
              <w:pStyle w:val="TableParagraph"/>
              <w:spacing w:before="6"/>
              <w:ind w:left="409"/>
              <w:rPr>
                <w:sz w:val="20"/>
              </w:rPr>
            </w:pPr>
            <w:r>
              <w:rPr>
                <w:w w:val="120"/>
                <w:sz w:val="20"/>
              </w:rPr>
              <w:t>9.1</w:t>
            </w:r>
          </w:p>
        </w:tc>
      </w:tr>
      <w:tr>
        <w:trPr>
          <w:trHeight w:val="246" w:hRule="exact"/>
        </w:trPr>
        <w:tc>
          <w:tcPr>
            <w:tcW w:w="3695" w:type="dxa"/>
          </w:tcPr>
          <w:p>
            <w:pPr>
              <w:pStyle w:val="TableParagraph"/>
              <w:spacing w:before="6"/>
              <w:ind w:left="32"/>
              <w:rPr>
                <w:sz w:val="20"/>
              </w:rPr>
            </w:pPr>
            <w:r>
              <w:rPr>
                <w:w w:val="105"/>
                <w:sz w:val="20"/>
              </w:rPr>
              <w:t>Depreciation</w:t>
            </w:r>
          </w:p>
        </w:tc>
        <w:tc>
          <w:tcPr>
            <w:tcW w:w="1165" w:type="dxa"/>
          </w:tcPr>
          <w:p>
            <w:pPr>
              <w:pStyle w:val="TableParagraph"/>
              <w:spacing w:before="13"/>
              <w:ind w:left="497"/>
              <w:rPr>
                <w:rFonts w:ascii="Franklin Gothic Medium"/>
                <w:sz w:val="20"/>
              </w:rPr>
            </w:pPr>
            <w:r>
              <w:rPr>
                <w:rFonts w:ascii="Franklin Gothic Medium"/>
                <w:sz w:val="20"/>
              </w:rPr>
              <w:t>.49</w:t>
            </w:r>
          </w:p>
        </w:tc>
        <w:tc>
          <w:tcPr>
            <w:tcW w:w="1152" w:type="dxa"/>
          </w:tcPr>
          <w:p>
            <w:pPr>
              <w:pStyle w:val="TableParagraph"/>
              <w:spacing w:before="6"/>
              <w:ind w:left="372"/>
              <w:rPr>
                <w:sz w:val="20"/>
              </w:rPr>
            </w:pPr>
            <w:r>
              <w:rPr>
                <w:w w:val="120"/>
                <w:sz w:val="20"/>
              </w:rPr>
              <w:t>.47</w:t>
            </w:r>
          </w:p>
        </w:tc>
        <w:tc>
          <w:tcPr>
            <w:tcW w:w="1070" w:type="dxa"/>
          </w:tcPr>
          <w:p>
            <w:pPr>
              <w:pStyle w:val="TableParagraph"/>
              <w:spacing w:before="6"/>
              <w:ind w:left="419"/>
              <w:rPr>
                <w:sz w:val="20"/>
              </w:rPr>
            </w:pPr>
            <w:r>
              <w:rPr>
                <w:w w:val="120"/>
                <w:sz w:val="20"/>
              </w:rPr>
              <w:t>.02</w:t>
            </w:r>
          </w:p>
        </w:tc>
        <w:tc>
          <w:tcPr>
            <w:tcW w:w="883" w:type="dxa"/>
          </w:tcPr>
          <w:p>
            <w:pPr>
              <w:pStyle w:val="TableParagraph"/>
              <w:spacing w:before="6"/>
              <w:ind w:left="409"/>
              <w:rPr>
                <w:sz w:val="20"/>
              </w:rPr>
            </w:pPr>
            <w:r>
              <w:rPr>
                <w:w w:val="120"/>
                <w:sz w:val="20"/>
              </w:rPr>
              <w:t>4.3</w:t>
            </w:r>
          </w:p>
        </w:tc>
      </w:tr>
    </w:tbl>
    <w:p>
      <w:pPr>
        <w:pStyle w:val="BodyText"/>
        <w:tabs>
          <w:tab w:pos="4679" w:val="left" w:leader="none"/>
          <w:tab w:pos="5119" w:val="left" w:leader="none"/>
          <w:tab w:pos="6159" w:val="left" w:leader="none"/>
          <w:tab w:pos="7419" w:val="left" w:leader="none"/>
          <w:tab w:pos="7479" w:val="left" w:leader="none"/>
          <w:tab w:pos="8479" w:val="left" w:leader="none"/>
          <w:tab w:pos="8539" w:val="left" w:leader="none"/>
          <w:tab w:pos="9144" w:val="left" w:leader="none"/>
        </w:tabs>
        <w:spacing w:line="276" w:lineRule="auto" w:before="19"/>
        <w:ind w:left="1360" w:right="833" w:hanging="280"/>
      </w:pPr>
      <w:r>
        <w:rPr>
          <w:spacing w:val="4"/>
          <w:w w:val="110"/>
        </w:rPr>
        <w:t>Other</w:t>
        <w:tab/>
      </w:r>
      <w:r>
        <w:rPr>
          <w:rFonts w:ascii="Franklin Gothic Medium" w:hAnsi="Franklin Gothic Medium"/>
          <w:spacing w:val="4"/>
          <w:w w:val="110"/>
          <w:u w:val="single"/>
        </w:rPr>
        <w:t> </w:t>
        <w:tab/>
        <w:t>1.49</w:t>
        <w:tab/>
      </w:r>
      <w:r>
        <w:rPr>
          <w:w w:val="110"/>
          <w:u w:val="single"/>
        </w:rPr>
        <w:t>1.44</w:t>
        <w:tab/>
        <w:tab/>
        <w:t>.05</w:t>
        <w:tab/>
        <w:tab/>
        <w:t>3.5</w:t>
        <w:tab/>
      </w:r>
      <w:r>
        <w:rPr>
          <w:w w:val="110"/>
        </w:rPr>
        <w:t> </w:t>
      </w:r>
      <w:r>
        <w:rPr>
          <w:spacing w:val="2"/>
          <w:w w:val="110"/>
        </w:rPr>
        <w:t>Total</w:t>
        <w:tab/>
      </w:r>
      <w:r>
        <w:rPr>
          <w:rFonts w:ascii="Franklin Gothic Medium" w:hAnsi="Franklin Gothic Medium"/>
          <w:spacing w:val="2"/>
          <w:w w:val="110"/>
          <w:u w:val="single"/>
        </w:rPr>
        <w:t> </w:t>
        <w:tab/>
        <w:t>7.54</w:t>
      </w:r>
      <w:r>
        <w:rPr>
          <w:spacing w:val="2"/>
          <w:w w:val="110"/>
          <w:u w:val="single"/>
        </w:rPr>
        <w:t>¢</w:t>
        <w:tab/>
      </w:r>
      <w:r>
        <w:rPr>
          <w:w w:val="110"/>
          <w:u w:val="single"/>
        </w:rPr>
        <w:t>7.73¢</w:t>
        <w:tab/>
        <w:t>(.19)¢</w:t>
        <w:tab/>
        <w:t>(2.5)%</w:t>
      </w:r>
      <w:r>
        <w:rPr>
          <w:spacing w:val="9"/>
          <w:u w:val="single"/>
        </w:rPr>
        <w:t> </w:t>
      </w:r>
    </w:p>
    <w:p>
      <w:pPr>
        <w:spacing w:after="0" w:line="276" w:lineRule="auto"/>
        <w:sectPr>
          <w:type w:val="continuous"/>
          <w:pgSz w:w="11520" w:h="14400"/>
          <w:pgMar w:top="0" w:bottom="280" w:left="700" w:right="840"/>
        </w:sectPr>
      </w:pPr>
    </w:p>
    <w:p>
      <w:pPr>
        <w:pStyle w:val="BodyText"/>
        <w:spacing w:line="254" w:lineRule="auto" w:before="69"/>
        <w:ind w:left="100" w:right="10" w:firstLine="180"/>
        <w:jc w:val="both"/>
      </w:pPr>
      <w:r>
        <w:rPr>
          <w:spacing w:val="3"/>
          <w:w w:val="110"/>
        </w:rPr>
        <w:t>Salaries, </w:t>
      </w:r>
      <w:r>
        <w:rPr>
          <w:spacing w:val="4"/>
          <w:w w:val="110"/>
        </w:rPr>
        <w:t>wages, </w:t>
      </w:r>
      <w:r>
        <w:rPr>
          <w:spacing w:val="8"/>
          <w:w w:val="110"/>
        </w:rPr>
        <w:t>and </w:t>
      </w:r>
      <w:r>
        <w:rPr>
          <w:spacing w:val="7"/>
          <w:w w:val="110"/>
        </w:rPr>
        <w:t>benefits </w:t>
      </w:r>
      <w:r>
        <w:rPr>
          <w:spacing w:val="8"/>
          <w:w w:val="110"/>
        </w:rPr>
        <w:t>per </w:t>
      </w:r>
      <w:r>
        <w:rPr>
          <w:w w:val="110"/>
        </w:rPr>
        <w:t>ASM </w:t>
      </w:r>
      <w:r>
        <w:rPr>
          <w:spacing w:val="6"/>
          <w:w w:val="110"/>
        </w:rPr>
        <w:t>increased</w:t>
      </w:r>
      <w:r>
        <w:rPr>
          <w:spacing w:val="61"/>
          <w:w w:val="110"/>
        </w:rPr>
        <w:t> </w:t>
      </w:r>
      <w:r>
        <w:rPr>
          <w:w w:val="110"/>
        </w:rPr>
        <w:t>1.1 </w:t>
      </w:r>
      <w:r>
        <w:rPr>
          <w:spacing w:val="6"/>
          <w:w w:val="110"/>
        </w:rPr>
        <w:t>percent </w:t>
      </w:r>
      <w:r>
        <w:rPr>
          <w:spacing w:val="8"/>
          <w:w w:val="110"/>
        </w:rPr>
        <w:t>due </w:t>
      </w:r>
      <w:r>
        <w:rPr>
          <w:w w:val="110"/>
        </w:rPr>
        <w:t>to a 3.2 </w:t>
      </w:r>
      <w:r>
        <w:rPr>
          <w:spacing w:val="6"/>
          <w:w w:val="110"/>
        </w:rPr>
        <w:t>percent </w:t>
      </w:r>
      <w:r>
        <w:rPr>
          <w:spacing w:val="5"/>
          <w:w w:val="110"/>
        </w:rPr>
        <w:t>increase </w:t>
      </w:r>
      <w:r>
        <w:rPr>
          <w:spacing w:val="6"/>
          <w:w w:val="110"/>
        </w:rPr>
        <w:t>in  </w:t>
      </w:r>
      <w:r>
        <w:rPr>
          <w:spacing w:val="4"/>
          <w:w w:val="110"/>
        </w:rPr>
        <w:t>salaries  </w:t>
      </w:r>
      <w:r>
        <w:rPr>
          <w:spacing w:val="8"/>
          <w:w w:val="110"/>
        </w:rPr>
        <w:t>and  </w:t>
      </w:r>
      <w:r>
        <w:rPr>
          <w:spacing w:val="6"/>
          <w:w w:val="110"/>
        </w:rPr>
        <w:t>wages  </w:t>
      </w:r>
      <w:r>
        <w:rPr>
          <w:spacing w:val="8"/>
          <w:w w:val="110"/>
        </w:rPr>
        <w:t>per </w:t>
      </w:r>
      <w:r>
        <w:rPr>
          <w:w w:val="110"/>
        </w:rPr>
        <w:t>ASM  </w:t>
      </w:r>
      <w:r>
        <w:rPr>
          <w:spacing w:val="8"/>
          <w:w w:val="110"/>
        </w:rPr>
        <w:t>and  </w:t>
      </w:r>
      <w:r>
        <w:rPr>
          <w:w w:val="110"/>
        </w:rPr>
        <w:t>a</w:t>
      </w:r>
    </w:p>
    <w:p>
      <w:pPr>
        <w:pStyle w:val="BodyText"/>
        <w:spacing w:line="254" w:lineRule="auto"/>
        <w:ind w:left="100"/>
        <w:jc w:val="both"/>
      </w:pPr>
      <w:r>
        <w:rPr>
          <w:w w:val="105"/>
        </w:rPr>
        <w:t>9.8 </w:t>
      </w:r>
      <w:r>
        <w:rPr>
          <w:spacing w:val="6"/>
          <w:w w:val="105"/>
        </w:rPr>
        <w:t>percent </w:t>
      </w:r>
      <w:r>
        <w:rPr>
          <w:spacing w:val="5"/>
          <w:w w:val="105"/>
        </w:rPr>
        <w:t>increase </w:t>
      </w:r>
      <w:r>
        <w:rPr>
          <w:spacing w:val="6"/>
          <w:w w:val="105"/>
        </w:rPr>
        <w:t>in</w:t>
      </w:r>
      <w:r>
        <w:rPr>
          <w:spacing w:val="59"/>
          <w:w w:val="105"/>
        </w:rPr>
        <w:t> </w:t>
      </w:r>
      <w:r>
        <w:rPr>
          <w:spacing w:val="7"/>
          <w:w w:val="105"/>
        </w:rPr>
        <w:t>benefits  </w:t>
      </w:r>
      <w:r>
        <w:rPr>
          <w:spacing w:val="8"/>
          <w:w w:val="105"/>
        </w:rPr>
        <w:t>expense</w:t>
      </w:r>
      <w:r>
        <w:rPr>
          <w:spacing w:val="63"/>
          <w:w w:val="105"/>
        </w:rPr>
        <w:t> </w:t>
      </w:r>
      <w:r>
        <w:rPr>
          <w:spacing w:val="12"/>
          <w:w w:val="105"/>
        </w:rPr>
        <w:t>per </w:t>
      </w:r>
      <w:r>
        <w:rPr>
          <w:spacing w:val="5"/>
          <w:w w:val="105"/>
        </w:rPr>
        <w:t>ASM, </w:t>
      </w:r>
      <w:r>
        <w:rPr>
          <w:spacing w:val="2"/>
          <w:w w:val="105"/>
        </w:rPr>
        <w:t>partially </w:t>
      </w:r>
      <w:r>
        <w:rPr>
          <w:spacing w:val="3"/>
          <w:w w:val="105"/>
        </w:rPr>
        <w:t>offset  </w:t>
      </w:r>
      <w:r>
        <w:rPr>
          <w:spacing w:val="6"/>
          <w:w w:val="105"/>
        </w:rPr>
        <w:t>by </w:t>
      </w:r>
      <w:r>
        <w:rPr>
          <w:w w:val="105"/>
        </w:rPr>
        <w:t>a  17.5  </w:t>
      </w:r>
      <w:r>
        <w:rPr>
          <w:spacing w:val="6"/>
          <w:w w:val="105"/>
        </w:rPr>
        <w:t>percent  </w:t>
      </w:r>
      <w:r>
        <w:rPr>
          <w:spacing w:val="5"/>
          <w:w w:val="105"/>
        </w:rPr>
        <w:t>decrease </w:t>
      </w:r>
      <w:r>
        <w:rPr>
          <w:spacing w:val="6"/>
          <w:w w:val="105"/>
        </w:rPr>
        <w:t>in Employee retirement </w:t>
      </w:r>
      <w:r>
        <w:rPr>
          <w:spacing w:val="5"/>
          <w:w w:val="105"/>
        </w:rPr>
        <w:t>plans </w:t>
      </w:r>
      <w:r>
        <w:rPr>
          <w:spacing w:val="8"/>
          <w:w w:val="105"/>
        </w:rPr>
        <w:t>expense per </w:t>
      </w:r>
      <w:r>
        <w:rPr>
          <w:spacing w:val="5"/>
          <w:w w:val="105"/>
        </w:rPr>
        <w:t>ASM. </w:t>
      </w:r>
      <w:r>
        <w:rPr>
          <w:spacing w:val="4"/>
          <w:w w:val="105"/>
        </w:rPr>
        <w:t>The </w:t>
      </w:r>
      <w:r>
        <w:rPr>
          <w:spacing w:val="5"/>
          <w:w w:val="105"/>
        </w:rPr>
        <w:t>increase </w:t>
      </w:r>
      <w:r>
        <w:rPr>
          <w:spacing w:val="6"/>
          <w:w w:val="105"/>
        </w:rPr>
        <w:t>in </w:t>
      </w:r>
      <w:r>
        <w:rPr>
          <w:spacing w:val="4"/>
          <w:w w:val="105"/>
        </w:rPr>
        <w:t>salaries </w:t>
      </w:r>
      <w:r>
        <w:rPr>
          <w:spacing w:val="8"/>
          <w:w w:val="105"/>
        </w:rPr>
        <w:t>and </w:t>
      </w:r>
      <w:r>
        <w:rPr>
          <w:spacing w:val="6"/>
          <w:w w:val="105"/>
        </w:rPr>
        <w:t>wages </w:t>
      </w:r>
      <w:r>
        <w:rPr>
          <w:spacing w:val="8"/>
          <w:w w:val="105"/>
        </w:rPr>
        <w:t>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 </w:t>
      </w:r>
      <w:r>
        <w:rPr>
          <w:spacing w:val="6"/>
          <w:w w:val="105"/>
        </w:rPr>
        <w:t>average </w:t>
      </w:r>
      <w:r>
        <w:rPr>
          <w:spacing w:val="5"/>
          <w:w w:val="105"/>
        </w:rPr>
        <w:t>wage </w:t>
      </w:r>
      <w:r>
        <w:rPr>
          <w:spacing w:val="3"/>
          <w:w w:val="105"/>
        </w:rPr>
        <w:t>rates </w:t>
      </w:r>
      <w:r>
        <w:rPr>
          <w:spacing w:val="8"/>
          <w:w w:val="105"/>
        </w:rPr>
        <w:t>within </w:t>
      </w:r>
      <w:r>
        <w:rPr>
          <w:spacing w:val="4"/>
          <w:w w:val="105"/>
        </w:rPr>
        <w:t>certain workgroups </w:t>
      </w:r>
      <w:r>
        <w:rPr>
          <w:spacing w:val="8"/>
          <w:w w:val="105"/>
        </w:rPr>
        <w:t>and</w:t>
      </w:r>
      <w:r>
        <w:rPr>
          <w:spacing w:val="52"/>
          <w:w w:val="105"/>
        </w:rPr>
        <w:t> </w:t>
      </w:r>
      <w:r>
        <w:rPr>
          <w:spacing w:val="6"/>
          <w:w w:val="105"/>
        </w:rPr>
        <w:t>increased </w:t>
      </w:r>
      <w:r>
        <w:rPr>
          <w:spacing w:val="45"/>
          <w:w w:val="105"/>
        </w:rPr>
        <w:t> </w:t>
      </w:r>
      <w:r>
        <w:rPr>
          <w:spacing w:val="11"/>
          <w:w w:val="105"/>
        </w:rPr>
        <w:t>headcount</w:t>
      </w:r>
      <w:r>
        <w:rPr>
          <w:spacing w:val="12"/>
          <w:w w:val="101"/>
        </w:rPr>
        <w:t> </w:t>
      </w:r>
      <w:r>
        <w:rPr>
          <w:spacing w:val="9"/>
          <w:w w:val="105"/>
        </w:rPr>
        <w:t>due, </w:t>
      </w:r>
      <w:r>
        <w:rPr>
          <w:spacing w:val="6"/>
          <w:w w:val="105"/>
        </w:rPr>
        <w:t>in </w:t>
      </w:r>
      <w:r>
        <w:rPr>
          <w:spacing w:val="3"/>
          <w:w w:val="105"/>
        </w:rPr>
        <w:t>part, </w:t>
      </w:r>
      <w:r>
        <w:rPr>
          <w:w w:val="105"/>
        </w:rPr>
        <w:t>to </w:t>
      </w:r>
      <w:r>
        <w:rPr>
          <w:spacing w:val="2"/>
          <w:w w:val="105"/>
        </w:rPr>
        <w:t>the </w:t>
      </w:r>
      <w:r>
        <w:rPr>
          <w:spacing w:val="6"/>
          <w:w w:val="105"/>
        </w:rPr>
        <w:t>increased </w:t>
      </w:r>
      <w:r>
        <w:rPr>
          <w:spacing w:val="3"/>
          <w:w w:val="105"/>
        </w:rPr>
        <w:t>security </w:t>
      </w:r>
      <w:r>
        <w:rPr>
          <w:spacing w:val="8"/>
          <w:w w:val="105"/>
        </w:rPr>
        <w:t>require- </w:t>
      </w:r>
      <w:r>
        <w:rPr>
          <w:spacing w:val="7"/>
          <w:w w:val="105"/>
        </w:rPr>
        <w:t>ments </w:t>
      </w:r>
      <w:r>
        <w:rPr>
          <w:spacing w:val="4"/>
          <w:w w:val="105"/>
        </w:rPr>
        <w:t>following </w:t>
      </w:r>
      <w:r>
        <w:rPr>
          <w:spacing w:val="2"/>
          <w:w w:val="105"/>
        </w:rPr>
        <w:t>the  </w:t>
      </w:r>
      <w:r>
        <w:rPr>
          <w:spacing w:val="7"/>
          <w:w w:val="105"/>
        </w:rPr>
        <w:t>September </w:t>
      </w:r>
      <w:r>
        <w:rPr>
          <w:w w:val="105"/>
        </w:rPr>
        <w:t>terrorist</w:t>
      </w:r>
      <w:r>
        <w:rPr>
          <w:spacing w:val="46"/>
          <w:w w:val="105"/>
        </w:rPr>
        <w:t> </w:t>
      </w:r>
      <w:r>
        <w:rPr>
          <w:w w:val="105"/>
        </w:rPr>
        <w:t>attacks.</w:t>
      </w:r>
    </w:p>
    <w:p>
      <w:pPr>
        <w:pStyle w:val="BodyText"/>
        <w:spacing w:line="254" w:lineRule="auto"/>
        <w:ind w:left="100" w:firstLine="180"/>
        <w:jc w:val="both"/>
      </w:pPr>
      <w:r>
        <w:rPr>
          <w:spacing w:val="4"/>
          <w:w w:val="105"/>
        </w:rPr>
        <w:t>The </w:t>
      </w:r>
      <w:r>
        <w:rPr>
          <w:spacing w:val="5"/>
          <w:w w:val="105"/>
        </w:rPr>
        <w:t>increase </w:t>
      </w:r>
      <w:r>
        <w:rPr>
          <w:spacing w:val="6"/>
          <w:w w:val="105"/>
        </w:rPr>
        <w:t>in </w:t>
      </w:r>
      <w:r>
        <w:rPr>
          <w:spacing w:val="7"/>
          <w:w w:val="105"/>
        </w:rPr>
        <w:t>benefits </w:t>
      </w:r>
      <w:r>
        <w:rPr>
          <w:spacing w:val="8"/>
          <w:w w:val="105"/>
        </w:rPr>
        <w:t>expense per </w:t>
      </w:r>
      <w:r>
        <w:rPr>
          <w:w w:val="105"/>
        </w:rPr>
        <w:t>ASM </w:t>
      </w:r>
      <w:r>
        <w:rPr>
          <w:spacing w:val="10"/>
          <w:w w:val="105"/>
        </w:rPr>
        <w:t>was </w:t>
      </w:r>
      <w:r>
        <w:rPr>
          <w:spacing w:val="5"/>
          <w:w w:val="105"/>
        </w:rPr>
        <w:t>primarily </w:t>
      </w:r>
      <w:r>
        <w:rPr>
          <w:spacing w:val="8"/>
          <w:w w:val="105"/>
        </w:rPr>
        <w:t>due </w:t>
      </w:r>
      <w:r>
        <w:rPr>
          <w:w w:val="105"/>
        </w:rPr>
        <w:t>to </w:t>
      </w:r>
      <w:r>
        <w:rPr>
          <w:spacing w:val="8"/>
          <w:w w:val="105"/>
        </w:rPr>
        <w:t>higher </w:t>
      </w:r>
      <w:r>
        <w:rPr>
          <w:spacing w:val="7"/>
          <w:w w:val="105"/>
        </w:rPr>
        <w:t>benefits </w:t>
      </w:r>
      <w:r>
        <w:rPr>
          <w:w w:val="105"/>
        </w:rPr>
        <w:t>costs, </w:t>
      </w:r>
      <w:r>
        <w:rPr>
          <w:spacing w:val="5"/>
          <w:w w:val="105"/>
        </w:rPr>
        <w:t>primarily </w:t>
      </w:r>
      <w:r>
        <w:rPr>
          <w:spacing w:val="4"/>
          <w:w w:val="105"/>
        </w:rPr>
        <w:t>health care. The </w:t>
      </w:r>
      <w:r>
        <w:rPr>
          <w:spacing w:val="5"/>
          <w:w w:val="105"/>
        </w:rPr>
        <w:t>decrease </w:t>
      </w:r>
      <w:r>
        <w:rPr>
          <w:spacing w:val="6"/>
          <w:w w:val="105"/>
        </w:rPr>
        <w:t>in</w:t>
      </w:r>
      <w:r>
        <w:rPr>
          <w:spacing w:val="59"/>
          <w:w w:val="105"/>
        </w:rPr>
        <w:t> </w:t>
      </w:r>
      <w:r>
        <w:rPr>
          <w:spacing w:val="6"/>
          <w:w w:val="105"/>
        </w:rPr>
        <w:t>Employee</w:t>
      </w:r>
      <w:r>
        <w:rPr>
          <w:spacing w:val="59"/>
          <w:w w:val="105"/>
        </w:rPr>
        <w:t> </w:t>
      </w:r>
      <w:r>
        <w:rPr>
          <w:spacing w:val="5"/>
          <w:w w:val="105"/>
        </w:rPr>
        <w:t>retire- </w:t>
      </w:r>
      <w:r>
        <w:rPr>
          <w:spacing w:val="10"/>
          <w:w w:val="105"/>
        </w:rPr>
        <w:t>ment </w:t>
      </w:r>
      <w:r>
        <w:rPr>
          <w:spacing w:val="5"/>
          <w:w w:val="105"/>
        </w:rPr>
        <w:t>plans </w:t>
      </w:r>
      <w:r>
        <w:rPr>
          <w:spacing w:val="8"/>
          <w:w w:val="105"/>
        </w:rPr>
        <w:t>expense per </w:t>
      </w:r>
      <w:r>
        <w:rPr>
          <w:w w:val="105"/>
        </w:rPr>
        <w:t>ASM  </w:t>
      </w:r>
      <w:r>
        <w:rPr>
          <w:spacing w:val="6"/>
          <w:w w:val="105"/>
        </w:rPr>
        <w:t>was  </w:t>
      </w:r>
      <w:r>
        <w:rPr>
          <w:spacing w:val="5"/>
          <w:w w:val="105"/>
        </w:rPr>
        <w:t>primarily  </w:t>
      </w:r>
      <w:r>
        <w:rPr>
          <w:spacing w:val="12"/>
          <w:w w:val="105"/>
        </w:rPr>
        <w:t>due </w:t>
      </w:r>
      <w:r>
        <w:rPr>
          <w:w w:val="105"/>
        </w:rPr>
        <w:t>to </w:t>
      </w:r>
      <w:r>
        <w:rPr>
          <w:spacing w:val="2"/>
          <w:w w:val="105"/>
        </w:rPr>
        <w:t>the </w:t>
      </w:r>
      <w:r>
        <w:rPr>
          <w:spacing w:val="5"/>
          <w:w w:val="105"/>
        </w:rPr>
        <w:t>decrease </w:t>
      </w:r>
      <w:r>
        <w:rPr>
          <w:spacing w:val="6"/>
          <w:w w:val="105"/>
        </w:rPr>
        <w:t>in  </w:t>
      </w:r>
      <w:r>
        <w:rPr>
          <w:spacing w:val="8"/>
          <w:w w:val="105"/>
        </w:rPr>
        <w:t>Company  </w:t>
      </w:r>
      <w:r>
        <w:rPr>
          <w:spacing w:val="7"/>
          <w:w w:val="105"/>
        </w:rPr>
        <w:t>earnings  </w:t>
      </w:r>
      <w:r>
        <w:rPr>
          <w:spacing w:val="6"/>
          <w:w w:val="105"/>
        </w:rPr>
        <w:t>available </w:t>
      </w:r>
      <w:r>
        <w:rPr>
          <w:spacing w:val="4"/>
          <w:w w:val="105"/>
        </w:rPr>
        <w:t>for profitsharing. </w:t>
      </w:r>
      <w:r>
        <w:rPr>
          <w:spacing w:val="6"/>
          <w:w w:val="105"/>
        </w:rPr>
        <w:t>This </w:t>
      </w:r>
      <w:r>
        <w:rPr>
          <w:spacing w:val="5"/>
          <w:w w:val="105"/>
        </w:rPr>
        <w:t>decrease </w:t>
      </w:r>
      <w:r>
        <w:rPr>
          <w:spacing w:val="6"/>
          <w:w w:val="105"/>
        </w:rPr>
        <w:t>in </w:t>
      </w:r>
      <w:r>
        <w:rPr>
          <w:spacing w:val="7"/>
          <w:w w:val="105"/>
        </w:rPr>
        <w:t>earnings </w:t>
      </w:r>
      <w:r>
        <w:rPr>
          <w:spacing w:val="6"/>
          <w:w w:val="105"/>
        </w:rPr>
        <w:t>more </w:t>
      </w:r>
      <w:r>
        <w:rPr>
          <w:spacing w:val="5"/>
          <w:w w:val="105"/>
        </w:rPr>
        <w:t>than </w:t>
      </w:r>
      <w:r>
        <w:rPr>
          <w:spacing w:val="3"/>
          <w:w w:val="105"/>
        </w:rPr>
        <w:t>offset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8"/>
          <w:w w:val="105"/>
        </w:rPr>
        <w:t>expense  due</w:t>
      </w:r>
      <w:r>
        <w:rPr>
          <w:spacing w:val="63"/>
          <w:w w:val="105"/>
        </w:rPr>
        <w:t> </w:t>
      </w:r>
      <w:r>
        <w:rPr>
          <w:w w:val="105"/>
        </w:rPr>
        <w:t>to  a </w:t>
      </w:r>
      <w:r>
        <w:rPr>
          <w:spacing w:val="2"/>
          <w:w w:val="105"/>
        </w:rPr>
        <w:t>fourth </w:t>
      </w:r>
      <w:r>
        <w:rPr>
          <w:spacing w:val="5"/>
          <w:w w:val="105"/>
        </w:rPr>
        <w:t>quarter </w:t>
      </w:r>
      <w:r>
        <w:rPr>
          <w:spacing w:val="11"/>
          <w:w w:val="105"/>
        </w:rPr>
        <w:t>amendment </w:t>
      </w:r>
      <w:r>
        <w:rPr>
          <w:spacing w:val="10"/>
          <w:w w:val="105"/>
        </w:rPr>
        <w:t>made </w:t>
      </w:r>
      <w:r>
        <w:rPr>
          <w:w w:val="105"/>
        </w:rPr>
        <w:t>to </w:t>
      </w:r>
      <w:r>
        <w:rPr>
          <w:spacing w:val="6"/>
          <w:w w:val="105"/>
        </w:rPr>
        <w:t>the Company’s </w:t>
      </w:r>
      <w:r>
        <w:rPr>
          <w:spacing w:val="5"/>
          <w:w w:val="105"/>
        </w:rPr>
        <w:t>profitsharing plan. </w:t>
      </w:r>
      <w:r>
        <w:rPr>
          <w:spacing w:val="6"/>
          <w:w w:val="105"/>
        </w:rPr>
        <w:t>This </w:t>
      </w:r>
      <w:r>
        <w:rPr>
          <w:spacing w:val="12"/>
          <w:w w:val="105"/>
        </w:rPr>
        <w:t>amendment </w:t>
      </w:r>
      <w:r>
        <w:rPr>
          <w:spacing w:val="7"/>
          <w:w w:val="105"/>
        </w:rPr>
        <w:t>enabled </w:t>
      </w:r>
      <w:r>
        <w:rPr>
          <w:spacing w:val="2"/>
          <w:w w:val="105"/>
        </w:rPr>
        <w:t>the </w:t>
      </w:r>
      <w:r>
        <w:rPr>
          <w:spacing w:val="8"/>
          <w:w w:val="105"/>
        </w:rPr>
        <w:t>Company </w:t>
      </w:r>
      <w:r>
        <w:rPr>
          <w:w w:val="105"/>
        </w:rPr>
        <w:t>to take </w:t>
      </w:r>
      <w:r>
        <w:rPr>
          <w:spacing w:val="5"/>
          <w:w w:val="105"/>
        </w:rPr>
        <w:t>into </w:t>
      </w:r>
      <w:r>
        <w:rPr>
          <w:spacing w:val="7"/>
          <w:w w:val="105"/>
        </w:rPr>
        <w:t>consideration </w:t>
      </w:r>
      <w:r>
        <w:rPr>
          <w:spacing w:val="6"/>
          <w:w w:val="105"/>
        </w:rPr>
        <w:t>federal </w:t>
      </w:r>
      <w:r>
        <w:rPr>
          <w:spacing w:val="2"/>
          <w:w w:val="105"/>
        </w:rPr>
        <w:t>grants </w:t>
      </w:r>
      <w:r>
        <w:rPr>
          <w:spacing w:val="9"/>
          <w:w w:val="105"/>
        </w:rPr>
        <w:t>under </w:t>
      </w:r>
      <w:r>
        <w:rPr>
          <w:spacing w:val="2"/>
          <w:w w:val="105"/>
        </w:rPr>
        <w:t>the </w:t>
      </w:r>
      <w:r>
        <w:rPr>
          <w:spacing w:val="4"/>
          <w:w w:val="105"/>
        </w:rPr>
        <w:t>Act </w:t>
      </w:r>
      <w:r>
        <w:rPr>
          <w:spacing w:val="8"/>
          <w:w w:val="105"/>
        </w:rPr>
        <w:t>and </w:t>
      </w:r>
      <w:r>
        <w:rPr>
          <w:spacing w:val="6"/>
          <w:w w:val="105"/>
        </w:rPr>
        <w:t>special charges </w:t>
      </w:r>
      <w:r>
        <w:rPr>
          <w:spacing w:val="3"/>
          <w:w w:val="105"/>
        </w:rPr>
        <w:t>resulting </w:t>
      </w:r>
      <w:r>
        <w:rPr>
          <w:w w:val="105"/>
        </w:rPr>
        <w:t>from </w:t>
      </w:r>
      <w:r>
        <w:rPr>
          <w:spacing w:val="2"/>
          <w:w w:val="105"/>
        </w:rPr>
        <w:t>the </w:t>
      </w:r>
      <w:r>
        <w:rPr>
          <w:w w:val="105"/>
        </w:rPr>
        <w:t>terrorist  </w:t>
      </w:r>
      <w:r>
        <w:rPr>
          <w:spacing w:val="2"/>
          <w:w w:val="105"/>
        </w:rPr>
        <w:t>attacks  </w:t>
      </w:r>
      <w:r>
        <w:rPr>
          <w:spacing w:val="6"/>
          <w:w w:val="105"/>
        </w:rPr>
        <w:t>in</w:t>
      </w:r>
      <w:r>
        <w:rPr>
          <w:spacing w:val="59"/>
          <w:w w:val="105"/>
        </w:rPr>
        <w:t> </w:t>
      </w:r>
      <w:r>
        <w:rPr>
          <w:spacing w:val="2"/>
          <w:w w:val="105"/>
        </w:rPr>
        <w:t>the </w:t>
      </w:r>
      <w:r>
        <w:rPr>
          <w:spacing w:val="4"/>
          <w:w w:val="105"/>
        </w:rPr>
        <w:t>calculation  </w:t>
      </w:r>
      <w:r>
        <w:rPr>
          <w:spacing w:val="6"/>
          <w:w w:val="105"/>
        </w:rPr>
        <w:t>of </w:t>
      </w:r>
      <w:r>
        <w:rPr>
          <w:spacing w:val="4"/>
          <w:w w:val="105"/>
        </w:rPr>
        <w:t>profitsharing.</w:t>
      </w:r>
    </w:p>
    <w:p>
      <w:pPr>
        <w:pStyle w:val="BodyText"/>
        <w:tabs>
          <w:tab w:pos="2679" w:val="left" w:leader="none"/>
        </w:tabs>
        <w:ind w:left="280"/>
      </w:pPr>
      <w:r>
        <w:rPr>
          <w:w w:val="105"/>
        </w:rPr>
        <w:t>Fuel    and   </w:t>
      </w:r>
      <w:r>
        <w:rPr>
          <w:spacing w:val="4"/>
          <w:w w:val="105"/>
        </w:rPr>
        <w:t> </w:t>
      </w:r>
      <w:r>
        <w:rPr>
          <w:w w:val="105"/>
        </w:rPr>
        <w:t>oil  </w:t>
      </w:r>
      <w:r>
        <w:rPr>
          <w:spacing w:val="40"/>
          <w:w w:val="105"/>
        </w:rPr>
        <w:t> </w:t>
      </w:r>
      <w:r>
        <w:rPr>
          <w:spacing w:val="3"/>
          <w:w w:val="105"/>
        </w:rPr>
        <w:t>expense</w:t>
        <w:tab/>
      </w:r>
      <w:r>
        <w:rPr>
          <w:w w:val="105"/>
        </w:rPr>
        <w:t>per    ASM   </w:t>
      </w:r>
      <w:r>
        <w:rPr>
          <w:spacing w:val="25"/>
          <w:w w:val="105"/>
        </w:rPr>
        <w:t> </w:t>
      </w:r>
      <w:r>
        <w:rPr>
          <w:spacing w:val="8"/>
          <w:w w:val="105"/>
        </w:rPr>
        <w:t>decreased</w:t>
      </w:r>
    </w:p>
    <w:p>
      <w:pPr>
        <w:pStyle w:val="BodyText"/>
        <w:spacing w:line="254" w:lineRule="auto" w:before="15"/>
        <w:ind w:left="100" w:right="6"/>
        <w:jc w:val="both"/>
      </w:pPr>
      <w:r>
        <w:rPr>
          <w:w w:val="105"/>
        </w:rPr>
        <w:t>11.9 percent, primarily due to a 10.0 </w:t>
      </w:r>
      <w:r>
        <w:rPr>
          <w:spacing w:val="7"/>
          <w:w w:val="105"/>
        </w:rPr>
        <w:t>percent </w:t>
      </w:r>
      <w:r>
        <w:rPr>
          <w:w w:val="105"/>
        </w:rPr>
        <w:t>decrease in the </w:t>
      </w:r>
      <w:r>
        <w:rPr>
          <w:spacing w:val="2"/>
          <w:w w:val="105"/>
        </w:rPr>
        <w:t>average </w:t>
      </w:r>
      <w:r>
        <w:rPr>
          <w:w w:val="105"/>
        </w:rPr>
        <w:t>jet  fuel  cost  per  </w:t>
      </w:r>
      <w:r>
        <w:rPr>
          <w:spacing w:val="3"/>
          <w:w w:val="105"/>
        </w:rPr>
        <w:t>gallon.  </w:t>
      </w:r>
      <w:r>
        <w:rPr>
          <w:w w:val="105"/>
        </w:rPr>
        <w:t>The average  cost  per  gallon  of  jet  fuel  in  2001 was  $.7086  </w:t>
      </w:r>
      <w:r>
        <w:rPr>
          <w:spacing w:val="3"/>
          <w:w w:val="105"/>
        </w:rPr>
        <w:t>compared</w:t>
      </w:r>
      <w:r>
        <w:rPr>
          <w:spacing w:val="53"/>
          <w:w w:val="105"/>
        </w:rPr>
        <w:t> </w:t>
      </w:r>
      <w:r>
        <w:rPr>
          <w:w w:val="105"/>
        </w:rPr>
        <w:t>to  $.7869  in   2000,  </w:t>
      </w:r>
      <w:r>
        <w:rPr>
          <w:spacing w:val="2"/>
          <w:w w:val="105"/>
        </w:rPr>
        <w:t>including </w:t>
      </w:r>
      <w:r>
        <w:rPr>
          <w:w w:val="105"/>
        </w:rPr>
        <w:t>the effects of </w:t>
      </w:r>
      <w:r>
        <w:rPr>
          <w:spacing w:val="2"/>
          <w:w w:val="105"/>
        </w:rPr>
        <w:t>hedging activities. </w:t>
      </w:r>
      <w:r>
        <w:rPr>
          <w:spacing w:val="8"/>
          <w:w w:val="105"/>
        </w:rPr>
        <w:t>The </w:t>
      </w:r>
      <w:r>
        <w:rPr>
          <w:w w:val="105"/>
        </w:rPr>
        <w:t>Company’s  2001  and  2000  </w:t>
      </w:r>
      <w:r>
        <w:rPr>
          <w:spacing w:val="2"/>
          <w:w w:val="105"/>
        </w:rPr>
        <w:t>average   </w:t>
      </w:r>
      <w:r>
        <w:rPr>
          <w:w w:val="105"/>
        </w:rPr>
        <w:t>jet   </w:t>
      </w:r>
      <w:r>
        <w:rPr>
          <w:spacing w:val="5"/>
          <w:w w:val="105"/>
        </w:rPr>
        <w:t>fuel  </w:t>
      </w:r>
      <w:r>
        <w:rPr>
          <w:w w:val="105"/>
        </w:rPr>
        <w:t>prices  are  net  of  approximately  $79.9  million </w:t>
      </w:r>
      <w:r>
        <w:rPr>
          <w:spacing w:val="31"/>
          <w:w w:val="105"/>
        </w:rPr>
        <w:t> </w:t>
      </w:r>
      <w:r>
        <w:rPr>
          <w:spacing w:val="12"/>
          <w:w w:val="105"/>
        </w:rPr>
        <w:t>and</w:t>
      </w:r>
    </w:p>
    <w:p>
      <w:pPr>
        <w:pStyle w:val="BodyText"/>
        <w:spacing w:line="254" w:lineRule="auto" w:before="1"/>
        <w:ind w:left="100" w:right="7"/>
        <w:jc w:val="both"/>
      </w:pPr>
      <w:r>
        <w:rPr>
          <w:w w:val="105"/>
        </w:rPr>
        <w:t>$113.5 million in gains from hedging activities, respectively.</w:t>
      </w:r>
    </w:p>
    <w:p>
      <w:pPr>
        <w:pStyle w:val="BodyText"/>
        <w:spacing w:line="254" w:lineRule="auto" w:before="1"/>
        <w:ind w:left="100" w:firstLine="180"/>
        <w:jc w:val="both"/>
      </w:pPr>
      <w:r>
        <w:rPr>
          <w:spacing w:val="9"/>
          <w:w w:val="105"/>
        </w:rPr>
        <w:t>Maintenance </w:t>
      </w:r>
      <w:r>
        <w:rPr>
          <w:spacing w:val="5"/>
          <w:w w:val="105"/>
        </w:rPr>
        <w:t>materials </w:t>
      </w:r>
      <w:r>
        <w:rPr>
          <w:spacing w:val="8"/>
          <w:w w:val="105"/>
        </w:rPr>
        <w:t>and </w:t>
      </w:r>
      <w:r>
        <w:rPr>
          <w:spacing w:val="5"/>
          <w:w w:val="105"/>
        </w:rPr>
        <w:t>repairs </w:t>
      </w:r>
      <w:r>
        <w:rPr>
          <w:spacing w:val="8"/>
          <w:w w:val="105"/>
        </w:rPr>
        <w:t>per </w:t>
      </w:r>
      <w:r>
        <w:rPr>
          <w:w w:val="105"/>
        </w:rPr>
        <w:t>ASM </w:t>
      </w:r>
      <w:r>
        <w:rPr>
          <w:spacing w:val="6"/>
          <w:w w:val="105"/>
        </w:rPr>
        <w:t>decreased </w:t>
      </w:r>
      <w:r>
        <w:rPr>
          <w:w w:val="105"/>
        </w:rPr>
        <w:t>3.2 </w:t>
      </w:r>
      <w:r>
        <w:rPr>
          <w:spacing w:val="5"/>
          <w:w w:val="105"/>
        </w:rPr>
        <w:t>percent.  </w:t>
      </w:r>
      <w:r>
        <w:rPr>
          <w:spacing w:val="6"/>
          <w:w w:val="105"/>
        </w:rPr>
        <w:t>This</w:t>
      </w:r>
      <w:r>
        <w:rPr>
          <w:spacing w:val="59"/>
          <w:w w:val="105"/>
        </w:rPr>
        <w:t> </w:t>
      </w:r>
      <w:r>
        <w:rPr>
          <w:spacing w:val="5"/>
          <w:w w:val="105"/>
        </w:rPr>
        <w:t>decrease  </w:t>
      </w:r>
      <w:r>
        <w:rPr>
          <w:spacing w:val="6"/>
          <w:w w:val="105"/>
        </w:rPr>
        <w:t>was </w:t>
      </w:r>
      <w:r>
        <w:rPr>
          <w:spacing w:val="5"/>
          <w:w w:val="105"/>
        </w:rPr>
        <w:t>primarily </w:t>
      </w:r>
      <w:r>
        <w:rPr>
          <w:spacing w:val="8"/>
          <w:w w:val="105"/>
        </w:rPr>
        <w:t>due </w:t>
      </w:r>
      <w:r>
        <w:rPr>
          <w:w w:val="105"/>
        </w:rPr>
        <w:t>to </w:t>
      </w:r>
      <w:r>
        <w:rPr>
          <w:spacing w:val="2"/>
          <w:w w:val="105"/>
        </w:rPr>
        <w:t>the </w:t>
      </w:r>
      <w:r>
        <w:rPr>
          <w:spacing w:val="6"/>
          <w:w w:val="105"/>
        </w:rPr>
        <w:t>Company’s capacity </w:t>
      </w:r>
      <w:r>
        <w:rPr>
          <w:spacing w:val="2"/>
          <w:w w:val="105"/>
        </w:rPr>
        <w:t>growth </w:t>
      </w:r>
      <w:r>
        <w:rPr>
          <w:spacing w:val="9"/>
          <w:w w:val="105"/>
        </w:rPr>
        <w:t>exceeding </w:t>
      </w:r>
      <w:r>
        <w:rPr>
          <w:spacing w:val="2"/>
          <w:w w:val="105"/>
        </w:rPr>
        <w:t>the </w:t>
      </w:r>
      <w:r>
        <w:rPr>
          <w:spacing w:val="5"/>
          <w:w w:val="105"/>
        </w:rPr>
        <w:t>increase </w:t>
      </w:r>
      <w:r>
        <w:rPr>
          <w:spacing w:val="6"/>
          <w:w w:val="105"/>
        </w:rPr>
        <w:t>in </w:t>
      </w:r>
      <w:r>
        <w:rPr>
          <w:spacing w:val="8"/>
          <w:w w:val="105"/>
        </w:rPr>
        <w:t>expense. </w:t>
      </w:r>
      <w:r>
        <w:rPr>
          <w:spacing w:val="2"/>
          <w:w w:val="105"/>
        </w:rPr>
        <w:t>Virtually </w:t>
      </w:r>
      <w:r>
        <w:rPr>
          <w:w w:val="105"/>
        </w:rPr>
        <w:t>all </w:t>
      </w:r>
      <w:r>
        <w:rPr>
          <w:spacing w:val="12"/>
          <w:w w:val="105"/>
        </w:rPr>
        <w:t>of </w:t>
      </w:r>
      <w:r>
        <w:rPr>
          <w:spacing w:val="2"/>
          <w:w w:val="105"/>
        </w:rPr>
        <w:t>the </w:t>
      </w:r>
      <w:r>
        <w:rPr>
          <w:spacing w:val="6"/>
          <w:w w:val="105"/>
        </w:rPr>
        <w:t>Company’s </w:t>
      </w:r>
      <w:r>
        <w:rPr>
          <w:w w:val="105"/>
        </w:rPr>
        <w:t>2001 </w:t>
      </w:r>
      <w:r>
        <w:rPr>
          <w:spacing w:val="6"/>
          <w:w w:val="105"/>
        </w:rPr>
        <w:t>capacity </w:t>
      </w:r>
      <w:r>
        <w:rPr>
          <w:spacing w:val="2"/>
          <w:w w:val="105"/>
        </w:rPr>
        <w:t>growth </w:t>
      </w:r>
      <w:r>
        <w:rPr>
          <w:spacing w:val="4"/>
          <w:w w:val="105"/>
        </w:rPr>
        <w:t>versus </w:t>
      </w:r>
      <w:r>
        <w:rPr>
          <w:spacing w:val="6"/>
          <w:w w:val="105"/>
        </w:rPr>
        <w:t>the prior </w:t>
      </w:r>
      <w:r>
        <w:rPr>
          <w:spacing w:val="5"/>
          <w:w w:val="105"/>
        </w:rPr>
        <w:t>year </w:t>
      </w:r>
      <w:r>
        <w:rPr>
          <w:spacing w:val="6"/>
          <w:w w:val="105"/>
        </w:rPr>
        <w:t>was </w:t>
      </w:r>
      <w:r>
        <w:rPr>
          <w:spacing w:val="7"/>
          <w:w w:val="105"/>
        </w:rPr>
        <w:t>accomplished </w:t>
      </w:r>
      <w:r>
        <w:rPr>
          <w:spacing w:val="4"/>
          <w:w w:val="105"/>
        </w:rPr>
        <w:t>with </w:t>
      </w:r>
      <w:r>
        <w:rPr>
          <w:spacing w:val="8"/>
          <w:w w:val="105"/>
        </w:rPr>
        <w:t>new </w:t>
      </w:r>
      <w:r>
        <w:rPr>
          <w:spacing w:val="3"/>
          <w:w w:val="105"/>
        </w:rPr>
        <w:t>aircraft, </w:t>
      </w:r>
      <w:r>
        <w:rPr>
          <w:spacing w:val="6"/>
          <w:w w:val="105"/>
        </w:rPr>
        <w:t>most of </w:t>
      </w:r>
      <w:r>
        <w:rPr>
          <w:spacing w:val="7"/>
          <w:w w:val="105"/>
        </w:rPr>
        <w:t>which </w:t>
      </w:r>
      <w:r>
        <w:rPr>
          <w:spacing w:val="9"/>
          <w:w w:val="105"/>
        </w:rPr>
        <w:t>have </w:t>
      </w:r>
      <w:r>
        <w:rPr>
          <w:spacing w:val="8"/>
          <w:w w:val="105"/>
        </w:rPr>
        <w:t>not </w:t>
      </w:r>
      <w:r>
        <w:rPr>
          <w:spacing w:val="2"/>
          <w:w w:val="105"/>
        </w:rPr>
        <w:t>yet </w:t>
      </w:r>
      <w:r>
        <w:rPr>
          <w:spacing w:val="7"/>
          <w:w w:val="105"/>
        </w:rPr>
        <w:t>begun </w:t>
      </w:r>
      <w:r>
        <w:rPr>
          <w:w w:val="105"/>
        </w:rPr>
        <w:t>to </w:t>
      </w:r>
      <w:r>
        <w:rPr>
          <w:spacing w:val="8"/>
          <w:w w:val="105"/>
        </w:rPr>
        <w:t>incur </w:t>
      </w:r>
      <w:r>
        <w:rPr>
          <w:spacing w:val="12"/>
          <w:w w:val="105"/>
        </w:rPr>
        <w:t>any </w:t>
      </w:r>
      <w:r>
        <w:rPr>
          <w:spacing w:val="8"/>
          <w:w w:val="105"/>
        </w:rPr>
        <w:t>meaningful </w:t>
      </w:r>
      <w:r>
        <w:rPr>
          <w:spacing w:val="7"/>
          <w:w w:val="105"/>
        </w:rPr>
        <w:t>repair </w:t>
      </w:r>
      <w:r>
        <w:rPr>
          <w:w w:val="105"/>
        </w:rPr>
        <w:t>costs. A </w:t>
      </w:r>
      <w:r>
        <w:rPr>
          <w:spacing w:val="5"/>
          <w:w w:val="105"/>
        </w:rPr>
        <w:t>decrease </w:t>
      </w:r>
      <w:r>
        <w:rPr>
          <w:spacing w:val="6"/>
          <w:w w:val="105"/>
        </w:rPr>
        <w:t>in</w:t>
      </w:r>
      <w:r>
        <w:rPr>
          <w:spacing w:val="59"/>
          <w:w w:val="105"/>
        </w:rPr>
        <w:t> </w:t>
      </w:r>
      <w:r>
        <w:rPr>
          <w:spacing w:val="8"/>
          <w:w w:val="105"/>
        </w:rPr>
        <w:t>engine expense </w:t>
      </w:r>
      <w:r>
        <w:rPr>
          <w:spacing w:val="6"/>
          <w:w w:val="105"/>
        </w:rPr>
        <w:t>was </w:t>
      </w:r>
      <w:r>
        <w:rPr>
          <w:spacing w:val="2"/>
          <w:w w:val="105"/>
        </w:rPr>
        <w:t>partially </w:t>
      </w:r>
      <w:r>
        <w:rPr>
          <w:spacing w:val="3"/>
          <w:w w:val="105"/>
        </w:rPr>
        <w:t>offset </w:t>
      </w:r>
      <w:r>
        <w:rPr>
          <w:spacing w:val="6"/>
          <w:w w:val="105"/>
        </w:rPr>
        <w:t>by an</w:t>
      </w:r>
      <w:r>
        <w:rPr>
          <w:spacing w:val="59"/>
          <w:w w:val="105"/>
        </w:rPr>
        <w:t> </w:t>
      </w:r>
      <w:r>
        <w:rPr>
          <w:spacing w:val="5"/>
          <w:w w:val="105"/>
        </w:rPr>
        <w:t>increase </w:t>
      </w:r>
      <w:r>
        <w:rPr>
          <w:spacing w:val="12"/>
          <w:w w:val="105"/>
        </w:rPr>
        <w:t>in </w:t>
      </w:r>
      <w:r>
        <w:rPr>
          <w:spacing w:val="8"/>
          <w:w w:val="105"/>
        </w:rPr>
        <w:t>expense </w:t>
      </w:r>
      <w:r>
        <w:rPr>
          <w:spacing w:val="4"/>
          <w:w w:val="105"/>
        </w:rPr>
        <w:t>for </w:t>
      </w:r>
      <w:r>
        <w:rPr>
          <w:spacing w:val="5"/>
          <w:w w:val="105"/>
        </w:rPr>
        <w:t>airframe </w:t>
      </w:r>
      <w:r>
        <w:rPr>
          <w:spacing w:val="7"/>
          <w:w w:val="105"/>
        </w:rPr>
        <w:t>inspections </w:t>
      </w:r>
      <w:r>
        <w:rPr>
          <w:spacing w:val="8"/>
          <w:w w:val="105"/>
        </w:rPr>
        <w:t>and </w:t>
      </w:r>
      <w:r>
        <w:rPr>
          <w:spacing w:val="4"/>
          <w:w w:val="105"/>
        </w:rPr>
        <w:t>repairs. In </w:t>
      </w:r>
      <w:r>
        <w:rPr>
          <w:spacing w:val="8"/>
          <w:w w:val="105"/>
        </w:rPr>
        <w:t>addition </w:t>
      </w:r>
      <w:r>
        <w:rPr>
          <w:w w:val="105"/>
        </w:rPr>
        <w:t>to </w:t>
      </w:r>
      <w:r>
        <w:rPr>
          <w:spacing w:val="6"/>
          <w:w w:val="105"/>
        </w:rPr>
        <w:t>an</w:t>
      </w:r>
      <w:r>
        <w:rPr>
          <w:spacing w:val="59"/>
          <w:w w:val="105"/>
        </w:rPr>
        <w:t> </w:t>
      </w:r>
      <w:r>
        <w:rPr>
          <w:spacing w:val="5"/>
          <w:w w:val="105"/>
        </w:rPr>
        <w:t>increase </w:t>
      </w:r>
      <w:r>
        <w:rPr>
          <w:spacing w:val="6"/>
          <w:w w:val="105"/>
        </w:rPr>
        <w:t>in</w:t>
      </w:r>
      <w:r>
        <w:rPr>
          <w:spacing w:val="59"/>
          <w:w w:val="105"/>
        </w:rPr>
        <w:t> </w:t>
      </w:r>
      <w:r>
        <w:rPr>
          <w:spacing w:val="2"/>
          <w:w w:val="105"/>
        </w:rPr>
        <w:t>the </w:t>
      </w:r>
      <w:r>
        <w:rPr>
          <w:spacing w:val="10"/>
          <w:w w:val="105"/>
        </w:rPr>
        <w:t>number  </w:t>
      </w:r>
      <w:r>
        <w:rPr>
          <w:spacing w:val="12"/>
          <w:w w:val="105"/>
        </w:rPr>
        <w:t>of </w:t>
      </w:r>
      <w:r>
        <w:rPr>
          <w:spacing w:val="5"/>
          <w:w w:val="105"/>
        </w:rPr>
        <w:t>airframe </w:t>
      </w:r>
      <w:r>
        <w:rPr>
          <w:spacing w:val="7"/>
          <w:w w:val="105"/>
        </w:rPr>
        <w:t>inspections </w:t>
      </w:r>
      <w:r>
        <w:rPr>
          <w:spacing w:val="8"/>
          <w:w w:val="105"/>
        </w:rPr>
        <w:t>and </w:t>
      </w:r>
      <w:r>
        <w:rPr>
          <w:spacing w:val="4"/>
          <w:w w:val="105"/>
        </w:rPr>
        <w:t>repairs, </w:t>
      </w:r>
      <w:r>
        <w:rPr>
          <w:spacing w:val="2"/>
          <w:w w:val="105"/>
        </w:rPr>
        <w:t>the </w:t>
      </w:r>
      <w:r>
        <w:rPr>
          <w:spacing w:val="3"/>
          <w:w w:val="105"/>
        </w:rPr>
        <w:t>cost </w:t>
      </w:r>
      <w:r>
        <w:rPr>
          <w:spacing w:val="12"/>
          <w:w w:val="105"/>
        </w:rPr>
        <w:t>per </w:t>
      </w:r>
      <w:r>
        <w:rPr>
          <w:spacing w:val="9"/>
          <w:w w:val="105"/>
        </w:rPr>
        <w:t>event </w:t>
      </w:r>
      <w:r>
        <w:rPr>
          <w:spacing w:val="6"/>
          <w:w w:val="105"/>
        </w:rPr>
        <w:t>increased  </w:t>
      </w:r>
      <w:r>
        <w:rPr>
          <w:spacing w:val="8"/>
          <w:w w:val="105"/>
        </w:rPr>
        <w:t>compared  </w:t>
      </w:r>
      <w:r>
        <w:rPr>
          <w:w w:val="105"/>
        </w:rPr>
        <w:t>to</w:t>
      </w:r>
      <w:r>
        <w:rPr>
          <w:spacing w:val="19"/>
          <w:w w:val="105"/>
        </w:rPr>
        <w:t> </w:t>
      </w:r>
      <w:r>
        <w:rPr>
          <w:w w:val="105"/>
        </w:rPr>
        <w:t>2000.</w:t>
      </w:r>
    </w:p>
    <w:p>
      <w:pPr>
        <w:pStyle w:val="BodyText"/>
        <w:tabs>
          <w:tab w:pos="2579" w:val="left" w:leader="none"/>
          <w:tab w:pos="3099" w:val="left" w:leader="none"/>
          <w:tab w:pos="3739" w:val="left" w:leader="none"/>
        </w:tabs>
        <w:spacing w:before="69"/>
        <w:ind w:left="280"/>
      </w:pPr>
      <w:r>
        <w:rPr/>
        <w:br w:type="column"/>
      </w:r>
      <w:r>
        <w:rPr>
          <w:spacing w:val="6"/>
          <w:w w:val="110"/>
        </w:rPr>
        <w:t>Agency  </w:t>
      </w:r>
      <w:r>
        <w:rPr>
          <w:spacing w:val="12"/>
          <w:w w:val="110"/>
        </w:rPr>
        <w:t> </w:t>
      </w:r>
      <w:r>
        <w:rPr>
          <w:spacing w:val="8"/>
          <w:w w:val="110"/>
        </w:rPr>
        <w:t>commissions</w:t>
        <w:tab/>
        <w:t>per</w:t>
        <w:tab/>
      </w:r>
      <w:r>
        <w:rPr>
          <w:w w:val="110"/>
        </w:rPr>
        <w:t>ASM</w:t>
        <w:tab/>
      </w:r>
      <w:r>
        <w:rPr>
          <w:spacing w:val="7"/>
          <w:w w:val="110"/>
        </w:rPr>
        <w:t>decreased</w:t>
      </w:r>
    </w:p>
    <w:p>
      <w:pPr>
        <w:pStyle w:val="BodyText"/>
        <w:spacing w:line="254" w:lineRule="auto" w:before="15"/>
        <w:ind w:left="100" w:right="119"/>
        <w:jc w:val="both"/>
      </w:pPr>
      <w:r>
        <w:rPr>
          <w:w w:val="105"/>
        </w:rPr>
        <w:t>40.7 </w:t>
      </w:r>
      <w:r>
        <w:rPr>
          <w:spacing w:val="5"/>
          <w:w w:val="105"/>
        </w:rPr>
        <w:t>percent, primarily </w:t>
      </w:r>
      <w:r>
        <w:rPr>
          <w:spacing w:val="8"/>
          <w:w w:val="105"/>
        </w:rPr>
        <w:t>due </w:t>
      </w:r>
      <w:r>
        <w:rPr>
          <w:w w:val="105"/>
        </w:rPr>
        <w:t>to a </w:t>
      </w:r>
      <w:r>
        <w:rPr>
          <w:spacing w:val="6"/>
          <w:w w:val="105"/>
        </w:rPr>
        <w:t>change</w:t>
      </w:r>
      <w:r>
        <w:rPr>
          <w:spacing w:val="59"/>
          <w:w w:val="105"/>
        </w:rPr>
        <w:t> </w:t>
      </w:r>
      <w:r>
        <w:rPr>
          <w:spacing w:val="6"/>
          <w:w w:val="105"/>
        </w:rPr>
        <w:t>in</w:t>
      </w:r>
      <w:r>
        <w:rPr>
          <w:spacing w:val="59"/>
          <w:w w:val="105"/>
        </w:rPr>
        <w:t> </w:t>
      </w:r>
      <w:r>
        <w:rPr>
          <w:spacing w:val="6"/>
          <w:w w:val="105"/>
        </w:rPr>
        <w:t>the Company’s </w:t>
      </w:r>
      <w:r>
        <w:rPr>
          <w:spacing w:val="7"/>
          <w:w w:val="105"/>
        </w:rPr>
        <w:t>commission </w:t>
      </w:r>
      <w:r>
        <w:rPr>
          <w:w w:val="105"/>
        </w:rPr>
        <w:t>rate </w:t>
      </w:r>
      <w:r>
        <w:rPr>
          <w:spacing w:val="4"/>
          <w:w w:val="105"/>
        </w:rPr>
        <w:t>policy. </w:t>
      </w:r>
      <w:r>
        <w:rPr>
          <w:spacing w:val="6"/>
          <w:w w:val="105"/>
        </w:rPr>
        <w:t>Effective January</w:t>
      </w:r>
      <w:r>
        <w:rPr>
          <w:spacing w:val="59"/>
          <w:w w:val="105"/>
        </w:rPr>
        <w:t> </w:t>
      </w:r>
      <w:r>
        <w:rPr>
          <w:w w:val="105"/>
        </w:rPr>
        <w:t>1, 2001, </w:t>
      </w:r>
      <w:r>
        <w:rPr>
          <w:spacing w:val="2"/>
          <w:w w:val="105"/>
        </w:rPr>
        <w:t>the </w:t>
      </w:r>
      <w:r>
        <w:rPr>
          <w:spacing w:val="8"/>
          <w:w w:val="105"/>
        </w:rPr>
        <w:t>Company </w:t>
      </w:r>
      <w:r>
        <w:rPr>
          <w:spacing w:val="6"/>
          <w:w w:val="105"/>
        </w:rPr>
        <w:t>reduced the </w:t>
      </w:r>
      <w:r>
        <w:rPr>
          <w:spacing w:val="7"/>
          <w:w w:val="105"/>
        </w:rPr>
        <w:t>commission </w:t>
      </w:r>
      <w:r>
        <w:rPr>
          <w:w w:val="105"/>
        </w:rPr>
        <w:t>rate </w:t>
      </w:r>
      <w:r>
        <w:rPr>
          <w:spacing w:val="9"/>
          <w:w w:val="105"/>
        </w:rPr>
        <w:t>paid </w:t>
      </w:r>
      <w:r>
        <w:rPr>
          <w:w w:val="105"/>
        </w:rPr>
        <w:t>to </w:t>
      </w:r>
      <w:r>
        <w:rPr>
          <w:spacing w:val="4"/>
          <w:w w:val="105"/>
        </w:rPr>
        <w:t>travel </w:t>
      </w:r>
      <w:r>
        <w:rPr>
          <w:spacing w:val="5"/>
          <w:w w:val="105"/>
        </w:rPr>
        <w:t>agents </w:t>
      </w:r>
      <w:r>
        <w:rPr>
          <w:w w:val="105"/>
        </w:rPr>
        <w:t>from </w:t>
      </w:r>
      <w:r>
        <w:rPr>
          <w:spacing w:val="6"/>
          <w:w w:val="105"/>
        </w:rPr>
        <w:t>ten percent </w:t>
      </w:r>
      <w:r>
        <w:rPr>
          <w:w w:val="105"/>
        </w:rPr>
        <w:t>to </w:t>
      </w:r>
      <w:r>
        <w:rPr>
          <w:spacing w:val="7"/>
          <w:w w:val="105"/>
        </w:rPr>
        <w:t>eight </w:t>
      </w:r>
      <w:r>
        <w:rPr>
          <w:spacing w:val="6"/>
          <w:w w:val="105"/>
        </w:rPr>
        <w:t>percent </w:t>
      </w:r>
      <w:r>
        <w:rPr>
          <w:spacing w:val="4"/>
          <w:w w:val="105"/>
        </w:rPr>
        <w:t>for </w:t>
      </w:r>
      <w:r>
        <w:rPr>
          <w:spacing w:val="2"/>
          <w:w w:val="105"/>
        </w:rPr>
        <w:t>Ticketless </w:t>
      </w:r>
      <w:r>
        <w:rPr>
          <w:spacing w:val="6"/>
          <w:w w:val="105"/>
        </w:rPr>
        <w:t>bookings, </w:t>
      </w:r>
      <w:r>
        <w:rPr>
          <w:spacing w:val="8"/>
          <w:w w:val="105"/>
        </w:rPr>
        <w:t>and </w:t>
      </w:r>
      <w:r>
        <w:rPr>
          <w:w w:val="105"/>
        </w:rPr>
        <w:t>from </w:t>
      </w:r>
      <w:r>
        <w:rPr>
          <w:spacing w:val="2"/>
          <w:w w:val="105"/>
        </w:rPr>
        <w:t>ten </w:t>
      </w:r>
      <w:r>
        <w:rPr>
          <w:spacing w:val="6"/>
          <w:w w:val="105"/>
        </w:rPr>
        <w:t>percent </w:t>
      </w:r>
      <w:r>
        <w:rPr>
          <w:w w:val="105"/>
        </w:rPr>
        <w:t>to </w:t>
      </w:r>
      <w:r>
        <w:rPr>
          <w:spacing w:val="6"/>
          <w:w w:val="105"/>
        </w:rPr>
        <w:t>five percent </w:t>
      </w:r>
      <w:r>
        <w:rPr>
          <w:spacing w:val="4"/>
          <w:w w:val="105"/>
        </w:rPr>
        <w:t>for </w:t>
      </w:r>
      <w:r>
        <w:rPr>
          <w:spacing w:val="12"/>
          <w:w w:val="105"/>
        </w:rPr>
        <w:t>paper </w:t>
      </w:r>
      <w:r>
        <w:rPr>
          <w:spacing w:val="4"/>
          <w:w w:val="105"/>
        </w:rPr>
        <w:t>ticket </w:t>
      </w:r>
      <w:r>
        <w:rPr>
          <w:spacing w:val="6"/>
          <w:w w:val="105"/>
        </w:rPr>
        <w:t>bookings. </w:t>
      </w:r>
      <w:r>
        <w:rPr>
          <w:spacing w:val="4"/>
          <w:w w:val="105"/>
        </w:rPr>
        <w:t>Effective </w:t>
      </w:r>
      <w:r>
        <w:rPr>
          <w:spacing w:val="6"/>
          <w:w w:val="105"/>
        </w:rPr>
        <w:t>October </w:t>
      </w:r>
      <w:r>
        <w:rPr>
          <w:w w:val="105"/>
        </w:rPr>
        <w:t>15, 2001, </w:t>
      </w:r>
      <w:r>
        <w:rPr>
          <w:spacing w:val="2"/>
          <w:w w:val="105"/>
        </w:rPr>
        <w:t>the </w:t>
      </w:r>
      <w:r>
        <w:rPr>
          <w:spacing w:val="8"/>
          <w:w w:val="105"/>
        </w:rPr>
        <w:t>Company </w:t>
      </w:r>
      <w:r>
        <w:rPr>
          <w:spacing w:val="6"/>
          <w:w w:val="105"/>
        </w:rPr>
        <w:t>reduced </w:t>
      </w:r>
      <w:r>
        <w:rPr>
          <w:spacing w:val="2"/>
          <w:w w:val="105"/>
        </w:rPr>
        <w:t>the </w:t>
      </w:r>
      <w:r>
        <w:rPr>
          <w:spacing w:val="7"/>
          <w:w w:val="105"/>
        </w:rPr>
        <w:t>commission </w:t>
      </w:r>
      <w:r>
        <w:rPr>
          <w:spacing w:val="9"/>
          <w:w w:val="105"/>
        </w:rPr>
        <w:t>paid </w:t>
      </w:r>
      <w:r>
        <w:rPr>
          <w:w w:val="105"/>
        </w:rPr>
        <w:t>to </w:t>
      </w:r>
      <w:r>
        <w:rPr>
          <w:spacing w:val="6"/>
          <w:w w:val="105"/>
        </w:rPr>
        <w:t>travel </w:t>
      </w:r>
      <w:r>
        <w:rPr>
          <w:spacing w:val="5"/>
          <w:w w:val="105"/>
        </w:rPr>
        <w:t>agents </w:t>
      </w:r>
      <w:r>
        <w:rPr>
          <w:w w:val="105"/>
        </w:rPr>
        <w:t>to </w:t>
      </w:r>
      <w:r>
        <w:rPr>
          <w:spacing w:val="6"/>
          <w:w w:val="105"/>
        </w:rPr>
        <w:t>five percent </w:t>
      </w:r>
      <w:r>
        <w:rPr>
          <w:spacing w:val="3"/>
          <w:w w:val="105"/>
        </w:rPr>
        <w:t>(with </w:t>
      </w:r>
      <w:r>
        <w:rPr>
          <w:spacing w:val="6"/>
          <w:w w:val="105"/>
        </w:rPr>
        <w:t>no </w:t>
      </w:r>
      <w:r>
        <w:rPr>
          <w:spacing w:val="5"/>
          <w:w w:val="105"/>
        </w:rPr>
        <w:t>cap), </w:t>
      </w:r>
      <w:r>
        <w:rPr>
          <w:spacing w:val="2"/>
          <w:w w:val="105"/>
        </w:rPr>
        <w:t>regardless </w:t>
      </w:r>
      <w:r>
        <w:rPr>
          <w:spacing w:val="12"/>
          <w:w w:val="105"/>
        </w:rPr>
        <w:t>of </w:t>
      </w:r>
      <w:r>
        <w:rPr>
          <w:spacing w:val="2"/>
          <w:w w:val="105"/>
        </w:rPr>
        <w:t>the </w:t>
      </w:r>
      <w:r>
        <w:rPr>
          <w:w w:val="105"/>
        </w:rPr>
        <w:t>type </w:t>
      </w:r>
      <w:r>
        <w:rPr>
          <w:spacing w:val="6"/>
          <w:w w:val="105"/>
        </w:rPr>
        <w:t>of </w:t>
      </w:r>
      <w:r>
        <w:rPr>
          <w:spacing w:val="4"/>
          <w:w w:val="105"/>
        </w:rPr>
        <w:t>ticket </w:t>
      </w:r>
      <w:r>
        <w:rPr>
          <w:spacing w:val="2"/>
          <w:w w:val="105"/>
        </w:rPr>
        <w:t>sold. </w:t>
      </w:r>
      <w:r>
        <w:rPr>
          <w:spacing w:val="4"/>
          <w:w w:val="105"/>
        </w:rPr>
        <w:t>In </w:t>
      </w:r>
      <w:r>
        <w:rPr>
          <w:spacing w:val="8"/>
          <w:w w:val="105"/>
        </w:rPr>
        <w:t>addition, </w:t>
      </w:r>
      <w:r>
        <w:rPr>
          <w:spacing w:val="2"/>
          <w:w w:val="105"/>
        </w:rPr>
        <w:t>the </w:t>
      </w:r>
      <w:r>
        <w:rPr>
          <w:spacing w:val="9"/>
          <w:w w:val="105"/>
        </w:rPr>
        <w:t>mix  </w:t>
      </w:r>
      <w:r>
        <w:rPr>
          <w:spacing w:val="12"/>
          <w:w w:val="105"/>
        </w:rPr>
        <w:t>of </w:t>
      </w:r>
      <w:r>
        <w:rPr>
          <w:spacing w:val="2"/>
          <w:w w:val="105"/>
        </w:rPr>
        <w:t>tickets  </w:t>
      </w:r>
      <w:r>
        <w:rPr>
          <w:w w:val="105"/>
        </w:rPr>
        <w:t>sold  </w:t>
      </w:r>
      <w:r>
        <w:rPr>
          <w:spacing w:val="4"/>
          <w:w w:val="105"/>
        </w:rPr>
        <w:t>through  travel  </w:t>
      </w:r>
      <w:r>
        <w:rPr>
          <w:spacing w:val="5"/>
          <w:w w:val="105"/>
        </w:rPr>
        <w:t>agents  </w:t>
      </w:r>
      <w:r>
        <w:rPr>
          <w:spacing w:val="7"/>
          <w:w w:val="105"/>
        </w:rPr>
        <w:t>declined  </w:t>
      </w:r>
      <w:r>
        <w:rPr>
          <w:spacing w:val="5"/>
          <w:w w:val="105"/>
        </w:rPr>
        <w:t>from</w:t>
      </w:r>
    </w:p>
    <w:p>
      <w:pPr>
        <w:pStyle w:val="BodyText"/>
        <w:spacing w:line="254" w:lineRule="auto" w:before="1"/>
        <w:ind w:left="100" w:right="139"/>
        <w:jc w:val="both"/>
      </w:pPr>
      <w:r>
        <w:rPr>
          <w:w w:val="110"/>
        </w:rPr>
        <w:t>28 </w:t>
      </w:r>
      <w:r>
        <w:rPr>
          <w:spacing w:val="6"/>
          <w:w w:val="110"/>
        </w:rPr>
        <w:t>percent in </w:t>
      </w:r>
      <w:r>
        <w:rPr>
          <w:w w:val="110"/>
        </w:rPr>
        <w:t>2000 to 25 </w:t>
      </w:r>
      <w:r>
        <w:rPr>
          <w:spacing w:val="6"/>
          <w:w w:val="110"/>
        </w:rPr>
        <w:t>percent in</w:t>
      </w:r>
      <w:r>
        <w:rPr>
          <w:spacing w:val="61"/>
          <w:w w:val="110"/>
        </w:rPr>
        <w:t> </w:t>
      </w:r>
      <w:r>
        <w:rPr>
          <w:w w:val="110"/>
        </w:rPr>
        <w:t>2001,  </w:t>
      </w:r>
      <w:r>
        <w:rPr>
          <w:spacing w:val="5"/>
          <w:w w:val="110"/>
        </w:rPr>
        <w:t>thereby </w:t>
      </w:r>
      <w:r>
        <w:rPr>
          <w:spacing w:val="7"/>
          <w:w w:val="110"/>
        </w:rPr>
        <w:t>reducing commissionable </w:t>
      </w:r>
      <w:r>
        <w:rPr>
          <w:spacing w:val="8"/>
          <w:w w:val="110"/>
        </w:rPr>
        <w:t>revenues </w:t>
      </w:r>
      <w:r>
        <w:rPr>
          <w:spacing w:val="12"/>
          <w:w w:val="110"/>
        </w:rPr>
        <w:t>and </w:t>
      </w:r>
      <w:r>
        <w:rPr>
          <w:spacing w:val="7"/>
          <w:w w:val="110"/>
        </w:rPr>
        <w:t>commission</w:t>
      </w:r>
      <w:r>
        <w:rPr>
          <w:spacing w:val="10"/>
          <w:w w:val="110"/>
        </w:rPr>
        <w:t> expense.</w:t>
      </w:r>
    </w:p>
    <w:p>
      <w:pPr>
        <w:pStyle w:val="BodyText"/>
        <w:tabs>
          <w:tab w:pos="1279" w:val="left" w:leader="none"/>
          <w:tab w:pos="2261" w:val="left" w:leader="none"/>
          <w:tab w:pos="2940" w:val="left" w:leader="none"/>
          <w:tab w:pos="3739" w:val="left" w:leader="none"/>
        </w:tabs>
        <w:spacing w:before="1"/>
        <w:ind w:left="280"/>
      </w:pPr>
      <w:r>
        <w:rPr>
          <w:w w:val="105"/>
        </w:rPr>
        <w:t>Aircraft</w:t>
        <w:tab/>
        <w:t>rentals</w:t>
        <w:tab/>
        <w:t>per</w:t>
        <w:tab/>
        <w:t>ASM</w:t>
        <w:tab/>
      </w:r>
      <w:r>
        <w:rPr>
          <w:spacing w:val="8"/>
          <w:w w:val="105"/>
        </w:rPr>
        <w:t>decreased</w:t>
      </w:r>
    </w:p>
    <w:p>
      <w:pPr>
        <w:pStyle w:val="BodyText"/>
        <w:spacing w:line="254" w:lineRule="auto" w:before="15"/>
        <w:ind w:left="100" w:right="131"/>
        <w:jc w:val="both"/>
      </w:pPr>
      <w:r>
        <w:rPr>
          <w:w w:val="105"/>
        </w:rPr>
        <w:t>12.1 percent primarily due  to  a  lower  </w:t>
      </w:r>
      <w:r>
        <w:rPr>
          <w:spacing w:val="7"/>
          <w:w w:val="105"/>
        </w:rPr>
        <w:t>percentage </w:t>
      </w:r>
      <w:r>
        <w:rPr>
          <w:w w:val="105"/>
        </w:rPr>
        <w:t>of  the  aircraft  fleet  being   leased.   </w:t>
      </w:r>
      <w:r>
        <w:rPr>
          <w:spacing w:val="8"/>
          <w:w w:val="105"/>
        </w:rPr>
        <w:t> </w:t>
      </w:r>
      <w:r>
        <w:rPr>
          <w:spacing w:val="7"/>
          <w:w w:val="105"/>
        </w:rPr>
        <w:t>Approximately</w:t>
      </w:r>
    </w:p>
    <w:p>
      <w:pPr>
        <w:pStyle w:val="BodyText"/>
        <w:spacing w:line="254" w:lineRule="auto"/>
        <w:ind w:left="100" w:right="128"/>
        <w:jc w:val="both"/>
      </w:pPr>
      <w:r>
        <w:rPr>
          <w:w w:val="110"/>
        </w:rPr>
        <w:t>25.9 percent of the  Company’s  aircraft  </w:t>
      </w:r>
      <w:r>
        <w:rPr>
          <w:spacing w:val="9"/>
          <w:w w:val="110"/>
        </w:rPr>
        <w:t>were </w:t>
      </w:r>
      <w:r>
        <w:rPr>
          <w:spacing w:val="2"/>
          <w:w w:val="110"/>
        </w:rPr>
        <w:t>under operating </w:t>
      </w:r>
      <w:r>
        <w:rPr>
          <w:w w:val="110"/>
        </w:rPr>
        <w:t>lease at </w:t>
      </w:r>
      <w:r>
        <w:rPr>
          <w:spacing w:val="3"/>
          <w:w w:val="110"/>
        </w:rPr>
        <w:t>December </w:t>
      </w:r>
      <w:r>
        <w:rPr>
          <w:w w:val="110"/>
        </w:rPr>
        <w:t>31, 2001, </w:t>
      </w:r>
      <w:r>
        <w:rPr>
          <w:spacing w:val="3"/>
          <w:w w:val="110"/>
        </w:rPr>
        <w:t>compared </w:t>
      </w:r>
      <w:r>
        <w:rPr>
          <w:w w:val="110"/>
        </w:rPr>
        <w:t>to  27.3  percent  at  </w:t>
      </w:r>
      <w:r>
        <w:rPr>
          <w:spacing w:val="3"/>
          <w:w w:val="110"/>
        </w:rPr>
        <w:t>December</w:t>
      </w:r>
      <w:r>
        <w:rPr>
          <w:spacing w:val="55"/>
          <w:w w:val="110"/>
        </w:rPr>
        <w:t> </w:t>
      </w:r>
      <w:r>
        <w:rPr>
          <w:w w:val="110"/>
        </w:rPr>
        <w:t>31, 2000.</w:t>
      </w:r>
    </w:p>
    <w:p>
      <w:pPr>
        <w:pStyle w:val="BodyText"/>
        <w:spacing w:line="254" w:lineRule="auto"/>
        <w:ind w:left="100" w:right="119" w:firstLine="180"/>
        <w:jc w:val="both"/>
      </w:pPr>
      <w:r>
        <w:rPr>
          <w:spacing w:val="8"/>
          <w:w w:val="105"/>
        </w:rPr>
        <w:t>Landing </w:t>
      </w:r>
      <w:r>
        <w:rPr>
          <w:spacing w:val="6"/>
          <w:w w:val="105"/>
        </w:rPr>
        <w:t>fees</w:t>
      </w:r>
      <w:r>
        <w:rPr>
          <w:spacing w:val="59"/>
          <w:w w:val="105"/>
        </w:rPr>
        <w:t> </w:t>
      </w:r>
      <w:r>
        <w:rPr>
          <w:spacing w:val="8"/>
          <w:w w:val="105"/>
        </w:rPr>
        <w:t>and </w:t>
      </w:r>
      <w:r>
        <w:rPr>
          <w:spacing w:val="6"/>
          <w:w w:val="105"/>
        </w:rPr>
        <w:t>other</w:t>
      </w:r>
      <w:r>
        <w:rPr>
          <w:spacing w:val="59"/>
          <w:w w:val="105"/>
        </w:rPr>
        <w:t> </w:t>
      </w:r>
      <w:r>
        <w:rPr>
          <w:spacing w:val="2"/>
          <w:w w:val="105"/>
        </w:rPr>
        <w:t>rentals </w:t>
      </w:r>
      <w:r>
        <w:rPr>
          <w:spacing w:val="8"/>
          <w:w w:val="105"/>
        </w:rPr>
        <w:t>per </w:t>
      </w:r>
      <w:r>
        <w:rPr>
          <w:w w:val="105"/>
        </w:rPr>
        <w:t>ASM </w:t>
      </w:r>
      <w:r>
        <w:rPr>
          <w:spacing w:val="6"/>
          <w:w w:val="105"/>
        </w:rPr>
        <w:t>increased </w:t>
      </w:r>
      <w:r>
        <w:rPr>
          <w:w w:val="105"/>
        </w:rPr>
        <w:t>9.1 </w:t>
      </w:r>
      <w:r>
        <w:rPr>
          <w:spacing w:val="6"/>
          <w:w w:val="105"/>
        </w:rPr>
        <w:t>percent </w:t>
      </w:r>
      <w:r>
        <w:rPr>
          <w:spacing w:val="5"/>
          <w:w w:val="105"/>
        </w:rPr>
        <w:t>primarily </w:t>
      </w:r>
      <w:r>
        <w:rPr>
          <w:spacing w:val="6"/>
          <w:w w:val="105"/>
        </w:rPr>
        <w:t>as </w:t>
      </w:r>
      <w:r>
        <w:rPr>
          <w:w w:val="105"/>
        </w:rPr>
        <w:t>a result </w:t>
      </w:r>
      <w:r>
        <w:rPr>
          <w:spacing w:val="6"/>
          <w:w w:val="105"/>
        </w:rPr>
        <w:t>of </w:t>
      </w:r>
      <w:r>
        <w:rPr>
          <w:spacing w:val="2"/>
          <w:w w:val="105"/>
        </w:rPr>
        <w:t>the </w:t>
      </w:r>
      <w:r>
        <w:rPr>
          <w:spacing w:val="6"/>
          <w:w w:val="105"/>
        </w:rPr>
        <w:t>Company’s</w:t>
      </w:r>
      <w:r>
        <w:rPr>
          <w:spacing w:val="59"/>
          <w:w w:val="105"/>
        </w:rPr>
        <w:t> </w:t>
      </w:r>
      <w:r>
        <w:rPr>
          <w:spacing w:val="8"/>
          <w:w w:val="105"/>
        </w:rPr>
        <w:t>expansion </w:t>
      </w:r>
      <w:r>
        <w:rPr>
          <w:spacing w:val="6"/>
          <w:w w:val="105"/>
        </w:rPr>
        <w:t>of</w:t>
      </w:r>
      <w:r>
        <w:rPr>
          <w:spacing w:val="59"/>
          <w:w w:val="105"/>
        </w:rPr>
        <w:t> </w:t>
      </w:r>
      <w:r>
        <w:rPr>
          <w:spacing w:val="5"/>
          <w:w w:val="105"/>
        </w:rPr>
        <w:t>facilities </w:t>
      </w:r>
      <w:r>
        <w:rPr>
          <w:spacing w:val="6"/>
          <w:w w:val="105"/>
        </w:rPr>
        <w:t>at </w:t>
      </w:r>
      <w:r>
        <w:rPr>
          <w:spacing w:val="7"/>
          <w:w w:val="105"/>
        </w:rPr>
        <w:t>several </w:t>
      </w:r>
      <w:r>
        <w:rPr>
          <w:spacing w:val="3"/>
          <w:w w:val="105"/>
        </w:rPr>
        <w:t>airports, </w:t>
      </w:r>
      <w:r>
        <w:rPr>
          <w:spacing w:val="7"/>
          <w:w w:val="105"/>
        </w:rPr>
        <w:t>including </w:t>
      </w:r>
      <w:r>
        <w:rPr>
          <w:spacing w:val="5"/>
          <w:w w:val="105"/>
        </w:rPr>
        <w:t>Baltimore/Washington </w:t>
      </w:r>
      <w:r>
        <w:rPr>
          <w:spacing w:val="7"/>
          <w:w w:val="105"/>
        </w:rPr>
        <w:t>Interna- tional </w:t>
      </w:r>
      <w:r>
        <w:rPr>
          <w:spacing w:val="5"/>
          <w:w w:val="105"/>
        </w:rPr>
        <w:t>Airport </w:t>
      </w:r>
      <w:r>
        <w:rPr>
          <w:spacing w:val="8"/>
          <w:w w:val="105"/>
        </w:rPr>
        <w:t>and </w:t>
      </w:r>
      <w:r>
        <w:rPr>
          <w:spacing w:val="5"/>
          <w:w w:val="105"/>
        </w:rPr>
        <w:t>Chicago </w:t>
      </w:r>
      <w:r>
        <w:rPr>
          <w:spacing w:val="10"/>
          <w:w w:val="105"/>
        </w:rPr>
        <w:t>Midway </w:t>
      </w:r>
      <w:r>
        <w:rPr>
          <w:spacing w:val="4"/>
          <w:w w:val="105"/>
        </w:rPr>
        <w:t>Airport.</w:t>
      </w:r>
    </w:p>
    <w:p>
      <w:pPr>
        <w:pStyle w:val="BodyText"/>
        <w:tabs>
          <w:tab w:pos="1679" w:val="left" w:leader="none"/>
          <w:tab w:pos="2679" w:val="left" w:leader="none"/>
          <w:tab w:pos="3799" w:val="left" w:leader="none"/>
        </w:tabs>
        <w:ind w:left="280"/>
      </w:pPr>
      <w:r>
        <w:rPr>
          <w:spacing w:val="7"/>
          <w:w w:val="105"/>
        </w:rPr>
        <w:t>Depreciation</w:t>
        <w:tab/>
      </w:r>
      <w:r>
        <w:rPr>
          <w:spacing w:val="8"/>
          <w:w w:val="105"/>
        </w:rPr>
        <w:t>expense</w:t>
        <w:tab/>
        <w:t>per  </w:t>
      </w:r>
      <w:r>
        <w:rPr>
          <w:spacing w:val="36"/>
          <w:w w:val="105"/>
        </w:rPr>
        <w:t> </w:t>
      </w:r>
      <w:r>
        <w:rPr>
          <w:w w:val="105"/>
        </w:rPr>
        <w:t>ASM</w:t>
        <w:tab/>
      </w:r>
      <w:r>
        <w:rPr>
          <w:spacing w:val="7"/>
          <w:w w:val="105"/>
        </w:rPr>
        <w:t>increased</w:t>
      </w:r>
    </w:p>
    <w:p>
      <w:pPr>
        <w:pStyle w:val="BodyText"/>
        <w:spacing w:line="254" w:lineRule="auto" w:before="15"/>
        <w:ind w:left="100" w:right="127"/>
        <w:jc w:val="both"/>
      </w:pPr>
      <w:r>
        <w:rPr>
          <w:w w:val="105"/>
        </w:rPr>
        <w:t>4.3 </w:t>
      </w:r>
      <w:r>
        <w:rPr>
          <w:spacing w:val="6"/>
          <w:w w:val="105"/>
        </w:rPr>
        <w:t>percent </w:t>
      </w:r>
      <w:r>
        <w:rPr>
          <w:spacing w:val="5"/>
          <w:w w:val="105"/>
        </w:rPr>
        <w:t>primarily </w:t>
      </w:r>
      <w:r>
        <w:rPr>
          <w:spacing w:val="8"/>
          <w:w w:val="105"/>
        </w:rPr>
        <w:t>due </w:t>
      </w:r>
      <w:r>
        <w:rPr>
          <w:w w:val="105"/>
        </w:rPr>
        <w:t>to </w:t>
      </w:r>
      <w:r>
        <w:rPr>
          <w:spacing w:val="2"/>
          <w:w w:val="105"/>
        </w:rPr>
        <w:t>the growth </w:t>
      </w:r>
      <w:r>
        <w:rPr>
          <w:spacing w:val="6"/>
          <w:w w:val="105"/>
        </w:rPr>
        <w:t>in the Company’s</w:t>
      </w:r>
      <w:r>
        <w:rPr>
          <w:spacing w:val="59"/>
          <w:w w:val="105"/>
        </w:rPr>
        <w:t> </w:t>
      </w:r>
      <w:r>
        <w:rPr>
          <w:spacing w:val="4"/>
          <w:w w:val="105"/>
        </w:rPr>
        <w:t>aircraft </w:t>
      </w:r>
      <w:r>
        <w:rPr>
          <w:spacing w:val="3"/>
          <w:w w:val="105"/>
        </w:rPr>
        <w:t>fleet </w:t>
      </w:r>
      <w:r>
        <w:rPr>
          <w:spacing w:val="6"/>
          <w:w w:val="105"/>
        </w:rPr>
        <w:t>prior</w:t>
      </w:r>
      <w:r>
        <w:rPr>
          <w:spacing w:val="59"/>
          <w:w w:val="105"/>
        </w:rPr>
        <w:t> </w:t>
      </w:r>
      <w:r>
        <w:rPr>
          <w:w w:val="105"/>
        </w:rPr>
        <w:t>to </w:t>
      </w:r>
      <w:r>
        <w:rPr>
          <w:spacing w:val="2"/>
          <w:w w:val="105"/>
        </w:rPr>
        <w:t>the </w:t>
      </w:r>
      <w:r>
        <w:rPr>
          <w:w w:val="105"/>
        </w:rPr>
        <w:t>terrorist attacks. </w:t>
      </w:r>
      <w:r>
        <w:rPr>
          <w:spacing w:val="4"/>
          <w:w w:val="105"/>
        </w:rPr>
        <w:t>The </w:t>
      </w:r>
      <w:r>
        <w:rPr>
          <w:spacing w:val="8"/>
          <w:w w:val="105"/>
        </w:rPr>
        <w:t>Company  had  </w:t>
      </w:r>
      <w:r>
        <w:rPr>
          <w:spacing w:val="7"/>
          <w:w w:val="105"/>
        </w:rPr>
        <w:t>received  </w:t>
      </w:r>
      <w:r>
        <w:rPr>
          <w:spacing w:val="6"/>
          <w:w w:val="105"/>
        </w:rPr>
        <w:t>delivery  </w:t>
      </w:r>
      <w:r>
        <w:rPr>
          <w:spacing w:val="12"/>
          <w:w w:val="105"/>
        </w:rPr>
        <w:t>of </w:t>
      </w:r>
      <w:r>
        <w:rPr>
          <w:w w:val="105"/>
        </w:rPr>
        <w:t>14 </w:t>
      </w:r>
      <w:r>
        <w:rPr>
          <w:spacing w:val="8"/>
          <w:w w:val="105"/>
        </w:rPr>
        <w:t>new </w:t>
      </w:r>
      <w:r>
        <w:rPr>
          <w:w w:val="105"/>
        </w:rPr>
        <w:t>737-700 </w:t>
      </w:r>
      <w:r>
        <w:rPr>
          <w:spacing w:val="4"/>
          <w:w w:val="105"/>
        </w:rPr>
        <w:t>aircraft </w:t>
      </w:r>
      <w:r>
        <w:rPr>
          <w:spacing w:val="6"/>
          <w:w w:val="105"/>
        </w:rPr>
        <w:t>prior </w:t>
      </w:r>
      <w:r>
        <w:rPr>
          <w:w w:val="105"/>
        </w:rPr>
        <w:t>to </w:t>
      </w:r>
      <w:r>
        <w:rPr>
          <w:spacing w:val="7"/>
          <w:w w:val="105"/>
        </w:rPr>
        <w:t>September </w:t>
      </w:r>
      <w:r>
        <w:rPr>
          <w:w w:val="105"/>
        </w:rPr>
        <w:t>11, </w:t>
      </w:r>
      <w:r>
        <w:rPr>
          <w:spacing w:val="7"/>
          <w:w w:val="105"/>
        </w:rPr>
        <w:t>bringing </w:t>
      </w:r>
      <w:r>
        <w:rPr>
          <w:spacing w:val="2"/>
          <w:w w:val="105"/>
        </w:rPr>
        <w:t>the </w:t>
      </w:r>
      <w:r>
        <w:rPr>
          <w:spacing w:val="5"/>
          <w:w w:val="105"/>
        </w:rPr>
        <w:t>percentage </w:t>
      </w:r>
      <w:r>
        <w:rPr>
          <w:spacing w:val="6"/>
          <w:w w:val="105"/>
        </w:rPr>
        <w:t>of </w:t>
      </w:r>
      <w:r>
        <w:rPr>
          <w:spacing w:val="8"/>
          <w:w w:val="105"/>
        </w:rPr>
        <w:t>owned </w:t>
      </w:r>
      <w:r>
        <w:rPr>
          <w:spacing w:val="4"/>
          <w:w w:val="105"/>
        </w:rPr>
        <w:t>aircraft </w:t>
      </w:r>
      <w:r>
        <w:rPr>
          <w:spacing w:val="6"/>
          <w:w w:val="105"/>
        </w:rPr>
        <w:t>in the Company’s </w:t>
      </w:r>
      <w:r>
        <w:rPr>
          <w:spacing w:val="3"/>
          <w:w w:val="105"/>
        </w:rPr>
        <w:t>fleet </w:t>
      </w:r>
      <w:r>
        <w:rPr>
          <w:w w:val="105"/>
        </w:rPr>
        <w:t>to 74.1 </w:t>
      </w:r>
      <w:r>
        <w:rPr>
          <w:spacing w:val="6"/>
          <w:w w:val="105"/>
        </w:rPr>
        <w:t>percent by </w:t>
      </w:r>
      <w:r>
        <w:rPr>
          <w:spacing w:val="2"/>
          <w:w w:val="105"/>
        </w:rPr>
        <w:t>the </w:t>
      </w:r>
      <w:r>
        <w:rPr>
          <w:spacing w:val="8"/>
          <w:w w:val="105"/>
        </w:rPr>
        <w:t>end  </w:t>
      </w:r>
      <w:r>
        <w:rPr>
          <w:spacing w:val="12"/>
          <w:w w:val="105"/>
        </w:rPr>
        <w:t>of </w:t>
      </w:r>
      <w:r>
        <w:rPr>
          <w:w w:val="105"/>
        </w:rPr>
        <w:t>2001 </w:t>
      </w:r>
      <w:r>
        <w:rPr>
          <w:spacing w:val="8"/>
          <w:w w:val="105"/>
        </w:rPr>
        <w:t>compared </w:t>
      </w:r>
      <w:r>
        <w:rPr>
          <w:w w:val="105"/>
        </w:rPr>
        <w:t>to 72.7 </w:t>
      </w:r>
      <w:r>
        <w:rPr>
          <w:spacing w:val="6"/>
          <w:w w:val="105"/>
        </w:rPr>
        <w:t>percent at </w:t>
      </w:r>
      <w:r>
        <w:rPr>
          <w:spacing w:val="2"/>
          <w:w w:val="105"/>
        </w:rPr>
        <w:t>the  </w:t>
      </w:r>
      <w:r>
        <w:rPr>
          <w:spacing w:val="8"/>
          <w:w w:val="105"/>
        </w:rPr>
        <w:t>end</w:t>
      </w:r>
      <w:r>
        <w:rPr>
          <w:spacing w:val="63"/>
          <w:w w:val="105"/>
        </w:rPr>
        <w:t> </w:t>
      </w:r>
      <w:r>
        <w:rPr>
          <w:spacing w:val="12"/>
          <w:w w:val="105"/>
        </w:rPr>
        <w:t>of </w:t>
      </w:r>
      <w:r>
        <w:rPr>
          <w:w w:val="105"/>
        </w:rPr>
        <w:t>2000.</w:t>
      </w:r>
    </w:p>
    <w:p>
      <w:pPr>
        <w:pStyle w:val="BodyText"/>
        <w:spacing w:before="1"/>
        <w:ind w:left="280"/>
      </w:pPr>
      <w:r>
        <w:rPr>
          <w:w w:val="105"/>
        </w:rPr>
        <w:t>Other  operating  expenses  per  ASM  increased</w:t>
      </w:r>
    </w:p>
    <w:p>
      <w:pPr>
        <w:pStyle w:val="BodyText"/>
        <w:spacing w:line="254" w:lineRule="auto" w:before="16"/>
        <w:ind w:left="100" w:right="123"/>
        <w:jc w:val="both"/>
      </w:pPr>
      <w:r>
        <w:rPr>
          <w:w w:val="105"/>
        </w:rPr>
        <w:t>3.5 </w:t>
      </w:r>
      <w:r>
        <w:rPr>
          <w:spacing w:val="6"/>
          <w:w w:val="105"/>
        </w:rPr>
        <w:t>percent</w:t>
      </w:r>
      <w:r>
        <w:rPr>
          <w:spacing w:val="59"/>
          <w:w w:val="105"/>
        </w:rPr>
        <w:t> </w:t>
      </w:r>
      <w:r>
        <w:rPr>
          <w:spacing w:val="5"/>
          <w:w w:val="105"/>
        </w:rPr>
        <w:t>primarily  </w:t>
      </w:r>
      <w:r>
        <w:rPr>
          <w:spacing w:val="8"/>
          <w:w w:val="105"/>
        </w:rPr>
        <w:t>due</w:t>
      </w:r>
      <w:r>
        <w:rPr>
          <w:spacing w:val="63"/>
          <w:w w:val="105"/>
        </w:rPr>
        <w:t> </w:t>
      </w:r>
      <w:r>
        <w:rPr>
          <w:w w:val="105"/>
        </w:rPr>
        <w:t>to  a  </w:t>
      </w:r>
      <w:r>
        <w:rPr>
          <w:spacing w:val="7"/>
          <w:w w:val="105"/>
        </w:rPr>
        <w:t>significant </w:t>
      </w:r>
      <w:r>
        <w:rPr>
          <w:spacing w:val="5"/>
          <w:w w:val="105"/>
        </w:rPr>
        <w:t>increase </w:t>
      </w:r>
      <w:r>
        <w:rPr>
          <w:spacing w:val="6"/>
          <w:w w:val="105"/>
        </w:rPr>
        <w:t>in </w:t>
      </w:r>
      <w:r>
        <w:rPr>
          <w:spacing w:val="8"/>
          <w:w w:val="105"/>
        </w:rPr>
        <w:t>aviation </w:t>
      </w:r>
      <w:r>
        <w:rPr>
          <w:spacing w:val="6"/>
          <w:w w:val="105"/>
        </w:rPr>
        <w:t>insurance </w:t>
      </w:r>
      <w:r>
        <w:rPr>
          <w:w w:val="105"/>
        </w:rPr>
        <w:t>costs </w:t>
      </w:r>
      <w:r>
        <w:rPr>
          <w:spacing w:val="4"/>
          <w:w w:val="105"/>
        </w:rPr>
        <w:t>following </w:t>
      </w:r>
      <w:r>
        <w:rPr>
          <w:spacing w:val="2"/>
          <w:w w:val="105"/>
        </w:rPr>
        <w:t>the </w:t>
      </w:r>
      <w:r>
        <w:rPr>
          <w:w w:val="105"/>
        </w:rPr>
        <w:t>terrorist  attacks.  </w:t>
      </w:r>
      <w:r>
        <w:rPr>
          <w:spacing w:val="4"/>
          <w:w w:val="105"/>
        </w:rPr>
        <w:t>The  </w:t>
      </w:r>
      <w:r>
        <w:rPr>
          <w:spacing w:val="6"/>
          <w:w w:val="105"/>
        </w:rPr>
        <w:t>Company’s</w:t>
      </w:r>
      <w:r>
        <w:rPr>
          <w:spacing w:val="59"/>
          <w:w w:val="105"/>
        </w:rPr>
        <w:t> </w:t>
      </w:r>
      <w:r>
        <w:rPr>
          <w:spacing w:val="6"/>
          <w:w w:val="105"/>
        </w:rPr>
        <w:t>insurance </w:t>
      </w:r>
      <w:r>
        <w:rPr>
          <w:spacing w:val="3"/>
          <w:w w:val="105"/>
        </w:rPr>
        <w:t>carriers </w:t>
      </w:r>
      <w:r>
        <w:rPr>
          <w:spacing w:val="6"/>
          <w:w w:val="105"/>
        </w:rPr>
        <w:t>canceled</w:t>
      </w:r>
      <w:r>
        <w:rPr>
          <w:spacing w:val="59"/>
          <w:w w:val="105"/>
        </w:rPr>
        <w:t> </w:t>
      </w:r>
      <w:r>
        <w:rPr>
          <w:spacing w:val="6"/>
          <w:w w:val="105"/>
        </w:rPr>
        <w:t>their</w:t>
      </w:r>
      <w:r>
        <w:rPr>
          <w:spacing w:val="59"/>
          <w:w w:val="105"/>
        </w:rPr>
        <w:t> </w:t>
      </w:r>
      <w:r>
        <w:rPr>
          <w:w w:val="105"/>
        </w:rPr>
        <w:t>war-risk </w:t>
      </w:r>
      <w:r>
        <w:rPr>
          <w:spacing w:val="8"/>
          <w:w w:val="105"/>
        </w:rPr>
        <w:t>and </w:t>
      </w:r>
      <w:r>
        <w:rPr>
          <w:w w:val="105"/>
        </w:rPr>
        <w:t>terrorism </w:t>
      </w:r>
      <w:r>
        <w:rPr>
          <w:spacing w:val="6"/>
          <w:w w:val="105"/>
        </w:rPr>
        <w:t>insurance </w:t>
      </w:r>
      <w:r>
        <w:rPr>
          <w:spacing w:val="7"/>
          <w:w w:val="105"/>
        </w:rPr>
        <w:t>policies </w:t>
      </w:r>
      <w:r>
        <w:rPr>
          <w:spacing w:val="4"/>
          <w:w w:val="105"/>
        </w:rPr>
        <w:t>following </w:t>
      </w:r>
      <w:r>
        <w:rPr>
          <w:spacing w:val="2"/>
          <w:w w:val="105"/>
        </w:rPr>
        <w:t>the </w:t>
      </w:r>
      <w:r>
        <w:rPr>
          <w:w w:val="105"/>
        </w:rPr>
        <w:t>terrorist  </w:t>
      </w:r>
      <w:r>
        <w:rPr>
          <w:spacing w:val="2"/>
          <w:w w:val="105"/>
        </w:rPr>
        <w:t>attacks </w:t>
      </w:r>
      <w:r>
        <w:rPr>
          <w:spacing w:val="8"/>
          <w:w w:val="105"/>
        </w:rPr>
        <w:t>and </w:t>
      </w:r>
      <w:r>
        <w:rPr>
          <w:spacing w:val="4"/>
          <w:w w:val="105"/>
        </w:rPr>
        <w:t>reinstated </w:t>
      </w:r>
      <w:r>
        <w:rPr>
          <w:spacing w:val="3"/>
          <w:w w:val="105"/>
        </w:rPr>
        <w:t>such </w:t>
      </w:r>
      <w:r>
        <w:rPr>
          <w:spacing w:val="6"/>
          <w:w w:val="105"/>
        </w:rPr>
        <w:t>coverage</w:t>
      </w:r>
      <w:r>
        <w:rPr>
          <w:spacing w:val="59"/>
          <w:w w:val="105"/>
        </w:rPr>
        <w:t> </w:t>
      </w:r>
      <w:r>
        <w:rPr>
          <w:spacing w:val="6"/>
          <w:w w:val="105"/>
        </w:rPr>
        <w:t>at</w:t>
      </w:r>
      <w:r>
        <w:rPr>
          <w:spacing w:val="59"/>
          <w:w w:val="105"/>
        </w:rPr>
        <w:t> </w:t>
      </w:r>
      <w:r>
        <w:rPr>
          <w:spacing w:val="4"/>
          <w:w w:val="105"/>
        </w:rPr>
        <w:t>significantly </w:t>
      </w:r>
      <w:r>
        <w:rPr>
          <w:spacing w:val="8"/>
          <w:w w:val="105"/>
        </w:rPr>
        <w:t>higher </w:t>
      </w:r>
      <w:r>
        <w:rPr>
          <w:spacing w:val="3"/>
          <w:w w:val="105"/>
        </w:rPr>
        <w:t>rates </w:t>
      </w:r>
      <w:r>
        <w:rPr>
          <w:spacing w:val="5"/>
          <w:w w:val="105"/>
        </w:rPr>
        <w:t>than </w:t>
      </w:r>
      <w:r>
        <w:rPr>
          <w:spacing w:val="8"/>
          <w:w w:val="105"/>
        </w:rPr>
        <w:t>before.</w:t>
      </w:r>
    </w:p>
    <w:p>
      <w:pPr>
        <w:spacing w:after="0" w:line="254" w:lineRule="auto"/>
        <w:jc w:val="both"/>
        <w:sectPr>
          <w:headerReference w:type="default" r:id="rId90"/>
          <w:pgSz w:w="11520" w:h="14400"/>
          <w:pgMar w:header="0" w:footer="706" w:top="960" w:bottom="900" w:left="700" w:right="820"/>
          <w:cols w:num="2" w:equalWidth="0">
            <w:col w:w="4737" w:space="403"/>
            <w:col w:w="4860"/>
          </w:cols>
        </w:sectPr>
      </w:pPr>
    </w:p>
    <w:p>
      <w:pPr>
        <w:pStyle w:val="BodyText"/>
        <w:spacing w:line="254" w:lineRule="auto" w:before="69"/>
        <w:ind w:left="100" w:firstLine="180"/>
        <w:jc w:val="both"/>
      </w:pPr>
      <w:bookmarkStart w:name="Liquidity and Capital Resources" w:id="29"/>
      <w:bookmarkEnd w:id="29"/>
      <w:r>
        <w:rPr/>
      </w:r>
      <w:r>
        <w:rPr>
          <w:i/>
          <w:w w:val="105"/>
        </w:rPr>
        <w:t>Other. </w:t>
      </w:r>
      <w:r>
        <w:rPr>
          <w:w w:val="105"/>
        </w:rPr>
        <w:t>“Other </w:t>
      </w:r>
      <w:r>
        <w:rPr>
          <w:spacing w:val="2"/>
          <w:w w:val="105"/>
        </w:rPr>
        <w:t>expenses (income)” </w:t>
      </w:r>
      <w:r>
        <w:rPr>
          <w:spacing w:val="9"/>
          <w:w w:val="105"/>
        </w:rPr>
        <w:t>included </w:t>
      </w:r>
      <w:r>
        <w:rPr>
          <w:w w:val="105"/>
        </w:rPr>
        <w:t>interest </w:t>
      </w:r>
      <w:r>
        <w:rPr>
          <w:spacing w:val="2"/>
          <w:w w:val="105"/>
        </w:rPr>
        <w:t>expense, capitalized </w:t>
      </w:r>
      <w:r>
        <w:rPr>
          <w:w w:val="105"/>
        </w:rPr>
        <w:t>interest, </w:t>
      </w:r>
      <w:r>
        <w:rPr>
          <w:spacing w:val="4"/>
          <w:w w:val="105"/>
        </w:rPr>
        <w:t>interest </w:t>
      </w:r>
      <w:r>
        <w:rPr>
          <w:spacing w:val="2"/>
          <w:w w:val="105"/>
        </w:rPr>
        <w:t>income, </w:t>
      </w:r>
      <w:r>
        <w:rPr>
          <w:w w:val="105"/>
        </w:rPr>
        <w:t>and other gains  and  losses.  </w:t>
      </w:r>
      <w:r>
        <w:rPr>
          <w:spacing w:val="4"/>
          <w:w w:val="105"/>
        </w:rPr>
        <w:t>Interest </w:t>
      </w:r>
      <w:r>
        <w:rPr>
          <w:spacing w:val="3"/>
          <w:w w:val="105"/>
        </w:rPr>
        <w:t>expense</w:t>
      </w:r>
      <w:r>
        <w:rPr>
          <w:spacing w:val="53"/>
          <w:w w:val="105"/>
        </w:rPr>
        <w:t> </w:t>
      </w:r>
      <w:r>
        <w:rPr>
          <w:w w:val="105"/>
        </w:rPr>
        <w:t>was  flat  </w:t>
      </w:r>
      <w:r>
        <w:rPr>
          <w:spacing w:val="3"/>
          <w:w w:val="105"/>
        </w:rPr>
        <w:t>compared</w:t>
      </w:r>
      <w:r>
        <w:rPr>
          <w:spacing w:val="53"/>
          <w:w w:val="105"/>
        </w:rPr>
        <w:t> </w:t>
      </w:r>
      <w:r>
        <w:rPr>
          <w:w w:val="105"/>
        </w:rPr>
        <w:t>to  2000.  </w:t>
      </w:r>
      <w:r>
        <w:rPr>
          <w:spacing w:val="5"/>
          <w:w w:val="105"/>
        </w:rPr>
        <w:t>Following </w:t>
      </w:r>
      <w:r>
        <w:rPr>
          <w:w w:val="105"/>
        </w:rPr>
        <w:t>the terrorist attacks,  the  </w:t>
      </w:r>
      <w:r>
        <w:rPr>
          <w:spacing w:val="2"/>
          <w:w w:val="105"/>
        </w:rPr>
        <w:t>Company  borrowed  </w:t>
      </w:r>
      <w:r>
        <w:rPr>
          <w:spacing w:val="6"/>
          <w:w w:val="105"/>
        </w:rPr>
        <w:t>the </w:t>
      </w:r>
      <w:r>
        <w:rPr>
          <w:w w:val="105"/>
        </w:rPr>
        <w:t>full $475  </w:t>
      </w:r>
      <w:r>
        <w:rPr>
          <w:spacing w:val="2"/>
          <w:w w:val="105"/>
        </w:rPr>
        <w:t>million  available  </w:t>
      </w:r>
      <w:r>
        <w:rPr>
          <w:w w:val="105"/>
        </w:rPr>
        <w:t>under  its  </w:t>
      </w:r>
      <w:r>
        <w:rPr>
          <w:spacing w:val="7"/>
          <w:w w:val="105"/>
        </w:rPr>
        <w:t>revolving </w:t>
      </w:r>
      <w:r>
        <w:rPr>
          <w:w w:val="105"/>
        </w:rPr>
        <w:t>credit facility and issued  $614.3  million  in  long-  term  debt  in  the  form  of  </w:t>
      </w:r>
      <w:r>
        <w:rPr>
          <w:spacing w:val="4"/>
          <w:w w:val="105"/>
        </w:rPr>
        <w:t>Pass-Through </w:t>
      </w:r>
      <w:r>
        <w:rPr>
          <w:w w:val="105"/>
        </w:rPr>
        <w:t>Certificates. See Note 7 to  the  </w:t>
      </w:r>
      <w:r>
        <w:rPr>
          <w:spacing w:val="6"/>
          <w:w w:val="105"/>
        </w:rPr>
        <w:t>Consolidated </w:t>
      </w:r>
      <w:r>
        <w:rPr>
          <w:spacing w:val="2"/>
          <w:w w:val="105"/>
        </w:rPr>
        <w:t>Financial </w:t>
      </w:r>
      <w:r>
        <w:rPr>
          <w:w w:val="105"/>
        </w:rPr>
        <w:t>Statements. The increase in  </w:t>
      </w:r>
      <w:r>
        <w:rPr>
          <w:spacing w:val="11"/>
          <w:w w:val="105"/>
        </w:rPr>
        <w:t>expense </w:t>
      </w:r>
      <w:r>
        <w:rPr>
          <w:w w:val="105"/>
        </w:rPr>
        <w:t>caused by these borrowings  was  offset  by  a decrease in  interest  rates  on  the  </w:t>
      </w:r>
      <w:r>
        <w:rPr>
          <w:spacing w:val="6"/>
          <w:w w:val="105"/>
        </w:rPr>
        <w:t>Company’s </w:t>
      </w:r>
      <w:r>
        <w:rPr>
          <w:w w:val="105"/>
        </w:rPr>
        <w:t>floating rate  debt  and  the  July  2001  </w:t>
      </w:r>
      <w:r>
        <w:rPr>
          <w:spacing w:val="10"/>
          <w:w w:val="105"/>
        </w:rPr>
        <w:t>redemption </w:t>
      </w:r>
      <w:r>
        <w:rPr>
          <w:w w:val="105"/>
        </w:rPr>
        <w:t>of $100 </w:t>
      </w:r>
      <w:r>
        <w:rPr>
          <w:spacing w:val="2"/>
          <w:w w:val="105"/>
        </w:rPr>
        <w:t>million </w:t>
      </w:r>
      <w:r>
        <w:rPr>
          <w:w w:val="105"/>
        </w:rPr>
        <w:t>of </w:t>
      </w:r>
      <w:r>
        <w:rPr>
          <w:spacing w:val="2"/>
          <w:w w:val="105"/>
        </w:rPr>
        <w:t>unsecured </w:t>
      </w:r>
      <w:r>
        <w:rPr>
          <w:w w:val="105"/>
        </w:rPr>
        <w:t>notes. </w:t>
      </w:r>
      <w:r>
        <w:rPr>
          <w:spacing w:val="5"/>
          <w:w w:val="105"/>
        </w:rPr>
        <w:t>Capitalized </w:t>
      </w:r>
      <w:r>
        <w:rPr>
          <w:spacing w:val="4"/>
          <w:w w:val="105"/>
        </w:rPr>
        <w:t>interest </w:t>
      </w:r>
      <w:r>
        <w:rPr>
          <w:spacing w:val="6"/>
          <w:w w:val="105"/>
        </w:rPr>
        <w:t>decreased </w:t>
      </w:r>
      <w:r>
        <w:rPr>
          <w:w w:val="105"/>
        </w:rPr>
        <w:t>$7.0 </w:t>
      </w:r>
      <w:r>
        <w:rPr>
          <w:spacing w:val="6"/>
          <w:w w:val="105"/>
        </w:rPr>
        <w:t>million, or </w:t>
      </w:r>
      <w:r>
        <w:rPr>
          <w:w w:val="105"/>
        </w:rPr>
        <w:t>25.3 </w:t>
      </w:r>
      <w:r>
        <w:rPr>
          <w:spacing w:val="5"/>
          <w:w w:val="105"/>
        </w:rPr>
        <w:t>percent, primarily </w:t>
      </w:r>
      <w:r>
        <w:rPr>
          <w:spacing w:val="6"/>
          <w:w w:val="105"/>
        </w:rPr>
        <w:t>as</w:t>
      </w:r>
      <w:r>
        <w:rPr>
          <w:spacing w:val="59"/>
          <w:w w:val="105"/>
        </w:rPr>
        <w:t> </w:t>
      </w:r>
      <w:r>
        <w:rPr>
          <w:w w:val="105"/>
        </w:rPr>
        <w:t>a result </w:t>
      </w:r>
      <w:r>
        <w:rPr>
          <w:spacing w:val="6"/>
          <w:w w:val="105"/>
        </w:rPr>
        <w:t>of</w:t>
      </w:r>
      <w:r>
        <w:rPr>
          <w:spacing w:val="59"/>
          <w:w w:val="105"/>
        </w:rPr>
        <w:t> </w:t>
      </w:r>
      <w:r>
        <w:rPr>
          <w:spacing w:val="4"/>
          <w:w w:val="105"/>
        </w:rPr>
        <w:t>lower </w:t>
      </w:r>
      <w:r>
        <w:rPr>
          <w:w w:val="105"/>
        </w:rPr>
        <w:t>2001 </w:t>
      </w:r>
      <w:r>
        <w:rPr>
          <w:spacing w:val="3"/>
          <w:w w:val="105"/>
        </w:rPr>
        <w:t>progress </w:t>
      </w:r>
      <w:r>
        <w:rPr>
          <w:spacing w:val="8"/>
          <w:w w:val="105"/>
        </w:rPr>
        <w:t>payment </w:t>
      </w:r>
      <w:r>
        <w:rPr>
          <w:spacing w:val="7"/>
          <w:w w:val="105"/>
        </w:rPr>
        <w:t>balances </w:t>
      </w:r>
      <w:r>
        <w:rPr>
          <w:spacing w:val="4"/>
          <w:w w:val="105"/>
        </w:rPr>
        <w:t>for </w:t>
      </w:r>
      <w:r>
        <w:rPr>
          <w:spacing w:val="5"/>
          <w:w w:val="105"/>
        </w:rPr>
        <w:t>scheduled </w:t>
      </w:r>
      <w:r>
        <w:rPr>
          <w:spacing w:val="2"/>
          <w:w w:val="105"/>
        </w:rPr>
        <w:t>future </w:t>
      </w:r>
      <w:r>
        <w:rPr>
          <w:spacing w:val="4"/>
          <w:w w:val="105"/>
        </w:rPr>
        <w:t>aircraft </w:t>
      </w:r>
      <w:r>
        <w:rPr>
          <w:spacing w:val="7"/>
          <w:w w:val="105"/>
        </w:rPr>
        <w:t>deliveries </w:t>
      </w:r>
      <w:r>
        <w:rPr>
          <w:spacing w:val="6"/>
          <w:w w:val="105"/>
        </w:rPr>
        <w:t>as</w:t>
      </w:r>
      <w:r>
        <w:rPr>
          <w:spacing w:val="59"/>
          <w:w w:val="105"/>
        </w:rPr>
        <w:t> </w:t>
      </w:r>
      <w:r>
        <w:rPr>
          <w:spacing w:val="8"/>
          <w:w w:val="105"/>
        </w:rPr>
        <w:t>compared </w:t>
      </w:r>
      <w:r>
        <w:rPr>
          <w:w w:val="105"/>
        </w:rPr>
        <w:t>to 2000. </w:t>
      </w:r>
      <w:r>
        <w:rPr>
          <w:spacing w:val="4"/>
          <w:w w:val="105"/>
        </w:rPr>
        <w:t>The lower </w:t>
      </w:r>
      <w:r>
        <w:rPr>
          <w:spacing w:val="3"/>
          <w:w w:val="105"/>
        </w:rPr>
        <w:t>progress </w:t>
      </w:r>
      <w:r>
        <w:rPr>
          <w:spacing w:val="7"/>
          <w:w w:val="105"/>
        </w:rPr>
        <w:t>payments </w:t>
      </w:r>
      <w:r>
        <w:rPr>
          <w:spacing w:val="4"/>
          <w:w w:val="105"/>
        </w:rPr>
        <w:t>were </w:t>
      </w:r>
      <w:r>
        <w:rPr>
          <w:spacing w:val="8"/>
          <w:w w:val="105"/>
        </w:rPr>
        <w:t>due </w:t>
      </w:r>
      <w:r>
        <w:rPr>
          <w:spacing w:val="6"/>
          <w:w w:val="105"/>
        </w:rPr>
        <w:t>in</w:t>
      </w:r>
      <w:r>
        <w:rPr>
          <w:spacing w:val="59"/>
          <w:w w:val="105"/>
        </w:rPr>
        <w:t> </w:t>
      </w:r>
      <w:r>
        <w:rPr>
          <w:spacing w:val="5"/>
          <w:w w:val="105"/>
        </w:rPr>
        <w:t>part </w:t>
      </w:r>
      <w:r>
        <w:rPr>
          <w:w w:val="105"/>
        </w:rPr>
        <w:t>to  </w:t>
      </w:r>
      <w:r>
        <w:rPr>
          <w:spacing w:val="6"/>
          <w:w w:val="105"/>
        </w:rPr>
        <w:t>the </w:t>
      </w:r>
      <w:r>
        <w:rPr>
          <w:spacing w:val="5"/>
          <w:w w:val="105"/>
        </w:rPr>
        <w:t>deferral </w:t>
      </w:r>
      <w:r>
        <w:rPr>
          <w:spacing w:val="6"/>
          <w:w w:val="105"/>
        </w:rPr>
        <w:t>of </w:t>
      </w:r>
      <w:r>
        <w:rPr>
          <w:spacing w:val="7"/>
          <w:w w:val="105"/>
        </w:rPr>
        <w:t>Boeing </w:t>
      </w:r>
      <w:r>
        <w:rPr>
          <w:w w:val="105"/>
        </w:rPr>
        <w:t>737 </w:t>
      </w:r>
      <w:r>
        <w:rPr>
          <w:spacing w:val="4"/>
          <w:w w:val="105"/>
        </w:rPr>
        <w:t>aircraft </w:t>
      </w:r>
      <w:r>
        <w:rPr>
          <w:w w:val="105"/>
        </w:rPr>
        <w:t>firm </w:t>
      </w:r>
      <w:r>
        <w:rPr>
          <w:spacing w:val="4"/>
          <w:w w:val="105"/>
        </w:rPr>
        <w:t>orders </w:t>
      </w:r>
      <w:r>
        <w:rPr>
          <w:spacing w:val="8"/>
          <w:w w:val="105"/>
        </w:rPr>
        <w:t>and options </w:t>
      </w:r>
      <w:r>
        <w:rPr>
          <w:spacing w:val="4"/>
          <w:w w:val="105"/>
        </w:rPr>
        <w:t>following </w:t>
      </w:r>
      <w:r>
        <w:rPr>
          <w:spacing w:val="2"/>
          <w:w w:val="105"/>
        </w:rPr>
        <w:t>the </w:t>
      </w:r>
      <w:r>
        <w:rPr>
          <w:w w:val="105"/>
        </w:rPr>
        <w:t>terrorist attacks. </w:t>
      </w:r>
      <w:r>
        <w:rPr>
          <w:spacing w:val="4"/>
          <w:w w:val="105"/>
        </w:rPr>
        <w:t>Interest </w:t>
      </w:r>
      <w:r>
        <w:rPr>
          <w:spacing w:val="9"/>
          <w:w w:val="105"/>
        </w:rPr>
        <w:t>income </w:t>
      </w:r>
      <w:r>
        <w:rPr>
          <w:spacing w:val="6"/>
          <w:w w:val="105"/>
        </w:rPr>
        <w:t>increased </w:t>
      </w:r>
      <w:r>
        <w:rPr>
          <w:w w:val="105"/>
        </w:rPr>
        <w:t>$2.5 </w:t>
      </w:r>
      <w:r>
        <w:rPr>
          <w:spacing w:val="6"/>
          <w:w w:val="105"/>
        </w:rPr>
        <w:t>million,</w:t>
      </w:r>
      <w:r>
        <w:rPr>
          <w:spacing w:val="59"/>
          <w:w w:val="105"/>
        </w:rPr>
        <w:t> </w:t>
      </w:r>
      <w:r>
        <w:rPr>
          <w:spacing w:val="6"/>
          <w:w w:val="105"/>
        </w:rPr>
        <w:t>or </w:t>
      </w:r>
      <w:r>
        <w:rPr>
          <w:w w:val="105"/>
        </w:rPr>
        <w:t>6.2 </w:t>
      </w:r>
      <w:r>
        <w:rPr>
          <w:spacing w:val="5"/>
          <w:w w:val="105"/>
        </w:rPr>
        <w:t>percent, primarily </w:t>
      </w:r>
      <w:r>
        <w:rPr>
          <w:spacing w:val="8"/>
          <w:w w:val="105"/>
        </w:rPr>
        <w:t>due </w:t>
      </w:r>
      <w:r>
        <w:rPr>
          <w:w w:val="105"/>
        </w:rPr>
        <w:t>to </w:t>
      </w:r>
      <w:r>
        <w:rPr>
          <w:spacing w:val="8"/>
          <w:w w:val="105"/>
        </w:rPr>
        <w:t>higher </w:t>
      </w:r>
      <w:r>
        <w:rPr>
          <w:spacing w:val="6"/>
          <w:w w:val="105"/>
        </w:rPr>
        <w:t>invested </w:t>
      </w:r>
      <w:r>
        <w:rPr>
          <w:spacing w:val="3"/>
          <w:w w:val="105"/>
        </w:rPr>
        <w:t>cash </w:t>
      </w:r>
      <w:r>
        <w:rPr>
          <w:spacing w:val="5"/>
          <w:w w:val="105"/>
        </w:rPr>
        <w:t>balances, </w:t>
      </w:r>
      <w:r>
        <w:rPr>
          <w:spacing w:val="2"/>
          <w:w w:val="105"/>
        </w:rPr>
        <w:t>partially </w:t>
      </w:r>
      <w:r>
        <w:rPr>
          <w:spacing w:val="3"/>
          <w:w w:val="105"/>
        </w:rPr>
        <w:t>offset </w:t>
      </w:r>
      <w:r>
        <w:rPr>
          <w:spacing w:val="6"/>
          <w:w w:val="105"/>
        </w:rPr>
        <w:t>by </w:t>
      </w:r>
      <w:r>
        <w:rPr>
          <w:spacing w:val="4"/>
          <w:w w:val="105"/>
        </w:rPr>
        <w:t>lower </w:t>
      </w:r>
      <w:r>
        <w:rPr>
          <w:w w:val="105"/>
        </w:rPr>
        <w:t>rates. </w:t>
      </w:r>
      <w:r>
        <w:rPr>
          <w:spacing w:val="5"/>
          <w:w w:val="105"/>
        </w:rPr>
        <w:t>Other </w:t>
      </w:r>
      <w:r>
        <w:rPr>
          <w:spacing w:val="7"/>
          <w:w w:val="105"/>
        </w:rPr>
        <w:t>gains </w:t>
      </w:r>
      <w:r>
        <w:rPr>
          <w:spacing w:val="6"/>
          <w:w w:val="105"/>
        </w:rPr>
        <w:t>in </w:t>
      </w:r>
      <w:r>
        <w:rPr>
          <w:w w:val="105"/>
        </w:rPr>
        <w:t>2001 </w:t>
      </w:r>
      <w:r>
        <w:rPr>
          <w:spacing w:val="5"/>
          <w:w w:val="105"/>
        </w:rPr>
        <w:t>primarily </w:t>
      </w:r>
      <w:r>
        <w:rPr>
          <w:w w:val="105"/>
        </w:rPr>
        <w:t>resulted from $235 </w:t>
      </w:r>
      <w:r>
        <w:rPr>
          <w:spacing w:val="5"/>
          <w:w w:val="105"/>
        </w:rPr>
        <w:t>million  </w:t>
      </w:r>
      <w:r>
        <w:rPr>
          <w:spacing w:val="7"/>
          <w:w w:val="105"/>
        </w:rPr>
        <w:t>received  </w:t>
      </w:r>
      <w:r>
        <w:rPr>
          <w:spacing w:val="12"/>
          <w:w w:val="105"/>
        </w:rPr>
        <w:t>as </w:t>
      </w:r>
      <w:r>
        <w:rPr>
          <w:spacing w:val="2"/>
          <w:w w:val="105"/>
        </w:rPr>
        <w:t>the </w:t>
      </w:r>
      <w:r>
        <w:rPr>
          <w:spacing w:val="6"/>
          <w:w w:val="105"/>
        </w:rPr>
        <w:t>Company’s </w:t>
      </w:r>
      <w:r>
        <w:rPr>
          <w:spacing w:val="3"/>
          <w:w w:val="105"/>
        </w:rPr>
        <w:t>share </w:t>
      </w:r>
      <w:r>
        <w:rPr>
          <w:spacing w:val="6"/>
          <w:w w:val="105"/>
        </w:rPr>
        <w:t>of </w:t>
      </w:r>
      <w:r>
        <w:rPr>
          <w:spacing w:val="8"/>
          <w:w w:val="105"/>
        </w:rPr>
        <w:t>government </w:t>
      </w:r>
      <w:r>
        <w:rPr>
          <w:spacing w:val="4"/>
          <w:w w:val="105"/>
        </w:rPr>
        <w:t>grant </w:t>
      </w:r>
      <w:r>
        <w:rPr>
          <w:spacing w:val="9"/>
          <w:w w:val="105"/>
        </w:rPr>
        <w:t>funds under </w:t>
      </w:r>
      <w:r>
        <w:rPr>
          <w:spacing w:val="2"/>
          <w:w w:val="105"/>
        </w:rPr>
        <w:t>the </w:t>
      </w:r>
      <w:r>
        <w:rPr>
          <w:spacing w:val="6"/>
          <w:w w:val="105"/>
        </w:rPr>
        <w:t>Air </w:t>
      </w:r>
      <w:r>
        <w:rPr>
          <w:spacing w:val="4"/>
          <w:w w:val="105"/>
        </w:rPr>
        <w:t>Stabilization </w:t>
      </w:r>
      <w:r>
        <w:rPr>
          <w:spacing w:val="2"/>
          <w:w w:val="105"/>
        </w:rPr>
        <w:t>Act, </w:t>
      </w:r>
      <w:r>
        <w:rPr>
          <w:spacing w:val="8"/>
          <w:w w:val="105"/>
        </w:rPr>
        <w:t>intended </w:t>
      </w:r>
      <w:r>
        <w:rPr>
          <w:w w:val="105"/>
        </w:rPr>
        <w:t>to </w:t>
      </w:r>
      <w:r>
        <w:rPr>
          <w:spacing w:val="5"/>
          <w:w w:val="105"/>
        </w:rPr>
        <w:t>offset </w:t>
      </w:r>
      <w:r>
        <w:rPr>
          <w:spacing w:val="2"/>
          <w:w w:val="105"/>
        </w:rPr>
        <w:t>the </w:t>
      </w:r>
      <w:r>
        <w:rPr>
          <w:spacing w:val="6"/>
          <w:w w:val="105"/>
        </w:rPr>
        <w:t>Company’s</w:t>
      </w:r>
      <w:r>
        <w:rPr>
          <w:spacing w:val="59"/>
          <w:w w:val="105"/>
        </w:rPr>
        <w:t> </w:t>
      </w:r>
      <w:r>
        <w:rPr>
          <w:spacing w:val="6"/>
          <w:w w:val="105"/>
        </w:rPr>
        <w:t>direct</w:t>
      </w:r>
      <w:r>
        <w:rPr>
          <w:spacing w:val="59"/>
          <w:w w:val="105"/>
        </w:rPr>
        <w:t> </w:t>
      </w:r>
      <w:r>
        <w:rPr>
          <w:spacing w:val="8"/>
          <w:w w:val="105"/>
        </w:rPr>
        <w:t>and </w:t>
      </w:r>
      <w:r>
        <w:rPr>
          <w:spacing w:val="7"/>
          <w:w w:val="105"/>
        </w:rPr>
        <w:t>incremental </w:t>
      </w:r>
      <w:r>
        <w:rPr>
          <w:spacing w:val="3"/>
          <w:w w:val="105"/>
        </w:rPr>
        <w:t>losses </w:t>
      </w:r>
      <w:r>
        <w:rPr>
          <w:spacing w:val="6"/>
          <w:w w:val="105"/>
        </w:rPr>
        <w:t>caused by </w:t>
      </w:r>
      <w:r>
        <w:rPr>
          <w:spacing w:val="2"/>
          <w:w w:val="105"/>
        </w:rPr>
        <w:t>the </w:t>
      </w:r>
      <w:r>
        <w:rPr>
          <w:w w:val="105"/>
        </w:rPr>
        <w:t>terrorist  attacks,  </w:t>
      </w:r>
      <w:r>
        <w:rPr>
          <w:spacing w:val="4"/>
          <w:w w:val="105"/>
        </w:rPr>
        <w:t>through  </w:t>
      </w:r>
      <w:r>
        <w:rPr>
          <w:spacing w:val="2"/>
          <w:w w:val="105"/>
        </w:rPr>
        <w:t>the  </w:t>
      </w:r>
      <w:r>
        <w:rPr>
          <w:spacing w:val="12"/>
          <w:w w:val="105"/>
        </w:rPr>
        <w:t>end </w:t>
      </w:r>
      <w:r>
        <w:rPr>
          <w:spacing w:val="6"/>
          <w:w w:val="105"/>
        </w:rPr>
        <w:t>of </w:t>
      </w:r>
      <w:r>
        <w:rPr>
          <w:w w:val="105"/>
        </w:rPr>
        <w:t>2001. </w:t>
      </w:r>
      <w:r>
        <w:rPr>
          <w:spacing w:val="2"/>
          <w:w w:val="105"/>
        </w:rPr>
        <w:t>See </w:t>
      </w:r>
      <w:r>
        <w:rPr>
          <w:spacing w:val="4"/>
          <w:w w:val="105"/>
        </w:rPr>
        <w:t>Note </w:t>
      </w:r>
      <w:r>
        <w:rPr>
          <w:w w:val="105"/>
        </w:rPr>
        <w:t>3 to </w:t>
      </w:r>
      <w:r>
        <w:rPr>
          <w:spacing w:val="2"/>
          <w:w w:val="105"/>
        </w:rPr>
        <w:t>the </w:t>
      </w:r>
      <w:r>
        <w:rPr>
          <w:spacing w:val="6"/>
          <w:w w:val="105"/>
        </w:rPr>
        <w:t>Company’s </w:t>
      </w:r>
      <w:r>
        <w:rPr>
          <w:spacing w:val="5"/>
          <w:w w:val="105"/>
        </w:rPr>
        <w:t>Consoli- </w:t>
      </w:r>
      <w:r>
        <w:rPr>
          <w:spacing w:val="6"/>
          <w:w w:val="105"/>
        </w:rPr>
        <w:t>dated </w:t>
      </w:r>
      <w:r>
        <w:rPr>
          <w:spacing w:val="8"/>
          <w:w w:val="105"/>
        </w:rPr>
        <w:t>Financial </w:t>
      </w:r>
      <w:r>
        <w:rPr>
          <w:spacing w:val="4"/>
          <w:w w:val="105"/>
        </w:rPr>
        <w:t>Statements for further  </w:t>
      </w:r>
      <w:r>
        <w:rPr>
          <w:spacing w:val="6"/>
          <w:w w:val="105"/>
        </w:rPr>
        <w:t>discussion of </w:t>
      </w:r>
      <w:r>
        <w:rPr>
          <w:spacing w:val="2"/>
          <w:w w:val="105"/>
        </w:rPr>
        <w:t>the </w:t>
      </w:r>
      <w:r>
        <w:rPr>
          <w:spacing w:val="6"/>
          <w:w w:val="105"/>
        </w:rPr>
        <w:t>Air </w:t>
      </w:r>
      <w:r>
        <w:rPr>
          <w:spacing w:val="4"/>
          <w:w w:val="105"/>
        </w:rPr>
        <w:t>Stabilization Act </w:t>
      </w:r>
      <w:r>
        <w:rPr>
          <w:spacing w:val="8"/>
          <w:w w:val="105"/>
        </w:rPr>
        <w:t>and </w:t>
      </w:r>
      <w:r>
        <w:rPr>
          <w:spacing w:val="2"/>
          <w:w w:val="105"/>
        </w:rPr>
        <w:t>grants </w:t>
      </w:r>
      <w:r>
        <w:rPr>
          <w:w w:val="105"/>
        </w:rPr>
        <w:t>from </w:t>
      </w:r>
      <w:r>
        <w:rPr>
          <w:spacing w:val="6"/>
          <w:w w:val="105"/>
        </w:rPr>
        <w:t>the </w:t>
      </w:r>
      <w:r>
        <w:rPr>
          <w:spacing w:val="7"/>
          <w:w w:val="105"/>
        </w:rPr>
        <w:t>government.</w:t>
      </w:r>
    </w:p>
    <w:p>
      <w:pPr>
        <w:pStyle w:val="BodyText"/>
        <w:spacing w:before="4"/>
        <w:rPr>
          <w:sz w:val="21"/>
        </w:rPr>
      </w:pPr>
    </w:p>
    <w:p>
      <w:pPr>
        <w:pStyle w:val="BodyText"/>
        <w:spacing w:line="254" w:lineRule="auto"/>
        <w:ind w:left="100" w:right="14" w:firstLine="180"/>
        <w:jc w:val="both"/>
      </w:pPr>
      <w:r>
        <w:rPr>
          <w:i/>
          <w:w w:val="105"/>
        </w:rPr>
        <w:t>Income Taxes</w:t>
      </w:r>
      <w:r>
        <w:rPr>
          <w:w w:val="105"/>
        </w:rPr>
        <w:t>. The provision for income  taxes, as a percentage of income  before  taxes, decreased  slightly  to  38.24  percent  in  2001 from</w:t>
      </w:r>
    </w:p>
    <w:p>
      <w:pPr>
        <w:pStyle w:val="BodyText"/>
        <w:spacing w:line="254" w:lineRule="auto" w:before="1"/>
        <w:ind w:left="100" w:right="10"/>
        <w:jc w:val="both"/>
      </w:pPr>
      <w:r>
        <w:rPr>
          <w:w w:val="105"/>
        </w:rPr>
        <w:t>38.54 </w:t>
      </w:r>
      <w:r>
        <w:rPr>
          <w:spacing w:val="6"/>
          <w:w w:val="105"/>
        </w:rPr>
        <w:t>percent in</w:t>
      </w:r>
      <w:r>
        <w:rPr>
          <w:spacing w:val="59"/>
          <w:w w:val="105"/>
        </w:rPr>
        <w:t> </w:t>
      </w:r>
      <w:r>
        <w:rPr>
          <w:w w:val="105"/>
        </w:rPr>
        <w:t>2000. </w:t>
      </w:r>
      <w:r>
        <w:rPr>
          <w:spacing w:val="4"/>
          <w:w w:val="105"/>
        </w:rPr>
        <w:t>The </w:t>
      </w:r>
      <w:r>
        <w:rPr>
          <w:spacing w:val="5"/>
          <w:w w:val="105"/>
        </w:rPr>
        <w:t>decrease primarily </w:t>
      </w:r>
      <w:r>
        <w:rPr>
          <w:w w:val="105"/>
        </w:rPr>
        <w:t>resulted from </w:t>
      </w:r>
      <w:r>
        <w:rPr>
          <w:spacing w:val="4"/>
          <w:w w:val="105"/>
        </w:rPr>
        <w:t>lower </w:t>
      </w:r>
      <w:r>
        <w:rPr>
          <w:spacing w:val="5"/>
          <w:w w:val="105"/>
        </w:rPr>
        <w:t>effective </w:t>
      </w:r>
      <w:r>
        <w:rPr>
          <w:w w:val="105"/>
        </w:rPr>
        <w:t>state </w:t>
      </w:r>
      <w:r>
        <w:rPr>
          <w:spacing w:val="2"/>
          <w:w w:val="105"/>
        </w:rPr>
        <w:t>tax </w:t>
      </w:r>
      <w:r>
        <w:rPr>
          <w:spacing w:val="3"/>
          <w:w w:val="105"/>
        </w:rPr>
        <w:t>rates </w:t>
      </w:r>
      <w:r>
        <w:rPr>
          <w:spacing w:val="12"/>
          <w:w w:val="105"/>
        </w:rPr>
        <w:t>in  </w:t>
      </w:r>
      <w:r>
        <w:rPr>
          <w:w w:val="105"/>
        </w:rPr>
        <w:t>2001.</w:t>
      </w:r>
    </w:p>
    <w:p>
      <w:pPr>
        <w:pStyle w:val="BodyText"/>
        <w:spacing w:before="12"/>
        <w:rPr>
          <w:sz w:val="21"/>
        </w:rPr>
      </w:pPr>
    </w:p>
    <w:p>
      <w:pPr>
        <w:pStyle w:val="BodyText"/>
        <w:ind w:left="100"/>
        <w:jc w:val="both"/>
        <w:rPr>
          <w:rFonts w:ascii="Franklin Gothic Medium"/>
        </w:rPr>
      </w:pPr>
      <w:r>
        <w:rPr>
          <w:rFonts w:ascii="Franklin Gothic Medium"/>
        </w:rPr>
        <w:t>Liquidity  and  Capital  Resources</w:t>
      </w:r>
    </w:p>
    <w:p>
      <w:pPr>
        <w:pStyle w:val="BodyText"/>
        <w:spacing w:before="2"/>
        <w:rPr>
          <w:rFonts w:ascii="Franklin Gothic Medium"/>
          <w:sz w:val="25"/>
        </w:rPr>
      </w:pPr>
    </w:p>
    <w:p>
      <w:pPr>
        <w:pStyle w:val="BodyText"/>
        <w:ind w:left="280"/>
      </w:pPr>
      <w:r>
        <w:rPr>
          <w:w w:val="105"/>
        </w:rPr>
        <w:t>Net cash  provided  by  operating  activities  was</w:t>
      </w:r>
    </w:p>
    <w:p>
      <w:pPr>
        <w:pStyle w:val="BodyText"/>
        <w:spacing w:line="254" w:lineRule="auto" w:before="15"/>
        <w:ind w:left="100" w:right="10"/>
        <w:jc w:val="both"/>
      </w:pPr>
      <w:r>
        <w:rPr>
          <w:w w:val="105"/>
        </w:rPr>
        <w:t>$520.2 </w:t>
      </w:r>
      <w:r>
        <w:rPr>
          <w:spacing w:val="5"/>
          <w:w w:val="105"/>
        </w:rPr>
        <w:t>million  </w:t>
      </w:r>
      <w:r>
        <w:rPr>
          <w:spacing w:val="6"/>
          <w:w w:val="105"/>
        </w:rPr>
        <w:t>in  </w:t>
      </w:r>
      <w:r>
        <w:rPr>
          <w:w w:val="105"/>
        </w:rPr>
        <w:t>2002  </w:t>
      </w:r>
      <w:r>
        <w:rPr>
          <w:spacing w:val="8"/>
          <w:w w:val="105"/>
        </w:rPr>
        <w:t>compared  </w:t>
      </w:r>
      <w:r>
        <w:rPr>
          <w:w w:val="105"/>
        </w:rPr>
        <w:t>to  $1.5  </w:t>
      </w:r>
      <w:r>
        <w:rPr>
          <w:spacing w:val="4"/>
          <w:w w:val="105"/>
        </w:rPr>
        <w:t>billion </w:t>
      </w:r>
      <w:r>
        <w:rPr>
          <w:spacing w:val="6"/>
          <w:w w:val="105"/>
        </w:rPr>
        <w:t>in </w:t>
      </w:r>
      <w:r>
        <w:rPr>
          <w:w w:val="105"/>
        </w:rPr>
        <w:t>2001. </w:t>
      </w:r>
      <w:r>
        <w:rPr>
          <w:spacing w:val="4"/>
          <w:w w:val="105"/>
        </w:rPr>
        <w:t>The </w:t>
      </w:r>
      <w:r>
        <w:rPr>
          <w:spacing w:val="5"/>
          <w:w w:val="105"/>
        </w:rPr>
        <w:t>decrease </w:t>
      </w:r>
      <w:r>
        <w:rPr>
          <w:spacing w:val="6"/>
          <w:w w:val="105"/>
        </w:rPr>
        <w:t>in  </w:t>
      </w:r>
      <w:r>
        <w:rPr>
          <w:spacing w:val="7"/>
          <w:w w:val="105"/>
        </w:rPr>
        <w:t>operating  </w:t>
      </w:r>
      <w:r>
        <w:rPr>
          <w:spacing w:val="3"/>
          <w:w w:val="105"/>
        </w:rPr>
        <w:t>cash</w:t>
      </w:r>
      <w:r>
        <w:rPr>
          <w:spacing w:val="53"/>
          <w:w w:val="105"/>
        </w:rPr>
        <w:t> </w:t>
      </w:r>
      <w:r>
        <w:rPr>
          <w:spacing w:val="2"/>
          <w:w w:val="105"/>
        </w:rPr>
        <w:t>flows  </w:t>
      </w:r>
      <w:r>
        <w:rPr>
          <w:spacing w:val="6"/>
          <w:w w:val="105"/>
        </w:rPr>
        <w:t>was </w:t>
      </w:r>
      <w:r>
        <w:rPr>
          <w:spacing w:val="5"/>
          <w:w w:val="105"/>
        </w:rPr>
        <w:t>primarily </w:t>
      </w:r>
      <w:r>
        <w:rPr>
          <w:spacing w:val="8"/>
          <w:w w:val="105"/>
        </w:rPr>
        <w:t>due  </w:t>
      </w:r>
      <w:r>
        <w:rPr>
          <w:w w:val="105"/>
        </w:rPr>
        <w:t>to  </w:t>
      </w:r>
      <w:r>
        <w:rPr>
          <w:spacing w:val="2"/>
          <w:w w:val="105"/>
        </w:rPr>
        <w:t>the  </w:t>
      </w:r>
      <w:r>
        <w:rPr>
          <w:spacing w:val="5"/>
          <w:w w:val="105"/>
        </w:rPr>
        <w:t>decrease  </w:t>
      </w:r>
      <w:r>
        <w:rPr>
          <w:spacing w:val="6"/>
          <w:w w:val="105"/>
        </w:rPr>
        <w:t>in  </w:t>
      </w:r>
      <w:r>
        <w:rPr>
          <w:spacing w:val="8"/>
          <w:w w:val="105"/>
        </w:rPr>
        <w:t>net</w:t>
      </w:r>
      <w:r>
        <w:rPr>
          <w:spacing w:val="-22"/>
          <w:w w:val="105"/>
        </w:rPr>
        <w:t> </w:t>
      </w:r>
      <w:r>
        <w:rPr>
          <w:spacing w:val="9"/>
          <w:w w:val="105"/>
        </w:rPr>
        <w:t>income</w:t>
      </w:r>
    </w:p>
    <w:p>
      <w:pPr>
        <w:pStyle w:val="BodyText"/>
        <w:spacing w:line="254" w:lineRule="auto" w:before="69"/>
        <w:ind w:left="100" w:right="115"/>
        <w:jc w:val="both"/>
      </w:pPr>
      <w:r>
        <w:rPr/>
        <w:br w:type="column"/>
      </w:r>
      <w:r>
        <w:rPr>
          <w:w w:val="105"/>
        </w:rPr>
        <w:t>and the deferral of approximately $186 million in 2001 excise tax payments until January 2002, as provided for in the Air Stabilization  Act.</w:t>
      </w:r>
    </w:p>
    <w:p>
      <w:pPr>
        <w:pStyle w:val="BodyText"/>
        <w:spacing w:line="254" w:lineRule="auto"/>
        <w:ind w:left="100" w:right="119" w:firstLine="180"/>
        <w:jc w:val="both"/>
      </w:pPr>
      <w:r>
        <w:rPr>
          <w:w w:val="105"/>
        </w:rPr>
        <w:t>Cash </w:t>
      </w:r>
      <w:r>
        <w:rPr>
          <w:spacing w:val="2"/>
          <w:w w:val="105"/>
        </w:rPr>
        <w:t>flows  </w:t>
      </w:r>
      <w:r>
        <w:rPr>
          <w:spacing w:val="5"/>
          <w:w w:val="105"/>
        </w:rPr>
        <w:t>used  </w:t>
      </w:r>
      <w:r>
        <w:rPr>
          <w:spacing w:val="6"/>
          <w:w w:val="105"/>
        </w:rPr>
        <w:t>in</w:t>
      </w:r>
      <w:r>
        <w:rPr>
          <w:spacing w:val="59"/>
          <w:w w:val="105"/>
        </w:rPr>
        <w:t> </w:t>
      </w:r>
      <w:r>
        <w:rPr>
          <w:spacing w:val="7"/>
          <w:w w:val="105"/>
        </w:rPr>
        <w:t>investing  </w:t>
      </w:r>
      <w:r>
        <w:rPr>
          <w:spacing w:val="6"/>
          <w:w w:val="105"/>
        </w:rPr>
        <w:t>activities </w:t>
      </w:r>
      <w:r>
        <w:rPr>
          <w:spacing w:val="59"/>
          <w:w w:val="105"/>
        </w:rPr>
        <w:t> </w:t>
      </w:r>
      <w:r>
        <w:rPr>
          <w:spacing w:val="12"/>
          <w:w w:val="105"/>
        </w:rPr>
        <w:t>in  </w:t>
      </w:r>
      <w:r>
        <w:rPr>
          <w:w w:val="105"/>
        </w:rPr>
        <w:t>2002     </w:t>
      </w:r>
      <w:r>
        <w:rPr>
          <w:spacing w:val="2"/>
          <w:w w:val="105"/>
        </w:rPr>
        <w:t>totaled     </w:t>
      </w:r>
      <w:r>
        <w:rPr>
          <w:w w:val="105"/>
        </w:rPr>
        <w:t>$603.1     </w:t>
      </w:r>
      <w:r>
        <w:rPr>
          <w:spacing w:val="5"/>
          <w:w w:val="105"/>
        </w:rPr>
        <w:t>million     </w:t>
      </w:r>
      <w:r>
        <w:rPr>
          <w:spacing w:val="8"/>
          <w:w w:val="105"/>
        </w:rPr>
        <w:t>compared   </w:t>
      </w:r>
      <w:r>
        <w:rPr>
          <w:spacing w:val="37"/>
          <w:w w:val="105"/>
        </w:rPr>
        <w:t> </w:t>
      </w:r>
      <w:r>
        <w:rPr>
          <w:w w:val="105"/>
        </w:rPr>
        <w:t>to</w:t>
      </w:r>
    </w:p>
    <w:p>
      <w:pPr>
        <w:pStyle w:val="BodyText"/>
        <w:spacing w:line="254" w:lineRule="auto"/>
        <w:ind w:left="100" w:right="103"/>
        <w:jc w:val="both"/>
      </w:pPr>
      <w:r>
        <w:rPr>
          <w:w w:val="105"/>
        </w:rPr>
        <w:t>$997.8 </w:t>
      </w:r>
      <w:r>
        <w:rPr>
          <w:spacing w:val="5"/>
          <w:w w:val="105"/>
        </w:rPr>
        <w:t>million </w:t>
      </w:r>
      <w:r>
        <w:rPr>
          <w:spacing w:val="6"/>
          <w:w w:val="105"/>
        </w:rPr>
        <w:t>in</w:t>
      </w:r>
      <w:r>
        <w:rPr>
          <w:spacing w:val="59"/>
          <w:w w:val="105"/>
        </w:rPr>
        <w:t> </w:t>
      </w:r>
      <w:r>
        <w:rPr>
          <w:w w:val="105"/>
        </w:rPr>
        <w:t>2001. </w:t>
      </w:r>
      <w:r>
        <w:rPr>
          <w:spacing w:val="6"/>
          <w:w w:val="105"/>
        </w:rPr>
        <w:t>Investing </w:t>
      </w:r>
      <w:r>
        <w:rPr>
          <w:spacing w:val="59"/>
          <w:w w:val="105"/>
        </w:rPr>
        <w:t> </w:t>
      </w:r>
      <w:r>
        <w:rPr>
          <w:spacing w:val="6"/>
          <w:w w:val="105"/>
        </w:rPr>
        <w:t>activities </w:t>
      </w:r>
      <w:r>
        <w:rPr>
          <w:spacing w:val="59"/>
          <w:w w:val="105"/>
        </w:rPr>
        <w:t> </w:t>
      </w:r>
      <w:r>
        <w:rPr>
          <w:spacing w:val="12"/>
          <w:w w:val="105"/>
        </w:rPr>
        <w:t>in </w:t>
      </w:r>
      <w:r>
        <w:rPr>
          <w:spacing w:val="5"/>
          <w:w w:val="105"/>
        </w:rPr>
        <w:t>both </w:t>
      </w:r>
      <w:r>
        <w:rPr>
          <w:spacing w:val="3"/>
          <w:w w:val="105"/>
        </w:rPr>
        <w:t>years </w:t>
      </w:r>
      <w:r>
        <w:rPr>
          <w:spacing w:val="4"/>
          <w:w w:val="105"/>
        </w:rPr>
        <w:t>consisted </w:t>
      </w:r>
      <w:r>
        <w:rPr>
          <w:spacing w:val="5"/>
          <w:w w:val="105"/>
        </w:rPr>
        <w:t>primarily </w:t>
      </w:r>
      <w:r>
        <w:rPr>
          <w:spacing w:val="6"/>
          <w:w w:val="105"/>
        </w:rPr>
        <w:t>of </w:t>
      </w:r>
      <w:r>
        <w:rPr>
          <w:spacing w:val="7"/>
          <w:w w:val="105"/>
        </w:rPr>
        <w:t>payments </w:t>
      </w:r>
      <w:r>
        <w:rPr>
          <w:spacing w:val="8"/>
          <w:w w:val="105"/>
        </w:rPr>
        <w:t>for  new </w:t>
      </w:r>
      <w:r>
        <w:rPr>
          <w:w w:val="105"/>
        </w:rPr>
        <w:t>737-700 </w:t>
      </w:r>
      <w:r>
        <w:rPr>
          <w:spacing w:val="4"/>
          <w:w w:val="105"/>
        </w:rPr>
        <w:t>aircraft </w:t>
      </w:r>
      <w:r>
        <w:rPr>
          <w:spacing w:val="6"/>
          <w:w w:val="105"/>
        </w:rPr>
        <w:t>delivered </w:t>
      </w:r>
      <w:r>
        <w:rPr>
          <w:w w:val="105"/>
        </w:rPr>
        <w:t>to </w:t>
      </w:r>
      <w:r>
        <w:rPr>
          <w:spacing w:val="2"/>
          <w:w w:val="105"/>
        </w:rPr>
        <w:t>the  </w:t>
      </w:r>
      <w:r>
        <w:rPr>
          <w:spacing w:val="10"/>
          <w:w w:val="105"/>
        </w:rPr>
        <w:t>Company </w:t>
      </w:r>
      <w:r>
        <w:rPr>
          <w:spacing w:val="8"/>
          <w:w w:val="105"/>
        </w:rPr>
        <w:t>and </w:t>
      </w:r>
      <w:r>
        <w:rPr>
          <w:spacing w:val="3"/>
          <w:w w:val="105"/>
        </w:rPr>
        <w:t>progress </w:t>
      </w:r>
      <w:r>
        <w:rPr>
          <w:spacing w:val="7"/>
          <w:w w:val="105"/>
        </w:rPr>
        <w:t>payments </w:t>
      </w:r>
      <w:r>
        <w:rPr>
          <w:spacing w:val="4"/>
          <w:w w:val="105"/>
        </w:rPr>
        <w:t>for </w:t>
      </w:r>
      <w:r>
        <w:rPr>
          <w:spacing w:val="2"/>
          <w:w w:val="105"/>
        </w:rPr>
        <w:t>future </w:t>
      </w:r>
      <w:r>
        <w:rPr>
          <w:spacing w:val="4"/>
          <w:w w:val="105"/>
        </w:rPr>
        <w:t>aircraft </w:t>
      </w:r>
      <w:r>
        <w:rPr>
          <w:spacing w:val="6"/>
          <w:w w:val="105"/>
        </w:rPr>
        <w:t>deliveries. </w:t>
      </w:r>
      <w:r>
        <w:rPr>
          <w:spacing w:val="4"/>
          <w:w w:val="105"/>
        </w:rPr>
        <w:t>Of </w:t>
      </w:r>
      <w:r>
        <w:rPr>
          <w:spacing w:val="2"/>
          <w:w w:val="105"/>
        </w:rPr>
        <w:t>the </w:t>
      </w:r>
      <w:r>
        <w:rPr>
          <w:w w:val="105"/>
        </w:rPr>
        <w:t>23 </w:t>
      </w:r>
      <w:r>
        <w:rPr>
          <w:spacing w:val="8"/>
          <w:w w:val="105"/>
        </w:rPr>
        <w:t>new  </w:t>
      </w:r>
      <w:r>
        <w:rPr>
          <w:spacing w:val="4"/>
          <w:w w:val="105"/>
        </w:rPr>
        <w:t>aircraft  </w:t>
      </w:r>
      <w:r>
        <w:rPr>
          <w:spacing w:val="2"/>
          <w:w w:val="105"/>
        </w:rPr>
        <w:t>the  </w:t>
      </w:r>
      <w:r>
        <w:rPr>
          <w:spacing w:val="10"/>
          <w:w w:val="105"/>
        </w:rPr>
        <w:t>Company </w:t>
      </w:r>
      <w:r>
        <w:rPr>
          <w:spacing w:val="8"/>
          <w:w w:val="105"/>
        </w:rPr>
        <w:t>put </w:t>
      </w:r>
      <w:r>
        <w:rPr>
          <w:spacing w:val="5"/>
          <w:w w:val="105"/>
        </w:rPr>
        <w:t>into </w:t>
      </w:r>
      <w:r>
        <w:rPr>
          <w:spacing w:val="4"/>
          <w:w w:val="105"/>
        </w:rPr>
        <w:t>service </w:t>
      </w:r>
      <w:r>
        <w:rPr>
          <w:spacing w:val="7"/>
          <w:w w:val="105"/>
        </w:rPr>
        <w:t>during </w:t>
      </w:r>
      <w:r>
        <w:rPr>
          <w:w w:val="105"/>
        </w:rPr>
        <w:t>2002, 11  </w:t>
      </w:r>
      <w:r>
        <w:rPr>
          <w:spacing w:val="4"/>
          <w:w w:val="105"/>
        </w:rPr>
        <w:t>were  </w:t>
      </w:r>
      <w:r>
        <w:rPr>
          <w:spacing w:val="5"/>
          <w:w w:val="105"/>
        </w:rPr>
        <w:t>recorded  </w:t>
      </w:r>
      <w:r>
        <w:rPr>
          <w:spacing w:val="4"/>
          <w:w w:val="105"/>
        </w:rPr>
        <w:t>(on </w:t>
      </w:r>
      <w:r>
        <w:rPr>
          <w:spacing w:val="2"/>
          <w:w w:val="105"/>
        </w:rPr>
        <w:t>the </w:t>
      </w:r>
      <w:r>
        <w:rPr>
          <w:spacing w:val="5"/>
          <w:w w:val="105"/>
        </w:rPr>
        <w:t>Consolidated Statement  </w:t>
      </w:r>
      <w:r>
        <w:rPr>
          <w:spacing w:val="6"/>
          <w:w w:val="105"/>
        </w:rPr>
        <w:t>of  </w:t>
      </w:r>
      <w:r>
        <w:rPr>
          <w:w w:val="105"/>
        </w:rPr>
        <w:t>Cash  </w:t>
      </w:r>
      <w:r>
        <w:rPr>
          <w:spacing w:val="3"/>
          <w:w w:val="105"/>
        </w:rPr>
        <w:t>Flows  </w:t>
      </w:r>
      <w:r>
        <w:rPr>
          <w:spacing w:val="8"/>
          <w:w w:val="105"/>
        </w:rPr>
        <w:t>and </w:t>
      </w:r>
      <w:r>
        <w:rPr>
          <w:spacing w:val="6"/>
          <w:w w:val="105"/>
        </w:rPr>
        <w:t>on </w:t>
      </w:r>
      <w:r>
        <w:rPr>
          <w:spacing w:val="2"/>
          <w:w w:val="105"/>
        </w:rPr>
        <w:t>the </w:t>
      </w:r>
      <w:r>
        <w:rPr>
          <w:spacing w:val="5"/>
          <w:w w:val="105"/>
        </w:rPr>
        <w:t>Consolidated </w:t>
      </w:r>
      <w:r>
        <w:rPr>
          <w:spacing w:val="4"/>
          <w:w w:val="105"/>
        </w:rPr>
        <w:t>Balance Sheet)  through </w:t>
      </w:r>
      <w:r>
        <w:rPr>
          <w:spacing w:val="2"/>
          <w:w w:val="105"/>
        </w:rPr>
        <w:t>the </w:t>
      </w:r>
      <w:r>
        <w:rPr>
          <w:spacing w:val="6"/>
          <w:w w:val="105"/>
        </w:rPr>
        <w:t>consolidation of </w:t>
      </w:r>
      <w:r>
        <w:rPr>
          <w:w w:val="105"/>
        </w:rPr>
        <w:t>a </w:t>
      </w:r>
      <w:r>
        <w:rPr>
          <w:spacing w:val="6"/>
          <w:w w:val="105"/>
        </w:rPr>
        <w:t>special </w:t>
      </w:r>
      <w:r>
        <w:rPr>
          <w:spacing w:val="5"/>
          <w:w w:val="105"/>
        </w:rPr>
        <w:t>purpose </w:t>
      </w:r>
      <w:r>
        <w:rPr>
          <w:w w:val="105"/>
        </w:rPr>
        <w:t>trust </w:t>
      </w:r>
      <w:r>
        <w:rPr>
          <w:spacing w:val="5"/>
          <w:w w:val="105"/>
        </w:rPr>
        <w:t>(the </w:t>
      </w:r>
      <w:r>
        <w:rPr>
          <w:w w:val="105"/>
        </w:rPr>
        <w:t>Trust) </w:t>
      </w:r>
      <w:r>
        <w:rPr>
          <w:spacing w:val="7"/>
          <w:w w:val="105"/>
        </w:rPr>
        <w:t>during </w:t>
      </w:r>
      <w:r>
        <w:rPr>
          <w:w w:val="105"/>
        </w:rPr>
        <w:t>2001. </w:t>
      </w:r>
      <w:r>
        <w:rPr>
          <w:spacing w:val="2"/>
          <w:w w:val="105"/>
        </w:rPr>
        <w:t>See </w:t>
      </w:r>
      <w:r>
        <w:rPr>
          <w:spacing w:val="4"/>
          <w:w w:val="105"/>
        </w:rPr>
        <w:t>Note </w:t>
      </w:r>
      <w:r>
        <w:rPr>
          <w:w w:val="105"/>
        </w:rPr>
        <w:t>4 to  </w:t>
      </w:r>
      <w:r>
        <w:rPr>
          <w:spacing w:val="2"/>
          <w:w w:val="105"/>
        </w:rPr>
        <w:t>the  </w:t>
      </w:r>
      <w:r>
        <w:rPr>
          <w:spacing w:val="4"/>
          <w:w w:val="105"/>
        </w:rPr>
        <w:t>Consoli- </w:t>
      </w:r>
      <w:r>
        <w:rPr>
          <w:spacing w:val="6"/>
          <w:w w:val="105"/>
        </w:rPr>
        <w:t>dated </w:t>
      </w:r>
      <w:r>
        <w:rPr>
          <w:spacing w:val="8"/>
          <w:w w:val="105"/>
        </w:rPr>
        <w:t>Financial </w:t>
      </w:r>
      <w:r>
        <w:rPr>
          <w:spacing w:val="4"/>
          <w:w w:val="105"/>
        </w:rPr>
        <w:t>Statements for </w:t>
      </w:r>
      <w:r>
        <w:rPr>
          <w:spacing w:val="6"/>
          <w:w w:val="105"/>
        </w:rPr>
        <w:t>more </w:t>
      </w:r>
      <w:r>
        <w:rPr>
          <w:spacing w:val="8"/>
          <w:w w:val="105"/>
        </w:rPr>
        <w:t>information </w:t>
      </w:r>
      <w:r>
        <w:rPr>
          <w:spacing w:val="6"/>
          <w:w w:val="105"/>
        </w:rPr>
        <w:t>on </w:t>
      </w:r>
      <w:r>
        <w:rPr>
          <w:spacing w:val="2"/>
          <w:w w:val="105"/>
        </w:rPr>
        <w:t>the </w:t>
      </w:r>
      <w:r>
        <w:rPr>
          <w:w w:val="105"/>
        </w:rPr>
        <w:t>Trust. A </w:t>
      </w:r>
      <w:r>
        <w:rPr>
          <w:spacing w:val="3"/>
          <w:w w:val="105"/>
        </w:rPr>
        <w:t>total </w:t>
      </w:r>
      <w:r>
        <w:rPr>
          <w:spacing w:val="6"/>
          <w:w w:val="105"/>
        </w:rPr>
        <w:t>of </w:t>
      </w:r>
      <w:r>
        <w:rPr>
          <w:spacing w:val="7"/>
          <w:w w:val="105"/>
        </w:rPr>
        <w:t>eight </w:t>
      </w:r>
      <w:r>
        <w:rPr>
          <w:spacing w:val="8"/>
          <w:w w:val="105"/>
        </w:rPr>
        <w:t>new </w:t>
      </w:r>
      <w:r>
        <w:rPr>
          <w:w w:val="105"/>
        </w:rPr>
        <w:t>737-700 </w:t>
      </w:r>
      <w:r>
        <w:rPr>
          <w:spacing w:val="4"/>
          <w:w w:val="105"/>
        </w:rPr>
        <w:t>aircraft were </w:t>
      </w:r>
      <w:r>
        <w:rPr>
          <w:spacing w:val="5"/>
          <w:w w:val="105"/>
        </w:rPr>
        <w:t>recorded </w:t>
      </w:r>
      <w:r>
        <w:rPr>
          <w:spacing w:val="4"/>
          <w:w w:val="105"/>
        </w:rPr>
        <w:t>through </w:t>
      </w:r>
      <w:r>
        <w:rPr>
          <w:spacing w:val="6"/>
          <w:w w:val="105"/>
        </w:rPr>
        <w:t>consolidation of </w:t>
      </w:r>
      <w:r>
        <w:rPr>
          <w:spacing w:val="2"/>
          <w:w w:val="105"/>
        </w:rPr>
        <w:t>the </w:t>
      </w:r>
      <w:r>
        <w:rPr>
          <w:w w:val="105"/>
        </w:rPr>
        <w:t>Trust </w:t>
      </w:r>
      <w:r>
        <w:rPr>
          <w:spacing w:val="7"/>
          <w:w w:val="105"/>
        </w:rPr>
        <w:t>during </w:t>
      </w:r>
      <w:r>
        <w:rPr>
          <w:w w:val="105"/>
        </w:rPr>
        <w:t>2002. </w:t>
      </w:r>
      <w:r>
        <w:rPr>
          <w:spacing w:val="4"/>
          <w:w w:val="105"/>
        </w:rPr>
        <w:t>The </w:t>
      </w:r>
      <w:r>
        <w:rPr>
          <w:spacing w:val="9"/>
          <w:w w:val="105"/>
        </w:rPr>
        <w:t>remaining </w:t>
      </w:r>
      <w:r>
        <w:rPr>
          <w:spacing w:val="6"/>
          <w:w w:val="105"/>
        </w:rPr>
        <w:t>four </w:t>
      </w:r>
      <w:r>
        <w:rPr>
          <w:spacing w:val="8"/>
          <w:w w:val="105"/>
        </w:rPr>
        <w:t>new </w:t>
      </w:r>
      <w:r>
        <w:rPr>
          <w:w w:val="105"/>
        </w:rPr>
        <w:t>737-700 </w:t>
      </w:r>
      <w:r>
        <w:rPr>
          <w:spacing w:val="4"/>
          <w:w w:val="105"/>
        </w:rPr>
        <w:t>aircraft </w:t>
      </w:r>
      <w:r>
        <w:rPr>
          <w:spacing w:val="5"/>
          <w:w w:val="105"/>
        </w:rPr>
        <w:t>deliver-ed </w:t>
      </w:r>
      <w:r>
        <w:rPr>
          <w:w w:val="105"/>
        </w:rPr>
        <w:t>to </w:t>
      </w:r>
      <w:r>
        <w:rPr>
          <w:spacing w:val="2"/>
          <w:w w:val="105"/>
        </w:rPr>
        <w:t>the </w:t>
      </w:r>
      <w:r>
        <w:rPr>
          <w:spacing w:val="8"/>
          <w:w w:val="105"/>
        </w:rPr>
        <w:t>Company </w:t>
      </w:r>
      <w:r>
        <w:rPr>
          <w:spacing w:val="6"/>
          <w:w w:val="105"/>
        </w:rPr>
        <w:t>in </w:t>
      </w:r>
      <w:r>
        <w:rPr>
          <w:w w:val="105"/>
        </w:rPr>
        <w:t>2002 </w:t>
      </w:r>
      <w:r>
        <w:rPr>
          <w:spacing w:val="4"/>
          <w:w w:val="105"/>
        </w:rPr>
        <w:t>were </w:t>
      </w:r>
      <w:r>
        <w:rPr>
          <w:spacing w:val="6"/>
          <w:w w:val="105"/>
        </w:rPr>
        <w:t>purchased </w:t>
      </w:r>
      <w:r>
        <w:rPr>
          <w:spacing w:val="3"/>
          <w:w w:val="105"/>
        </w:rPr>
        <w:t>directly </w:t>
      </w:r>
      <w:r>
        <w:rPr>
          <w:w w:val="105"/>
        </w:rPr>
        <w:t>from </w:t>
      </w:r>
      <w:r>
        <w:rPr>
          <w:spacing w:val="6"/>
          <w:w w:val="105"/>
        </w:rPr>
        <w:t>Boeing. </w:t>
      </w:r>
      <w:r>
        <w:rPr>
          <w:spacing w:val="4"/>
          <w:w w:val="105"/>
        </w:rPr>
        <w:t>The </w:t>
      </w:r>
      <w:r>
        <w:rPr>
          <w:w w:val="105"/>
        </w:rPr>
        <w:t>Trust </w:t>
      </w:r>
      <w:r>
        <w:rPr>
          <w:spacing w:val="10"/>
          <w:w w:val="105"/>
        </w:rPr>
        <w:t>was </w:t>
      </w:r>
      <w:r>
        <w:rPr>
          <w:spacing w:val="4"/>
          <w:w w:val="105"/>
        </w:rPr>
        <w:t>dissolved  </w:t>
      </w:r>
      <w:r>
        <w:rPr>
          <w:spacing w:val="6"/>
          <w:w w:val="105"/>
        </w:rPr>
        <w:t>prior </w:t>
      </w:r>
      <w:r>
        <w:rPr>
          <w:w w:val="105"/>
        </w:rPr>
        <w:t>to  </w:t>
      </w:r>
      <w:r>
        <w:rPr>
          <w:spacing w:val="9"/>
          <w:w w:val="105"/>
        </w:rPr>
        <w:t>December </w:t>
      </w:r>
      <w:r>
        <w:rPr>
          <w:w w:val="105"/>
        </w:rPr>
        <w:t>31, </w:t>
      </w:r>
      <w:r>
        <w:rPr>
          <w:spacing w:val="20"/>
          <w:w w:val="105"/>
        </w:rPr>
        <w:t> </w:t>
      </w:r>
      <w:r>
        <w:rPr>
          <w:w w:val="105"/>
        </w:rPr>
        <w:t>2002.</w:t>
      </w:r>
    </w:p>
    <w:p>
      <w:pPr>
        <w:pStyle w:val="BodyText"/>
        <w:ind w:left="280"/>
      </w:pPr>
      <w:r>
        <w:rPr>
          <w:spacing w:val="6"/>
          <w:w w:val="105"/>
        </w:rPr>
        <w:t>Net </w:t>
      </w:r>
      <w:r>
        <w:rPr>
          <w:spacing w:val="59"/>
          <w:w w:val="105"/>
        </w:rPr>
        <w:t> </w:t>
      </w:r>
      <w:r>
        <w:rPr>
          <w:spacing w:val="3"/>
          <w:w w:val="105"/>
        </w:rPr>
        <w:t>cash    </w:t>
      </w:r>
      <w:r>
        <w:rPr>
          <w:spacing w:val="5"/>
          <w:w w:val="105"/>
        </w:rPr>
        <w:t>used    </w:t>
      </w:r>
      <w:r>
        <w:rPr>
          <w:spacing w:val="6"/>
          <w:w w:val="105"/>
        </w:rPr>
        <w:t>in    </w:t>
      </w:r>
      <w:r>
        <w:rPr>
          <w:spacing w:val="8"/>
          <w:w w:val="105"/>
        </w:rPr>
        <w:t>financing   </w:t>
      </w:r>
      <w:r>
        <w:rPr>
          <w:spacing w:val="6"/>
          <w:w w:val="105"/>
        </w:rPr>
        <w:t>activities  </w:t>
      </w:r>
      <w:r>
        <w:rPr>
          <w:spacing w:val="10"/>
          <w:w w:val="105"/>
        </w:rPr>
        <w:t>was</w:t>
      </w:r>
    </w:p>
    <w:p>
      <w:pPr>
        <w:pStyle w:val="BodyText"/>
        <w:spacing w:line="254" w:lineRule="auto" w:before="15"/>
        <w:ind w:left="100" w:right="103"/>
        <w:jc w:val="both"/>
      </w:pPr>
      <w:r>
        <w:rPr>
          <w:w w:val="105"/>
        </w:rPr>
        <w:t>$381.7 </w:t>
      </w:r>
      <w:r>
        <w:rPr>
          <w:spacing w:val="5"/>
          <w:w w:val="105"/>
        </w:rPr>
        <w:t>million </w:t>
      </w:r>
      <w:r>
        <w:rPr>
          <w:spacing w:val="6"/>
          <w:w w:val="105"/>
        </w:rPr>
        <w:t>in </w:t>
      </w:r>
      <w:r>
        <w:rPr>
          <w:w w:val="105"/>
        </w:rPr>
        <w:t>2002 </w:t>
      </w:r>
      <w:r>
        <w:rPr>
          <w:spacing w:val="8"/>
          <w:w w:val="105"/>
        </w:rPr>
        <w:t>compared</w:t>
      </w:r>
      <w:r>
        <w:rPr>
          <w:spacing w:val="63"/>
          <w:w w:val="105"/>
        </w:rPr>
        <w:t> </w:t>
      </w:r>
      <w:r>
        <w:rPr>
          <w:w w:val="105"/>
        </w:rPr>
        <w:t>to  </w:t>
      </w:r>
      <w:r>
        <w:rPr>
          <w:spacing w:val="3"/>
          <w:w w:val="105"/>
        </w:rPr>
        <w:t>cash </w:t>
      </w:r>
      <w:r>
        <w:rPr>
          <w:spacing w:val="5"/>
          <w:w w:val="105"/>
        </w:rPr>
        <w:t>generated </w:t>
      </w:r>
      <w:r>
        <w:rPr>
          <w:spacing w:val="6"/>
          <w:w w:val="105"/>
        </w:rPr>
        <w:t>by </w:t>
      </w:r>
      <w:r>
        <w:rPr>
          <w:spacing w:val="8"/>
          <w:w w:val="105"/>
        </w:rPr>
        <w:t>financing </w:t>
      </w:r>
      <w:r>
        <w:rPr>
          <w:spacing w:val="6"/>
          <w:w w:val="105"/>
        </w:rPr>
        <w:t>activities of </w:t>
      </w:r>
      <w:r>
        <w:rPr>
          <w:w w:val="105"/>
        </w:rPr>
        <w:t>$1.3 </w:t>
      </w:r>
      <w:r>
        <w:rPr>
          <w:spacing w:val="4"/>
          <w:w w:val="105"/>
        </w:rPr>
        <w:t>billion </w:t>
      </w:r>
      <w:r>
        <w:rPr>
          <w:spacing w:val="12"/>
          <w:w w:val="105"/>
        </w:rPr>
        <w:t>in </w:t>
      </w:r>
      <w:r>
        <w:rPr>
          <w:w w:val="105"/>
        </w:rPr>
        <w:t>2001. Cash </w:t>
      </w:r>
      <w:r>
        <w:rPr>
          <w:spacing w:val="5"/>
          <w:w w:val="105"/>
        </w:rPr>
        <w:t>used </w:t>
      </w:r>
      <w:r>
        <w:rPr>
          <w:spacing w:val="6"/>
          <w:w w:val="105"/>
        </w:rPr>
        <w:t>in</w:t>
      </w:r>
      <w:r>
        <w:rPr>
          <w:spacing w:val="59"/>
          <w:w w:val="105"/>
        </w:rPr>
        <w:t> </w:t>
      </w:r>
      <w:r>
        <w:rPr>
          <w:spacing w:val="8"/>
          <w:w w:val="105"/>
        </w:rPr>
        <w:t>financing </w:t>
      </w:r>
      <w:r>
        <w:rPr>
          <w:spacing w:val="6"/>
          <w:w w:val="105"/>
        </w:rPr>
        <w:t>activities </w:t>
      </w:r>
      <w:r>
        <w:rPr>
          <w:spacing w:val="9"/>
          <w:w w:val="105"/>
        </w:rPr>
        <w:t>during  </w:t>
      </w:r>
      <w:r>
        <w:rPr>
          <w:w w:val="105"/>
        </w:rPr>
        <w:t>2002 </w:t>
      </w:r>
      <w:r>
        <w:rPr>
          <w:spacing w:val="6"/>
          <w:w w:val="105"/>
        </w:rPr>
        <w:t>was </w:t>
      </w:r>
      <w:r>
        <w:rPr>
          <w:spacing w:val="5"/>
          <w:w w:val="105"/>
        </w:rPr>
        <w:t>primarily </w:t>
      </w:r>
      <w:r>
        <w:rPr>
          <w:spacing w:val="4"/>
          <w:w w:val="105"/>
        </w:rPr>
        <w:t>for </w:t>
      </w:r>
      <w:r>
        <w:rPr>
          <w:spacing w:val="2"/>
          <w:w w:val="105"/>
        </w:rPr>
        <w:t>the </w:t>
      </w:r>
      <w:r>
        <w:rPr>
          <w:spacing w:val="7"/>
          <w:w w:val="105"/>
        </w:rPr>
        <w:t>repayment </w:t>
      </w:r>
      <w:r>
        <w:rPr>
          <w:spacing w:val="6"/>
          <w:w w:val="105"/>
        </w:rPr>
        <w:t>of</w:t>
      </w:r>
      <w:r>
        <w:rPr>
          <w:spacing w:val="59"/>
          <w:w w:val="105"/>
        </w:rPr>
        <w:t> </w:t>
      </w:r>
      <w:r>
        <w:rPr>
          <w:spacing w:val="6"/>
          <w:w w:val="105"/>
        </w:rPr>
        <w:t>the Company’s </w:t>
      </w:r>
      <w:r>
        <w:rPr>
          <w:w w:val="105"/>
        </w:rPr>
        <w:t>$475 </w:t>
      </w:r>
      <w:r>
        <w:rPr>
          <w:spacing w:val="5"/>
          <w:w w:val="105"/>
        </w:rPr>
        <w:t>million </w:t>
      </w:r>
      <w:r>
        <w:rPr>
          <w:spacing w:val="6"/>
          <w:w w:val="105"/>
        </w:rPr>
        <w:t>revolving credit  </w:t>
      </w:r>
      <w:r>
        <w:rPr>
          <w:spacing w:val="3"/>
          <w:w w:val="105"/>
        </w:rPr>
        <w:t>facility </w:t>
      </w:r>
      <w:r>
        <w:rPr>
          <w:spacing w:val="5"/>
          <w:w w:val="105"/>
        </w:rPr>
        <w:t>that </w:t>
      </w:r>
      <w:r>
        <w:rPr>
          <w:spacing w:val="2"/>
          <w:w w:val="105"/>
        </w:rPr>
        <w:t>the </w:t>
      </w:r>
      <w:r>
        <w:rPr>
          <w:spacing w:val="8"/>
          <w:w w:val="105"/>
        </w:rPr>
        <w:t>Company </w:t>
      </w:r>
      <w:r>
        <w:rPr>
          <w:spacing w:val="5"/>
          <w:w w:val="105"/>
        </w:rPr>
        <w:t>drew </w:t>
      </w:r>
      <w:r>
        <w:rPr>
          <w:spacing w:val="8"/>
          <w:w w:val="105"/>
        </w:rPr>
        <w:t>down </w:t>
      </w:r>
      <w:r>
        <w:rPr>
          <w:spacing w:val="6"/>
          <w:w w:val="105"/>
        </w:rPr>
        <w:t>in </w:t>
      </w:r>
      <w:r>
        <w:rPr>
          <w:spacing w:val="7"/>
          <w:w w:val="105"/>
        </w:rPr>
        <w:t>September </w:t>
      </w:r>
      <w:r>
        <w:rPr>
          <w:w w:val="105"/>
        </w:rPr>
        <w:t>2001 </w:t>
      </w:r>
      <w:r>
        <w:rPr>
          <w:spacing w:val="8"/>
          <w:w w:val="105"/>
        </w:rPr>
        <w:t>and </w:t>
      </w:r>
      <w:r>
        <w:rPr>
          <w:spacing w:val="4"/>
          <w:w w:val="105"/>
        </w:rPr>
        <w:t>for </w:t>
      </w:r>
      <w:r>
        <w:rPr>
          <w:spacing w:val="2"/>
          <w:w w:val="105"/>
        </w:rPr>
        <w:t>the </w:t>
      </w:r>
      <w:r>
        <w:rPr>
          <w:spacing w:val="7"/>
          <w:w w:val="105"/>
        </w:rPr>
        <w:t>repayment </w:t>
      </w:r>
      <w:r>
        <w:rPr>
          <w:spacing w:val="6"/>
          <w:w w:val="105"/>
        </w:rPr>
        <w:t>of </w:t>
      </w:r>
      <w:r>
        <w:rPr>
          <w:spacing w:val="2"/>
          <w:w w:val="105"/>
        </w:rPr>
        <w:t>the </w:t>
      </w:r>
      <w:r>
        <w:rPr>
          <w:w w:val="105"/>
        </w:rPr>
        <w:t>Trust. </w:t>
      </w:r>
      <w:r>
        <w:rPr>
          <w:spacing w:val="4"/>
          <w:w w:val="105"/>
        </w:rPr>
        <w:t>These </w:t>
      </w:r>
      <w:r>
        <w:rPr>
          <w:spacing w:val="8"/>
          <w:w w:val="105"/>
        </w:rPr>
        <w:t>uses </w:t>
      </w:r>
      <w:r>
        <w:rPr>
          <w:spacing w:val="4"/>
          <w:w w:val="105"/>
        </w:rPr>
        <w:t>were </w:t>
      </w:r>
      <w:r>
        <w:rPr>
          <w:spacing w:val="2"/>
          <w:w w:val="105"/>
        </w:rPr>
        <w:t>partially </w:t>
      </w:r>
      <w:r>
        <w:rPr>
          <w:spacing w:val="3"/>
          <w:w w:val="105"/>
        </w:rPr>
        <w:t>offset </w:t>
      </w:r>
      <w:r>
        <w:rPr>
          <w:spacing w:val="6"/>
          <w:w w:val="105"/>
        </w:rPr>
        <w:t>by </w:t>
      </w:r>
      <w:r>
        <w:rPr>
          <w:spacing w:val="3"/>
          <w:w w:val="105"/>
        </w:rPr>
        <w:t>cash </w:t>
      </w:r>
      <w:r>
        <w:rPr>
          <w:spacing w:val="5"/>
          <w:w w:val="105"/>
        </w:rPr>
        <w:t>generated </w:t>
      </w:r>
      <w:r>
        <w:rPr>
          <w:w w:val="105"/>
        </w:rPr>
        <w:t>from </w:t>
      </w:r>
      <w:r>
        <w:rPr>
          <w:spacing w:val="6"/>
          <w:w w:val="105"/>
        </w:rPr>
        <w:t>the </w:t>
      </w:r>
      <w:r>
        <w:rPr>
          <w:spacing w:val="5"/>
          <w:w w:val="105"/>
        </w:rPr>
        <w:t>issuance </w:t>
      </w:r>
      <w:r>
        <w:rPr>
          <w:spacing w:val="6"/>
          <w:w w:val="105"/>
        </w:rPr>
        <w:t>of </w:t>
      </w:r>
      <w:r>
        <w:rPr>
          <w:w w:val="105"/>
        </w:rPr>
        <w:t>$385 </w:t>
      </w:r>
      <w:r>
        <w:rPr>
          <w:spacing w:val="5"/>
          <w:w w:val="105"/>
        </w:rPr>
        <w:t>million </w:t>
      </w:r>
      <w:r>
        <w:rPr>
          <w:spacing w:val="6"/>
          <w:w w:val="105"/>
        </w:rPr>
        <w:t>in unsecured notes </w:t>
      </w:r>
      <w:r>
        <w:rPr>
          <w:spacing w:val="12"/>
          <w:w w:val="105"/>
        </w:rPr>
        <w:t>in </w:t>
      </w:r>
      <w:r>
        <w:rPr>
          <w:spacing w:val="5"/>
          <w:w w:val="105"/>
        </w:rPr>
        <w:t>March </w:t>
      </w:r>
      <w:r>
        <w:rPr>
          <w:w w:val="105"/>
        </w:rPr>
        <w:t>2002. </w:t>
      </w:r>
      <w:r>
        <w:rPr>
          <w:spacing w:val="8"/>
          <w:w w:val="105"/>
        </w:rPr>
        <w:t>Financing </w:t>
      </w:r>
      <w:r>
        <w:rPr>
          <w:spacing w:val="3"/>
          <w:w w:val="105"/>
        </w:rPr>
        <w:t>cash </w:t>
      </w:r>
      <w:r>
        <w:rPr>
          <w:spacing w:val="2"/>
          <w:w w:val="105"/>
        </w:rPr>
        <w:t>flows </w:t>
      </w:r>
      <w:r>
        <w:rPr>
          <w:spacing w:val="6"/>
          <w:w w:val="105"/>
        </w:rPr>
        <w:t>in </w:t>
      </w:r>
      <w:r>
        <w:rPr>
          <w:w w:val="105"/>
        </w:rPr>
        <w:t>2001 </w:t>
      </w:r>
      <w:r>
        <w:rPr>
          <w:spacing w:val="4"/>
          <w:w w:val="105"/>
        </w:rPr>
        <w:t>were </w:t>
      </w:r>
      <w:r>
        <w:rPr>
          <w:spacing w:val="5"/>
          <w:w w:val="105"/>
        </w:rPr>
        <w:t>generated </w:t>
      </w:r>
      <w:r>
        <w:rPr>
          <w:w w:val="105"/>
        </w:rPr>
        <w:t>from </w:t>
      </w:r>
      <w:r>
        <w:rPr>
          <w:spacing w:val="6"/>
          <w:w w:val="105"/>
        </w:rPr>
        <w:t>borrowings </w:t>
      </w:r>
      <w:r>
        <w:rPr>
          <w:spacing w:val="2"/>
          <w:w w:val="105"/>
        </w:rPr>
        <w:t>the </w:t>
      </w:r>
      <w:r>
        <w:rPr>
          <w:spacing w:val="8"/>
          <w:w w:val="105"/>
        </w:rPr>
        <w:t>Company </w:t>
      </w:r>
      <w:r>
        <w:rPr>
          <w:spacing w:val="13"/>
          <w:w w:val="105"/>
        </w:rPr>
        <w:t>made </w:t>
      </w:r>
      <w:r>
        <w:rPr>
          <w:w w:val="105"/>
        </w:rPr>
        <w:t>from </w:t>
      </w:r>
      <w:r>
        <w:rPr>
          <w:spacing w:val="2"/>
          <w:w w:val="105"/>
        </w:rPr>
        <w:t>its </w:t>
      </w:r>
      <w:r>
        <w:rPr>
          <w:w w:val="105"/>
        </w:rPr>
        <w:t>$475 </w:t>
      </w:r>
      <w:r>
        <w:rPr>
          <w:spacing w:val="5"/>
          <w:w w:val="105"/>
        </w:rPr>
        <w:t>million </w:t>
      </w:r>
      <w:r>
        <w:rPr>
          <w:spacing w:val="6"/>
          <w:w w:val="105"/>
        </w:rPr>
        <w:t>revolving credit </w:t>
      </w:r>
      <w:r>
        <w:rPr>
          <w:spacing w:val="3"/>
          <w:w w:val="105"/>
        </w:rPr>
        <w:t>facility </w:t>
      </w:r>
      <w:r>
        <w:rPr>
          <w:spacing w:val="12"/>
          <w:w w:val="105"/>
        </w:rPr>
        <w:t>and </w:t>
      </w:r>
      <w:r>
        <w:rPr>
          <w:spacing w:val="2"/>
          <w:w w:val="105"/>
        </w:rPr>
        <w:t>the </w:t>
      </w:r>
      <w:r>
        <w:rPr>
          <w:spacing w:val="5"/>
          <w:w w:val="105"/>
        </w:rPr>
        <w:t>issuance </w:t>
      </w:r>
      <w:r>
        <w:rPr>
          <w:spacing w:val="6"/>
          <w:w w:val="105"/>
        </w:rPr>
        <w:t>of </w:t>
      </w:r>
      <w:r>
        <w:rPr>
          <w:w w:val="105"/>
        </w:rPr>
        <w:t>$614.3 </w:t>
      </w:r>
      <w:r>
        <w:rPr>
          <w:spacing w:val="5"/>
          <w:w w:val="105"/>
        </w:rPr>
        <w:t>million </w:t>
      </w:r>
      <w:r>
        <w:rPr>
          <w:spacing w:val="6"/>
          <w:w w:val="105"/>
        </w:rPr>
        <w:t>in </w:t>
      </w:r>
      <w:r>
        <w:rPr>
          <w:w w:val="105"/>
        </w:rPr>
        <w:t>long-term </w:t>
      </w:r>
      <w:r>
        <w:rPr>
          <w:spacing w:val="6"/>
          <w:w w:val="105"/>
        </w:rPr>
        <w:t>debt. </w:t>
      </w:r>
      <w:r>
        <w:rPr>
          <w:spacing w:val="4"/>
          <w:w w:val="105"/>
        </w:rPr>
        <w:t>These </w:t>
      </w:r>
      <w:r>
        <w:rPr>
          <w:spacing w:val="6"/>
          <w:w w:val="105"/>
        </w:rPr>
        <w:t>borrowings </w:t>
      </w:r>
      <w:r>
        <w:rPr>
          <w:spacing w:val="4"/>
          <w:w w:val="105"/>
        </w:rPr>
        <w:t>were </w:t>
      </w:r>
      <w:r>
        <w:rPr>
          <w:spacing w:val="2"/>
          <w:w w:val="105"/>
        </w:rPr>
        <w:t>partially </w:t>
      </w:r>
      <w:r>
        <w:rPr>
          <w:spacing w:val="3"/>
          <w:w w:val="105"/>
        </w:rPr>
        <w:t>offset </w:t>
      </w:r>
      <w:r>
        <w:rPr>
          <w:spacing w:val="6"/>
          <w:w w:val="105"/>
        </w:rPr>
        <w:t>by</w:t>
      </w:r>
      <w:r>
        <w:rPr>
          <w:spacing w:val="59"/>
          <w:w w:val="105"/>
        </w:rPr>
        <w:t> </w:t>
      </w:r>
      <w:r>
        <w:rPr>
          <w:spacing w:val="6"/>
          <w:w w:val="105"/>
        </w:rPr>
        <w:t>the </w:t>
      </w:r>
      <w:r>
        <w:rPr>
          <w:spacing w:val="8"/>
          <w:w w:val="105"/>
        </w:rPr>
        <w:t>redemption </w:t>
      </w:r>
      <w:r>
        <w:rPr>
          <w:spacing w:val="6"/>
          <w:w w:val="105"/>
        </w:rPr>
        <w:t>of </w:t>
      </w:r>
      <w:r>
        <w:rPr>
          <w:w w:val="105"/>
        </w:rPr>
        <w:t>$100 </w:t>
      </w:r>
      <w:r>
        <w:rPr>
          <w:spacing w:val="5"/>
          <w:w w:val="105"/>
        </w:rPr>
        <w:t>million </w:t>
      </w:r>
      <w:r>
        <w:rPr>
          <w:spacing w:val="6"/>
          <w:w w:val="105"/>
        </w:rPr>
        <w:t>unsecured notes </w:t>
      </w:r>
      <w:r>
        <w:rPr>
          <w:spacing w:val="12"/>
          <w:w w:val="105"/>
        </w:rPr>
        <w:t>in </w:t>
      </w:r>
      <w:r>
        <w:rPr>
          <w:w w:val="105"/>
        </w:rPr>
        <w:t>2001. </w:t>
      </w:r>
      <w:r>
        <w:rPr>
          <w:spacing w:val="2"/>
          <w:w w:val="105"/>
        </w:rPr>
        <w:t>See </w:t>
      </w:r>
      <w:r>
        <w:rPr>
          <w:spacing w:val="4"/>
          <w:w w:val="105"/>
        </w:rPr>
        <w:t>Note </w:t>
      </w:r>
      <w:r>
        <w:rPr>
          <w:w w:val="105"/>
        </w:rPr>
        <w:t>6 </w:t>
      </w:r>
      <w:r>
        <w:rPr>
          <w:spacing w:val="8"/>
          <w:w w:val="105"/>
        </w:rPr>
        <w:t>and  </w:t>
      </w:r>
      <w:r>
        <w:rPr>
          <w:spacing w:val="4"/>
          <w:w w:val="105"/>
        </w:rPr>
        <w:t>Note  </w:t>
      </w:r>
      <w:r>
        <w:rPr>
          <w:w w:val="105"/>
        </w:rPr>
        <w:t>7  to  </w:t>
      </w:r>
      <w:r>
        <w:rPr>
          <w:spacing w:val="2"/>
          <w:w w:val="105"/>
        </w:rPr>
        <w:t>the  </w:t>
      </w:r>
      <w:r>
        <w:rPr>
          <w:spacing w:val="5"/>
          <w:w w:val="105"/>
        </w:rPr>
        <w:t>Consoli- </w:t>
      </w:r>
      <w:r>
        <w:rPr>
          <w:spacing w:val="6"/>
          <w:w w:val="105"/>
        </w:rPr>
        <w:t>dated </w:t>
      </w:r>
      <w:r>
        <w:rPr>
          <w:spacing w:val="8"/>
          <w:w w:val="105"/>
        </w:rPr>
        <w:t>Financial </w:t>
      </w:r>
      <w:r>
        <w:rPr>
          <w:spacing w:val="4"/>
          <w:w w:val="105"/>
        </w:rPr>
        <w:t>Statements for </w:t>
      </w:r>
      <w:r>
        <w:rPr>
          <w:spacing w:val="6"/>
          <w:w w:val="105"/>
        </w:rPr>
        <w:t>more </w:t>
      </w:r>
      <w:r>
        <w:rPr>
          <w:spacing w:val="8"/>
          <w:w w:val="105"/>
        </w:rPr>
        <w:t>information </w:t>
      </w:r>
      <w:r>
        <w:rPr>
          <w:spacing w:val="6"/>
          <w:w w:val="105"/>
        </w:rPr>
        <w:t>on </w:t>
      </w:r>
      <w:r>
        <w:rPr>
          <w:spacing w:val="3"/>
          <w:w w:val="105"/>
        </w:rPr>
        <w:t>these </w:t>
      </w:r>
      <w:r>
        <w:rPr>
          <w:spacing w:val="8"/>
          <w:w w:val="105"/>
        </w:rPr>
        <w:t>financing </w:t>
      </w:r>
      <w:r>
        <w:rPr>
          <w:spacing w:val="5"/>
          <w:w w:val="105"/>
        </w:rPr>
        <w:t>activities. </w:t>
      </w:r>
      <w:r>
        <w:rPr>
          <w:w w:val="105"/>
        </w:rPr>
        <w:t>Cash </w:t>
      </w:r>
      <w:r>
        <w:rPr>
          <w:spacing w:val="5"/>
          <w:w w:val="105"/>
        </w:rPr>
        <w:t>generated </w:t>
      </w:r>
      <w:r>
        <w:rPr>
          <w:spacing w:val="12"/>
          <w:w w:val="105"/>
        </w:rPr>
        <w:t>in </w:t>
      </w:r>
      <w:r>
        <w:rPr>
          <w:w w:val="105"/>
        </w:rPr>
        <w:t>2002 </w:t>
      </w:r>
      <w:r>
        <w:rPr>
          <w:spacing w:val="8"/>
          <w:w w:val="105"/>
        </w:rPr>
        <w:t>and </w:t>
      </w:r>
      <w:r>
        <w:rPr>
          <w:spacing w:val="6"/>
          <w:w w:val="105"/>
        </w:rPr>
        <w:t>in </w:t>
      </w:r>
      <w:r>
        <w:rPr>
          <w:w w:val="105"/>
        </w:rPr>
        <w:t>2001 </w:t>
      </w:r>
      <w:r>
        <w:rPr>
          <w:spacing w:val="6"/>
          <w:w w:val="105"/>
        </w:rPr>
        <w:t>was </w:t>
      </w:r>
      <w:r>
        <w:rPr>
          <w:spacing w:val="5"/>
          <w:w w:val="105"/>
        </w:rPr>
        <w:t>primarily used </w:t>
      </w:r>
      <w:r>
        <w:rPr>
          <w:w w:val="105"/>
        </w:rPr>
        <w:t>to </w:t>
      </w:r>
      <w:r>
        <w:rPr>
          <w:spacing w:val="7"/>
          <w:w w:val="105"/>
        </w:rPr>
        <w:t>finance </w:t>
      </w:r>
      <w:r>
        <w:rPr>
          <w:spacing w:val="2"/>
          <w:w w:val="105"/>
        </w:rPr>
        <w:t>aircraft-related </w:t>
      </w:r>
      <w:r>
        <w:rPr>
          <w:spacing w:val="6"/>
          <w:w w:val="105"/>
        </w:rPr>
        <w:t>capital </w:t>
      </w:r>
      <w:r>
        <w:rPr>
          <w:spacing w:val="8"/>
          <w:w w:val="105"/>
        </w:rPr>
        <w:t>expenditures and </w:t>
      </w:r>
      <w:r>
        <w:rPr>
          <w:spacing w:val="9"/>
          <w:w w:val="105"/>
        </w:rPr>
        <w:t>provide </w:t>
      </w:r>
      <w:r>
        <w:rPr>
          <w:spacing w:val="5"/>
          <w:w w:val="105"/>
        </w:rPr>
        <w:t>working</w:t>
      </w:r>
      <w:r>
        <w:rPr>
          <w:spacing w:val="9"/>
          <w:w w:val="105"/>
        </w:rPr>
        <w:t> </w:t>
      </w:r>
      <w:r>
        <w:rPr>
          <w:spacing w:val="5"/>
          <w:w w:val="105"/>
        </w:rPr>
        <w:t>capital.</w:t>
      </w:r>
    </w:p>
    <w:p>
      <w:pPr>
        <w:pStyle w:val="BodyText"/>
        <w:spacing w:line="254" w:lineRule="auto" w:before="1"/>
        <w:ind w:left="100" w:right="119" w:firstLine="180"/>
        <w:jc w:val="both"/>
      </w:pPr>
      <w:r>
        <w:rPr>
          <w:spacing w:val="4"/>
          <w:w w:val="105"/>
        </w:rPr>
        <w:t>The </w:t>
      </w:r>
      <w:r>
        <w:rPr>
          <w:spacing w:val="8"/>
          <w:w w:val="105"/>
        </w:rPr>
        <w:t>Company has various options </w:t>
      </w:r>
      <w:r>
        <w:rPr>
          <w:spacing w:val="6"/>
          <w:w w:val="105"/>
        </w:rPr>
        <w:t>available </w:t>
      </w:r>
      <w:r>
        <w:rPr>
          <w:w w:val="105"/>
        </w:rPr>
        <w:t>to </w:t>
      </w:r>
      <w:r>
        <w:rPr>
          <w:spacing w:val="10"/>
          <w:w w:val="105"/>
        </w:rPr>
        <w:t>meet </w:t>
      </w:r>
      <w:r>
        <w:rPr>
          <w:spacing w:val="2"/>
          <w:w w:val="105"/>
        </w:rPr>
        <w:t>its </w:t>
      </w:r>
      <w:r>
        <w:rPr>
          <w:spacing w:val="6"/>
          <w:w w:val="105"/>
        </w:rPr>
        <w:t>capital</w:t>
      </w:r>
      <w:r>
        <w:rPr>
          <w:spacing w:val="59"/>
          <w:w w:val="105"/>
        </w:rPr>
        <w:t> </w:t>
      </w:r>
      <w:r>
        <w:rPr>
          <w:spacing w:val="8"/>
          <w:w w:val="105"/>
        </w:rPr>
        <w:t>and </w:t>
      </w:r>
      <w:r>
        <w:rPr>
          <w:spacing w:val="7"/>
          <w:w w:val="105"/>
        </w:rPr>
        <w:t>operating commitments, including  </w:t>
      </w:r>
      <w:r>
        <w:rPr>
          <w:spacing w:val="3"/>
          <w:w w:val="105"/>
        </w:rPr>
        <w:t>cash  </w:t>
      </w:r>
      <w:r>
        <w:rPr>
          <w:spacing w:val="6"/>
          <w:w w:val="105"/>
        </w:rPr>
        <w:t>on  </w:t>
      </w:r>
      <w:r>
        <w:rPr>
          <w:spacing w:val="9"/>
          <w:w w:val="105"/>
        </w:rPr>
        <w:t>hand  </w:t>
      </w:r>
      <w:r>
        <w:rPr>
          <w:spacing w:val="6"/>
          <w:w w:val="105"/>
        </w:rPr>
        <w:t>at  </w:t>
      </w:r>
      <w:r>
        <w:rPr>
          <w:spacing w:val="9"/>
          <w:w w:val="105"/>
        </w:rPr>
        <w:t>December  </w:t>
      </w:r>
      <w:r>
        <w:rPr>
          <w:w w:val="105"/>
        </w:rPr>
        <w:t>31,   2002,</w:t>
      </w:r>
    </w:p>
    <w:p>
      <w:pPr>
        <w:spacing w:after="0" w:line="254" w:lineRule="auto"/>
        <w:jc w:val="both"/>
        <w:sectPr>
          <w:headerReference w:type="default" r:id="rId91"/>
          <w:footerReference w:type="default" r:id="rId92"/>
          <w:footerReference w:type="even" r:id="rId93"/>
          <w:pgSz w:w="11520" w:h="14400"/>
          <w:pgMar w:header="0" w:footer="706" w:top="960" w:bottom="900" w:left="700" w:right="840"/>
          <w:pgNumType w:start="21"/>
          <w:cols w:num="2" w:equalWidth="0">
            <w:col w:w="4737" w:space="403"/>
            <w:col w:w="4840"/>
          </w:cols>
        </w:sectPr>
      </w:pPr>
    </w:p>
    <w:p>
      <w:pPr>
        <w:pStyle w:val="BodyText"/>
        <w:spacing w:before="69"/>
        <w:ind w:left="140"/>
        <w:jc w:val="both"/>
      </w:pPr>
      <w:bookmarkStart w:name="Contractual Obligations and Commitments" w:id="30"/>
      <w:bookmarkEnd w:id="30"/>
      <w:r>
        <w:rPr/>
      </w:r>
      <w:r>
        <w:rPr>
          <w:w w:val="105"/>
        </w:rPr>
        <w:t>of $1.82 billion, internally generated  funds,  and  a</w:t>
      </w:r>
    </w:p>
    <w:p>
      <w:pPr>
        <w:pStyle w:val="BodyText"/>
        <w:spacing w:line="254" w:lineRule="auto" w:before="15"/>
        <w:ind w:left="140"/>
        <w:jc w:val="both"/>
      </w:pPr>
      <w:r>
        <w:rPr>
          <w:w w:val="105"/>
        </w:rPr>
        <w:t>$575 </w:t>
      </w:r>
      <w:r>
        <w:rPr>
          <w:spacing w:val="5"/>
          <w:w w:val="105"/>
        </w:rPr>
        <w:t>million </w:t>
      </w:r>
      <w:r>
        <w:rPr>
          <w:spacing w:val="9"/>
          <w:w w:val="105"/>
        </w:rPr>
        <w:t>bank </w:t>
      </w:r>
      <w:r>
        <w:rPr>
          <w:spacing w:val="6"/>
          <w:w w:val="105"/>
        </w:rPr>
        <w:t>revolving</w:t>
      </w:r>
      <w:r>
        <w:rPr>
          <w:spacing w:val="59"/>
          <w:w w:val="105"/>
        </w:rPr>
        <w:t> </w:t>
      </w:r>
      <w:r>
        <w:rPr>
          <w:spacing w:val="4"/>
          <w:w w:val="105"/>
        </w:rPr>
        <w:t>line </w:t>
      </w:r>
      <w:r>
        <w:rPr>
          <w:spacing w:val="6"/>
          <w:w w:val="105"/>
        </w:rPr>
        <w:t>of</w:t>
      </w:r>
      <w:r>
        <w:rPr>
          <w:spacing w:val="59"/>
          <w:w w:val="105"/>
        </w:rPr>
        <w:t> </w:t>
      </w:r>
      <w:r>
        <w:rPr>
          <w:spacing w:val="4"/>
          <w:w w:val="105"/>
        </w:rPr>
        <w:t>credit. In </w:t>
      </w:r>
      <w:r>
        <w:rPr>
          <w:spacing w:val="8"/>
          <w:w w:val="105"/>
        </w:rPr>
        <w:t>addition, </w:t>
      </w:r>
      <w:r>
        <w:rPr>
          <w:spacing w:val="2"/>
          <w:w w:val="105"/>
        </w:rPr>
        <w:t>the </w:t>
      </w:r>
      <w:r>
        <w:rPr>
          <w:spacing w:val="8"/>
          <w:w w:val="105"/>
        </w:rPr>
        <w:t>Company </w:t>
      </w:r>
      <w:r>
        <w:rPr>
          <w:spacing w:val="3"/>
          <w:w w:val="105"/>
        </w:rPr>
        <w:t>will </w:t>
      </w:r>
      <w:r>
        <w:rPr>
          <w:w w:val="105"/>
        </w:rPr>
        <w:t>also </w:t>
      </w:r>
      <w:r>
        <w:rPr>
          <w:spacing w:val="7"/>
          <w:w w:val="105"/>
        </w:rPr>
        <w:t>consider </w:t>
      </w:r>
      <w:r>
        <w:rPr>
          <w:spacing w:val="9"/>
          <w:w w:val="105"/>
        </w:rPr>
        <w:t>various </w:t>
      </w:r>
      <w:r>
        <w:rPr>
          <w:spacing w:val="6"/>
          <w:w w:val="105"/>
        </w:rPr>
        <w:t>borrowing or </w:t>
      </w:r>
      <w:r>
        <w:rPr>
          <w:spacing w:val="5"/>
          <w:w w:val="105"/>
        </w:rPr>
        <w:t>leasing </w:t>
      </w:r>
      <w:r>
        <w:rPr>
          <w:spacing w:val="8"/>
          <w:w w:val="105"/>
        </w:rPr>
        <w:t>options</w:t>
      </w:r>
      <w:r>
        <w:rPr>
          <w:spacing w:val="63"/>
          <w:w w:val="105"/>
        </w:rPr>
        <w:t> </w:t>
      </w:r>
      <w:r>
        <w:rPr>
          <w:w w:val="105"/>
        </w:rPr>
        <w:t>to  </w:t>
      </w:r>
      <w:r>
        <w:rPr>
          <w:spacing w:val="9"/>
          <w:w w:val="105"/>
        </w:rPr>
        <w:t>maximize </w:t>
      </w:r>
      <w:r>
        <w:rPr>
          <w:spacing w:val="7"/>
          <w:w w:val="105"/>
        </w:rPr>
        <w:t>earnings  </w:t>
      </w:r>
      <w:r>
        <w:rPr>
          <w:spacing w:val="8"/>
          <w:w w:val="105"/>
        </w:rPr>
        <w:t>and</w:t>
      </w:r>
      <w:r>
        <w:rPr>
          <w:spacing w:val="63"/>
          <w:w w:val="105"/>
        </w:rPr>
        <w:t> </w:t>
      </w:r>
      <w:r>
        <w:rPr>
          <w:spacing w:val="7"/>
          <w:w w:val="105"/>
        </w:rPr>
        <w:t>supplement  </w:t>
      </w:r>
      <w:r>
        <w:rPr>
          <w:spacing w:val="3"/>
          <w:w w:val="105"/>
        </w:rPr>
        <w:t>cash</w:t>
      </w:r>
      <w:r>
        <w:rPr>
          <w:spacing w:val="53"/>
          <w:w w:val="105"/>
        </w:rPr>
        <w:t> </w:t>
      </w:r>
      <w:r>
        <w:rPr>
          <w:spacing w:val="6"/>
          <w:w w:val="105"/>
        </w:rPr>
        <w:t>requirements. </w:t>
      </w:r>
      <w:r>
        <w:rPr>
          <w:spacing w:val="4"/>
          <w:w w:val="105"/>
        </w:rPr>
        <w:t>The </w:t>
      </w:r>
      <w:r>
        <w:rPr>
          <w:spacing w:val="8"/>
          <w:w w:val="105"/>
        </w:rPr>
        <w:t>Company believes </w:t>
      </w:r>
      <w:r>
        <w:rPr>
          <w:spacing w:val="6"/>
          <w:w w:val="105"/>
        </w:rPr>
        <w:t>it </w:t>
      </w:r>
      <w:r>
        <w:rPr>
          <w:spacing w:val="8"/>
          <w:w w:val="105"/>
        </w:rPr>
        <w:t>has </w:t>
      </w:r>
      <w:r>
        <w:rPr>
          <w:spacing w:val="4"/>
          <w:w w:val="105"/>
        </w:rPr>
        <w:t>access </w:t>
      </w:r>
      <w:r>
        <w:rPr>
          <w:w w:val="105"/>
        </w:rPr>
        <w:t>to a </w:t>
      </w:r>
      <w:r>
        <w:rPr>
          <w:spacing w:val="11"/>
          <w:w w:val="105"/>
        </w:rPr>
        <w:t>wide </w:t>
      </w:r>
      <w:r>
        <w:rPr>
          <w:spacing w:val="5"/>
          <w:w w:val="105"/>
        </w:rPr>
        <w:t>variety </w:t>
      </w:r>
      <w:r>
        <w:rPr>
          <w:spacing w:val="6"/>
          <w:w w:val="105"/>
        </w:rPr>
        <w:t>of </w:t>
      </w:r>
      <w:r>
        <w:rPr>
          <w:spacing w:val="8"/>
          <w:w w:val="105"/>
        </w:rPr>
        <w:t>financing </w:t>
      </w:r>
      <w:r>
        <w:rPr>
          <w:spacing w:val="6"/>
          <w:w w:val="105"/>
        </w:rPr>
        <w:t>arrangements because of </w:t>
      </w:r>
      <w:r>
        <w:rPr>
          <w:spacing w:val="2"/>
          <w:w w:val="105"/>
        </w:rPr>
        <w:t>its </w:t>
      </w:r>
      <w:r>
        <w:rPr>
          <w:spacing w:val="5"/>
          <w:w w:val="105"/>
        </w:rPr>
        <w:t>excellent </w:t>
      </w:r>
      <w:r>
        <w:rPr>
          <w:spacing w:val="6"/>
          <w:w w:val="105"/>
        </w:rPr>
        <w:t>credit</w:t>
      </w:r>
      <w:r>
        <w:rPr>
          <w:spacing w:val="59"/>
          <w:w w:val="105"/>
        </w:rPr>
        <w:t> </w:t>
      </w:r>
      <w:r>
        <w:rPr>
          <w:spacing w:val="3"/>
          <w:w w:val="105"/>
        </w:rPr>
        <w:t>ratings, </w:t>
      </w:r>
      <w:r>
        <w:rPr>
          <w:spacing w:val="9"/>
          <w:w w:val="105"/>
        </w:rPr>
        <w:t>unencumbered </w:t>
      </w:r>
      <w:r>
        <w:rPr>
          <w:w w:val="105"/>
        </w:rPr>
        <w:t>assets, </w:t>
      </w:r>
      <w:r>
        <w:rPr>
          <w:spacing w:val="8"/>
          <w:w w:val="105"/>
        </w:rPr>
        <w:t>modest </w:t>
      </w:r>
      <w:r>
        <w:rPr>
          <w:spacing w:val="5"/>
          <w:w w:val="105"/>
        </w:rPr>
        <w:t>leverage, </w:t>
      </w:r>
      <w:r>
        <w:rPr>
          <w:spacing w:val="8"/>
          <w:w w:val="105"/>
        </w:rPr>
        <w:t>and </w:t>
      </w:r>
      <w:r>
        <w:rPr>
          <w:spacing w:val="5"/>
          <w:w w:val="105"/>
        </w:rPr>
        <w:t>consistent  </w:t>
      </w:r>
      <w:r>
        <w:rPr>
          <w:spacing w:val="4"/>
          <w:w w:val="105"/>
        </w:rPr>
        <w:t>profitability.</w:t>
      </w:r>
    </w:p>
    <w:p>
      <w:pPr>
        <w:pStyle w:val="BodyText"/>
        <w:spacing w:line="254" w:lineRule="auto" w:before="1"/>
        <w:ind w:left="140" w:firstLine="180"/>
        <w:jc w:val="both"/>
      </w:pPr>
      <w:r>
        <w:rPr>
          <w:spacing w:val="4"/>
          <w:w w:val="105"/>
        </w:rPr>
        <w:t>The </w:t>
      </w:r>
      <w:r>
        <w:rPr>
          <w:spacing w:val="8"/>
          <w:w w:val="105"/>
        </w:rPr>
        <w:t>Company has </w:t>
      </w:r>
      <w:r>
        <w:rPr>
          <w:spacing w:val="6"/>
          <w:w w:val="105"/>
        </w:rPr>
        <w:t>an available revolving </w:t>
      </w:r>
      <w:r>
        <w:rPr>
          <w:spacing w:val="8"/>
          <w:w w:val="105"/>
        </w:rPr>
        <w:t>credit </w:t>
      </w:r>
      <w:r>
        <w:rPr>
          <w:spacing w:val="3"/>
          <w:w w:val="105"/>
        </w:rPr>
        <w:t>facility    </w:t>
      </w:r>
      <w:r>
        <w:rPr>
          <w:w w:val="105"/>
        </w:rPr>
        <w:t>from     </w:t>
      </w:r>
      <w:r>
        <w:rPr>
          <w:spacing w:val="7"/>
          <w:w w:val="105"/>
        </w:rPr>
        <w:t>which    </w:t>
      </w:r>
      <w:r>
        <w:rPr>
          <w:spacing w:val="6"/>
          <w:w w:val="105"/>
        </w:rPr>
        <w:t>it    </w:t>
      </w:r>
      <w:r>
        <w:rPr>
          <w:spacing w:val="5"/>
          <w:w w:val="105"/>
        </w:rPr>
        <w:t>can    </w:t>
      </w:r>
      <w:r>
        <w:rPr>
          <w:spacing w:val="4"/>
          <w:w w:val="105"/>
        </w:rPr>
        <w:t>borrow     </w:t>
      </w:r>
      <w:r>
        <w:rPr>
          <w:spacing w:val="6"/>
          <w:w w:val="105"/>
        </w:rPr>
        <w:t>up   </w:t>
      </w:r>
      <w:r>
        <w:rPr>
          <w:w w:val="105"/>
        </w:rPr>
        <w:t>to</w:t>
      </w:r>
    </w:p>
    <w:p>
      <w:pPr>
        <w:pStyle w:val="BodyText"/>
        <w:spacing w:line="254" w:lineRule="auto" w:before="1"/>
        <w:ind w:left="140"/>
        <w:jc w:val="both"/>
      </w:pPr>
      <w:r>
        <w:rPr>
          <w:w w:val="105"/>
        </w:rPr>
        <w:t>$575 </w:t>
      </w:r>
      <w:r>
        <w:rPr>
          <w:spacing w:val="5"/>
          <w:w w:val="105"/>
        </w:rPr>
        <w:t>million </w:t>
      </w:r>
      <w:r>
        <w:rPr>
          <w:w w:val="105"/>
        </w:rPr>
        <w:t>from a </w:t>
      </w:r>
      <w:r>
        <w:rPr>
          <w:spacing w:val="4"/>
          <w:w w:val="105"/>
        </w:rPr>
        <w:t>group </w:t>
      </w:r>
      <w:r>
        <w:rPr>
          <w:spacing w:val="6"/>
          <w:w w:val="105"/>
        </w:rPr>
        <w:t>of </w:t>
      </w:r>
      <w:r>
        <w:rPr>
          <w:spacing w:val="5"/>
          <w:w w:val="105"/>
        </w:rPr>
        <w:t>banks.  One-half  </w:t>
      </w:r>
      <w:r>
        <w:rPr>
          <w:spacing w:val="12"/>
          <w:w w:val="105"/>
        </w:rPr>
        <w:t>of </w:t>
      </w:r>
      <w:r>
        <w:rPr>
          <w:spacing w:val="2"/>
          <w:w w:val="105"/>
        </w:rPr>
        <w:t>the </w:t>
      </w:r>
      <w:r>
        <w:rPr>
          <w:spacing w:val="3"/>
          <w:w w:val="105"/>
        </w:rPr>
        <w:t>facility </w:t>
      </w:r>
      <w:r>
        <w:rPr>
          <w:spacing w:val="6"/>
          <w:w w:val="105"/>
        </w:rPr>
        <w:t>is </w:t>
      </w:r>
      <w:r>
        <w:rPr>
          <w:spacing w:val="3"/>
          <w:w w:val="105"/>
        </w:rPr>
        <w:t>short </w:t>
      </w:r>
      <w:r>
        <w:rPr>
          <w:w w:val="105"/>
        </w:rPr>
        <w:t>term </w:t>
      </w:r>
      <w:r>
        <w:rPr>
          <w:spacing w:val="8"/>
          <w:w w:val="105"/>
        </w:rPr>
        <w:t>and expires </w:t>
      </w:r>
      <w:r>
        <w:rPr>
          <w:spacing w:val="6"/>
          <w:w w:val="105"/>
        </w:rPr>
        <w:t>on </w:t>
      </w:r>
      <w:r>
        <w:rPr>
          <w:spacing w:val="5"/>
          <w:w w:val="105"/>
        </w:rPr>
        <w:t>April </w:t>
      </w:r>
      <w:r>
        <w:rPr>
          <w:w w:val="105"/>
        </w:rPr>
        <w:t>23, 2003, </w:t>
      </w:r>
      <w:r>
        <w:rPr>
          <w:spacing w:val="6"/>
          <w:w w:val="105"/>
        </w:rPr>
        <w:t>if </w:t>
      </w:r>
      <w:r>
        <w:rPr>
          <w:spacing w:val="8"/>
          <w:w w:val="105"/>
        </w:rPr>
        <w:t>not </w:t>
      </w:r>
      <w:r>
        <w:rPr>
          <w:spacing w:val="5"/>
          <w:w w:val="105"/>
        </w:rPr>
        <w:t>drawn before that </w:t>
      </w:r>
      <w:r>
        <w:rPr>
          <w:spacing w:val="6"/>
          <w:w w:val="105"/>
        </w:rPr>
        <w:t>date. </w:t>
      </w:r>
      <w:r>
        <w:rPr>
          <w:spacing w:val="4"/>
          <w:w w:val="105"/>
        </w:rPr>
        <w:t>The </w:t>
      </w:r>
      <w:r>
        <w:rPr>
          <w:spacing w:val="6"/>
          <w:w w:val="105"/>
        </w:rPr>
        <w:t>other one-half </w:t>
      </w:r>
      <w:r>
        <w:rPr>
          <w:spacing w:val="8"/>
          <w:w w:val="105"/>
        </w:rPr>
        <w:t>expires </w:t>
      </w:r>
      <w:r>
        <w:rPr>
          <w:spacing w:val="6"/>
          <w:w w:val="105"/>
        </w:rPr>
        <w:t>on </w:t>
      </w:r>
      <w:r>
        <w:rPr>
          <w:spacing w:val="5"/>
          <w:w w:val="105"/>
        </w:rPr>
        <w:t>April </w:t>
      </w:r>
      <w:r>
        <w:rPr>
          <w:w w:val="105"/>
        </w:rPr>
        <w:t>23, 2005. </w:t>
      </w:r>
      <w:r>
        <w:rPr>
          <w:spacing w:val="4"/>
          <w:w w:val="105"/>
        </w:rPr>
        <w:t>The </w:t>
      </w:r>
      <w:r>
        <w:rPr>
          <w:spacing w:val="10"/>
          <w:w w:val="105"/>
        </w:rPr>
        <w:t>Company </w:t>
      </w:r>
      <w:r>
        <w:rPr>
          <w:spacing w:val="6"/>
          <w:w w:val="105"/>
        </w:rPr>
        <w:t>expects </w:t>
      </w:r>
      <w:r>
        <w:rPr>
          <w:spacing w:val="5"/>
          <w:w w:val="105"/>
        </w:rPr>
        <w:t>that </w:t>
      </w:r>
      <w:r>
        <w:rPr>
          <w:spacing w:val="6"/>
          <w:w w:val="105"/>
        </w:rPr>
        <w:t>it </w:t>
      </w:r>
      <w:r>
        <w:rPr>
          <w:spacing w:val="3"/>
          <w:w w:val="105"/>
        </w:rPr>
        <w:t>will </w:t>
      </w:r>
      <w:r>
        <w:rPr>
          <w:spacing w:val="6"/>
          <w:w w:val="105"/>
        </w:rPr>
        <w:t>be </w:t>
      </w:r>
      <w:r>
        <w:rPr>
          <w:spacing w:val="4"/>
          <w:w w:val="105"/>
        </w:rPr>
        <w:t>able </w:t>
      </w:r>
      <w:r>
        <w:rPr>
          <w:w w:val="105"/>
        </w:rPr>
        <w:t>to </w:t>
      </w:r>
      <w:r>
        <w:rPr>
          <w:spacing w:val="6"/>
          <w:w w:val="105"/>
        </w:rPr>
        <w:t>renew </w:t>
      </w:r>
      <w:r>
        <w:rPr>
          <w:spacing w:val="2"/>
          <w:w w:val="105"/>
        </w:rPr>
        <w:t>the </w:t>
      </w:r>
      <w:r>
        <w:rPr>
          <w:spacing w:val="10"/>
          <w:w w:val="105"/>
        </w:rPr>
        <w:t>expiring </w:t>
      </w:r>
      <w:r>
        <w:rPr>
          <w:spacing w:val="2"/>
          <w:w w:val="105"/>
        </w:rPr>
        <w:t>365-day </w:t>
      </w:r>
      <w:r>
        <w:rPr>
          <w:spacing w:val="3"/>
          <w:w w:val="105"/>
        </w:rPr>
        <w:t>facility </w:t>
      </w:r>
      <w:r>
        <w:rPr>
          <w:spacing w:val="4"/>
          <w:w w:val="105"/>
        </w:rPr>
        <w:t>for </w:t>
      </w:r>
      <w:r>
        <w:rPr>
          <w:spacing w:val="6"/>
          <w:w w:val="105"/>
        </w:rPr>
        <w:t>an  </w:t>
      </w:r>
      <w:r>
        <w:rPr>
          <w:spacing w:val="9"/>
          <w:w w:val="105"/>
        </w:rPr>
        <w:t>additional  </w:t>
      </w:r>
      <w:r>
        <w:rPr>
          <w:spacing w:val="2"/>
          <w:w w:val="105"/>
        </w:rPr>
        <w:t>365-day  </w:t>
      </w:r>
      <w:r>
        <w:rPr>
          <w:spacing w:val="7"/>
          <w:w w:val="105"/>
        </w:rPr>
        <w:t>period </w:t>
      </w:r>
      <w:r>
        <w:rPr>
          <w:spacing w:val="6"/>
          <w:w w:val="105"/>
        </w:rPr>
        <w:t>at </w:t>
      </w:r>
      <w:r>
        <w:rPr>
          <w:spacing w:val="5"/>
          <w:w w:val="105"/>
        </w:rPr>
        <w:t>reasonable </w:t>
      </w:r>
      <w:r>
        <w:rPr>
          <w:spacing w:val="2"/>
          <w:w w:val="105"/>
        </w:rPr>
        <w:t>terms. </w:t>
      </w:r>
      <w:r>
        <w:rPr>
          <w:spacing w:val="4"/>
          <w:w w:val="105"/>
        </w:rPr>
        <w:t>If </w:t>
      </w:r>
      <w:r>
        <w:rPr>
          <w:spacing w:val="2"/>
          <w:w w:val="105"/>
        </w:rPr>
        <w:t>the </w:t>
      </w:r>
      <w:r>
        <w:rPr>
          <w:spacing w:val="8"/>
          <w:w w:val="105"/>
        </w:rPr>
        <w:t>Company </w:t>
      </w:r>
      <w:r>
        <w:rPr>
          <w:spacing w:val="6"/>
          <w:w w:val="105"/>
        </w:rPr>
        <w:t>is unable </w:t>
      </w:r>
      <w:r>
        <w:rPr>
          <w:w w:val="105"/>
        </w:rPr>
        <w:t>to </w:t>
      </w:r>
      <w:r>
        <w:rPr>
          <w:spacing w:val="6"/>
          <w:w w:val="105"/>
        </w:rPr>
        <w:t>renew, </w:t>
      </w:r>
      <w:r>
        <w:rPr>
          <w:spacing w:val="2"/>
          <w:w w:val="105"/>
        </w:rPr>
        <w:t>the </w:t>
      </w:r>
      <w:r>
        <w:rPr>
          <w:spacing w:val="6"/>
          <w:w w:val="105"/>
        </w:rPr>
        <w:t>Company’s available credit </w:t>
      </w:r>
      <w:r>
        <w:rPr>
          <w:spacing w:val="3"/>
          <w:w w:val="105"/>
        </w:rPr>
        <w:t>facility will </w:t>
      </w:r>
      <w:r>
        <w:rPr>
          <w:spacing w:val="6"/>
          <w:w w:val="105"/>
        </w:rPr>
        <w:t>be</w:t>
      </w:r>
      <w:r>
        <w:rPr>
          <w:spacing w:val="30"/>
          <w:w w:val="105"/>
        </w:rPr>
        <w:t> </w:t>
      </w:r>
      <w:r>
        <w:rPr>
          <w:spacing w:val="9"/>
          <w:w w:val="105"/>
        </w:rPr>
        <w:t>reduced.</w:t>
      </w:r>
    </w:p>
    <w:p>
      <w:pPr>
        <w:pStyle w:val="BodyText"/>
        <w:spacing w:line="254" w:lineRule="auto" w:before="1"/>
        <w:ind w:left="140" w:right="5" w:firstLine="180"/>
        <w:jc w:val="both"/>
      </w:pPr>
      <w:r>
        <w:rPr>
          <w:w w:val="105"/>
        </w:rPr>
        <w:t>The Company currently has outstanding shelf registrations for the  issuance  of  up  to  $1.0  billion in public debt securities and Pass-Through Certifi- cates,  which  it  may  utilize  for  aircraft  financings in  the future.</w:t>
      </w:r>
    </w:p>
    <w:p>
      <w:pPr>
        <w:pStyle w:val="BodyText"/>
        <w:spacing w:line="254" w:lineRule="auto" w:before="1"/>
        <w:ind w:left="140" w:firstLine="180"/>
        <w:jc w:val="both"/>
      </w:pPr>
      <w:r>
        <w:rPr>
          <w:spacing w:val="4"/>
          <w:w w:val="105"/>
        </w:rPr>
        <w:t>In </w:t>
      </w:r>
      <w:r>
        <w:rPr>
          <w:w w:val="105"/>
        </w:rPr>
        <w:t>1999, </w:t>
      </w:r>
      <w:r>
        <w:rPr>
          <w:spacing w:val="2"/>
          <w:w w:val="105"/>
        </w:rPr>
        <w:t>the </w:t>
      </w:r>
      <w:r>
        <w:rPr>
          <w:spacing w:val="6"/>
          <w:w w:val="105"/>
        </w:rPr>
        <w:t>Company’s</w:t>
      </w:r>
      <w:r>
        <w:rPr>
          <w:spacing w:val="59"/>
          <w:w w:val="105"/>
        </w:rPr>
        <w:t> </w:t>
      </w:r>
      <w:r>
        <w:rPr>
          <w:spacing w:val="3"/>
          <w:w w:val="105"/>
        </w:rPr>
        <w:t>Board </w:t>
      </w:r>
      <w:r>
        <w:rPr>
          <w:spacing w:val="6"/>
          <w:w w:val="105"/>
        </w:rPr>
        <w:t>of</w:t>
      </w:r>
      <w:r>
        <w:rPr>
          <w:spacing w:val="59"/>
          <w:w w:val="105"/>
        </w:rPr>
        <w:t> </w:t>
      </w:r>
      <w:r>
        <w:rPr>
          <w:spacing w:val="4"/>
          <w:w w:val="105"/>
        </w:rPr>
        <w:t>Directors </w:t>
      </w:r>
      <w:r>
        <w:rPr>
          <w:spacing w:val="6"/>
          <w:w w:val="105"/>
        </w:rPr>
        <w:t>authorized </w:t>
      </w:r>
      <w:r>
        <w:rPr>
          <w:spacing w:val="2"/>
          <w:w w:val="105"/>
        </w:rPr>
        <w:t>the </w:t>
      </w:r>
      <w:r>
        <w:rPr>
          <w:spacing w:val="5"/>
          <w:w w:val="105"/>
        </w:rPr>
        <w:t>repurchase  </w:t>
      </w:r>
      <w:r>
        <w:rPr>
          <w:spacing w:val="6"/>
          <w:w w:val="105"/>
        </w:rPr>
        <w:t>of up  </w:t>
      </w:r>
      <w:r>
        <w:rPr>
          <w:w w:val="105"/>
        </w:rPr>
        <w:t>to  $250  </w:t>
      </w:r>
      <w:r>
        <w:rPr>
          <w:spacing w:val="5"/>
          <w:w w:val="105"/>
        </w:rPr>
        <w:t>million </w:t>
      </w:r>
      <w:r>
        <w:rPr>
          <w:spacing w:val="6"/>
          <w:w w:val="105"/>
        </w:rPr>
        <w:t>of </w:t>
      </w:r>
      <w:r>
        <w:rPr>
          <w:spacing w:val="2"/>
          <w:w w:val="105"/>
        </w:rPr>
        <w:t>the </w:t>
      </w:r>
      <w:r>
        <w:rPr>
          <w:spacing w:val="6"/>
          <w:w w:val="105"/>
        </w:rPr>
        <w:t>Company’s  </w:t>
      </w:r>
      <w:r>
        <w:rPr>
          <w:spacing w:val="10"/>
          <w:w w:val="105"/>
        </w:rPr>
        <w:t>common  </w:t>
      </w:r>
      <w:r>
        <w:rPr>
          <w:w w:val="105"/>
        </w:rPr>
        <w:t>stock.  </w:t>
      </w:r>
      <w:r>
        <w:rPr>
          <w:spacing w:val="6"/>
          <w:w w:val="105"/>
        </w:rPr>
        <w:t>Repurchases </w:t>
      </w:r>
      <w:r>
        <w:rPr>
          <w:spacing w:val="2"/>
          <w:w w:val="105"/>
        </w:rPr>
        <w:t>are </w:t>
      </w:r>
      <w:r>
        <w:rPr>
          <w:spacing w:val="10"/>
          <w:w w:val="105"/>
        </w:rPr>
        <w:t>made </w:t>
      </w:r>
      <w:r>
        <w:rPr>
          <w:spacing w:val="6"/>
          <w:w w:val="105"/>
        </w:rPr>
        <w:t>in accordance </w:t>
      </w:r>
      <w:r>
        <w:rPr>
          <w:spacing w:val="4"/>
          <w:w w:val="105"/>
        </w:rPr>
        <w:t>with </w:t>
      </w:r>
      <w:r>
        <w:rPr>
          <w:spacing w:val="6"/>
          <w:w w:val="105"/>
        </w:rPr>
        <w:t>applicable securi- </w:t>
      </w:r>
      <w:r>
        <w:rPr>
          <w:spacing w:val="5"/>
          <w:w w:val="105"/>
        </w:rPr>
        <w:t>ties   </w:t>
      </w:r>
      <w:r>
        <w:rPr>
          <w:spacing w:val="3"/>
          <w:w w:val="105"/>
        </w:rPr>
        <w:t>laws   </w:t>
      </w:r>
      <w:r>
        <w:rPr>
          <w:spacing w:val="6"/>
          <w:w w:val="105"/>
        </w:rPr>
        <w:t>in </w:t>
      </w:r>
      <w:r>
        <w:rPr>
          <w:spacing w:val="59"/>
          <w:w w:val="105"/>
        </w:rPr>
        <w:t> </w:t>
      </w:r>
      <w:r>
        <w:rPr>
          <w:spacing w:val="2"/>
          <w:w w:val="105"/>
        </w:rPr>
        <w:t>the   </w:t>
      </w:r>
      <w:r>
        <w:rPr>
          <w:spacing w:val="9"/>
          <w:w w:val="105"/>
        </w:rPr>
        <w:t>open   </w:t>
      </w:r>
      <w:r>
        <w:rPr>
          <w:spacing w:val="6"/>
          <w:w w:val="105"/>
        </w:rPr>
        <w:t>market </w:t>
      </w:r>
      <w:r>
        <w:rPr>
          <w:spacing w:val="59"/>
          <w:w w:val="105"/>
        </w:rPr>
        <w:t> </w:t>
      </w:r>
      <w:r>
        <w:rPr>
          <w:spacing w:val="6"/>
          <w:w w:val="105"/>
        </w:rPr>
        <w:t>or </w:t>
      </w:r>
      <w:r>
        <w:rPr>
          <w:spacing w:val="59"/>
          <w:w w:val="105"/>
        </w:rPr>
        <w:t> </w:t>
      </w:r>
      <w:r>
        <w:rPr>
          <w:spacing w:val="6"/>
          <w:w w:val="105"/>
        </w:rPr>
        <w:t>in  </w:t>
      </w:r>
      <w:r>
        <w:rPr>
          <w:spacing w:val="40"/>
          <w:w w:val="105"/>
        </w:rPr>
        <w:t> </w:t>
      </w:r>
      <w:r>
        <w:rPr>
          <w:spacing w:val="5"/>
          <w:w w:val="105"/>
        </w:rPr>
        <w:t>private</w:t>
      </w:r>
    </w:p>
    <w:p>
      <w:pPr>
        <w:pStyle w:val="BodyText"/>
        <w:spacing w:line="254" w:lineRule="auto" w:before="69"/>
        <w:ind w:left="140" w:right="263"/>
        <w:jc w:val="both"/>
      </w:pPr>
      <w:r>
        <w:rPr/>
        <w:br w:type="column"/>
      </w:r>
      <w:r>
        <w:rPr>
          <w:spacing w:val="5"/>
          <w:w w:val="105"/>
        </w:rPr>
        <w:t>transactions </w:t>
      </w:r>
      <w:r>
        <w:rPr>
          <w:w w:val="105"/>
        </w:rPr>
        <w:t>from </w:t>
      </w:r>
      <w:r>
        <w:rPr>
          <w:spacing w:val="6"/>
          <w:w w:val="105"/>
        </w:rPr>
        <w:t>time </w:t>
      </w:r>
      <w:r>
        <w:rPr>
          <w:w w:val="105"/>
        </w:rPr>
        <w:t>to </w:t>
      </w:r>
      <w:r>
        <w:rPr>
          <w:spacing w:val="7"/>
          <w:w w:val="105"/>
        </w:rPr>
        <w:t>time, </w:t>
      </w:r>
      <w:r>
        <w:rPr>
          <w:spacing w:val="10"/>
          <w:w w:val="105"/>
        </w:rPr>
        <w:t>depending </w:t>
      </w:r>
      <w:r>
        <w:rPr>
          <w:spacing w:val="12"/>
          <w:w w:val="105"/>
        </w:rPr>
        <w:t>on </w:t>
      </w:r>
      <w:r>
        <w:rPr>
          <w:spacing w:val="6"/>
          <w:w w:val="105"/>
        </w:rPr>
        <w:t>market </w:t>
      </w:r>
      <w:r>
        <w:rPr>
          <w:spacing w:val="7"/>
          <w:w w:val="105"/>
        </w:rPr>
        <w:t>conditions, </w:t>
      </w:r>
      <w:r>
        <w:rPr>
          <w:spacing w:val="8"/>
          <w:w w:val="105"/>
        </w:rPr>
        <w:t>and </w:t>
      </w:r>
      <w:r>
        <w:rPr>
          <w:spacing w:val="9"/>
          <w:w w:val="105"/>
        </w:rPr>
        <w:t>may </w:t>
      </w:r>
      <w:r>
        <w:rPr>
          <w:spacing w:val="6"/>
          <w:w w:val="105"/>
        </w:rPr>
        <w:t>be </w:t>
      </w:r>
      <w:r>
        <w:rPr>
          <w:spacing w:val="7"/>
          <w:w w:val="105"/>
        </w:rPr>
        <w:t>discontinued </w:t>
      </w:r>
      <w:r>
        <w:rPr>
          <w:spacing w:val="12"/>
          <w:w w:val="105"/>
        </w:rPr>
        <w:t>at </w:t>
      </w:r>
      <w:r>
        <w:rPr>
          <w:spacing w:val="8"/>
          <w:w w:val="105"/>
        </w:rPr>
        <w:t>any </w:t>
      </w:r>
      <w:r>
        <w:rPr>
          <w:spacing w:val="7"/>
          <w:w w:val="105"/>
        </w:rPr>
        <w:t>time. </w:t>
      </w:r>
      <w:r>
        <w:rPr>
          <w:spacing w:val="4"/>
          <w:w w:val="105"/>
        </w:rPr>
        <w:t>As </w:t>
      </w:r>
      <w:r>
        <w:rPr>
          <w:spacing w:val="6"/>
          <w:w w:val="105"/>
        </w:rPr>
        <w:t>of </w:t>
      </w:r>
      <w:r>
        <w:rPr>
          <w:spacing w:val="9"/>
          <w:w w:val="105"/>
        </w:rPr>
        <w:t>December </w:t>
      </w:r>
      <w:r>
        <w:rPr>
          <w:w w:val="105"/>
        </w:rPr>
        <w:t>31, 2002,  </w:t>
      </w:r>
      <w:r>
        <w:rPr>
          <w:spacing w:val="6"/>
          <w:w w:val="105"/>
        </w:rPr>
        <w:t>in </w:t>
      </w:r>
      <w:r>
        <w:rPr>
          <w:spacing w:val="59"/>
          <w:w w:val="105"/>
        </w:rPr>
        <w:t> </w:t>
      </w:r>
      <w:r>
        <w:rPr>
          <w:spacing w:val="3"/>
          <w:w w:val="105"/>
        </w:rPr>
        <w:t>aggre- </w:t>
      </w:r>
      <w:r>
        <w:rPr>
          <w:spacing w:val="4"/>
          <w:w w:val="105"/>
        </w:rPr>
        <w:t>gate, </w:t>
      </w:r>
      <w:r>
        <w:rPr>
          <w:w w:val="105"/>
        </w:rPr>
        <w:t>18.3 </w:t>
      </w:r>
      <w:r>
        <w:rPr>
          <w:spacing w:val="5"/>
          <w:w w:val="105"/>
        </w:rPr>
        <w:t>million </w:t>
      </w:r>
      <w:r>
        <w:rPr>
          <w:spacing w:val="4"/>
          <w:w w:val="105"/>
        </w:rPr>
        <w:t>shares  </w:t>
      </w:r>
      <w:r>
        <w:rPr>
          <w:spacing w:val="8"/>
          <w:w w:val="105"/>
        </w:rPr>
        <w:t>had  </w:t>
      </w:r>
      <w:r>
        <w:rPr>
          <w:spacing w:val="9"/>
          <w:w w:val="105"/>
        </w:rPr>
        <w:t>been  </w:t>
      </w:r>
      <w:r>
        <w:rPr>
          <w:spacing w:val="6"/>
          <w:w w:val="105"/>
        </w:rPr>
        <w:t>repurchased at </w:t>
      </w:r>
      <w:r>
        <w:rPr>
          <w:spacing w:val="59"/>
          <w:w w:val="105"/>
        </w:rPr>
        <w:t> </w:t>
      </w:r>
      <w:r>
        <w:rPr>
          <w:w w:val="105"/>
        </w:rPr>
        <w:t>a    </w:t>
      </w:r>
      <w:r>
        <w:rPr>
          <w:spacing w:val="3"/>
          <w:w w:val="105"/>
        </w:rPr>
        <w:t>total   cost   </w:t>
      </w:r>
      <w:r>
        <w:rPr>
          <w:spacing w:val="6"/>
          <w:w w:val="105"/>
        </w:rPr>
        <w:t>of </w:t>
      </w:r>
      <w:r>
        <w:rPr>
          <w:spacing w:val="59"/>
          <w:w w:val="105"/>
        </w:rPr>
        <w:t> </w:t>
      </w:r>
      <w:r>
        <w:rPr>
          <w:w w:val="105"/>
        </w:rPr>
        <w:t>$199.2    </w:t>
      </w:r>
      <w:r>
        <w:rPr>
          <w:spacing w:val="6"/>
          <w:w w:val="105"/>
        </w:rPr>
        <w:t>million, </w:t>
      </w:r>
      <w:r>
        <w:rPr>
          <w:spacing w:val="59"/>
          <w:w w:val="105"/>
        </w:rPr>
        <w:t> </w:t>
      </w:r>
      <w:r>
        <w:rPr>
          <w:spacing w:val="6"/>
          <w:w w:val="105"/>
        </w:rPr>
        <w:t>of  </w:t>
      </w:r>
      <w:r>
        <w:rPr>
          <w:spacing w:val="41"/>
          <w:w w:val="105"/>
        </w:rPr>
        <w:t> </w:t>
      </w:r>
      <w:r>
        <w:rPr>
          <w:spacing w:val="7"/>
          <w:w w:val="105"/>
        </w:rPr>
        <w:t>which</w:t>
      </w:r>
    </w:p>
    <w:p>
      <w:pPr>
        <w:pStyle w:val="BodyText"/>
        <w:spacing w:line="254" w:lineRule="auto"/>
        <w:ind w:left="140" w:right="291"/>
        <w:jc w:val="both"/>
      </w:pPr>
      <w:r>
        <w:rPr>
          <w:w w:val="110"/>
        </w:rPr>
        <w:t>$108.7 </w:t>
      </w:r>
      <w:r>
        <w:rPr>
          <w:spacing w:val="5"/>
          <w:w w:val="110"/>
        </w:rPr>
        <w:t>million </w:t>
      </w:r>
      <w:r>
        <w:rPr>
          <w:spacing w:val="6"/>
          <w:w w:val="110"/>
        </w:rPr>
        <w:t>was</w:t>
      </w:r>
      <w:r>
        <w:rPr>
          <w:spacing w:val="61"/>
          <w:w w:val="110"/>
        </w:rPr>
        <w:t> </w:t>
      </w:r>
      <w:r>
        <w:rPr>
          <w:spacing w:val="6"/>
          <w:w w:val="110"/>
        </w:rPr>
        <w:t>completed</w:t>
      </w:r>
      <w:r>
        <w:rPr>
          <w:spacing w:val="61"/>
          <w:w w:val="110"/>
        </w:rPr>
        <w:t> </w:t>
      </w:r>
      <w:r>
        <w:rPr>
          <w:spacing w:val="6"/>
          <w:w w:val="110"/>
        </w:rPr>
        <w:t>in</w:t>
      </w:r>
      <w:r>
        <w:rPr>
          <w:spacing w:val="61"/>
          <w:w w:val="110"/>
        </w:rPr>
        <w:t> </w:t>
      </w:r>
      <w:r>
        <w:rPr>
          <w:w w:val="110"/>
        </w:rPr>
        <w:t>2000. </w:t>
      </w:r>
      <w:r>
        <w:rPr>
          <w:spacing w:val="4"/>
          <w:w w:val="110"/>
        </w:rPr>
        <w:t>No shares were </w:t>
      </w:r>
      <w:r>
        <w:rPr>
          <w:spacing w:val="5"/>
          <w:w w:val="110"/>
        </w:rPr>
        <w:t>repurchased </w:t>
      </w:r>
      <w:r>
        <w:rPr>
          <w:spacing w:val="6"/>
          <w:w w:val="110"/>
        </w:rPr>
        <w:t>in </w:t>
      </w:r>
      <w:r>
        <w:rPr>
          <w:w w:val="110"/>
        </w:rPr>
        <w:t>2001 </w:t>
      </w:r>
      <w:r>
        <w:rPr>
          <w:spacing w:val="6"/>
          <w:w w:val="110"/>
        </w:rPr>
        <w:t>or in  </w:t>
      </w:r>
      <w:r>
        <w:rPr>
          <w:w w:val="110"/>
        </w:rPr>
        <w:t>2002.</w:t>
      </w:r>
    </w:p>
    <w:p>
      <w:pPr>
        <w:pStyle w:val="BodyText"/>
        <w:spacing w:before="11"/>
        <w:rPr>
          <w:sz w:val="21"/>
        </w:rPr>
      </w:pPr>
    </w:p>
    <w:p>
      <w:pPr>
        <w:pStyle w:val="BodyText"/>
        <w:spacing w:line="276" w:lineRule="auto"/>
        <w:ind w:left="140" w:right="292"/>
        <w:jc w:val="both"/>
        <w:rPr>
          <w:rFonts w:ascii="Franklin Gothic Medium"/>
        </w:rPr>
      </w:pPr>
      <w:r>
        <w:rPr>
          <w:rFonts w:ascii="Franklin Gothic Medium"/>
        </w:rPr>
        <w:t>Contractual Obligations and Contingent Liabilities and  Commitments</w:t>
      </w:r>
    </w:p>
    <w:p>
      <w:pPr>
        <w:pStyle w:val="BodyText"/>
        <w:spacing w:before="2"/>
        <w:rPr>
          <w:rFonts w:ascii="Franklin Gothic Medium"/>
          <w:sz w:val="22"/>
        </w:rPr>
      </w:pPr>
    </w:p>
    <w:p>
      <w:pPr>
        <w:pStyle w:val="BodyText"/>
        <w:spacing w:line="254" w:lineRule="auto"/>
        <w:ind w:left="140" w:right="279" w:firstLine="180"/>
        <w:jc w:val="both"/>
      </w:pPr>
      <w:r>
        <w:rPr>
          <w:w w:val="105"/>
        </w:rPr>
        <w:t>Southwest has contractual obligations and</w:t>
      </w:r>
      <w:r>
        <w:rPr>
          <w:w w:val="105"/>
        </w:rPr>
        <w:t> </w:t>
      </w:r>
      <w:r>
        <w:rPr>
          <w:w w:val="105"/>
        </w:rPr>
        <w:t>commitments primarily with regards to future purchases of aircraft, payment of debt, and lease arrangements.</w:t>
      </w:r>
    </w:p>
    <w:p>
      <w:pPr>
        <w:pStyle w:val="BodyText"/>
        <w:spacing w:line="254" w:lineRule="auto" w:before="1"/>
        <w:ind w:left="140" w:right="279" w:firstLine="180"/>
        <w:jc w:val="both"/>
      </w:pPr>
      <w:r>
        <w:rPr>
          <w:w w:val="110"/>
        </w:rPr>
        <w:t>As of February 1, 2003, Southwest is scheduled to take delivery of 17 new 737-700 aircraft from Boeing  in  2003,  23  in  2004,  24  in  2005,  22  in</w:t>
      </w:r>
    </w:p>
    <w:p>
      <w:pPr>
        <w:pStyle w:val="BodyText"/>
        <w:spacing w:line="254" w:lineRule="auto" w:before="1"/>
        <w:ind w:left="140" w:right="263"/>
        <w:jc w:val="both"/>
      </w:pPr>
      <w:r>
        <w:rPr>
          <w:w w:val="110"/>
        </w:rPr>
        <w:t>2006, 25 in 2007, and six in 2008. The Company also has a total of 79 purchase options for new 737-700 aircraft for years 2004 through 2008 and purchase rights for an additional 217 737-700s during 2007–2012. The Company has the option, which must be exercised two years prior to the contractual delivery date, to substitute 737-600s or 737-800s for the 737-700s.</w:t>
      </w:r>
    </w:p>
    <w:p>
      <w:pPr>
        <w:pStyle w:val="BodyText"/>
        <w:spacing w:line="254" w:lineRule="auto" w:before="1"/>
        <w:ind w:left="140" w:right="275" w:firstLine="180"/>
        <w:jc w:val="both"/>
      </w:pPr>
      <w:r>
        <w:rPr>
          <w:spacing w:val="4"/>
          <w:w w:val="105"/>
        </w:rPr>
        <w:t>The following </w:t>
      </w:r>
      <w:r>
        <w:rPr>
          <w:spacing w:val="2"/>
          <w:w w:val="105"/>
        </w:rPr>
        <w:t>table </w:t>
      </w:r>
      <w:r>
        <w:rPr>
          <w:spacing w:val="4"/>
          <w:w w:val="105"/>
        </w:rPr>
        <w:t>aggregates </w:t>
      </w:r>
      <w:r>
        <w:rPr>
          <w:spacing w:val="2"/>
          <w:w w:val="105"/>
        </w:rPr>
        <w:t>the </w:t>
      </w:r>
      <w:r>
        <w:rPr>
          <w:spacing w:val="6"/>
          <w:w w:val="105"/>
        </w:rPr>
        <w:t>Company’s </w:t>
      </w:r>
      <w:r>
        <w:rPr>
          <w:spacing w:val="7"/>
          <w:w w:val="105"/>
        </w:rPr>
        <w:t>expected </w:t>
      </w:r>
      <w:r>
        <w:rPr>
          <w:spacing w:val="5"/>
          <w:w w:val="105"/>
        </w:rPr>
        <w:t>contractual </w:t>
      </w:r>
      <w:r>
        <w:rPr>
          <w:spacing w:val="6"/>
          <w:w w:val="105"/>
        </w:rPr>
        <w:t>obligations</w:t>
      </w:r>
      <w:r>
        <w:rPr>
          <w:spacing w:val="59"/>
          <w:w w:val="105"/>
        </w:rPr>
        <w:t> </w:t>
      </w:r>
      <w:r>
        <w:rPr>
          <w:spacing w:val="8"/>
          <w:w w:val="105"/>
        </w:rPr>
        <w:t>and commit- </w:t>
      </w:r>
      <w:r>
        <w:rPr>
          <w:spacing w:val="7"/>
          <w:w w:val="105"/>
        </w:rPr>
        <w:t>ments    subsequent    </w:t>
      </w:r>
      <w:r>
        <w:rPr>
          <w:w w:val="105"/>
        </w:rPr>
        <w:t>to     </w:t>
      </w:r>
      <w:r>
        <w:rPr>
          <w:spacing w:val="9"/>
          <w:w w:val="105"/>
        </w:rPr>
        <w:t>December    </w:t>
      </w:r>
      <w:r>
        <w:rPr>
          <w:w w:val="105"/>
        </w:rPr>
        <w:t>31,    2002:</w:t>
      </w:r>
    </w:p>
    <w:p>
      <w:pPr>
        <w:spacing w:after="0" w:line="254" w:lineRule="auto"/>
        <w:jc w:val="both"/>
        <w:sectPr>
          <w:headerReference w:type="default" r:id="rId94"/>
          <w:pgSz w:w="11520" w:h="14400"/>
          <w:pgMar w:header="0" w:footer="706" w:top="960" w:bottom="900" w:left="660" w:right="680"/>
          <w:cols w:num="2" w:equalWidth="0">
            <w:col w:w="4777" w:space="363"/>
            <w:col w:w="5040"/>
          </w:cols>
        </w:sectPr>
      </w:pPr>
    </w:p>
    <w:p>
      <w:pPr>
        <w:pStyle w:val="BodyText"/>
        <w:spacing w:before="3"/>
        <w:rPr>
          <w:sz w:val="17"/>
        </w:rPr>
      </w:pPr>
    </w:p>
    <w:p>
      <w:pPr>
        <w:tabs>
          <w:tab w:pos="5079" w:val="left" w:leader="none"/>
          <w:tab w:pos="10079" w:val="left" w:leader="none"/>
        </w:tabs>
        <w:spacing w:before="96"/>
        <w:ind w:left="139" w:right="0" w:firstLine="3320"/>
        <w:jc w:val="left"/>
        <w:rPr>
          <w:i/>
          <w:sz w:val="16"/>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Payments   </w:t>
      </w:r>
      <w:r>
        <w:rPr>
          <w:rFonts w:ascii="Franklin Gothic Medium"/>
          <w:sz w:val="18"/>
          <w:u w:val="single"/>
        </w:rPr>
        <w:t>due  by  period   </w:t>
      </w:r>
      <w:r>
        <w:rPr>
          <w:i/>
          <w:spacing w:val="2"/>
          <w:sz w:val="16"/>
          <w:u w:val="single"/>
        </w:rPr>
        <w:t>(in </w:t>
      </w:r>
      <w:r>
        <w:rPr>
          <w:i/>
          <w:spacing w:val="12"/>
          <w:sz w:val="16"/>
          <w:u w:val="single"/>
        </w:rPr>
        <w:t> </w:t>
      </w:r>
      <w:r>
        <w:rPr>
          <w:i/>
          <w:spacing w:val="3"/>
          <w:sz w:val="16"/>
          <w:u w:val="single"/>
        </w:rPr>
        <w:t>thousands)</w:t>
        <w:tab/>
      </w:r>
    </w:p>
    <w:p>
      <w:pPr>
        <w:pStyle w:val="BodyText"/>
        <w:spacing w:before="5" w:after="1"/>
        <w:rPr>
          <w:i/>
          <w:sz w:val="14"/>
        </w:r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353"/>
        <w:gridCol w:w="1341"/>
        <w:gridCol w:w="1319"/>
        <w:gridCol w:w="1281"/>
        <w:gridCol w:w="1358"/>
        <w:gridCol w:w="1321"/>
      </w:tblGrid>
      <w:tr>
        <w:trPr>
          <w:trHeight w:val="197" w:hRule="exact"/>
        </w:trPr>
        <w:tc>
          <w:tcPr>
            <w:tcW w:w="4693" w:type="dxa"/>
            <w:gridSpan w:val="2"/>
          </w:tcPr>
          <w:p>
            <w:pPr/>
          </w:p>
        </w:tc>
        <w:tc>
          <w:tcPr>
            <w:tcW w:w="1319" w:type="dxa"/>
          </w:tcPr>
          <w:p>
            <w:pPr>
              <w:pStyle w:val="TableParagraph"/>
              <w:spacing w:line="199" w:lineRule="exact"/>
              <w:ind w:left="490"/>
              <w:rPr>
                <w:rFonts w:ascii="Franklin Gothic Medium"/>
                <w:sz w:val="18"/>
              </w:rPr>
            </w:pPr>
            <w:r>
              <w:rPr>
                <w:rFonts w:ascii="Franklin Gothic Medium"/>
                <w:sz w:val="18"/>
              </w:rPr>
              <w:t>2004-</w:t>
            </w:r>
          </w:p>
        </w:tc>
        <w:tc>
          <w:tcPr>
            <w:tcW w:w="1281" w:type="dxa"/>
          </w:tcPr>
          <w:p>
            <w:pPr>
              <w:pStyle w:val="TableParagraph"/>
              <w:spacing w:line="199" w:lineRule="exact"/>
              <w:ind w:left="471"/>
              <w:rPr>
                <w:rFonts w:ascii="Franklin Gothic Medium"/>
                <w:sz w:val="18"/>
              </w:rPr>
            </w:pPr>
            <w:r>
              <w:rPr>
                <w:rFonts w:ascii="Franklin Gothic Medium"/>
                <w:sz w:val="18"/>
              </w:rPr>
              <w:t>2006-</w:t>
            </w:r>
          </w:p>
        </w:tc>
        <w:tc>
          <w:tcPr>
            <w:tcW w:w="1358" w:type="dxa"/>
          </w:tcPr>
          <w:p>
            <w:pPr>
              <w:pStyle w:val="TableParagraph"/>
              <w:spacing w:line="199" w:lineRule="exact"/>
              <w:ind w:left="379"/>
              <w:rPr>
                <w:rFonts w:ascii="Franklin Gothic Medium"/>
                <w:sz w:val="18"/>
              </w:rPr>
            </w:pPr>
            <w:r>
              <w:rPr>
                <w:rFonts w:ascii="Franklin Gothic Medium"/>
                <w:sz w:val="18"/>
              </w:rPr>
              <w:t>Beyond</w:t>
            </w:r>
          </w:p>
        </w:tc>
        <w:tc>
          <w:tcPr>
            <w:tcW w:w="1321" w:type="dxa"/>
          </w:tcPr>
          <w:p>
            <w:pPr/>
          </w:p>
        </w:tc>
      </w:tr>
      <w:tr>
        <w:trPr>
          <w:trHeight w:val="213" w:hRule="exact"/>
        </w:trPr>
        <w:tc>
          <w:tcPr>
            <w:tcW w:w="3353" w:type="dxa"/>
          </w:tcPr>
          <w:p>
            <w:pPr>
              <w:pStyle w:val="TableParagraph"/>
              <w:spacing w:line="212" w:lineRule="exact"/>
              <w:ind w:left="32"/>
              <w:rPr>
                <w:sz w:val="10"/>
              </w:rPr>
            </w:pPr>
            <w:r>
              <w:rPr>
                <w:w w:val="105"/>
                <w:sz w:val="18"/>
              </w:rPr>
              <w:t>Contractual   obligations</w:t>
            </w:r>
            <w:r>
              <w:rPr>
                <w:w w:val="105"/>
                <w:position w:val="8"/>
                <w:sz w:val="10"/>
              </w:rPr>
              <w:t>( 1)</w:t>
            </w:r>
          </w:p>
        </w:tc>
        <w:tc>
          <w:tcPr>
            <w:tcW w:w="1341" w:type="dxa"/>
            <w:tcBorders>
              <w:bottom w:val="single" w:sz="8" w:space="0" w:color="000000"/>
            </w:tcBorders>
          </w:tcPr>
          <w:p>
            <w:pPr>
              <w:pStyle w:val="TableParagraph"/>
              <w:spacing w:line="202" w:lineRule="exact"/>
              <w:ind w:left="536"/>
              <w:rPr>
                <w:rFonts w:ascii="Franklin Gothic Medium"/>
                <w:sz w:val="18"/>
              </w:rPr>
            </w:pPr>
            <w:r>
              <w:rPr>
                <w:rFonts w:ascii="Franklin Gothic Medium"/>
                <w:sz w:val="18"/>
              </w:rPr>
              <w:t>2003</w:t>
            </w:r>
          </w:p>
        </w:tc>
        <w:tc>
          <w:tcPr>
            <w:tcW w:w="1319" w:type="dxa"/>
            <w:tcBorders>
              <w:bottom w:val="single" w:sz="8" w:space="0" w:color="000000"/>
            </w:tcBorders>
          </w:tcPr>
          <w:p>
            <w:pPr>
              <w:pStyle w:val="TableParagraph"/>
              <w:spacing w:line="202" w:lineRule="exact"/>
              <w:ind w:left="496"/>
              <w:rPr>
                <w:rFonts w:ascii="Franklin Gothic Medium"/>
                <w:sz w:val="18"/>
              </w:rPr>
            </w:pPr>
            <w:r>
              <w:rPr>
                <w:rFonts w:ascii="Franklin Gothic Medium"/>
                <w:sz w:val="18"/>
              </w:rPr>
              <w:t>2005</w:t>
            </w:r>
          </w:p>
        </w:tc>
        <w:tc>
          <w:tcPr>
            <w:tcW w:w="1281" w:type="dxa"/>
            <w:tcBorders>
              <w:bottom w:val="single" w:sz="8" w:space="0" w:color="000000"/>
            </w:tcBorders>
          </w:tcPr>
          <w:p>
            <w:pPr>
              <w:pStyle w:val="TableParagraph"/>
              <w:spacing w:line="202" w:lineRule="exact"/>
              <w:ind w:left="477"/>
              <w:rPr>
                <w:rFonts w:ascii="Franklin Gothic Medium"/>
                <w:sz w:val="18"/>
              </w:rPr>
            </w:pPr>
            <w:r>
              <w:rPr>
                <w:rFonts w:ascii="Franklin Gothic Medium"/>
                <w:sz w:val="18"/>
              </w:rPr>
              <w:t>2007</w:t>
            </w:r>
          </w:p>
        </w:tc>
        <w:tc>
          <w:tcPr>
            <w:tcW w:w="1358" w:type="dxa"/>
            <w:tcBorders>
              <w:bottom w:val="single" w:sz="8" w:space="0" w:color="000000"/>
            </w:tcBorders>
          </w:tcPr>
          <w:p>
            <w:pPr>
              <w:pStyle w:val="TableParagraph"/>
              <w:spacing w:line="202" w:lineRule="exact"/>
              <w:ind w:left="457" w:right="438"/>
              <w:jc w:val="center"/>
              <w:rPr>
                <w:rFonts w:ascii="Franklin Gothic Medium"/>
                <w:sz w:val="18"/>
              </w:rPr>
            </w:pPr>
            <w:r>
              <w:rPr>
                <w:rFonts w:ascii="Franklin Gothic Medium"/>
                <w:sz w:val="18"/>
              </w:rPr>
              <w:t>2007</w:t>
            </w:r>
          </w:p>
        </w:tc>
        <w:tc>
          <w:tcPr>
            <w:tcW w:w="1321" w:type="dxa"/>
            <w:tcBorders>
              <w:bottom w:val="single" w:sz="8" w:space="0" w:color="000000"/>
            </w:tcBorders>
          </w:tcPr>
          <w:p>
            <w:pPr>
              <w:pStyle w:val="TableParagraph"/>
              <w:spacing w:line="202" w:lineRule="exact"/>
              <w:ind w:left="457" w:right="441"/>
              <w:jc w:val="center"/>
              <w:rPr>
                <w:rFonts w:ascii="Franklin Gothic Medium"/>
                <w:sz w:val="18"/>
              </w:rPr>
            </w:pPr>
            <w:r>
              <w:rPr>
                <w:rFonts w:ascii="Franklin Gothic Medium"/>
                <w:sz w:val="18"/>
              </w:rPr>
              <w:t>Total</w:t>
            </w:r>
          </w:p>
        </w:tc>
      </w:tr>
      <w:tr>
        <w:trPr>
          <w:trHeight w:val="307" w:hRule="exact"/>
        </w:trPr>
        <w:tc>
          <w:tcPr>
            <w:tcW w:w="3353" w:type="dxa"/>
          </w:tcPr>
          <w:p>
            <w:pPr>
              <w:pStyle w:val="TableParagraph"/>
              <w:spacing w:before="58"/>
              <w:ind w:left="32"/>
              <w:rPr>
                <w:sz w:val="18"/>
              </w:rPr>
            </w:pPr>
            <w:r>
              <w:rPr>
                <w:sz w:val="18"/>
              </w:rPr>
              <w:t>Long-term  debt</w:t>
            </w:r>
          </w:p>
        </w:tc>
        <w:tc>
          <w:tcPr>
            <w:tcW w:w="1341" w:type="dxa"/>
            <w:tcBorders>
              <w:top w:val="single" w:sz="8" w:space="0" w:color="000000"/>
            </w:tcBorders>
          </w:tcPr>
          <w:p>
            <w:pPr>
              <w:pStyle w:val="TableParagraph"/>
              <w:spacing w:before="48"/>
              <w:ind w:right="177"/>
              <w:jc w:val="right"/>
              <w:rPr>
                <w:sz w:val="18"/>
              </w:rPr>
            </w:pPr>
            <w:r>
              <w:rPr>
                <w:w w:val="120"/>
                <w:sz w:val="18"/>
              </w:rPr>
              <w:t>$  120,797</w:t>
            </w:r>
          </w:p>
        </w:tc>
        <w:tc>
          <w:tcPr>
            <w:tcW w:w="1319" w:type="dxa"/>
            <w:tcBorders>
              <w:top w:val="single" w:sz="8" w:space="0" w:color="000000"/>
            </w:tcBorders>
          </w:tcPr>
          <w:p>
            <w:pPr>
              <w:pStyle w:val="TableParagraph"/>
              <w:tabs>
                <w:tab w:pos="320" w:val="left" w:leader="none"/>
              </w:tabs>
              <w:spacing w:before="48"/>
              <w:ind w:right="138"/>
              <w:jc w:val="right"/>
              <w:rPr>
                <w:sz w:val="18"/>
              </w:rPr>
            </w:pPr>
            <w:r>
              <w:rPr>
                <w:w w:val="120"/>
                <w:sz w:val="18"/>
              </w:rPr>
              <w:t>$</w:t>
              <w:tab/>
            </w:r>
            <w:r>
              <w:rPr>
                <w:spacing w:val="-1"/>
                <w:w w:val="115"/>
                <w:sz w:val="18"/>
              </w:rPr>
              <w:t>320,320</w:t>
            </w:r>
          </w:p>
        </w:tc>
        <w:tc>
          <w:tcPr>
            <w:tcW w:w="1281" w:type="dxa"/>
            <w:tcBorders>
              <w:top w:val="single" w:sz="8" w:space="0" w:color="000000"/>
            </w:tcBorders>
          </w:tcPr>
          <w:p>
            <w:pPr>
              <w:pStyle w:val="TableParagraph"/>
              <w:spacing w:before="48"/>
              <w:ind w:right="177"/>
              <w:jc w:val="right"/>
              <w:rPr>
                <w:sz w:val="18"/>
              </w:rPr>
            </w:pPr>
            <w:r>
              <w:rPr>
                <w:w w:val="120"/>
                <w:sz w:val="18"/>
              </w:rPr>
              <w:t>$  637,588</w:t>
            </w:r>
          </w:p>
        </w:tc>
        <w:tc>
          <w:tcPr>
            <w:tcW w:w="1358" w:type="dxa"/>
            <w:tcBorders>
              <w:top w:val="single" w:sz="8" w:space="0" w:color="000000"/>
            </w:tcBorders>
          </w:tcPr>
          <w:p>
            <w:pPr>
              <w:pStyle w:val="TableParagraph"/>
              <w:tabs>
                <w:tab w:pos="320" w:val="left" w:leader="none"/>
              </w:tabs>
              <w:spacing w:before="48"/>
              <w:ind w:right="179"/>
              <w:jc w:val="right"/>
              <w:rPr>
                <w:sz w:val="18"/>
              </w:rPr>
            </w:pPr>
            <w:r>
              <w:rPr>
                <w:w w:val="120"/>
                <w:sz w:val="18"/>
              </w:rPr>
              <w:t>$</w:t>
              <w:tab/>
            </w:r>
            <w:r>
              <w:rPr>
                <w:spacing w:val="-1"/>
                <w:w w:val="115"/>
                <w:sz w:val="18"/>
              </w:rPr>
              <w:t>516,980</w:t>
            </w:r>
          </w:p>
        </w:tc>
        <w:tc>
          <w:tcPr>
            <w:tcW w:w="1321" w:type="dxa"/>
            <w:tcBorders>
              <w:top w:val="single" w:sz="8" w:space="0" w:color="000000"/>
            </w:tcBorders>
          </w:tcPr>
          <w:p>
            <w:pPr>
              <w:pStyle w:val="TableParagraph"/>
              <w:spacing w:before="48"/>
              <w:ind w:right="177"/>
              <w:jc w:val="right"/>
              <w:rPr>
                <w:sz w:val="18"/>
              </w:rPr>
            </w:pPr>
            <w:r>
              <w:rPr>
                <w:w w:val="115"/>
                <w:sz w:val="18"/>
              </w:rPr>
              <w:t>$1,595,685</w:t>
            </w:r>
          </w:p>
        </w:tc>
      </w:tr>
      <w:tr>
        <w:trPr>
          <w:trHeight w:val="283" w:hRule="exact"/>
        </w:trPr>
        <w:tc>
          <w:tcPr>
            <w:tcW w:w="3353" w:type="dxa"/>
          </w:tcPr>
          <w:p>
            <w:pPr>
              <w:pStyle w:val="TableParagraph"/>
              <w:spacing w:before="28"/>
              <w:ind w:left="32"/>
              <w:rPr>
                <w:sz w:val="10"/>
              </w:rPr>
            </w:pPr>
            <w:r>
              <w:rPr>
                <w:w w:val="110"/>
                <w:sz w:val="18"/>
              </w:rPr>
              <w:t>Capital lease commitments</w:t>
            </w:r>
            <w:r>
              <w:rPr>
                <w:w w:val="110"/>
                <w:position w:val="8"/>
                <w:sz w:val="10"/>
              </w:rPr>
              <w:t>( 2)</w:t>
            </w:r>
          </w:p>
        </w:tc>
        <w:tc>
          <w:tcPr>
            <w:tcW w:w="1341" w:type="dxa"/>
          </w:tcPr>
          <w:p>
            <w:pPr>
              <w:pStyle w:val="TableParagraph"/>
              <w:spacing w:before="32"/>
              <w:ind w:right="181"/>
              <w:jc w:val="right"/>
              <w:rPr>
                <w:sz w:val="18"/>
              </w:rPr>
            </w:pPr>
            <w:r>
              <w:rPr>
                <w:w w:val="115"/>
                <w:sz w:val="18"/>
              </w:rPr>
              <w:t>17,751</w:t>
            </w:r>
          </w:p>
        </w:tc>
        <w:tc>
          <w:tcPr>
            <w:tcW w:w="1319" w:type="dxa"/>
          </w:tcPr>
          <w:p>
            <w:pPr>
              <w:pStyle w:val="TableParagraph"/>
              <w:spacing w:before="32"/>
              <w:ind w:right="160"/>
              <w:jc w:val="right"/>
              <w:rPr>
                <w:sz w:val="18"/>
              </w:rPr>
            </w:pPr>
            <w:r>
              <w:rPr>
                <w:w w:val="115"/>
                <w:sz w:val="18"/>
              </w:rPr>
              <w:t>41,160</w:t>
            </w:r>
          </w:p>
        </w:tc>
        <w:tc>
          <w:tcPr>
            <w:tcW w:w="1281" w:type="dxa"/>
          </w:tcPr>
          <w:p>
            <w:pPr>
              <w:pStyle w:val="TableParagraph"/>
              <w:spacing w:before="32"/>
              <w:ind w:right="181"/>
              <w:jc w:val="right"/>
              <w:rPr>
                <w:sz w:val="18"/>
              </w:rPr>
            </w:pPr>
            <w:r>
              <w:rPr>
                <w:w w:val="115"/>
                <w:sz w:val="18"/>
              </w:rPr>
              <w:t>26,758</w:t>
            </w:r>
          </w:p>
        </w:tc>
        <w:tc>
          <w:tcPr>
            <w:tcW w:w="1358" w:type="dxa"/>
          </w:tcPr>
          <w:p>
            <w:pPr>
              <w:pStyle w:val="TableParagraph"/>
              <w:spacing w:before="32"/>
              <w:ind w:right="199"/>
              <w:jc w:val="right"/>
              <w:rPr>
                <w:sz w:val="18"/>
              </w:rPr>
            </w:pPr>
            <w:r>
              <w:rPr>
                <w:w w:val="115"/>
                <w:sz w:val="18"/>
              </w:rPr>
              <w:t>52,016</w:t>
            </w:r>
          </w:p>
        </w:tc>
        <w:tc>
          <w:tcPr>
            <w:tcW w:w="1321" w:type="dxa"/>
          </w:tcPr>
          <w:p>
            <w:pPr>
              <w:pStyle w:val="TableParagraph"/>
              <w:spacing w:before="32"/>
              <w:ind w:right="158"/>
              <w:jc w:val="right"/>
              <w:rPr>
                <w:sz w:val="18"/>
              </w:rPr>
            </w:pPr>
            <w:r>
              <w:rPr>
                <w:w w:val="115"/>
                <w:sz w:val="18"/>
              </w:rPr>
              <w:t>137,685</w:t>
            </w:r>
          </w:p>
        </w:tc>
      </w:tr>
      <w:tr>
        <w:trPr>
          <w:trHeight w:val="280" w:hRule="exact"/>
        </w:trPr>
        <w:tc>
          <w:tcPr>
            <w:tcW w:w="3353" w:type="dxa"/>
          </w:tcPr>
          <w:p>
            <w:pPr>
              <w:pStyle w:val="TableParagraph"/>
              <w:spacing w:before="28"/>
              <w:ind w:left="32"/>
              <w:rPr>
                <w:sz w:val="18"/>
              </w:rPr>
            </w:pPr>
            <w:r>
              <w:rPr>
                <w:w w:val="105"/>
                <w:sz w:val="18"/>
              </w:rPr>
              <w:t>Operating   lease  commitments</w:t>
            </w:r>
          </w:p>
        </w:tc>
        <w:tc>
          <w:tcPr>
            <w:tcW w:w="1341" w:type="dxa"/>
          </w:tcPr>
          <w:p>
            <w:pPr>
              <w:pStyle w:val="TableParagraph"/>
              <w:spacing w:before="28"/>
              <w:ind w:right="159"/>
              <w:jc w:val="right"/>
              <w:rPr>
                <w:sz w:val="18"/>
              </w:rPr>
            </w:pPr>
            <w:r>
              <w:rPr>
                <w:w w:val="115"/>
                <w:sz w:val="18"/>
              </w:rPr>
              <w:t>281,042</w:t>
            </w:r>
          </w:p>
        </w:tc>
        <w:tc>
          <w:tcPr>
            <w:tcW w:w="1319" w:type="dxa"/>
          </w:tcPr>
          <w:p>
            <w:pPr>
              <w:pStyle w:val="TableParagraph"/>
              <w:spacing w:before="28"/>
              <w:ind w:right="138"/>
              <w:jc w:val="right"/>
              <w:rPr>
                <w:sz w:val="18"/>
              </w:rPr>
            </w:pPr>
            <w:r>
              <w:rPr>
                <w:w w:val="115"/>
                <w:sz w:val="18"/>
              </w:rPr>
              <w:t>496,371</w:t>
            </w:r>
          </w:p>
        </w:tc>
        <w:tc>
          <w:tcPr>
            <w:tcW w:w="1281" w:type="dxa"/>
          </w:tcPr>
          <w:p>
            <w:pPr>
              <w:pStyle w:val="TableParagraph"/>
              <w:spacing w:before="28"/>
              <w:ind w:right="160"/>
              <w:jc w:val="right"/>
              <w:rPr>
                <w:sz w:val="18"/>
              </w:rPr>
            </w:pPr>
            <w:r>
              <w:rPr>
                <w:w w:val="115"/>
                <w:sz w:val="18"/>
              </w:rPr>
              <w:t>365,403</w:t>
            </w:r>
          </w:p>
        </w:tc>
        <w:tc>
          <w:tcPr>
            <w:tcW w:w="1358" w:type="dxa"/>
          </w:tcPr>
          <w:p>
            <w:pPr>
              <w:pStyle w:val="TableParagraph"/>
              <w:spacing w:before="28"/>
              <w:ind w:right="177"/>
              <w:jc w:val="right"/>
              <w:rPr>
                <w:sz w:val="18"/>
              </w:rPr>
            </w:pPr>
            <w:r>
              <w:rPr>
                <w:w w:val="115"/>
                <w:sz w:val="18"/>
              </w:rPr>
              <w:t>1,459,961</w:t>
            </w:r>
          </w:p>
        </w:tc>
        <w:tc>
          <w:tcPr>
            <w:tcW w:w="1321" w:type="dxa"/>
          </w:tcPr>
          <w:p>
            <w:pPr>
              <w:pStyle w:val="TableParagraph"/>
              <w:spacing w:before="28"/>
              <w:ind w:right="158"/>
              <w:jc w:val="right"/>
              <w:rPr>
                <w:sz w:val="18"/>
              </w:rPr>
            </w:pPr>
            <w:r>
              <w:rPr>
                <w:w w:val="115"/>
                <w:sz w:val="18"/>
              </w:rPr>
              <w:t>2,602,777</w:t>
            </w:r>
          </w:p>
        </w:tc>
      </w:tr>
      <w:tr>
        <w:trPr>
          <w:trHeight w:val="250" w:hRule="exact"/>
        </w:trPr>
        <w:tc>
          <w:tcPr>
            <w:tcW w:w="3353" w:type="dxa"/>
          </w:tcPr>
          <w:p>
            <w:pPr>
              <w:pStyle w:val="TableParagraph"/>
              <w:spacing w:before="28"/>
              <w:ind w:left="32"/>
              <w:rPr>
                <w:sz w:val="18"/>
              </w:rPr>
            </w:pPr>
            <w:r>
              <w:rPr>
                <w:w w:val="105"/>
                <w:sz w:val="18"/>
              </w:rPr>
              <w:t>Aircraft   purchase  commitments</w:t>
            </w:r>
          </w:p>
        </w:tc>
        <w:tc>
          <w:tcPr>
            <w:tcW w:w="1341" w:type="dxa"/>
            <w:tcBorders>
              <w:bottom w:val="single" w:sz="8" w:space="0" w:color="000000"/>
            </w:tcBorders>
          </w:tcPr>
          <w:p>
            <w:pPr>
              <w:pStyle w:val="TableParagraph"/>
              <w:spacing w:before="28"/>
              <w:ind w:right="159"/>
              <w:jc w:val="right"/>
              <w:rPr>
                <w:sz w:val="18"/>
              </w:rPr>
            </w:pPr>
            <w:r>
              <w:rPr>
                <w:w w:val="115"/>
                <w:sz w:val="18"/>
              </w:rPr>
              <w:t>597,097</w:t>
            </w:r>
          </w:p>
        </w:tc>
        <w:tc>
          <w:tcPr>
            <w:tcW w:w="1319" w:type="dxa"/>
            <w:tcBorders>
              <w:bottom w:val="single" w:sz="8" w:space="0" w:color="000000"/>
            </w:tcBorders>
          </w:tcPr>
          <w:p>
            <w:pPr>
              <w:pStyle w:val="TableParagraph"/>
              <w:spacing w:before="28"/>
              <w:ind w:right="139"/>
              <w:jc w:val="right"/>
              <w:rPr>
                <w:sz w:val="18"/>
              </w:rPr>
            </w:pPr>
            <w:r>
              <w:rPr>
                <w:w w:val="115"/>
                <w:sz w:val="18"/>
              </w:rPr>
              <w:t>1,394,569</w:t>
            </w:r>
          </w:p>
        </w:tc>
        <w:tc>
          <w:tcPr>
            <w:tcW w:w="1281" w:type="dxa"/>
            <w:tcBorders>
              <w:bottom w:val="single" w:sz="8" w:space="0" w:color="000000"/>
            </w:tcBorders>
          </w:tcPr>
          <w:p>
            <w:pPr>
              <w:pStyle w:val="TableParagraph"/>
              <w:spacing w:before="28"/>
              <w:ind w:right="158"/>
              <w:jc w:val="right"/>
              <w:rPr>
                <w:sz w:val="18"/>
              </w:rPr>
            </w:pPr>
            <w:r>
              <w:rPr>
                <w:w w:val="115"/>
                <w:sz w:val="18"/>
              </w:rPr>
              <w:t>1,139,891</w:t>
            </w:r>
          </w:p>
        </w:tc>
        <w:tc>
          <w:tcPr>
            <w:tcW w:w="1358" w:type="dxa"/>
            <w:tcBorders>
              <w:bottom w:val="single" w:sz="8" w:space="0" w:color="000000"/>
            </w:tcBorders>
          </w:tcPr>
          <w:p>
            <w:pPr>
              <w:pStyle w:val="TableParagraph"/>
              <w:spacing w:before="28"/>
              <w:ind w:right="177"/>
              <w:jc w:val="right"/>
              <w:rPr>
                <w:sz w:val="18"/>
              </w:rPr>
            </w:pPr>
            <w:r>
              <w:rPr>
                <w:w w:val="115"/>
                <w:sz w:val="18"/>
              </w:rPr>
              <w:t>104,924</w:t>
            </w:r>
          </w:p>
        </w:tc>
        <w:tc>
          <w:tcPr>
            <w:tcW w:w="1321" w:type="dxa"/>
            <w:tcBorders>
              <w:bottom w:val="single" w:sz="8" w:space="0" w:color="000000"/>
            </w:tcBorders>
          </w:tcPr>
          <w:p>
            <w:pPr>
              <w:pStyle w:val="TableParagraph"/>
              <w:spacing w:before="28"/>
              <w:ind w:right="158"/>
              <w:jc w:val="right"/>
              <w:rPr>
                <w:sz w:val="18"/>
              </w:rPr>
            </w:pPr>
            <w:r>
              <w:rPr>
                <w:w w:val="115"/>
                <w:sz w:val="18"/>
              </w:rPr>
              <w:t>3,236,481</w:t>
            </w:r>
          </w:p>
        </w:tc>
      </w:tr>
    </w:tbl>
    <w:p>
      <w:pPr>
        <w:tabs>
          <w:tab w:pos="3459" w:val="left" w:leader="none"/>
          <w:tab w:pos="4961" w:val="left" w:leader="none"/>
          <w:tab w:pos="6256" w:val="left" w:leader="none"/>
          <w:tab w:pos="7560" w:val="left" w:leader="none"/>
          <w:tab w:pos="8937" w:val="left" w:leader="none"/>
        </w:tabs>
        <w:spacing w:before="58"/>
        <w:ind w:left="139" w:right="0" w:firstLine="0"/>
        <w:jc w:val="left"/>
        <w:rPr>
          <w:sz w:val="18"/>
        </w:rPr>
      </w:pPr>
      <w:r>
        <w:rPr>
          <w:spacing w:val="2"/>
          <w:w w:val="115"/>
          <w:sz w:val="18"/>
        </w:rPr>
        <w:t>Total  contractual</w:t>
      </w:r>
      <w:r>
        <w:rPr>
          <w:spacing w:val="25"/>
          <w:w w:val="115"/>
          <w:sz w:val="18"/>
        </w:rPr>
        <w:t> </w:t>
      </w:r>
      <w:r>
        <w:rPr>
          <w:spacing w:val="2"/>
          <w:w w:val="115"/>
          <w:sz w:val="18"/>
        </w:rPr>
        <w:t>cash</w:t>
      </w:r>
      <w:r>
        <w:rPr>
          <w:spacing w:val="37"/>
          <w:w w:val="115"/>
          <w:sz w:val="18"/>
        </w:rPr>
        <w:t> </w:t>
      </w:r>
      <w:r>
        <w:rPr>
          <w:spacing w:val="2"/>
          <w:w w:val="115"/>
          <w:sz w:val="18"/>
        </w:rPr>
        <w:t>obligations</w:t>
        <w:tab/>
      </w:r>
      <w:r>
        <w:rPr>
          <w:w w:val="115"/>
          <w:sz w:val="18"/>
          <w:u w:val="single"/>
        </w:rPr>
        <w:t>$1,016,687</w:t>
        <w:tab/>
        <w:t>$</w:t>
      </w:r>
      <w:r>
        <w:rPr>
          <w:spacing w:val="10"/>
          <w:w w:val="115"/>
          <w:sz w:val="18"/>
          <w:u w:val="single"/>
        </w:rPr>
        <w:t> </w:t>
      </w:r>
      <w:r>
        <w:rPr>
          <w:w w:val="115"/>
          <w:sz w:val="18"/>
          <w:u w:val="single"/>
        </w:rPr>
        <w:t>2,252,420</w:t>
        <w:tab/>
        <w:t>$2,169,640</w:t>
        <w:tab/>
        <w:t>$</w:t>
      </w:r>
      <w:r>
        <w:rPr>
          <w:spacing w:val="11"/>
          <w:w w:val="115"/>
          <w:sz w:val="18"/>
          <w:u w:val="single"/>
        </w:rPr>
        <w:t> </w:t>
      </w:r>
      <w:r>
        <w:rPr>
          <w:w w:val="115"/>
          <w:sz w:val="18"/>
          <w:u w:val="single"/>
        </w:rPr>
        <w:t>2,133,881</w:t>
        <w:tab/>
        <w:t>$7,572,628</w:t>
      </w:r>
      <w:r>
        <w:rPr>
          <w:spacing w:val="16"/>
          <w:sz w:val="18"/>
          <w:u w:val="single"/>
        </w:rPr>
        <w:t> </w:t>
      </w:r>
    </w:p>
    <w:p>
      <w:pPr>
        <w:pStyle w:val="BodyText"/>
        <w:spacing w:before="8"/>
        <w:rPr>
          <w:sz w:val="21"/>
        </w:rPr>
      </w:pPr>
    </w:p>
    <w:p>
      <w:pPr>
        <w:pStyle w:val="ListParagraph"/>
        <w:numPr>
          <w:ilvl w:val="0"/>
          <w:numId w:val="3"/>
        </w:numPr>
        <w:tabs>
          <w:tab w:pos="376" w:val="left" w:leader="none"/>
        </w:tabs>
        <w:spacing w:line="240" w:lineRule="auto" w:before="94" w:after="0"/>
        <w:ind w:left="375" w:right="0" w:hanging="235"/>
        <w:jc w:val="left"/>
        <w:rPr>
          <w:sz w:val="16"/>
        </w:rPr>
      </w:pPr>
      <w:r>
        <w:rPr>
          <w:w w:val="105"/>
          <w:sz w:val="16"/>
        </w:rPr>
        <w:t>Does  not  include   other  commitments  for  the  purchase  of  goods  and  services  which  in  the  aggregate  are</w:t>
      </w:r>
      <w:r>
        <w:rPr>
          <w:spacing w:val="26"/>
          <w:w w:val="105"/>
          <w:sz w:val="16"/>
        </w:rPr>
        <w:t> </w:t>
      </w:r>
      <w:r>
        <w:rPr>
          <w:w w:val="105"/>
          <w:sz w:val="16"/>
        </w:rPr>
        <w:t>immaterial.</w:t>
      </w:r>
    </w:p>
    <w:p>
      <w:pPr>
        <w:pStyle w:val="ListParagraph"/>
        <w:numPr>
          <w:ilvl w:val="0"/>
          <w:numId w:val="3"/>
        </w:numPr>
        <w:tabs>
          <w:tab w:pos="392" w:val="left" w:leader="none"/>
        </w:tabs>
        <w:spacing w:line="240" w:lineRule="auto" w:before="84" w:after="0"/>
        <w:ind w:left="391" w:right="0" w:hanging="251"/>
        <w:jc w:val="left"/>
        <w:rPr>
          <w:sz w:val="16"/>
        </w:rPr>
      </w:pPr>
      <w:r>
        <w:rPr>
          <w:w w:val="110"/>
          <w:sz w:val="16"/>
        </w:rPr>
        <w:t>Includes  amounts  classified  as</w:t>
      </w:r>
      <w:r>
        <w:rPr>
          <w:spacing w:val="34"/>
          <w:w w:val="110"/>
          <w:sz w:val="16"/>
        </w:rPr>
        <w:t> </w:t>
      </w:r>
      <w:r>
        <w:rPr>
          <w:w w:val="110"/>
          <w:sz w:val="16"/>
        </w:rPr>
        <w:t>interest.</w:t>
      </w:r>
    </w:p>
    <w:p>
      <w:pPr>
        <w:pStyle w:val="BodyText"/>
        <w:spacing w:before="5"/>
        <w:rPr>
          <w:sz w:val="23"/>
        </w:rPr>
      </w:pPr>
    </w:p>
    <w:p>
      <w:pPr>
        <w:pStyle w:val="BodyText"/>
        <w:spacing w:line="254" w:lineRule="auto"/>
        <w:ind w:left="140" w:right="337" w:firstLine="180"/>
      </w:pPr>
      <w:r>
        <w:rPr>
          <w:spacing w:val="4"/>
          <w:w w:val="105"/>
        </w:rPr>
        <w:t>There were </w:t>
      </w:r>
      <w:r>
        <w:rPr>
          <w:spacing w:val="6"/>
          <w:w w:val="105"/>
        </w:rPr>
        <w:t>no outstanding borrowings </w:t>
      </w:r>
      <w:r>
        <w:rPr>
          <w:spacing w:val="9"/>
          <w:w w:val="105"/>
        </w:rPr>
        <w:t>under </w:t>
      </w:r>
      <w:r>
        <w:rPr>
          <w:spacing w:val="2"/>
          <w:w w:val="105"/>
        </w:rPr>
        <w:t>the </w:t>
      </w:r>
      <w:r>
        <w:rPr>
          <w:spacing w:val="6"/>
          <w:w w:val="105"/>
        </w:rPr>
        <w:t>revolving credit </w:t>
      </w:r>
      <w:r>
        <w:rPr>
          <w:spacing w:val="3"/>
          <w:w w:val="105"/>
        </w:rPr>
        <w:t>facility </w:t>
      </w:r>
      <w:r>
        <w:rPr>
          <w:spacing w:val="6"/>
          <w:w w:val="105"/>
        </w:rPr>
        <w:t>at </w:t>
      </w:r>
      <w:r>
        <w:rPr>
          <w:spacing w:val="9"/>
          <w:w w:val="105"/>
        </w:rPr>
        <w:t>December </w:t>
      </w:r>
      <w:r>
        <w:rPr>
          <w:w w:val="105"/>
        </w:rPr>
        <w:t>31, 2002.  </w:t>
      </w:r>
      <w:r>
        <w:rPr>
          <w:spacing w:val="2"/>
          <w:w w:val="105"/>
        </w:rPr>
        <w:t>See  </w:t>
      </w:r>
      <w:r>
        <w:rPr>
          <w:spacing w:val="4"/>
          <w:w w:val="105"/>
        </w:rPr>
        <w:t>Note </w:t>
      </w:r>
      <w:r>
        <w:rPr>
          <w:w w:val="105"/>
        </w:rPr>
        <w:t>6 to  </w:t>
      </w:r>
      <w:r>
        <w:rPr>
          <w:spacing w:val="2"/>
          <w:w w:val="105"/>
        </w:rPr>
        <w:t>the  </w:t>
      </w:r>
      <w:r>
        <w:rPr>
          <w:spacing w:val="6"/>
          <w:w w:val="105"/>
        </w:rPr>
        <w:t>consolidated </w:t>
      </w:r>
      <w:r>
        <w:rPr>
          <w:spacing w:val="8"/>
          <w:w w:val="105"/>
        </w:rPr>
        <w:t>financial </w:t>
      </w:r>
      <w:r>
        <w:rPr>
          <w:spacing w:val="4"/>
          <w:w w:val="105"/>
        </w:rPr>
        <w:t>statements for </w:t>
      </w:r>
      <w:r>
        <w:rPr>
          <w:spacing w:val="6"/>
          <w:w w:val="105"/>
        </w:rPr>
        <w:t>more</w:t>
      </w:r>
      <w:r>
        <w:rPr>
          <w:spacing w:val="52"/>
          <w:w w:val="105"/>
        </w:rPr>
        <w:t> </w:t>
      </w:r>
      <w:r>
        <w:rPr>
          <w:spacing w:val="8"/>
          <w:w w:val="105"/>
        </w:rPr>
        <w:t>information.</w:t>
      </w:r>
    </w:p>
    <w:p>
      <w:pPr>
        <w:spacing w:after="0" w:line="254" w:lineRule="auto"/>
        <w:sectPr>
          <w:type w:val="continuous"/>
          <w:pgSz w:w="11520" w:h="14400"/>
          <w:pgMar w:top="0" w:bottom="280" w:left="660" w:right="680"/>
        </w:sectPr>
      </w:pPr>
    </w:p>
    <w:p>
      <w:pPr>
        <w:pStyle w:val="BodyText"/>
        <w:spacing w:before="76"/>
        <w:ind w:left="100"/>
        <w:rPr>
          <w:rFonts w:ascii="Franklin Gothic Medium"/>
        </w:rPr>
      </w:pPr>
      <w:bookmarkStart w:name="Critical Accouting Policies and Estimate" w:id="31"/>
      <w:bookmarkEnd w:id="31"/>
      <w:r>
        <w:rPr/>
      </w:r>
      <w:r>
        <w:rPr>
          <w:rFonts w:ascii="Franklin Gothic Medium"/>
        </w:rPr>
        <w:t>Critical  Accounting  Policies  and Estimates</w:t>
      </w:r>
    </w:p>
    <w:p>
      <w:pPr>
        <w:pStyle w:val="BodyText"/>
        <w:spacing w:before="1"/>
        <w:rPr>
          <w:rFonts w:ascii="Franklin Gothic Medium"/>
          <w:sz w:val="25"/>
        </w:rPr>
      </w:pPr>
    </w:p>
    <w:p>
      <w:pPr>
        <w:pStyle w:val="BodyText"/>
        <w:spacing w:line="254" w:lineRule="auto" w:before="1"/>
        <w:ind w:left="100" w:right="2" w:firstLine="180"/>
        <w:jc w:val="both"/>
      </w:pPr>
      <w:r>
        <w:rPr>
          <w:w w:val="105"/>
        </w:rPr>
        <w:t>The Company’s  </w:t>
      </w:r>
      <w:r>
        <w:rPr>
          <w:spacing w:val="2"/>
          <w:w w:val="105"/>
        </w:rPr>
        <w:t>consolidated  financial  </w:t>
      </w:r>
      <w:r>
        <w:rPr>
          <w:w w:val="105"/>
        </w:rPr>
        <w:t>state- ments have </w:t>
      </w:r>
      <w:r>
        <w:rPr>
          <w:spacing w:val="2"/>
          <w:w w:val="105"/>
        </w:rPr>
        <w:t>been prepared </w:t>
      </w:r>
      <w:r>
        <w:rPr>
          <w:w w:val="105"/>
        </w:rPr>
        <w:t>in </w:t>
      </w:r>
      <w:r>
        <w:rPr>
          <w:spacing w:val="2"/>
          <w:w w:val="105"/>
        </w:rPr>
        <w:t>accordance  </w:t>
      </w:r>
      <w:r>
        <w:rPr>
          <w:spacing w:val="9"/>
          <w:w w:val="105"/>
        </w:rPr>
        <w:t>with </w:t>
      </w:r>
      <w:r>
        <w:rPr>
          <w:spacing w:val="2"/>
          <w:w w:val="105"/>
        </w:rPr>
        <w:t>United </w:t>
      </w:r>
      <w:r>
        <w:rPr>
          <w:w w:val="105"/>
        </w:rPr>
        <w:t>States generally </w:t>
      </w:r>
      <w:r>
        <w:rPr>
          <w:spacing w:val="2"/>
          <w:w w:val="105"/>
        </w:rPr>
        <w:t>accepted </w:t>
      </w:r>
      <w:r>
        <w:rPr>
          <w:spacing w:val="8"/>
          <w:w w:val="105"/>
        </w:rPr>
        <w:t>accounting </w:t>
      </w:r>
      <w:r>
        <w:rPr>
          <w:spacing w:val="2"/>
          <w:w w:val="105"/>
        </w:rPr>
        <w:t>principles </w:t>
      </w:r>
      <w:r>
        <w:rPr>
          <w:w w:val="105"/>
        </w:rPr>
        <w:t>(GAAP). The Company’s </w:t>
      </w:r>
      <w:r>
        <w:rPr>
          <w:spacing w:val="6"/>
          <w:w w:val="105"/>
        </w:rPr>
        <w:t>significant </w:t>
      </w:r>
      <w:r>
        <w:rPr>
          <w:spacing w:val="2"/>
          <w:w w:val="105"/>
        </w:rPr>
        <w:t>accounting  </w:t>
      </w:r>
      <w:r>
        <w:rPr>
          <w:w w:val="105"/>
        </w:rPr>
        <w:t>policies  are  </w:t>
      </w:r>
      <w:r>
        <w:rPr>
          <w:spacing w:val="2"/>
          <w:w w:val="105"/>
        </w:rPr>
        <w:t>described  </w:t>
      </w:r>
      <w:r>
        <w:rPr>
          <w:w w:val="105"/>
        </w:rPr>
        <w:t>in  Note   1   </w:t>
      </w:r>
      <w:r>
        <w:rPr>
          <w:spacing w:val="4"/>
          <w:w w:val="105"/>
        </w:rPr>
        <w:t>to </w:t>
      </w:r>
      <w:r>
        <w:rPr>
          <w:w w:val="105"/>
        </w:rPr>
        <w:t>the </w:t>
      </w:r>
      <w:r>
        <w:rPr>
          <w:spacing w:val="2"/>
          <w:w w:val="105"/>
        </w:rPr>
        <w:t>Consolidated Financial </w:t>
      </w:r>
      <w:r>
        <w:rPr>
          <w:w w:val="105"/>
        </w:rPr>
        <w:t>Statements. </w:t>
      </w:r>
      <w:r>
        <w:rPr>
          <w:spacing w:val="8"/>
          <w:w w:val="105"/>
        </w:rPr>
        <w:t>The </w:t>
      </w:r>
      <w:r>
        <w:rPr>
          <w:spacing w:val="2"/>
          <w:w w:val="105"/>
        </w:rPr>
        <w:t>preparation  </w:t>
      </w:r>
      <w:r>
        <w:rPr>
          <w:w w:val="105"/>
        </w:rPr>
        <w:t>of  </w:t>
      </w:r>
      <w:r>
        <w:rPr>
          <w:spacing w:val="2"/>
          <w:w w:val="105"/>
        </w:rPr>
        <w:t>financial  </w:t>
      </w:r>
      <w:r>
        <w:rPr>
          <w:w w:val="105"/>
        </w:rPr>
        <w:t>statements  in   </w:t>
      </w:r>
      <w:r>
        <w:rPr>
          <w:spacing w:val="6"/>
          <w:w w:val="105"/>
        </w:rPr>
        <w:t>accord- </w:t>
      </w:r>
      <w:r>
        <w:rPr>
          <w:w w:val="105"/>
        </w:rPr>
        <w:t>ance with GAAP requires the </w:t>
      </w:r>
      <w:r>
        <w:rPr>
          <w:spacing w:val="6"/>
          <w:w w:val="105"/>
        </w:rPr>
        <w:t>Company’s </w:t>
      </w:r>
      <w:r>
        <w:rPr>
          <w:spacing w:val="4"/>
          <w:w w:val="105"/>
        </w:rPr>
        <w:t>management </w:t>
      </w:r>
      <w:r>
        <w:rPr>
          <w:w w:val="105"/>
        </w:rPr>
        <w:t>to  make  estimates  and  </w:t>
      </w:r>
      <w:r>
        <w:rPr>
          <w:spacing w:val="6"/>
          <w:w w:val="105"/>
        </w:rPr>
        <w:t>assump- </w:t>
      </w:r>
      <w:r>
        <w:rPr>
          <w:w w:val="105"/>
        </w:rPr>
        <w:t>tions that affect the amounts reported in </w:t>
      </w:r>
      <w:r>
        <w:rPr>
          <w:spacing w:val="6"/>
          <w:w w:val="105"/>
        </w:rPr>
        <w:t>the </w:t>
      </w:r>
      <w:r>
        <w:rPr>
          <w:spacing w:val="2"/>
          <w:w w:val="105"/>
        </w:rPr>
        <w:t>consolidated financial </w:t>
      </w:r>
      <w:r>
        <w:rPr>
          <w:w w:val="105"/>
        </w:rPr>
        <w:t>statements and </w:t>
      </w:r>
      <w:r>
        <w:rPr>
          <w:spacing w:val="8"/>
          <w:w w:val="105"/>
        </w:rPr>
        <w:t>accom- </w:t>
      </w:r>
      <w:r>
        <w:rPr>
          <w:w w:val="105"/>
        </w:rPr>
        <w:t>panying footnotes. The Company’s estimates </w:t>
      </w:r>
      <w:r>
        <w:rPr>
          <w:spacing w:val="12"/>
          <w:w w:val="105"/>
        </w:rPr>
        <w:t>and </w:t>
      </w:r>
      <w:r>
        <w:rPr>
          <w:w w:val="105"/>
        </w:rPr>
        <w:t>assumptions are based on historical </w:t>
      </w:r>
      <w:r>
        <w:rPr>
          <w:spacing w:val="9"/>
          <w:w w:val="105"/>
        </w:rPr>
        <w:t>experiences  </w:t>
      </w:r>
      <w:r>
        <w:rPr>
          <w:w w:val="105"/>
        </w:rPr>
        <w:t>and changes in  the  business  </w:t>
      </w:r>
      <w:r>
        <w:rPr>
          <w:spacing w:val="9"/>
          <w:w w:val="105"/>
        </w:rPr>
        <w:t>environment. </w:t>
      </w:r>
      <w:r>
        <w:rPr>
          <w:w w:val="105"/>
        </w:rPr>
        <w:t>However, actual results may differ from </w:t>
      </w:r>
      <w:r>
        <w:rPr>
          <w:spacing w:val="6"/>
          <w:w w:val="105"/>
        </w:rPr>
        <w:t>estimates </w:t>
      </w:r>
      <w:r>
        <w:rPr>
          <w:spacing w:val="2"/>
          <w:w w:val="105"/>
        </w:rPr>
        <w:t>under different conditions, sometimes </w:t>
      </w:r>
      <w:r>
        <w:rPr>
          <w:spacing w:val="3"/>
          <w:w w:val="105"/>
        </w:rPr>
        <w:t>materially. </w:t>
      </w:r>
      <w:r>
        <w:rPr>
          <w:w w:val="105"/>
        </w:rPr>
        <w:t>Critical </w:t>
      </w:r>
      <w:r>
        <w:rPr>
          <w:spacing w:val="2"/>
          <w:w w:val="105"/>
        </w:rPr>
        <w:t>accounting </w:t>
      </w:r>
      <w:r>
        <w:rPr>
          <w:w w:val="105"/>
        </w:rPr>
        <w:t>policies and  estimates  </w:t>
      </w:r>
      <w:r>
        <w:rPr>
          <w:spacing w:val="6"/>
          <w:w w:val="105"/>
        </w:rPr>
        <w:t>are </w:t>
      </w:r>
      <w:r>
        <w:rPr>
          <w:w w:val="105"/>
        </w:rPr>
        <w:t>defined as those that are both  most  </w:t>
      </w:r>
      <w:r>
        <w:rPr>
          <w:spacing w:val="2"/>
          <w:w w:val="105"/>
        </w:rPr>
        <w:t>important  </w:t>
      </w:r>
      <w:r>
        <w:rPr>
          <w:spacing w:val="4"/>
          <w:w w:val="105"/>
        </w:rPr>
        <w:t>to </w:t>
      </w:r>
      <w:r>
        <w:rPr>
          <w:w w:val="105"/>
        </w:rPr>
        <w:t>the  portrayal  of  the   Company’s   </w:t>
      </w:r>
      <w:r>
        <w:rPr>
          <w:spacing w:val="8"/>
          <w:w w:val="105"/>
        </w:rPr>
        <w:t>financial </w:t>
      </w:r>
      <w:r>
        <w:rPr>
          <w:w w:val="105"/>
        </w:rPr>
        <w:t>condition and results and require </w:t>
      </w:r>
      <w:r>
        <w:rPr>
          <w:spacing w:val="8"/>
          <w:w w:val="105"/>
        </w:rPr>
        <w:t>management’s </w:t>
      </w:r>
      <w:r>
        <w:rPr>
          <w:w w:val="105"/>
        </w:rPr>
        <w:t>most subjective judgments. The Company’s </w:t>
      </w:r>
      <w:r>
        <w:rPr>
          <w:spacing w:val="6"/>
          <w:w w:val="105"/>
        </w:rPr>
        <w:t>most </w:t>
      </w:r>
      <w:r>
        <w:rPr>
          <w:w w:val="105"/>
        </w:rPr>
        <w:t>critical </w:t>
      </w:r>
      <w:r>
        <w:rPr>
          <w:spacing w:val="2"/>
          <w:w w:val="105"/>
        </w:rPr>
        <w:t>accounting </w:t>
      </w:r>
      <w:r>
        <w:rPr>
          <w:w w:val="105"/>
        </w:rPr>
        <w:t>policies and estimates </w:t>
      </w:r>
      <w:r>
        <w:rPr>
          <w:spacing w:val="6"/>
          <w:w w:val="105"/>
        </w:rPr>
        <w:t>are </w:t>
      </w:r>
      <w:r>
        <w:rPr>
          <w:spacing w:val="3"/>
          <w:w w:val="105"/>
        </w:rPr>
        <w:t>described </w:t>
      </w:r>
      <w:r>
        <w:rPr>
          <w:spacing w:val="23"/>
          <w:w w:val="105"/>
        </w:rPr>
        <w:t> </w:t>
      </w:r>
      <w:r>
        <w:rPr>
          <w:spacing w:val="4"/>
          <w:w w:val="105"/>
        </w:rPr>
        <w:t>below.</w:t>
      </w:r>
    </w:p>
    <w:p>
      <w:pPr>
        <w:pStyle w:val="BodyText"/>
        <w:spacing w:before="4"/>
        <w:rPr>
          <w:sz w:val="21"/>
        </w:rPr>
      </w:pPr>
    </w:p>
    <w:p>
      <w:pPr>
        <w:spacing w:before="1"/>
        <w:ind w:left="100" w:right="0" w:firstLine="0"/>
        <w:jc w:val="left"/>
        <w:rPr>
          <w:i/>
          <w:sz w:val="20"/>
        </w:rPr>
      </w:pPr>
      <w:r>
        <w:rPr>
          <w:i/>
          <w:w w:val="105"/>
          <w:sz w:val="20"/>
        </w:rPr>
        <w:t>Revenue  Recognition</w:t>
      </w:r>
    </w:p>
    <w:p>
      <w:pPr>
        <w:pStyle w:val="BodyText"/>
        <w:spacing w:before="7"/>
        <w:rPr>
          <w:i/>
          <w:sz w:val="22"/>
        </w:rPr>
      </w:pPr>
    </w:p>
    <w:p>
      <w:pPr>
        <w:pStyle w:val="BodyText"/>
        <w:spacing w:line="254" w:lineRule="auto"/>
        <w:ind w:left="100" w:firstLine="180"/>
        <w:jc w:val="both"/>
      </w:pPr>
      <w:r>
        <w:rPr>
          <w:w w:val="105"/>
        </w:rPr>
        <w:t>As </w:t>
      </w:r>
      <w:r>
        <w:rPr>
          <w:spacing w:val="2"/>
          <w:w w:val="105"/>
        </w:rPr>
        <w:t>described </w:t>
      </w:r>
      <w:r>
        <w:rPr>
          <w:w w:val="105"/>
        </w:rPr>
        <w:t>in Note 1 to the </w:t>
      </w:r>
      <w:r>
        <w:rPr>
          <w:spacing w:val="6"/>
          <w:w w:val="105"/>
        </w:rPr>
        <w:t>Consolidated </w:t>
      </w:r>
      <w:r>
        <w:rPr>
          <w:spacing w:val="2"/>
          <w:w w:val="105"/>
        </w:rPr>
        <w:t>Financial </w:t>
      </w:r>
      <w:r>
        <w:rPr>
          <w:w w:val="105"/>
        </w:rPr>
        <w:t>Statements, tickets sold are  </w:t>
      </w:r>
      <w:r>
        <w:rPr>
          <w:spacing w:val="4"/>
          <w:w w:val="105"/>
        </w:rPr>
        <w:t>initially </w:t>
      </w:r>
      <w:r>
        <w:rPr>
          <w:w w:val="105"/>
        </w:rPr>
        <w:t>deferred  as  “Air  traffic  liability.”   </w:t>
      </w:r>
      <w:r>
        <w:rPr>
          <w:spacing w:val="5"/>
          <w:w w:val="105"/>
        </w:rPr>
        <w:t>Passenger </w:t>
      </w:r>
      <w:r>
        <w:rPr>
          <w:spacing w:val="2"/>
          <w:w w:val="105"/>
        </w:rPr>
        <w:t>revenue </w:t>
      </w:r>
      <w:r>
        <w:rPr>
          <w:w w:val="105"/>
        </w:rPr>
        <w:t>is </w:t>
      </w:r>
      <w:r>
        <w:rPr>
          <w:spacing w:val="2"/>
          <w:w w:val="105"/>
        </w:rPr>
        <w:t>recognized </w:t>
      </w:r>
      <w:r>
        <w:rPr>
          <w:w w:val="105"/>
        </w:rPr>
        <w:t>and air traffic liability </w:t>
      </w:r>
      <w:r>
        <w:rPr>
          <w:spacing w:val="4"/>
          <w:w w:val="105"/>
        </w:rPr>
        <w:t>is </w:t>
      </w:r>
      <w:r>
        <w:rPr>
          <w:w w:val="105"/>
        </w:rPr>
        <w:t>reduced when the service is  </w:t>
      </w:r>
      <w:r>
        <w:rPr>
          <w:spacing w:val="3"/>
          <w:w w:val="105"/>
        </w:rPr>
        <w:t>provided</w:t>
      </w:r>
      <w:r>
        <w:rPr>
          <w:spacing w:val="53"/>
          <w:w w:val="105"/>
        </w:rPr>
        <w:t> </w:t>
      </w:r>
      <w:r>
        <w:rPr>
          <w:w w:val="105"/>
        </w:rPr>
        <w:t>(i.e.,  </w:t>
      </w:r>
      <w:r>
        <w:rPr>
          <w:spacing w:val="14"/>
          <w:w w:val="105"/>
        </w:rPr>
        <w:t>when </w:t>
      </w:r>
      <w:r>
        <w:rPr>
          <w:w w:val="105"/>
        </w:rPr>
        <w:t>the  flight  takes  place).  “Air  traffic  </w:t>
      </w:r>
      <w:r>
        <w:rPr>
          <w:spacing w:val="4"/>
          <w:w w:val="105"/>
        </w:rPr>
        <w:t>liability” </w:t>
      </w:r>
      <w:r>
        <w:rPr>
          <w:w w:val="105"/>
        </w:rPr>
        <w:t>primarily represents tickets sold for future </w:t>
      </w:r>
      <w:r>
        <w:rPr>
          <w:spacing w:val="4"/>
          <w:w w:val="105"/>
        </w:rPr>
        <w:t>travel </w:t>
      </w:r>
      <w:r>
        <w:rPr>
          <w:w w:val="105"/>
        </w:rPr>
        <w:t>dates  and  </w:t>
      </w:r>
      <w:r>
        <w:rPr>
          <w:spacing w:val="2"/>
          <w:w w:val="105"/>
        </w:rPr>
        <w:t>estimated  </w:t>
      </w:r>
      <w:r>
        <w:rPr>
          <w:w w:val="105"/>
        </w:rPr>
        <w:t>future  refunds,   </w:t>
      </w:r>
      <w:r>
        <w:rPr>
          <w:spacing w:val="8"/>
          <w:w w:val="105"/>
        </w:rPr>
        <w:t>exchanges, </w:t>
      </w:r>
      <w:r>
        <w:rPr>
          <w:w w:val="105"/>
        </w:rPr>
        <w:t>or forfeitures of tickets sold for past  travel  </w:t>
      </w:r>
      <w:r>
        <w:rPr>
          <w:spacing w:val="5"/>
          <w:w w:val="105"/>
        </w:rPr>
        <w:t>dates. </w:t>
      </w:r>
      <w:r>
        <w:rPr>
          <w:w w:val="105"/>
        </w:rPr>
        <w:t>The Company’s air traffic liability </w:t>
      </w:r>
      <w:r>
        <w:rPr>
          <w:spacing w:val="2"/>
          <w:w w:val="105"/>
        </w:rPr>
        <w:t>balance  </w:t>
      </w:r>
      <w:r>
        <w:rPr>
          <w:spacing w:val="4"/>
          <w:w w:val="105"/>
        </w:rPr>
        <w:t>at </w:t>
      </w:r>
      <w:r>
        <w:rPr>
          <w:w w:val="105"/>
        </w:rPr>
        <w:t>December  31,  2002,  was  $412.2   </w:t>
      </w:r>
      <w:r>
        <w:rPr>
          <w:spacing w:val="35"/>
          <w:w w:val="105"/>
        </w:rPr>
        <w:t> </w:t>
      </w:r>
      <w:r>
        <w:rPr>
          <w:w w:val="105"/>
        </w:rPr>
        <w:t>million.</w:t>
      </w:r>
    </w:p>
    <w:p>
      <w:pPr>
        <w:pStyle w:val="BodyText"/>
        <w:spacing w:line="254" w:lineRule="auto" w:before="1"/>
        <w:ind w:left="100" w:right="9" w:firstLine="180"/>
        <w:jc w:val="both"/>
      </w:pPr>
      <w:r>
        <w:rPr>
          <w:w w:val="105"/>
        </w:rPr>
        <w:t>The majority of the Company’s tickets sold </w:t>
      </w:r>
      <w:r>
        <w:rPr>
          <w:spacing w:val="6"/>
          <w:w w:val="105"/>
        </w:rPr>
        <w:t>are </w:t>
      </w:r>
      <w:r>
        <w:rPr>
          <w:spacing w:val="3"/>
          <w:w w:val="105"/>
        </w:rPr>
        <w:t>nonrefundable, </w:t>
      </w:r>
      <w:r>
        <w:rPr>
          <w:spacing w:val="2"/>
          <w:w w:val="105"/>
        </w:rPr>
        <w:t>which </w:t>
      </w:r>
      <w:r>
        <w:rPr>
          <w:w w:val="105"/>
        </w:rPr>
        <w:t>is the primary source </w:t>
      </w:r>
      <w:r>
        <w:rPr>
          <w:spacing w:val="6"/>
          <w:w w:val="105"/>
        </w:rPr>
        <w:t>of </w:t>
      </w:r>
      <w:r>
        <w:rPr>
          <w:w w:val="105"/>
        </w:rPr>
        <w:t>forfeited tickets. Tickets  that  are  sold  but  </w:t>
      </w:r>
      <w:r>
        <w:rPr>
          <w:spacing w:val="6"/>
          <w:w w:val="105"/>
        </w:rPr>
        <w:t>not  </w:t>
      </w:r>
      <w:r>
        <w:rPr>
          <w:w w:val="105"/>
        </w:rPr>
        <w:t>flown  on  the  travel  date  can  be  reused  </w:t>
      </w:r>
      <w:r>
        <w:rPr>
          <w:spacing w:val="2"/>
          <w:w w:val="105"/>
        </w:rPr>
        <w:t>for </w:t>
      </w:r>
      <w:r>
        <w:rPr>
          <w:w w:val="105"/>
        </w:rPr>
        <w:t>another flight, up to a year from  the  date  of  </w:t>
      </w:r>
      <w:r>
        <w:rPr>
          <w:spacing w:val="3"/>
          <w:w w:val="105"/>
        </w:rPr>
        <w:t>sale,</w:t>
      </w:r>
      <w:r>
        <w:rPr>
          <w:spacing w:val="53"/>
          <w:w w:val="105"/>
        </w:rPr>
        <w:t> </w:t>
      </w:r>
      <w:r>
        <w:rPr>
          <w:w w:val="105"/>
        </w:rPr>
        <w:t>or  can  be  refunded  (if  the  ticket  is  </w:t>
      </w:r>
      <w:r>
        <w:rPr>
          <w:spacing w:val="2"/>
          <w:w w:val="105"/>
        </w:rPr>
        <w:t>refundable).</w:t>
      </w:r>
      <w:r>
        <w:rPr>
          <w:spacing w:val="28"/>
          <w:w w:val="105"/>
        </w:rPr>
        <w:t> </w:t>
      </w:r>
      <w:r>
        <w:rPr>
          <w:w w:val="105"/>
        </w:rPr>
        <w:t>A</w:t>
      </w:r>
    </w:p>
    <w:p>
      <w:pPr>
        <w:pStyle w:val="BodyText"/>
        <w:spacing w:line="254" w:lineRule="auto" w:before="69"/>
        <w:ind w:left="100" w:right="105"/>
        <w:jc w:val="both"/>
      </w:pPr>
      <w:r>
        <w:rPr/>
        <w:br w:type="column"/>
      </w:r>
      <w:r>
        <w:rPr>
          <w:w w:val="105"/>
        </w:rPr>
        <w:t>small </w:t>
      </w:r>
      <w:r>
        <w:rPr>
          <w:spacing w:val="2"/>
          <w:w w:val="105"/>
        </w:rPr>
        <w:t>percentage </w:t>
      </w:r>
      <w:r>
        <w:rPr>
          <w:w w:val="105"/>
        </w:rPr>
        <w:t>of  tickets  (or  partial  tickets)  </w:t>
      </w:r>
      <w:r>
        <w:rPr>
          <w:spacing w:val="2"/>
          <w:w w:val="105"/>
        </w:rPr>
        <w:t>expire unused. </w:t>
      </w:r>
      <w:r>
        <w:rPr>
          <w:w w:val="105"/>
        </w:rPr>
        <w:t>Fully </w:t>
      </w:r>
      <w:r>
        <w:rPr>
          <w:spacing w:val="2"/>
          <w:w w:val="105"/>
        </w:rPr>
        <w:t>refundable </w:t>
      </w:r>
      <w:r>
        <w:rPr>
          <w:w w:val="105"/>
        </w:rPr>
        <w:t>tickets are rarely forfeited.  “Air  traffic  liability”   includes   </w:t>
      </w:r>
      <w:r>
        <w:rPr>
          <w:spacing w:val="12"/>
          <w:w w:val="105"/>
        </w:rPr>
        <w:t>an </w:t>
      </w:r>
      <w:r>
        <w:rPr>
          <w:w w:val="105"/>
        </w:rPr>
        <w:t>estimate of the </w:t>
      </w:r>
      <w:r>
        <w:rPr>
          <w:spacing w:val="2"/>
          <w:w w:val="105"/>
        </w:rPr>
        <w:t>amount </w:t>
      </w:r>
      <w:r>
        <w:rPr>
          <w:w w:val="105"/>
        </w:rPr>
        <w:t>of future  </w:t>
      </w:r>
      <w:r>
        <w:rPr>
          <w:spacing w:val="5"/>
          <w:w w:val="105"/>
        </w:rPr>
        <w:t>refunds, </w:t>
      </w:r>
      <w:r>
        <w:rPr>
          <w:spacing w:val="2"/>
          <w:w w:val="105"/>
        </w:rPr>
        <w:t>exchanges, </w:t>
      </w:r>
      <w:r>
        <w:rPr>
          <w:w w:val="105"/>
        </w:rPr>
        <w:t>and forfeitures for all </w:t>
      </w:r>
      <w:r>
        <w:rPr>
          <w:spacing w:val="2"/>
          <w:w w:val="105"/>
        </w:rPr>
        <w:t>unused  </w:t>
      </w:r>
      <w:r>
        <w:rPr>
          <w:spacing w:val="3"/>
          <w:w w:val="105"/>
        </w:rPr>
        <w:t>tickets </w:t>
      </w:r>
      <w:r>
        <w:rPr>
          <w:w w:val="105"/>
        </w:rPr>
        <w:t>once the flight date  has  passed.  These  </w:t>
      </w:r>
      <w:r>
        <w:rPr>
          <w:spacing w:val="6"/>
          <w:w w:val="105"/>
        </w:rPr>
        <w:t>estimates </w:t>
      </w:r>
      <w:r>
        <w:rPr>
          <w:w w:val="105"/>
        </w:rPr>
        <w:t>are based on historical  </w:t>
      </w:r>
      <w:r>
        <w:rPr>
          <w:spacing w:val="3"/>
          <w:w w:val="105"/>
        </w:rPr>
        <w:t>experience</w:t>
      </w:r>
      <w:r>
        <w:rPr>
          <w:spacing w:val="53"/>
          <w:w w:val="105"/>
        </w:rPr>
        <w:t> </w:t>
      </w:r>
      <w:r>
        <w:rPr>
          <w:w w:val="105"/>
        </w:rPr>
        <w:t>over  </w:t>
      </w:r>
      <w:r>
        <w:rPr>
          <w:spacing w:val="12"/>
          <w:w w:val="105"/>
        </w:rPr>
        <w:t>many </w:t>
      </w:r>
      <w:r>
        <w:rPr>
          <w:w w:val="105"/>
        </w:rPr>
        <w:t>years. The </w:t>
      </w:r>
      <w:r>
        <w:rPr>
          <w:spacing w:val="2"/>
          <w:w w:val="105"/>
        </w:rPr>
        <w:t>Company </w:t>
      </w:r>
      <w:r>
        <w:rPr>
          <w:w w:val="105"/>
        </w:rPr>
        <w:t>and </w:t>
      </w:r>
      <w:r>
        <w:rPr>
          <w:spacing w:val="2"/>
          <w:w w:val="105"/>
        </w:rPr>
        <w:t>members </w:t>
      </w:r>
      <w:r>
        <w:rPr>
          <w:w w:val="105"/>
        </w:rPr>
        <w:t>of the </w:t>
      </w:r>
      <w:r>
        <w:rPr>
          <w:spacing w:val="8"/>
          <w:w w:val="105"/>
        </w:rPr>
        <w:t>airline </w:t>
      </w:r>
      <w:r>
        <w:rPr>
          <w:w w:val="105"/>
        </w:rPr>
        <w:t>industry  </w:t>
      </w:r>
      <w:r>
        <w:rPr>
          <w:spacing w:val="2"/>
          <w:w w:val="105"/>
        </w:rPr>
        <w:t>have  </w:t>
      </w:r>
      <w:r>
        <w:rPr>
          <w:w w:val="105"/>
        </w:rPr>
        <w:t>consistently  </w:t>
      </w:r>
      <w:r>
        <w:rPr>
          <w:spacing w:val="2"/>
          <w:w w:val="105"/>
        </w:rPr>
        <w:t>applied  </w:t>
      </w:r>
      <w:r>
        <w:rPr>
          <w:w w:val="105"/>
        </w:rPr>
        <w:t>this   </w:t>
      </w:r>
      <w:r>
        <w:rPr>
          <w:spacing w:val="6"/>
          <w:w w:val="105"/>
        </w:rPr>
        <w:t>account- </w:t>
      </w:r>
      <w:r>
        <w:rPr>
          <w:w w:val="105"/>
        </w:rPr>
        <w:t>ing </w:t>
      </w:r>
      <w:r>
        <w:rPr>
          <w:spacing w:val="2"/>
          <w:w w:val="105"/>
        </w:rPr>
        <w:t>method </w:t>
      </w:r>
      <w:r>
        <w:rPr>
          <w:w w:val="105"/>
        </w:rPr>
        <w:t>to </w:t>
      </w:r>
      <w:r>
        <w:rPr>
          <w:spacing w:val="2"/>
          <w:w w:val="105"/>
        </w:rPr>
        <w:t>estimate </w:t>
      </w:r>
      <w:r>
        <w:rPr>
          <w:spacing w:val="3"/>
          <w:w w:val="105"/>
        </w:rPr>
        <w:t>revenue </w:t>
      </w:r>
      <w:r>
        <w:rPr>
          <w:w w:val="105"/>
        </w:rPr>
        <w:t>from </w:t>
      </w:r>
      <w:r>
        <w:rPr>
          <w:spacing w:val="6"/>
          <w:w w:val="105"/>
        </w:rPr>
        <w:t>forfeited </w:t>
      </w:r>
      <w:r>
        <w:rPr>
          <w:w w:val="105"/>
        </w:rPr>
        <w:t>tickets at the date travel is </w:t>
      </w:r>
      <w:r>
        <w:rPr>
          <w:spacing w:val="3"/>
          <w:w w:val="105"/>
        </w:rPr>
        <w:t>provided. </w:t>
      </w:r>
      <w:r>
        <w:rPr>
          <w:spacing w:val="7"/>
          <w:w w:val="105"/>
        </w:rPr>
        <w:t>Estimated </w:t>
      </w:r>
      <w:r>
        <w:rPr>
          <w:w w:val="105"/>
        </w:rPr>
        <w:t>future refunds and exchanges </w:t>
      </w:r>
      <w:r>
        <w:rPr>
          <w:spacing w:val="2"/>
          <w:w w:val="105"/>
        </w:rPr>
        <w:t>included </w:t>
      </w:r>
      <w:r>
        <w:rPr>
          <w:w w:val="105"/>
        </w:rPr>
        <w:t>in the </w:t>
      </w:r>
      <w:r>
        <w:rPr>
          <w:spacing w:val="6"/>
          <w:w w:val="105"/>
        </w:rPr>
        <w:t>air </w:t>
      </w:r>
      <w:r>
        <w:rPr>
          <w:w w:val="105"/>
        </w:rPr>
        <w:t>traffic liability </w:t>
      </w:r>
      <w:r>
        <w:rPr>
          <w:spacing w:val="2"/>
          <w:w w:val="105"/>
        </w:rPr>
        <w:t>account </w:t>
      </w:r>
      <w:r>
        <w:rPr>
          <w:w w:val="105"/>
        </w:rPr>
        <w:t>are constantly </w:t>
      </w:r>
      <w:r>
        <w:rPr>
          <w:spacing w:val="9"/>
          <w:w w:val="105"/>
        </w:rPr>
        <w:t>evaluated </w:t>
      </w:r>
      <w:r>
        <w:rPr>
          <w:spacing w:val="2"/>
          <w:w w:val="105"/>
        </w:rPr>
        <w:t>based  </w:t>
      </w:r>
      <w:r>
        <w:rPr>
          <w:w w:val="105"/>
        </w:rPr>
        <w:t>on  </w:t>
      </w:r>
      <w:r>
        <w:rPr>
          <w:spacing w:val="2"/>
          <w:w w:val="105"/>
        </w:rPr>
        <w:t>subsequent  </w:t>
      </w:r>
      <w:r>
        <w:rPr>
          <w:w w:val="105"/>
        </w:rPr>
        <w:t>refund  and   </w:t>
      </w:r>
      <w:r>
        <w:rPr>
          <w:spacing w:val="10"/>
          <w:w w:val="105"/>
        </w:rPr>
        <w:t>exchange </w:t>
      </w:r>
      <w:r>
        <w:rPr>
          <w:w w:val="105"/>
        </w:rPr>
        <w:t>activity to validate the accuracy of the </w:t>
      </w:r>
      <w:r>
        <w:rPr>
          <w:spacing w:val="6"/>
          <w:w w:val="105"/>
        </w:rPr>
        <w:t>Company’s </w:t>
      </w:r>
      <w:r>
        <w:rPr>
          <w:w w:val="105"/>
        </w:rPr>
        <w:t>estimates with respect to forfeited tickets.  </w:t>
      </w:r>
      <w:r>
        <w:rPr>
          <w:spacing w:val="7"/>
          <w:w w:val="105"/>
        </w:rPr>
        <w:t>Events </w:t>
      </w:r>
      <w:r>
        <w:rPr>
          <w:w w:val="105"/>
        </w:rPr>
        <w:t>and </w:t>
      </w:r>
      <w:r>
        <w:rPr>
          <w:spacing w:val="2"/>
          <w:w w:val="105"/>
        </w:rPr>
        <w:t>circumstances outside </w:t>
      </w:r>
      <w:r>
        <w:rPr>
          <w:w w:val="105"/>
        </w:rPr>
        <w:t>of historical fare </w:t>
      </w:r>
      <w:r>
        <w:rPr>
          <w:spacing w:val="4"/>
          <w:w w:val="105"/>
        </w:rPr>
        <w:t>sale </w:t>
      </w:r>
      <w:r>
        <w:rPr>
          <w:w w:val="105"/>
        </w:rPr>
        <w:t>activity or historical Customer travel patterns </w:t>
      </w:r>
      <w:r>
        <w:rPr>
          <w:spacing w:val="8"/>
          <w:w w:val="105"/>
        </w:rPr>
        <w:t>can </w:t>
      </w:r>
      <w:r>
        <w:rPr>
          <w:w w:val="105"/>
        </w:rPr>
        <w:t>result in actual refunds, </w:t>
      </w:r>
      <w:r>
        <w:rPr>
          <w:spacing w:val="2"/>
          <w:w w:val="105"/>
        </w:rPr>
        <w:t>exchanges, </w:t>
      </w:r>
      <w:r>
        <w:rPr>
          <w:w w:val="105"/>
        </w:rPr>
        <w:t>or </w:t>
      </w:r>
      <w:r>
        <w:rPr>
          <w:spacing w:val="6"/>
          <w:w w:val="105"/>
        </w:rPr>
        <w:t>forfeited </w:t>
      </w:r>
      <w:r>
        <w:rPr>
          <w:w w:val="105"/>
        </w:rPr>
        <w:t>tickets differing significantly from </w:t>
      </w:r>
      <w:r>
        <w:rPr>
          <w:spacing w:val="5"/>
          <w:w w:val="105"/>
        </w:rPr>
        <w:t>estimates; </w:t>
      </w:r>
      <w:r>
        <w:rPr>
          <w:spacing w:val="2"/>
          <w:w w:val="105"/>
        </w:rPr>
        <w:t>however, </w:t>
      </w:r>
      <w:r>
        <w:rPr>
          <w:w w:val="105"/>
        </w:rPr>
        <w:t>these </w:t>
      </w:r>
      <w:r>
        <w:rPr>
          <w:spacing w:val="2"/>
          <w:w w:val="105"/>
        </w:rPr>
        <w:t>differences have </w:t>
      </w:r>
      <w:r>
        <w:rPr>
          <w:w w:val="105"/>
        </w:rPr>
        <w:t>historically  </w:t>
      </w:r>
      <w:r>
        <w:rPr>
          <w:spacing w:val="6"/>
          <w:w w:val="105"/>
        </w:rPr>
        <w:t>not </w:t>
      </w:r>
      <w:r>
        <w:rPr>
          <w:w w:val="105"/>
        </w:rPr>
        <w:t>been material. </w:t>
      </w:r>
      <w:r>
        <w:rPr>
          <w:spacing w:val="3"/>
          <w:w w:val="105"/>
        </w:rPr>
        <w:t>Additional </w:t>
      </w:r>
      <w:r>
        <w:rPr>
          <w:w w:val="105"/>
        </w:rPr>
        <w:t>factors that may </w:t>
      </w:r>
      <w:r>
        <w:rPr>
          <w:spacing w:val="4"/>
          <w:w w:val="105"/>
        </w:rPr>
        <w:t>affect </w:t>
      </w:r>
      <w:r>
        <w:rPr>
          <w:spacing w:val="2"/>
          <w:w w:val="105"/>
        </w:rPr>
        <w:t>estimated  </w:t>
      </w:r>
      <w:r>
        <w:rPr>
          <w:w w:val="105"/>
        </w:rPr>
        <w:t>refunds  include,  but  may  not   </w:t>
      </w:r>
      <w:r>
        <w:rPr>
          <w:spacing w:val="12"/>
          <w:w w:val="105"/>
        </w:rPr>
        <w:t>be  </w:t>
      </w:r>
      <w:r>
        <w:rPr>
          <w:spacing w:val="2"/>
          <w:w w:val="105"/>
        </w:rPr>
        <w:t>limited </w:t>
      </w:r>
      <w:r>
        <w:rPr>
          <w:w w:val="105"/>
        </w:rPr>
        <w:t>to, the Company’s refund and </w:t>
      </w:r>
      <w:r>
        <w:rPr>
          <w:spacing w:val="10"/>
          <w:w w:val="105"/>
        </w:rPr>
        <w:t>exchange </w:t>
      </w:r>
      <w:r>
        <w:rPr>
          <w:w w:val="105"/>
        </w:rPr>
        <w:t>policy, the mix of </w:t>
      </w:r>
      <w:r>
        <w:rPr>
          <w:spacing w:val="2"/>
          <w:w w:val="105"/>
        </w:rPr>
        <w:t>refundable </w:t>
      </w:r>
      <w:r>
        <w:rPr>
          <w:w w:val="105"/>
        </w:rPr>
        <w:t>and </w:t>
      </w:r>
      <w:r>
        <w:rPr>
          <w:spacing w:val="9"/>
          <w:w w:val="105"/>
        </w:rPr>
        <w:t>nonrefundable </w:t>
      </w:r>
      <w:r>
        <w:rPr>
          <w:w w:val="105"/>
        </w:rPr>
        <w:t>fares, and fare sale activity. The </w:t>
      </w:r>
      <w:r>
        <w:rPr>
          <w:spacing w:val="6"/>
          <w:w w:val="105"/>
        </w:rPr>
        <w:t>Company’s </w:t>
      </w:r>
      <w:r>
        <w:rPr>
          <w:spacing w:val="2"/>
          <w:w w:val="105"/>
        </w:rPr>
        <w:t>estimation techniques have been </w:t>
      </w:r>
      <w:r>
        <w:rPr>
          <w:spacing w:val="3"/>
          <w:w w:val="105"/>
        </w:rPr>
        <w:t>consistently </w:t>
      </w:r>
      <w:r>
        <w:rPr>
          <w:spacing w:val="2"/>
          <w:w w:val="105"/>
        </w:rPr>
        <w:t>applied </w:t>
      </w:r>
      <w:r>
        <w:rPr>
          <w:w w:val="105"/>
        </w:rPr>
        <w:t>from year to year; </w:t>
      </w:r>
      <w:r>
        <w:rPr>
          <w:spacing w:val="2"/>
          <w:w w:val="105"/>
        </w:rPr>
        <w:t>however, </w:t>
      </w:r>
      <w:r>
        <w:rPr>
          <w:w w:val="105"/>
        </w:rPr>
        <w:t>as with </w:t>
      </w:r>
      <w:r>
        <w:rPr>
          <w:spacing w:val="6"/>
          <w:w w:val="105"/>
        </w:rPr>
        <w:t>any </w:t>
      </w:r>
      <w:r>
        <w:rPr>
          <w:w w:val="105"/>
        </w:rPr>
        <w:t>estimates,  actual  refund  and  </w:t>
      </w:r>
      <w:r>
        <w:rPr>
          <w:spacing w:val="3"/>
          <w:w w:val="105"/>
        </w:rPr>
        <w:t>exchange</w:t>
      </w:r>
      <w:r>
        <w:rPr>
          <w:spacing w:val="53"/>
          <w:w w:val="105"/>
        </w:rPr>
        <w:t> </w:t>
      </w:r>
      <w:r>
        <w:rPr>
          <w:spacing w:val="5"/>
          <w:w w:val="105"/>
        </w:rPr>
        <w:t>activity </w:t>
      </w:r>
      <w:r>
        <w:rPr>
          <w:w w:val="105"/>
        </w:rPr>
        <w:t>may  vary  from  estimated </w:t>
      </w:r>
      <w:r>
        <w:rPr>
          <w:spacing w:val="18"/>
          <w:w w:val="105"/>
        </w:rPr>
        <w:t> </w:t>
      </w:r>
      <w:r>
        <w:rPr>
          <w:w w:val="105"/>
        </w:rPr>
        <w:t>amounts.</w:t>
      </w:r>
    </w:p>
    <w:p>
      <w:pPr>
        <w:pStyle w:val="BodyText"/>
        <w:spacing w:line="254" w:lineRule="auto"/>
        <w:ind w:left="100" w:right="107" w:firstLine="180"/>
        <w:jc w:val="both"/>
      </w:pPr>
      <w:r>
        <w:rPr>
          <w:spacing w:val="2"/>
          <w:w w:val="105"/>
        </w:rPr>
        <w:t>Since September </w:t>
      </w:r>
      <w:r>
        <w:rPr>
          <w:w w:val="105"/>
        </w:rPr>
        <w:t>2001, the </w:t>
      </w:r>
      <w:r>
        <w:rPr>
          <w:spacing w:val="2"/>
          <w:w w:val="105"/>
        </w:rPr>
        <w:t>Company </w:t>
      </w:r>
      <w:r>
        <w:rPr>
          <w:spacing w:val="6"/>
          <w:w w:val="105"/>
        </w:rPr>
        <w:t>has </w:t>
      </w:r>
      <w:r>
        <w:rPr>
          <w:spacing w:val="4"/>
          <w:w w:val="105"/>
        </w:rPr>
        <w:t>experienced  </w:t>
      </w:r>
      <w:r>
        <w:rPr>
          <w:w w:val="105"/>
        </w:rPr>
        <w:t>fluctuations  in   </w:t>
      </w:r>
      <w:r>
        <w:rPr>
          <w:spacing w:val="2"/>
          <w:w w:val="105"/>
        </w:rPr>
        <w:t>estimated   </w:t>
      </w:r>
      <w:r>
        <w:rPr>
          <w:spacing w:val="6"/>
          <w:w w:val="105"/>
        </w:rPr>
        <w:t>refunds </w:t>
      </w:r>
      <w:r>
        <w:rPr>
          <w:w w:val="105"/>
        </w:rPr>
        <w:t>and </w:t>
      </w:r>
      <w:r>
        <w:rPr>
          <w:spacing w:val="2"/>
          <w:w w:val="105"/>
        </w:rPr>
        <w:t>exchanges, </w:t>
      </w:r>
      <w:r>
        <w:rPr>
          <w:w w:val="105"/>
        </w:rPr>
        <w:t>and correspondingly, </w:t>
      </w:r>
      <w:r>
        <w:rPr>
          <w:spacing w:val="6"/>
          <w:w w:val="105"/>
        </w:rPr>
        <w:t>forfeited </w:t>
      </w:r>
      <w:r>
        <w:rPr>
          <w:w w:val="105"/>
        </w:rPr>
        <w:t>tickets, due to many of  the  factors  </w:t>
      </w:r>
      <w:r>
        <w:rPr>
          <w:spacing w:val="8"/>
          <w:w w:val="105"/>
        </w:rPr>
        <w:t>described  </w:t>
      </w:r>
      <w:r>
        <w:rPr>
          <w:spacing w:val="2"/>
          <w:w w:val="105"/>
        </w:rPr>
        <w:t>above.  </w:t>
      </w:r>
      <w:r>
        <w:rPr>
          <w:w w:val="105"/>
        </w:rPr>
        <w:t>Following  the  terrorist  events   </w:t>
      </w:r>
      <w:r>
        <w:rPr>
          <w:spacing w:val="6"/>
          <w:w w:val="105"/>
        </w:rPr>
        <w:t>of </w:t>
      </w:r>
      <w:r>
        <w:rPr>
          <w:spacing w:val="2"/>
          <w:w w:val="105"/>
        </w:rPr>
        <w:t>September </w:t>
      </w:r>
      <w:r>
        <w:rPr>
          <w:w w:val="105"/>
        </w:rPr>
        <w:t>11,  2001,  and  the  </w:t>
      </w:r>
      <w:r>
        <w:rPr>
          <w:spacing w:val="8"/>
          <w:w w:val="105"/>
        </w:rPr>
        <w:t>subsequent </w:t>
      </w:r>
      <w:r>
        <w:rPr>
          <w:w w:val="105"/>
        </w:rPr>
        <w:t>temporary shutdown of U.S. air space, </w:t>
      </w:r>
      <w:r>
        <w:rPr>
          <w:spacing w:val="5"/>
          <w:w w:val="105"/>
        </w:rPr>
        <w:t>Southwest </w:t>
      </w:r>
      <w:r>
        <w:rPr>
          <w:w w:val="105"/>
        </w:rPr>
        <w:t>temporarily suspended its normal refund policy </w:t>
      </w:r>
      <w:r>
        <w:rPr>
          <w:spacing w:val="12"/>
          <w:w w:val="105"/>
        </w:rPr>
        <w:t>in </w:t>
      </w:r>
      <w:r>
        <w:rPr>
          <w:w w:val="105"/>
        </w:rPr>
        <w:t>order to </w:t>
      </w:r>
      <w:r>
        <w:rPr>
          <w:spacing w:val="3"/>
          <w:w w:val="105"/>
        </w:rPr>
        <w:t>provide </w:t>
      </w:r>
      <w:r>
        <w:rPr>
          <w:w w:val="105"/>
        </w:rPr>
        <w:t>the highest Service to </w:t>
      </w:r>
      <w:r>
        <w:rPr>
          <w:spacing w:val="6"/>
          <w:w w:val="105"/>
        </w:rPr>
        <w:t>the </w:t>
      </w:r>
      <w:r>
        <w:rPr>
          <w:w w:val="105"/>
        </w:rPr>
        <w:t>Company’s Customers, including the </w:t>
      </w:r>
      <w:r>
        <w:rPr>
          <w:spacing w:val="2"/>
          <w:w w:val="105"/>
        </w:rPr>
        <w:t>refunding </w:t>
      </w:r>
      <w:r>
        <w:rPr>
          <w:spacing w:val="6"/>
          <w:w w:val="105"/>
        </w:rPr>
        <w:t>of </w:t>
      </w:r>
      <w:r>
        <w:rPr>
          <w:w w:val="105"/>
        </w:rPr>
        <w:t>nonrefundable  tickets  upon  Customer  request.  As  a  result,  the  </w:t>
      </w:r>
      <w:r>
        <w:rPr>
          <w:spacing w:val="2"/>
          <w:w w:val="105"/>
        </w:rPr>
        <w:t>Company  </w:t>
      </w:r>
      <w:r>
        <w:rPr>
          <w:spacing w:val="4"/>
          <w:w w:val="105"/>
        </w:rPr>
        <w:t>experienced   </w:t>
      </w:r>
      <w:r>
        <w:rPr>
          <w:spacing w:val="6"/>
          <w:w w:val="105"/>
        </w:rPr>
        <w:t>refunds </w:t>
      </w:r>
      <w:r>
        <w:rPr>
          <w:spacing w:val="2"/>
          <w:w w:val="105"/>
        </w:rPr>
        <w:t>during September </w:t>
      </w:r>
      <w:r>
        <w:rPr>
          <w:w w:val="105"/>
        </w:rPr>
        <w:t>2001 and through  </w:t>
      </w:r>
      <w:r>
        <w:rPr>
          <w:spacing w:val="10"/>
          <w:w w:val="105"/>
        </w:rPr>
        <w:t>December </w:t>
      </w:r>
      <w:r>
        <w:rPr>
          <w:w w:val="105"/>
        </w:rPr>
        <w:t>2001 far </w:t>
      </w:r>
      <w:r>
        <w:rPr>
          <w:spacing w:val="3"/>
          <w:w w:val="105"/>
        </w:rPr>
        <w:t>above </w:t>
      </w:r>
      <w:r>
        <w:rPr>
          <w:w w:val="105"/>
        </w:rPr>
        <w:t>historical  refund  levels  and  </w:t>
      </w:r>
      <w:r>
        <w:rPr>
          <w:spacing w:val="11"/>
          <w:w w:val="105"/>
        </w:rPr>
        <w:t>in </w:t>
      </w:r>
      <w:r>
        <w:rPr>
          <w:w w:val="105"/>
        </w:rPr>
        <w:t>excess  of   the   Company’s   contractual  </w:t>
      </w:r>
      <w:r>
        <w:rPr>
          <w:spacing w:val="6"/>
          <w:w w:val="105"/>
        </w:rPr>
        <w:t>obligations.</w:t>
      </w:r>
    </w:p>
    <w:p>
      <w:pPr>
        <w:spacing w:after="0" w:line="254" w:lineRule="auto"/>
        <w:jc w:val="both"/>
        <w:sectPr>
          <w:headerReference w:type="default" r:id="rId95"/>
          <w:footerReference w:type="default" r:id="rId96"/>
          <w:footerReference w:type="even" r:id="rId97"/>
          <w:pgSz w:w="11520" w:h="14400"/>
          <w:pgMar w:header="0" w:footer="706" w:top="960" w:bottom="900" w:left="700" w:right="840"/>
          <w:pgNumType w:start="23"/>
          <w:cols w:num="2" w:equalWidth="0">
            <w:col w:w="4735" w:space="405"/>
            <w:col w:w="4840"/>
          </w:cols>
        </w:sectPr>
      </w:pPr>
    </w:p>
    <w:p>
      <w:pPr>
        <w:pStyle w:val="BodyText"/>
        <w:spacing w:line="254" w:lineRule="auto" w:before="69"/>
        <w:ind w:left="100"/>
        <w:jc w:val="both"/>
      </w:pPr>
      <w:r>
        <w:rPr>
          <w:w w:val="105"/>
        </w:rPr>
        <w:t>In </w:t>
      </w:r>
      <w:r>
        <w:rPr>
          <w:spacing w:val="2"/>
          <w:w w:val="105"/>
        </w:rPr>
        <w:t>evaluating </w:t>
      </w:r>
      <w:r>
        <w:rPr>
          <w:w w:val="105"/>
        </w:rPr>
        <w:t>passenger </w:t>
      </w:r>
      <w:r>
        <w:rPr>
          <w:spacing w:val="3"/>
          <w:w w:val="105"/>
        </w:rPr>
        <w:t>revenue </w:t>
      </w:r>
      <w:r>
        <w:rPr>
          <w:w w:val="105"/>
        </w:rPr>
        <w:t>through </w:t>
      </w:r>
      <w:r>
        <w:rPr>
          <w:spacing w:val="7"/>
          <w:w w:val="105"/>
        </w:rPr>
        <w:t>third </w:t>
      </w:r>
      <w:r>
        <w:rPr>
          <w:w w:val="105"/>
        </w:rPr>
        <w:t>quarter 2001,  based  on  these  unusually  </w:t>
      </w:r>
      <w:r>
        <w:rPr>
          <w:spacing w:val="12"/>
          <w:w w:val="105"/>
        </w:rPr>
        <w:t>high </w:t>
      </w:r>
      <w:r>
        <w:rPr>
          <w:w w:val="105"/>
        </w:rPr>
        <w:t>refund levels, the </w:t>
      </w:r>
      <w:r>
        <w:rPr>
          <w:spacing w:val="2"/>
          <w:w w:val="105"/>
        </w:rPr>
        <w:t>Company estimated </w:t>
      </w:r>
      <w:r>
        <w:rPr>
          <w:spacing w:val="5"/>
          <w:w w:val="105"/>
        </w:rPr>
        <w:t>that </w:t>
      </w:r>
      <w:r>
        <w:rPr>
          <w:spacing w:val="3"/>
          <w:w w:val="105"/>
        </w:rPr>
        <w:t>approximately </w:t>
      </w:r>
      <w:r>
        <w:rPr>
          <w:w w:val="105"/>
        </w:rPr>
        <w:t>$30  million  of  these  </w:t>
      </w:r>
      <w:r>
        <w:rPr>
          <w:spacing w:val="6"/>
          <w:w w:val="105"/>
        </w:rPr>
        <w:t>refunds  </w:t>
      </w:r>
      <w:r>
        <w:rPr>
          <w:w w:val="105"/>
        </w:rPr>
        <w:t>related to </w:t>
      </w:r>
      <w:r>
        <w:rPr>
          <w:spacing w:val="3"/>
          <w:w w:val="105"/>
        </w:rPr>
        <w:t>revenue </w:t>
      </w:r>
      <w:r>
        <w:rPr>
          <w:w w:val="105"/>
        </w:rPr>
        <w:t>previously </w:t>
      </w:r>
      <w:r>
        <w:rPr>
          <w:spacing w:val="2"/>
          <w:w w:val="105"/>
        </w:rPr>
        <w:t>recognized </w:t>
      </w:r>
      <w:r>
        <w:rPr>
          <w:spacing w:val="3"/>
          <w:w w:val="105"/>
        </w:rPr>
        <w:t>for </w:t>
      </w:r>
      <w:r>
        <w:rPr>
          <w:spacing w:val="2"/>
          <w:w w:val="105"/>
        </w:rPr>
        <w:t>estimated forfeited </w:t>
      </w:r>
      <w:r>
        <w:rPr>
          <w:w w:val="105"/>
        </w:rPr>
        <w:t>tickets. As a  result,  </w:t>
      </w:r>
      <w:r>
        <w:rPr>
          <w:spacing w:val="6"/>
          <w:w w:val="105"/>
        </w:rPr>
        <w:t>the </w:t>
      </w:r>
      <w:r>
        <w:rPr>
          <w:spacing w:val="2"/>
          <w:w w:val="105"/>
        </w:rPr>
        <w:t>Company reduced </w:t>
      </w:r>
      <w:r>
        <w:rPr>
          <w:w w:val="105"/>
        </w:rPr>
        <w:t>third quarter 2001 </w:t>
      </w:r>
      <w:r>
        <w:rPr>
          <w:spacing w:val="5"/>
          <w:w w:val="105"/>
        </w:rPr>
        <w:t>“Passenger </w:t>
      </w:r>
      <w:r>
        <w:rPr>
          <w:spacing w:val="3"/>
          <w:w w:val="105"/>
        </w:rPr>
        <w:t>revenue” </w:t>
      </w:r>
      <w:r>
        <w:rPr>
          <w:w w:val="105"/>
        </w:rPr>
        <w:t>by $30 million and restored “Air </w:t>
      </w:r>
      <w:r>
        <w:rPr>
          <w:spacing w:val="3"/>
          <w:w w:val="105"/>
        </w:rPr>
        <w:t>traffic </w:t>
      </w:r>
      <w:r>
        <w:rPr>
          <w:w w:val="105"/>
        </w:rPr>
        <w:t>liability,” </w:t>
      </w:r>
      <w:r>
        <w:rPr>
          <w:spacing w:val="19"/>
          <w:w w:val="105"/>
        </w:rPr>
        <w:t> </w:t>
      </w:r>
      <w:r>
        <w:rPr>
          <w:spacing w:val="2"/>
          <w:w w:val="105"/>
        </w:rPr>
        <w:t>accordingly.</w:t>
      </w:r>
    </w:p>
    <w:p>
      <w:pPr>
        <w:pStyle w:val="BodyText"/>
        <w:spacing w:line="254" w:lineRule="auto"/>
        <w:ind w:left="100" w:firstLine="180"/>
        <w:jc w:val="both"/>
      </w:pPr>
      <w:r>
        <w:rPr>
          <w:spacing w:val="2"/>
          <w:w w:val="105"/>
        </w:rPr>
        <w:t>Subsequent </w:t>
      </w:r>
      <w:r>
        <w:rPr>
          <w:w w:val="105"/>
        </w:rPr>
        <w:t>to third quarter 2001 and </w:t>
      </w:r>
      <w:r>
        <w:rPr>
          <w:spacing w:val="6"/>
          <w:w w:val="105"/>
        </w:rPr>
        <w:t>through </w:t>
      </w:r>
      <w:r>
        <w:rPr>
          <w:w w:val="105"/>
        </w:rPr>
        <w:t>second  quarter   2002,  the  </w:t>
      </w:r>
      <w:r>
        <w:rPr>
          <w:spacing w:val="2"/>
          <w:w w:val="105"/>
        </w:rPr>
        <w:t>Company   </w:t>
      </w:r>
      <w:r>
        <w:rPr>
          <w:spacing w:val="10"/>
          <w:w w:val="105"/>
        </w:rPr>
        <w:t>experienced </w:t>
      </w:r>
      <w:r>
        <w:rPr>
          <w:w w:val="105"/>
        </w:rPr>
        <w:t>a higher than usual mix  of  low-fare,  </w:t>
      </w:r>
      <w:r>
        <w:rPr>
          <w:spacing w:val="8"/>
          <w:w w:val="105"/>
        </w:rPr>
        <w:t>nonrefund- </w:t>
      </w:r>
      <w:r>
        <w:rPr>
          <w:w w:val="105"/>
        </w:rPr>
        <w:t>able ticket sales. The </w:t>
      </w:r>
      <w:r>
        <w:rPr>
          <w:spacing w:val="2"/>
          <w:w w:val="105"/>
        </w:rPr>
        <w:t>Company </w:t>
      </w:r>
      <w:r>
        <w:rPr>
          <w:w w:val="105"/>
        </w:rPr>
        <w:t>also </w:t>
      </w:r>
      <w:r>
        <w:rPr>
          <w:spacing w:val="10"/>
          <w:w w:val="105"/>
        </w:rPr>
        <w:t>experienced </w:t>
      </w:r>
      <w:r>
        <w:rPr>
          <w:w w:val="105"/>
        </w:rPr>
        <w:t>changes  in  Customer   travel   patterns   </w:t>
      </w:r>
      <w:r>
        <w:rPr>
          <w:spacing w:val="3"/>
          <w:w w:val="105"/>
        </w:rPr>
        <w:t>resulting </w:t>
      </w:r>
      <w:r>
        <w:rPr>
          <w:w w:val="105"/>
        </w:rPr>
        <w:t>from various factors including new airport </w:t>
      </w:r>
      <w:r>
        <w:rPr>
          <w:spacing w:val="3"/>
          <w:w w:val="105"/>
        </w:rPr>
        <w:t>security </w:t>
      </w:r>
      <w:r>
        <w:rPr>
          <w:w w:val="105"/>
        </w:rPr>
        <w:t>measures,  concerns   about   further   terrorist attacks,  and  an  </w:t>
      </w:r>
      <w:r>
        <w:rPr>
          <w:spacing w:val="2"/>
          <w:w w:val="105"/>
        </w:rPr>
        <w:t>uncertain  economy.  </w:t>
      </w:r>
      <w:r>
        <w:rPr>
          <w:spacing w:val="4"/>
          <w:w w:val="105"/>
        </w:rPr>
        <w:t>Conse- </w:t>
      </w:r>
      <w:r>
        <w:rPr>
          <w:w w:val="105"/>
        </w:rPr>
        <w:t>quently, the </w:t>
      </w:r>
      <w:r>
        <w:rPr>
          <w:spacing w:val="2"/>
          <w:w w:val="105"/>
        </w:rPr>
        <w:t>Company recorded </w:t>
      </w:r>
      <w:r>
        <w:rPr>
          <w:w w:val="105"/>
        </w:rPr>
        <w:t>$36 million </w:t>
      </w:r>
      <w:r>
        <w:rPr>
          <w:spacing w:val="12"/>
          <w:w w:val="105"/>
        </w:rPr>
        <w:t>in </w:t>
      </w:r>
      <w:r>
        <w:rPr>
          <w:spacing w:val="3"/>
          <w:w w:val="105"/>
        </w:rPr>
        <w:t>additional </w:t>
      </w:r>
      <w:r>
        <w:rPr>
          <w:w w:val="105"/>
        </w:rPr>
        <w:t>passenger </w:t>
      </w:r>
      <w:r>
        <w:rPr>
          <w:spacing w:val="2"/>
          <w:w w:val="105"/>
        </w:rPr>
        <w:t>revenue </w:t>
      </w:r>
      <w:r>
        <w:rPr>
          <w:w w:val="105"/>
        </w:rPr>
        <w:t>in </w:t>
      </w:r>
      <w:r>
        <w:rPr>
          <w:spacing w:val="2"/>
          <w:w w:val="105"/>
        </w:rPr>
        <w:t>second  </w:t>
      </w:r>
      <w:r>
        <w:rPr>
          <w:spacing w:val="6"/>
          <w:w w:val="105"/>
        </w:rPr>
        <w:t>quarter </w:t>
      </w:r>
      <w:r>
        <w:rPr>
          <w:w w:val="105"/>
        </w:rPr>
        <w:t>2002 as Customers </w:t>
      </w:r>
      <w:r>
        <w:rPr>
          <w:spacing w:val="2"/>
          <w:w w:val="105"/>
        </w:rPr>
        <w:t>required </w:t>
      </w:r>
      <w:r>
        <w:rPr>
          <w:w w:val="105"/>
        </w:rPr>
        <w:t>fewer refunds </w:t>
      </w:r>
      <w:r>
        <w:rPr>
          <w:spacing w:val="11"/>
          <w:w w:val="105"/>
        </w:rPr>
        <w:t>and </w:t>
      </w:r>
      <w:r>
        <w:rPr>
          <w:w w:val="105"/>
        </w:rPr>
        <w:t>exchanges,  resulting  in  more  forfeited  </w:t>
      </w:r>
      <w:r>
        <w:rPr>
          <w:spacing w:val="38"/>
          <w:w w:val="105"/>
        </w:rPr>
        <w:t> </w:t>
      </w:r>
      <w:r>
        <w:rPr>
          <w:w w:val="105"/>
        </w:rPr>
        <w:t>tickets.</w:t>
      </w:r>
    </w:p>
    <w:p>
      <w:pPr>
        <w:pStyle w:val="BodyText"/>
        <w:spacing w:line="254" w:lineRule="auto"/>
        <w:ind w:left="100" w:right="2" w:firstLine="180"/>
        <w:jc w:val="both"/>
      </w:pPr>
      <w:r>
        <w:rPr>
          <w:w w:val="110"/>
        </w:rPr>
        <w:t>While the Company believes the current estimates included in “Air traffic liability” and “Passenger revenue” are reasonable, these esti- mates may continue to change based on refund, exchange, and forfeiture activity varying from pre- September  2001 patterns.</w:t>
      </w:r>
    </w:p>
    <w:p>
      <w:pPr>
        <w:pStyle w:val="BodyText"/>
        <w:spacing w:before="11"/>
        <w:rPr>
          <w:sz w:val="21"/>
        </w:rPr>
      </w:pPr>
    </w:p>
    <w:p>
      <w:pPr>
        <w:pStyle w:val="BodyText"/>
        <w:ind w:left="100"/>
        <w:jc w:val="both"/>
        <w:rPr>
          <w:rFonts w:ascii="Franklin Gothic Medium"/>
        </w:rPr>
      </w:pPr>
      <w:r>
        <w:rPr>
          <w:rFonts w:ascii="Franklin Gothic Medium"/>
        </w:rPr>
        <w:t>Accounting  for  Long-lived  Assets</w:t>
      </w:r>
    </w:p>
    <w:p>
      <w:pPr>
        <w:pStyle w:val="BodyText"/>
        <w:spacing w:before="2"/>
        <w:rPr>
          <w:rFonts w:ascii="Franklin Gothic Medium"/>
          <w:sz w:val="25"/>
        </w:rPr>
      </w:pPr>
    </w:p>
    <w:p>
      <w:pPr>
        <w:pStyle w:val="BodyText"/>
        <w:spacing w:line="254" w:lineRule="auto"/>
        <w:ind w:left="100" w:right="1" w:firstLine="180"/>
        <w:jc w:val="both"/>
      </w:pPr>
      <w:r>
        <w:rPr>
          <w:w w:val="105"/>
        </w:rPr>
        <w:t>As of </w:t>
      </w:r>
      <w:r>
        <w:rPr>
          <w:spacing w:val="3"/>
          <w:w w:val="105"/>
        </w:rPr>
        <w:t>December </w:t>
      </w:r>
      <w:r>
        <w:rPr>
          <w:w w:val="105"/>
        </w:rPr>
        <w:t>31, 2002, the </w:t>
      </w:r>
      <w:r>
        <w:rPr>
          <w:spacing w:val="2"/>
          <w:w w:val="105"/>
        </w:rPr>
        <w:t>Company </w:t>
      </w:r>
      <w:r>
        <w:rPr>
          <w:spacing w:val="12"/>
          <w:w w:val="105"/>
        </w:rPr>
        <w:t>had </w:t>
      </w:r>
      <w:r>
        <w:rPr>
          <w:spacing w:val="3"/>
          <w:w w:val="105"/>
        </w:rPr>
        <w:t>approximately </w:t>
      </w:r>
      <w:r>
        <w:rPr>
          <w:w w:val="105"/>
        </w:rPr>
        <w:t>$9.46 billion of long-lived assets, </w:t>
      </w:r>
      <w:r>
        <w:rPr>
          <w:spacing w:val="2"/>
          <w:w w:val="105"/>
        </w:rPr>
        <w:t>including </w:t>
      </w:r>
      <w:r>
        <w:rPr>
          <w:w w:val="105"/>
        </w:rPr>
        <w:t>$8.02 billion in flight </w:t>
      </w:r>
      <w:r>
        <w:rPr>
          <w:spacing w:val="4"/>
          <w:w w:val="105"/>
        </w:rPr>
        <w:t>equipment  </w:t>
      </w:r>
      <w:r>
        <w:rPr>
          <w:spacing w:val="12"/>
          <w:w w:val="105"/>
        </w:rPr>
        <w:t>and </w:t>
      </w:r>
      <w:r>
        <w:rPr>
          <w:w w:val="105"/>
        </w:rPr>
        <w:t>related  assets.  In   </w:t>
      </w:r>
      <w:r>
        <w:rPr>
          <w:spacing w:val="2"/>
          <w:w w:val="105"/>
        </w:rPr>
        <w:t>accounting   </w:t>
      </w:r>
      <w:r>
        <w:rPr>
          <w:w w:val="105"/>
        </w:rPr>
        <w:t>for   </w:t>
      </w:r>
      <w:r>
        <w:rPr>
          <w:spacing w:val="5"/>
          <w:w w:val="105"/>
        </w:rPr>
        <w:t>long-lived </w:t>
      </w:r>
      <w:r>
        <w:rPr>
          <w:w w:val="105"/>
        </w:rPr>
        <w:t>assets,   the   </w:t>
      </w:r>
      <w:r>
        <w:rPr>
          <w:spacing w:val="2"/>
          <w:w w:val="105"/>
        </w:rPr>
        <w:t>Company   </w:t>
      </w:r>
      <w:r>
        <w:rPr>
          <w:w w:val="105"/>
        </w:rPr>
        <w:t>must   make   </w:t>
      </w:r>
      <w:r>
        <w:rPr>
          <w:spacing w:val="6"/>
          <w:w w:val="105"/>
        </w:rPr>
        <w:t>estimates </w:t>
      </w:r>
      <w:r>
        <w:rPr>
          <w:w w:val="105"/>
        </w:rPr>
        <w:t>about the expected useful lives of the assets, </w:t>
      </w:r>
      <w:r>
        <w:rPr>
          <w:spacing w:val="6"/>
          <w:w w:val="105"/>
        </w:rPr>
        <w:t>the </w:t>
      </w:r>
      <w:r>
        <w:rPr>
          <w:spacing w:val="3"/>
          <w:w w:val="105"/>
        </w:rPr>
        <w:t>expected </w:t>
      </w:r>
      <w:r>
        <w:rPr>
          <w:w w:val="105"/>
        </w:rPr>
        <w:t>residual values of the assets, and </w:t>
      </w:r>
      <w:r>
        <w:rPr>
          <w:spacing w:val="6"/>
          <w:w w:val="105"/>
        </w:rPr>
        <w:t>the </w:t>
      </w:r>
      <w:r>
        <w:rPr>
          <w:w w:val="105"/>
        </w:rPr>
        <w:t>potential for  </w:t>
      </w:r>
      <w:r>
        <w:rPr>
          <w:spacing w:val="3"/>
          <w:w w:val="105"/>
        </w:rPr>
        <w:t>impairment</w:t>
      </w:r>
      <w:r>
        <w:rPr>
          <w:spacing w:val="53"/>
          <w:w w:val="105"/>
        </w:rPr>
        <w:t> </w:t>
      </w:r>
      <w:r>
        <w:rPr>
          <w:w w:val="105"/>
        </w:rPr>
        <w:t>based  on  the  fair  </w:t>
      </w:r>
      <w:r>
        <w:rPr>
          <w:spacing w:val="10"/>
          <w:w w:val="105"/>
        </w:rPr>
        <w:t>value </w:t>
      </w:r>
      <w:r>
        <w:rPr>
          <w:w w:val="105"/>
        </w:rPr>
        <w:t>of  the  assets  and  the  cash  flows  they generate.</w:t>
      </w:r>
    </w:p>
    <w:p>
      <w:pPr>
        <w:pStyle w:val="BodyText"/>
        <w:spacing w:line="254" w:lineRule="auto" w:before="1"/>
        <w:ind w:left="100" w:firstLine="180"/>
        <w:jc w:val="both"/>
      </w:pPr>
      <w:r>
        <w:rPr>
          <w:w w:val="105"/>
        </w:rPr>
        <w:t>In estimating the lives and  </w:t>
      </w:r>
      <w:r>
        <w:rPr>
          <w:spacing w:val="3"/>
          <w:w w:val="105"/>
        </w:rPr>
        <w:t>expected</w:t>
      </w:r>
      <w:r>
        <w:rPr>
          <w:spacing w:val="53"/>
          <w:w w:val="105"/>
        </w:rPr>
        <w:t> </w:t>
      </w:r>
      <w:r>
        <w:rPr>
          <w:spacing w:val="6"/>
          <w:w w:val="105"/>
        </w:rPr>
        <w:t>residual </w:t>
      </w:r>
      <w:r>
        <w:rPr>
          <w:w w:val="105"/>
        </w:rPr>
        <w:t>values of its aircraft, the </w:t>
      </w:r>
      <w:r>
        <w:rPr>
          <w:spacing w:val="2"/>
          <w:w w:val="105"/>
        </w:rPr>
        <w:t>Company </w:t>
      </w:r>
      <w:r>
        <w:rPr>
          <w:w w:val="105"/>
        </w:rPr>
        <w:t>has  </w:t>
      </w:r>
      <w:r>
        <w:rPr>
          <w:spacing w:val="5"/>
          <w:w w:val="105"/>
        </w:rPr>
        <w:t>primarily </w:t>
      </w:r>
      <w:r>
        <w:rPr>
          <w:w w:val="105"/>
        </w:rPr>
        <w:t>relied upon actual </w:t>
      </w:r>
      <w:r>
        <w:rPr>
          <w:spacing w:val="3"/>
          <w:w w:val="105"/>
        </w:rPr>
        <w:t>experience </w:t>
      </w:r>
      <w:r>
        <w:rPr>
          <w:w w:val="105"/>
        </w:rPr>
        <w:t>with the same </w:t>
      </w:r>
      <w:r>
        <w:rPr>
          <w:spacing w:val="4"/>
          <w:w w:val="105"/>
        </w:rPr>
        <w:t>or  </w:t>
      </w:r>
      <w:r>
        <w:rPr>
          <w:w w:val="105"/>
        </w:rPr>
        <w:t>similar aircraft types and </w:t>
      </w:r>
      <w:r>
        <w:rPr>
          <w:spacing w:val="4"/>
          <w:w w:val="105"/>
        </w:rPr>
        <w:t>recommendations </w:t>
      </w:r>
      <w:r>
        <w:rPr>
          <w:spacing w:val="8"/>
          <w:w w:val="105"/>
        </w:rPr>
        <w:t>from </w:t>
      </w:r>
      <w:r>
        <w:rPr>
          <w:w w:val="105"/>
        </w:rPr>
        <w:t>Boeing, the </w:t>
      </w:r>
      <w:r>
        <w:rPr>
          <w:spacing w:val="2"/>
          <w:w w:val="105"/>
        </w:rPr>
        <w:t>manufacturer </w:t>
      </w:r>
      <w:r>
        <w:rPr>
          <w:w w:val="105"/>
        </w:rPr>
        <w:t>of the Company’s  </w:t>
      </w:r>
      <w:r>
        <w:rPr>
          <w:spacing w:val="5"/>
          <w:w w:val="105"/>
        </w:rPr>
        <w:t>air-  </w:t>
      </w:r>
      <w:r>
        <w:rPr>
          <w:w w:val="105"/>
        </w:rPr>
        <w:t>craft. </w:t>
      </w:r>
      <w:r>
        <w:rPr>
          <w:spacing w:val="2"/>
          <w:w w:val="105"/>
        </w:rPr>
        <w:t>Subsequent revisions </w:t>
      </w:r>
      <w:r>
        <w:rPr>
          <w:w w:val="105"/>
        </w:rPr>
        <w:t>to  these  </w:t>
      </w:r>
      <w:r>
        <w:rPr>
          <w:spacing w:val="5"/>
          <w:w w:val="105"/>
        </w:rPr>
        <w:t>estimates, </w:t>
      </w:r>
      <w:r>
        <w:rPr>
          <w:w w:val="105"/>
        </w:rPr>
        <w:t>which can be significant,  could  be  caused  </w:t>
      </w:r>
      <w:r>
        <w:rPr>
          <w:spacing w:val="4"/>
          <w:w w:val="105"/>
        </w:rPr>
        <w:t>by </w:t>
      </w:r>
      <w:r>
        <w:rPr>
          <w:w w:val="105"/>
        </w:rPr>
        <w:t>changes       to       the       Company’s    </w:t>
      </w:r>
      <w:r>
        <w:rPr>
          <w:spacing w:val="42"/>
          <w:w w:val="105"/>
        </w:rPr>
        <w:t> </w:t>
      </w:r>
      <w:r>
        <w:rPr>
          <w:spacing w:val="11"/>
          <w:w w:val="105"/>
        </w:rPr>
        <w:t>maintenance</w:t>
      </w:r>
    </w:p>
    <w:p>
      <w:pPr>
        <w:pStyle w:val="BodyText"/>
        <w:spacing w:line="254" w:lineRule="auto" w:before="69"/>
        <w:ind w:left="100" w:right="104"/>
        <w:jc w:val="both"/>
      </w:pPr>
      <w:r>
        <w:rPr/>
        <w:br w:type="column"/>
      </w:r>
      <w:r>
        <w:rPr>
          <w:w w:val="105"/>
        </w:rPr>
        <w:t>program, changes in  </w:t>
      </w:r>
      <w:r>
        <w:rPr>
          <w:spacing w:val="2"/>
          <w:w w:val="105"/>
        </w:rPr>
        <w:t>utilization  </w:t>
      </w:r>
      <w:r>
        <w:rPr>
          <w:w w:val="105"/>
        </w:rPr>
        <w:t>of  the  </w:t>
      </w:r>
      <w:r>
        <w:rPr>
          <w:spacing w:val="4"/>
          <w:w w:val="105"/>
        </w:rPr>
        <w:t>aircraft </w:t>
      </w:r>
      <w:r>
        <w:rPr>
          <w:w w:val="105"/>
        </w:rPr>
        <w:t>(actual flight hours during a given period of </w:t>
      </w:r>
      <w:r>
        <w:rPr>
          <w:spacing w:val="7"/>
          <w:w w:val="105"/>
        </w:rPr>
        <w:t>time), </w:t>
      </w:r>
      <w:r>
        <w:rPr>
          <w:spacing w:val="2"/>
          <w:w w:val="105"/>
        </w:rPr>
        <w:t>governmental </w:t>
      </w:r>
      <w:r>
        <w:rPr>
          <w:w w:val="105"/>
        </w:rPr>
        <w:t>regulations on aging aircraft, </w:t>
      </w:r>
      <w:r>
        <w:rPr>
          <w:spacing w:val="12"/>
          <w:w w:val="105"/>
        </w:rPr>
        <w:t>and </w:t>
      </w:r>
      <w:r>
        <w:rPr>
          <w:spacing w:val="2"/>
          <w:w w:val="105"/>
        </w:rPr>
        <w:t>changing </w:t>
      </w:r>
      <w:r>
        <w:rPr>
          <w:w w:val="105"/>
        </w:rPr>
        <w:t>market  prices  of  new  and  used  </w:t>
      </w:r>
      <w:r>
        <w:rPr>
          <w:spacing w:val="4"/>
          <w:w w:val="105"/>
        </w:rPr>
        <w:t>aircraft  </w:t>
      </w:r>
      <w:r>
        <w:rPr>
          <w:w w:val="105"/>
        </w:rPr>
        <w:t>of the same or similar  types.  The  </w:t>
      </w:r>
      <w:r>
        <w:rPr>
          <w:spacing w:val="9"/>
          <w:w w:val="105"/>
        </w:rPr>
        <w:t>Company </w:t>
      </w:r>
      <w:r>
        <w:rPr>
          <w:w w:val="105"/>
        </w:rPr>
        <w:t>evaluates its estimates and </w:t>
      </w:r>
      <w:r>
        <w:rPr>
          <w:spacing w:val="2"/>
          <w:w w:val="105"/>
        </w:rPr>
        <w:t>assumptions </w:t>
      </w:r>
      <w:r>
        <w:rPr>
          <w:spacing w:val="13"/>
          <w:w w:val="105"/>
        </w:rPr>
        <w:t>each </w:t>
      </w:r>
      <w:r>
        <w:rPr>
          <w:w w:val="105"/>
        </w:rPr>
        <w:t>reporting </w:t>
      </w:r>
      <w:r>
        <w:rPr>
          <w:spacing w:val="2"/>
          <w:w w:val="105"/>
        </w:rPr>
        <w:t>period and, when warranted,  </w:t>
      </w:r>
      <w:r>
        <w:rPr>
          <w:spacing w:val="3"/>
          <w:w w:val="105"/>
        </w:rPr>
        <w:t>adjusts  </w:t>
      </w:r>
      <w:r>
        <w:rPr>
          <w:w w:val="105"/>
        </w:rPr>
        <w:t>these  estimates  and   </w:t>
      </w:r>
      <w:r>
        <w:rPr>
          <w:spacing w:val="2"/>
          <w:w w:val="105"/>
        </w:rPr>
        <w:t>assumptions.   </w:t>
      </w:r>
      <w:r>
        <w:rPr>
          <w:spacing w:val="3"/>
          <w:w w:val="105"/>
        </w:rPr>
        <w:t>Generally, </w:t>
      </w:r>
      <w:r>
        <w:rPr>
          <w:w w:val="105"/>
        </w:rPr>
        <w:t>these adjustments are </w:t>
      </w:r>
      <w:r>
        <w:rPr>
          <w:spacing w:val="3"/>
          <w:w w:val="105"/>
        </w:rPr>
        <w:t>accounted </w:t>
      </w:r>
      <w:r>
        <w:rPr>
          <w:w w:val="105"/>
        </w:rPr>
        <w:t>for  on  a prospective  basis  through  </w:t>
      </w:r>
      <w:r>
        <w:rPr>
          <w:spacing w:val="3"/>
          <w:w w:val="105"/>
        </w:rPr>
        <w:t>depreciation   </w:t>
      </w:r>
      <w:r>
        <w:rPr>
          <w:spacing w:val="9"/>
          <w:w w:val="105"/>
        </w:rPr>
        <w:t>expense, </w:t>
      </w:r>
      <w:r>
        <w:rPr>
          <w:w w:val="105"/>
        </w:rPr>
        <w:t>as  required  by</w:t>
      </w:r>
      <w:r>
        <w:rPr>
          <w:spacing w:val="41"/>
          <w:w w:val="105"/>
        </w:rPr>
        <w:t> </w:t>
      </w:r>
      <w:r>
        <w:rPr>
          <w:w w:val="105"/>
        </w:rPr>
        <w:t>GAAP.</w:t>
      </w:r>
    </w:p>
    <w:p>
      <w:pPr>
        <w:pStyle w:val="BodyText"/>
        <w:spacing w:line="254" w:lineRule="auto"/>
        <w:ind w:left="100" w:right="107" w:firstLine="180"/>
        <w:jc w:val="both"/>
      </w:pPr>
      <w:r>
        <w:rPr>
          <w:w w:val="105"/>
        </w:rPr>
        <w:t>The  Company  periodically  evaluates  its   </w:t>
      </w:r>
      <w:r>
        <w:rPr>
          <w:spacing w:val="3"/>
          <w:w w:val="105"/>
        </w:rPr>
        <w:t>long- </w:t>
      </w:r>
      <w:r>
        <w:rPr>
          <w:w w:val="105"/>
        </w:rPr>
        <w:t>lived assets for </w:t>
      </w:r>
      <w:r>
        <w:rPr>
          <w:spacing w:val="3"/>
          <w:w w:val="105"/>
        </w:rPr>
        <w:t>impairment. </w:t>
      </w:r>
      <w:r>
        <w:rPr>
          <w:w w:val="105"/>
        </w:rPr>
        <w:t>Factors that </w:t>
      </w:r>
      <w:r>
        <w:rPr>
          <w:spacing w:val="9"/>
          <w:w w:val="105"/>
        </w:rPr>
        <w:t>would </w:t>
      </w:r>
      <w:r>
        <w:rPr>
          <w:spacing w:val="3"/>
          <w:w w:val="105"/>
        </w:rPr>
        <w:t>indicate</w:t>
      </w:r>
      <w:r>
        <w:rPr>
          <w:spacing w:val="53"/>
          <w:w w:val="105"/>
        </w:rPr>
        <w:t> </w:t>
      </w:r>
      <w:r>
        <w:rPr>
          <w:w w:val="105"/>
        </w:rPr>
        <w:t>potential  </w:t>
      </w:r>
      <w:r>
        <w:rPr>
          <w:spacing w:val="3"/>
          <w:w w:val="105"/>
        </w:rPr>
        <w:t>impairment</w:t>
      </w:r>
      <w:r>
        <w:rPr>
          <w:spacing w:val="53"/>
          <w:w w:val="105"/>
        </w:rPr>
        <w:t> </w:t>
      </w:r>
      <w:r>
        <w:rPr>
          <w:spacing w:val="2"/>
          <w:w w:val="105"/>
        </w:rPr>
        <w:t>include,  </w:t>
      </w:r>
      <w:r>
        <w:rPr>
          <w:w w:val="105"/>
        </w:rPr>
        <w:t>but   </w:t>
      </w:r>
      <w:r>
        <w:rPr>
          <w:spacing w:val="6"/>
          <w:w w:val="105"/>
        </w:rPr>
        <w:t>are  </w:t>
      </w:r>
      <w:r>
        <w:rPr>
          <w:w w:val="105"/>
        </w:rPr>
        <w:t>not  </w:t>
      </w:r>
      <w:r>
        <w:rPr>
          <w:spacing w:val="2"/>
          <w:w w:val="105"/>
        </w:rPr>
        <w:t>limited  </w:t>
      </w:r>
      <w:r>
        <w:rPr>
          <w:w w:val="105"/>
        </w:rPr>
        <w:t>to,  </w:t>
      </w:r>
      <w:r>
        <w:rPr>
          <w:spacing w:val="2"/>
          <w:w w:val="105"/>
        </w:rPr>
        <w:t>significant  decreases  </w:t>
      </w:r>
      <w:r>
        <w:rPr>
          <w:w w:val="105"/>
        </w:rPr>
        <w:t>in   </w:t>
      </w:r>
      <w:r>
        <w:rPr>
          <w:spacing w:val="6"/>
          <w:w w:val="105"/>
        </w:rPr>
        <w:t>the </w:t>
      </w:r>
      <w:r>
        <w:rPr>
          <w:w w:val="105"/>
        </w:rPr>
        <w:t>market  value  of  the  long-lived  asset(s),   a </w:t>
      </w:r>
      <w:r>
        <w:rPr>
          <w:spacing w:val="2"/>
          <w:w w:val="105"/>
        </w:rPr>
        <w:t>significant  change  </w:t>
      </w:r>
      <w:r>
        <w:rPr>
          <w:w w:val="105"/>
        </w:rPr>
        <w:t>in  the   long-lived   asset’s physical </w:t>
      </w:r>
      <w:r>
        <w:rPr>
          <w:spacing w:val="3"/>
          <w:w w:val="105"/>
        </w:rPr>
        <w:t>condition, </w:t>
      </w:r>
      <w:r>
        <w:rPr>
          <w:w w:val="105"/>
        </w:rPr>
        <w:t>and </w:t>
      </w:r>
      <w:r>
        <w:rPr>
          <w:spacing w:val="2"/>
          <w:w w:val="105"/>
        </w:rPr>
        <w:t>operating </w:t>
      </w:r>
      <w:r>
        <w:rPr>
          <w:w w:val="105"/>
        </w:rPr>
        <w:t>or  cash  </w:t>
      </w:r>
      <w:r>
        <w:rPr>
          <w:spacing w:val="4"/>
          <w:w w:val="105"/>
        </w:rPr>
        <w:t>flow  </w:t>
      </w:r>
      <w:r>
        <w:rPr>
          <w:w w:val="105"/>
        </w:rPr>
        <w:t>losses </w:t>
      </w:r>
      <w:r>
        <w:rPr>
          <w:spacing w:val="2"/>
          <w:w w:val="105"/>
        </w:rPr>
        <w:t>associated </w:t>
      </w:r>
      <w:r>
        <w:rPr>
          <w:w w:val="105"/>
        </w:rPr>
        <w:t>with the use of  the  </w:t>
      </w:r>
      <w:r>
        <w:rPr>
          <w:spacing w:val="5"/>
          <w:w w:val="105"/>
        </w:rPr>
        <w:t>long-lived </w:t>
      </w:r>
      <w:r>
        <w:rPr>
          <w:w w:val="105"/>
        </w:rPr>
        <w:t>asset. While the airline industry as a whole </w:t>
      </w:r>
      <w:r>
        <w:rPr>
          <w:spacing w:val="6"/>
          <w:w w:val="105"/>
        </w:rPr>
        <w:t>has </w:t>
      </w:r>
      <w:r>
        <w:rPr>
          <w:w w:val="105"/>
        </w:rPr>
        <w:t>experienced many of these indicators,  </w:t>
      </w:r>
      <w:r>
        <w:rPr>
          <w:spacing w:val="5"/>
          <w:w w:val="105"/>
        </w:rPr>
        <w:t>Southwest  </w:t>
      </w:r>
      <w:r>
        <w:rPr>
          <w:w w:val="105"/>
        </w:rPr>
        <w:t>has </w:t>
      </w:r>
      <w:r>
        <w:rPr>
          <w:spacing w:val="3"/>
          <w:w w:val="105"/>
        </w:rPr>
        <w:t>continued </w:t>
      </w:r>
      <w:r>
        <w:rPr>
          <w:w w:val="105"/>
        </w:rPr>
        <w:t>to </w:t>
      </w:r>
      <w:r>
        <w:rPr>
          <w:spacing w:val="2"/>
          <w:w w:val="105"/>
        </w:rPr>
        <w:t>operate </w:t>
      </w:r>
      <w:r>
        <w:rPr>
          <w:w w:val="105"/>
        </w:rPr>
        <w:t>all of its aircraft </w:t>
      </w:r>
      <w:r>
        <w:rPr>
          <w:spacing w:val="12"/>
          <w:w w:val="105"/>
        </w:rPr>
        <w:t>and </w:t>
      </w:r>
      <w:r>
        <w:rPr>
          <w:spacing w:val="2"/>
          <w:w w:val="105"/>
        </w:rPr>
        <w:t>continues </w:t>
      </w:r>
      <w:r>
        <w:rPr>
          <w:w w:val="105"/>
        </w:rPr>
        <w:t>to </w:t>
      </w:r>
      <w:r>
        <w:rPr>
          <w:spacing w:val="3"/>
          <w:w w:val="105"/>
        </w:rPr>
        <w:t>experience </w:t>
      </w:r>
      <w:r>
        <w:rPr>
          <w:spacing w:val="2"/>
          <w:w w:val="105"/>
        </w:rPr>
        <w:t>positive </w:t>
      </w:r>
      <w:r>
        <w:rPr>
          <w:w w:val="105"/>
        </w:rPr>
        <w:t>cash flow. Consequently,  the  </w:t>
      </w:r>
      <w:r>
        <w:rPr>
          <w:spacing w:val="2"/>
          <w:w w:val="105"/>
        </w:rPr>
        <w:t>Company  </w:t>
      </w:r>
      <w:r>
        <w:rPr>
          <w:w w:val="105"/>
        </w:rPr>
        <w:t>has  not   </w:t>
      </w:r>
      <w:r>
        <w:rPr>
          <w:spacing w:val="10"/>
          <w:w w:val="105"/>
        </w:rPr>
        <w:t>identified </w:t>
      </w:r>
      <w:r>
        <w:rPr>
          <w:w w:val="105"/>
        </w:rPr>
        <w:t>any </w:t>
      </w:r>
      <w:r>
        <w:rPr>
          <w:spacing w:val="3"/>
          <w:w w:val="105"/>
        </w:rPr>
        <w:t>impairments </w:t>
      </w:r>
      <w:r>
        <w:rPr>
          <w:w w:val="105"/>
        </w:rPr>
        <w:t>related  to  its  existing  </w:t>
      </w:r>
      <w:r>
        <w:rPr>
          <w:spacing w:val="4"/>
          <w:w w:val="105"/>
        </w:rPr>
        <w:t>aircraft </w:t>
      </w:r>
      <w:r>
        <w:rPr>
          <w:w w:val="105"/>
        </w:rPr>
        <w:t>fleet. The </w:t>
      </w:r>
      <w:r>
        <w:rPr>
          <w:spacing w:val="2"/>
          <w:w w:val="105"/>
        </w:rPr>
        <w:t>Company </w:t>
      </w:r>
      <w:r>
        <w:rPr>
          <w:w w:val="105"/>
        </w:rPr>
        <w:t>will </w:t>
      </w:r>
      <w:r>
        <w:rPr>
          <w:spacing w:val="2"/>
          <w:w w:val="105"/>
        </w:rPr>
        <w:t>continue </w:t>
      </w:r>
      <w:r>
        <w:rPr>
          <w:w w:val="105"/>
        </w:rPr>
        <w:t>to </w:t>
      </w:r>
      <w:r>
        <w:rPr>
          <w:spacing w:val="2"/>
          <w:w w:val="105"/>
        </w:rPr>
        <w:t>monitor </w:t>
      </w:r>
      <w:r>
        <w:rPr>
          <w:w w:val="105"/>
        </w:rPr>
        <w:t>its long-lived assets and the airline </w:t>
      </w:r>
      <w:r>
        <w:rPr>
          <w:spacing w:val="8"/>
          <w:w w:val="105"/>
        </w:rPr>
        <w:t>operating </w:t>
      </w:r>
      <w:r>
        <w:rPr>
          <w:spacing w:val="9"/>
          <w:w w:val="105"/>
        </w:rPr>
        <w:t>environment.</w:t>
      </w:r>
    </w:p>
    <w:p>
      <w:pPr>
        <w:pStyle w:val="BodyText"/>
        <w:spacing w:before="11"/>
        <w:rPr>
          <w:sz w:val="21"/>
        </w:rPr>
      </w:pPr>
    </w:p>
    <w:p>
      <w:pPr>
        <w:pStyle w:val="BodyText"/>
        <w:ind w:left="100"/>
        <w:jc w:val="both"/>
        <w:rPr>
          <w:rFonts w:ascii="Franklin Gothic Medium"/>
        </w:rPr>
      </w:pPr>
      <w:r>
        <w:rPr>
          <w:rFonts w:ascii="Franklin Gothic Medium"/>
        </w:rPr>
        <w:t>Financial  Derivative  Instruments</w:t>
      </w:r>
    </w:p>
    <w:p>
      <w:pPr>
        <w:pStyle w:val="BodyText"/>
        <w:spacing w:before="2"/>
        <w:rPr>
          <w:rFonts w:ascii="Franklin Gothic Medium"/>
          <w:sz w:val="25"/>
        </w:rPr>
      </w:pPr>
    </w:p>
    <w:p>
      <w:pPr>
        <w:pStyle w:val="BodyText"/>
        <w:spacing w:line="254" w:lineRule="auto"/>
        <w:ind w:left="100" w:right="105" w:firstLine="180"/>
        <w:jc w:val="both"/>
      </w:pPr>
      <w:r>
        <w:rPr>
          <w:w w:val="105"/>
        </w:rPr>
        <w:t>The Company utilizes </w:t>
      </w:r>
      <w:r>
        <w:rPr>
          <w:spacing w:val="2"/>
          <w:w w:val="105"/>
        </w:rPr>
        <w:t>financial </w:t>
      </w:r>
      <w:r>
        <w:rPr>
          <w:spacing w:val="9"/>
          <w:w w:val="105"/>
        </w:rPr>
        <w:t>derivative </w:t>
      </w:r>
      <w:r>
        <w:rPr>
          <w:w w:val="105"/>
        </w:rPr>
        <w:t>instruments to </w:t>
      </w:r>
      <w:r>
        <w:rPr>
          <w:spacing w:val="3"/>
          <w:w w:val="105"/>
        </w:rPr>
        <w:t>manage </w:t>
      </w:r>
      <w:r>
        <w:rPr>
          <w:w w:val="105"/>
        </w:rPr>
        <w:t>its risk </w:t>
      </w:r>
      <w:r>
        <w:rPr>
          <w:spacing w:val="2"/>
          <w:w w:val="105"/>
        </w:rPr>
        <w:t>associated </w:t>
      </w:r>
      <w:r>
        <w:rPr>
          <w:spacing w:val="9"/>
          <w:w w:val="105"/>
        </w:rPr>
        <w:t>with </w:t>
      </w:r>
      <w:r>
        <w:rPr>
          <w:spacing w:val="2"/>
          <w:w w:val="105"/>
        </w:rPr>
        <w:t>changing </w:t>
      </w:r>
      <w:r>
        <w:rPr>
          <w:w w:val="105"/>
        </w:rPr>
        <w:t>jet fuel prices  and  accounts  for  </w:t>
      </w:r>
      <w:r>
        <w:rPr>
          <w:spacing w:val="12"/>
          <w:w w:val="105"/>
        </w:rPr>
        <w:t>them </w:t>
      </w:r>
      <w:r>
        <w:rPr>
          <w:w w:val="105"/>
        </w:rPr>
        <w:t>under Statement  of  </w:t>
      </w:r>
      <w:r>
        <w:rPr>
          <w:spacing w:val="2"/>
          <w:w w:val="105"/>
        </w:rPr>
        <w:t>Financial   </w:t>
      </w:r>
      <w:r>
        <w:rPr>
          <w:spacing w:val="8"/>
          <w:w w:val="105"/>
        </w:rPr>
        <w:t>Accounting </w:t>
      </w:r>
      <w:r>
        <w:rPr>
          <w:w w:val="105"/>
        </w:rPr>
        <w:t>Standards No. 133, </w:t>
      </w:r>
      <w:r>
        <w:rPr>
          <w:spacing w:val="2"/>
          <w:w w:val="105"/>
        </w:rPr>
        <w:t>“Accounting </w:t>
      </w:r>
      <w:r>
        <w:rPr>
          <w:w w:val="105"/>
        </w:rPr>
        <w:t>for </w:t>
      </w:r>
      <w:r>
        <w:rPr>
          <w:spacing w:val="9"/>
          <w:w w:val="105"/>
        </w:rPr>
        <w:t>Derivative </w:t>
      </w:r>
      <w:r>
        <w:rPr>
          <w:w w:val="105"/>
        </w:rPr>
        <w:t>Instruments  and  </w:t>
      </w:r>
      <w:r>
        <w:rPr>
          <w:spacing w:val="2"/>
          <w:w w:val="105"/>
        </w:rPr>
        <w:t>Hedging  Activities”  </w:t>
      </w:r>
      <w:r>
        <w:rPr>
          <w:w w:val="105"/>
        </w:rPr>
        <w:t>(SFAS  133). See  </w:t>
      </w:r>
      <w:r>
        <w:rPr>
          <w:spacing w:val="2"/>
          <w:w w:val="105"/>
        </w:rPr>
        <w:t>“Qualitative  </w:t>
      </w:r>
      <w:r>
        <w:rPr>
          <w:w w:val="105"/>
        </w:rPr>
        <w:t>and  </w:t>
      </w:r>
      <w:r>
        <w:rPr>
          <w:spacing w:val="2"/>
          <w:w w:val="105"/>
        </w:rPr>
        <w:t>Quantitative  </w:t>
      </w:r>
      <w:r>
        <w:rPr>
          <w:spacing w:val="3"/>
          <w:w w:val="105"/>
        </w:rPr>
        <w:t>Disclosures </w:t>
      </w:r>
      <w:r>
        <w:rPr>
          <w:w w:val="105"/>
        </w:rPr>
        <w:t>about  Market  Risk”  for  more  </w:t>
      </w:r>
      <w:r>
        <w:rPr>
          <w:spacing w:val="3"/>
          <w:w w:val="105"/>
        </w:rPr>
        <w:t>information   </w:t>
      </w:r>
      <w:r>
        <w:rPr>
          <w:spacing w:val="12"/>
          <w:w w:val="105"/>
        </w:rPr>
        <w:t>on </w:t>
      </w:r>
      <w:r>
        <w:rPr>
          <w:w w:val="105"/>
        </w:rPr>
        <w:t>these  risk  </w:t>
      </w:r>
      <w:r>
        <w:rPr>
          <w:spacing w:val="4"/>
          <w:w w:val="105"/>
        </w:rPr>
        <w:t>management  </w:t>
      </w:r>
      <w:r>
        <w:rPr>
          <w:spacing w:val="2"/>
          <w:w w:val="105"/>
        </w:rPr>
        <w:t>activities.  </w:t>
      </w:r>
      <w:r>
        <w:rPr>
          <w:w w:val="105"/>
        </w:rPr>
        <w:t>SFAS  133 requires that all </w:t>
      </w:r>
      <w:r>
        <w:rPr>
          <w:spacing w:val="3"/>
          <w:w w:val="105"/>
        </w:rPr>
        <w:t>derivatives </w:t>
      </w:r>
      <w:r>
        <w:rPr>
          <w:w w:val="105"/>
        </w:rPr>
        <w:t>be </w:t>
      </w:r>
      <w:r>
        <w:rPr>
          <w:spacing w:val="2"/>
          <w:w w:val="105"/>
        </w:rPr>
        <w:t>marked </w:t>
      </w:r>
      <w:r>
        <w:rPr>
          <w:w w:val="105"/>
        </w:rPr>
        <w:t>to  </w:t>
      </w:r>
      <w:r>
        <w:rPr>
          <w:spacing w:val="6"/>
          <w:w w:val="105"/>
        </w:rPr>
        <w:t>market </w:t>
      </w:r>
      <w:r>
        <w:rPr>
          <w:w w:val="105"/>
        </w:rPr>
        <w:t>(fair value) and </w:t>
      </w:r>
      <w:r>
        <w:rPr>
          <w:spacing w:val="2"/>
          <w:w w:val="105"/>
        </w:rPr>
        <w:t>recorded </w:t>
      </w:r>
      <w:r>
        <w:rPr>
          <w:w w:val="105"/>
        </w:rPr>
        <w:t>on the </w:t>
      </w:r>
      <w:r>
        <w:rPr>
          <w:spacing w:val="6"/>
          <w:w w:val="105"/>
        </w:rPr>
        <w:t>Consolidated </w:t>
      </w:r>
      <w:r>
        <w:rPr>
          <w:w w:val="105"/>
        </w:rPr>
        <w:t>Balance Sheet. The fair value of the </w:t>
      </w:r>
      <w:r>
        <w:rPr>
          <w:spacing w:val="6"/>
          <w:w w:val="105"/>
        </w:rPr>
        <w:t>Company’s </w:t>
      </w:r>
      <w:r>
        <w:rPr>
          <w:spacing w:val="2"/>
          <w:w w:val="105"/>
        </w:rPr>
        <w:t>financial </w:t>
      </w:r>
      <w:r>
        <w:rPr>
          <w:spacing w:val="3"/>
          <w:w w:val="105"/>
        </w:rPr>
        <w:t>derivative </w:t>
      </w:r>
      <w:r>
        <w:rPr>
          <w:w w:val="105"/>
        </w:rPr>
        <w:t>instruments recorded on </w:t>
      </w:r>
      <w:r>
        <w:rPr>
          <w:spacing w:val="6"/>
          <w:w w:val="105"/>
        </w:rPr>
        <w:t>the </w:t>
      </w:r>
      <w:r>
        <w:rPr>
          <w:w w:val="105"/>
        </w:rPr>
        <w:t>Company’s </w:t>
      </w:r>
      <w:r>
        <w:rPr>
          <w:spacing w:val="2"/>
          <w:w w:val="105"/>
        </w:rPr>
        <w:t>Consolidated </w:t>
      </w:r>
      <w:r>
        <w:rPr>
          <w:w w:val="105"/>
        </w:rPr>
        <w:t>Balance Sheet as </w:t>
      </w:r>
      <w:r>
        <w:rPr>
          <w:spacing w:val="6"/>
          <w:w w:val="105"/>
        </w:rPr>
        <w:t>of </w:t>
      </w:r>
      <w:r>
        <w:rPr>
          <w:w w:val="105"/>
        </w:rPr>
        <w:t>December  31,  2002,  was  $157.2   </w:t>
      </w:r>
      <w:r>
        <w:rPr>
          <w:spacing w:val="35"/>
          <w:w w:val="105"/>
        </w:rPr>
        <w:t> </w:t>
      </w:r>
      <w:r>
        <w:rPr>
          <w:w w:val="105"/>
        </w:rPr>
        <w:t>million.</w:t>
      </w:r>
    </w:p>
    <w:p>
      <w:pPr>
        <w:spacing w:after="0" w:line="254" w:lineRule="auto"/>
        <w:jc w:val="both"/>
        <w:sectPr>
          <w:headerReference w:type="default" r:id="rId98"/>
          <w:pgSz w:w="11520" w:h="14400"/>
          <w:pgMar w:header="0" w:footer="706" w:top="960" w:bottom="900" w:left="700" w:right="840"/>
          <w:cols w:num="2" w:equalWidth="0">
            <w:col w:w="4733" w:space="407"/>
            <w:col w:w="4840"/>
          </w:cols>
        </w:sectPr>
      </w:pPr>
    </w:p>
    <w:p>
      <w:pPr>
        <w:pStyle w:val="BodyText"/>
        <w:spacing w:line="254" w:lineRule="auto" w:before="69"/>
        <w:ind w:left="100" w:right="4" w:firstLine="180"/>
        <w:jc w:val="both"/>
      </w:pPr>
      <w:bookmarkStart w:name="Forward-Looking Statements" w:id="32"/>
      <w:bookmarkEnd w:id="32"/>
      <w:r>
        <w:rPr/>
      </w:r>
      <w:r>
        <w:rPr>
          <w:w w:val="105"/>
        </w:rPr>
        <w:t>Since the majority of the Company’s </w:t>
      </w:r>
      <w:r>
        <w:rPr>
          <w:spacing w:val="8"/>
          <w:w w:val="105"/>
        </w:rPr>
        <w:t>financial </w:t>
      </w:r>
      <w:r>
        <w:rPr>
          <w:spacing w:val="3"/>
          <w:w w:val="105"/>
        </w:rPr>
        <w:t>derivative</w:t>
      </w:r>
      <w:r>
        <w:rPr>
          <w:spacing w:val="53"/>
          <w:w w:val="105"/>
        </w:rPr>
        <w:t> </w:t>
      </w:r>
      <w:r>
        <w:rPr>
          <w:w w:val="105"/>
        </w:rPr>
        <w:t>instruments  are  not  traded  on   a  market  </w:t>
      </w:r>
      <w:r>
        <w:rPr>
          <w:spacing w:val="3"/>
          <w:w w:val="105"/>
        </w:rPr>
        <w:t>exchange,</w:t>
      </w:r>
      <w:r>
        <w:rPr>
          <w:spacing w:val="53"/>
          <w:w w:val="105"/>
        </w:rPr>
        <w:t> </w:t>
      </w:r>
      <w:r>
        <w:rPr>
          <w:w w:val="105"/>
        </w:rPr>
        <w:t>the  Company  estimates  </w:t>
      </w:r>
      <w:r>
        <w:rPr>
          <w:spacing w:val="7"/>
          <w:w w:val="105"/>
        </w:rPr>
        <w:t>their </w:t>
      </w:r>
      <w:r>
        <w:rPr>
          <w:w w:val="105"/>
        </w:rPr>
        <w:t>fair values. Depending on the type  of  </w:t>
      </w:r>
      <w:r>
        <w:rPr>
          <w:spacing w:val="6"/>
          <w:w w:val="105"/>
        </w:rPr>
        <w:t>instrument, </w:t>
      </w:r>
      <w:r>
        <w:rPr>
          <w:w w:val="105"/>
        </w:rPr>
        <w:t>the values are </w:t>
      </w:r>
      <w:r>
        <w:rPr>
          <w:spacing w:val="3"/>
          <w:w w:val="105"/>
        </w:rPr>
        <w:t>determined </w:t>
      </w:r>
      <w:r>
        <w:rPr>
          <w:w w:val="105"/>
        </w:rPr>
        <w:t>by the use of </w:t>
      </w:r>
      <w:r>
        <w:rPr>
          <w:spacing w:val="6"/>
          <w:w w:val="105"/>
        </w:rPr>
        <w:t>present </w:t>
      </w:r>
      <w:r>
        <w:rPr>
          <w:spacing w:val="2"/>
          <w:w w:val="105"/>
        </w:rPr>
        <w:t>value methods </w:t>
      </w:r>
      <w:r>
        <w:rPr>
          <w:w w:val="105"/>
        </w:rPr>
        <w:t>or </w:t>
      </w:r>
      <w:r>
        <w:rPr>
          <w:spacing w:val="2"/>
          <w:w w:val="105"/>
        </w:rPr>
        <w:t>standard option value  </w:t>
      </w:r>
      <w:r>
        <w:rPr>
          <w:spacing w:val="8"/>
          <w:w w:val="105"/>
        </w:rPr>
        <w:t>models </w:t>
      </w:r>
      <w:r>
        <w:rPr>
          <w:spacing w:val="2"/>
          <w:w w:val="105"/>
        </w:rPr>
        <w:t>with assumptions about commodity  </w:t>
      </w:r>
      <w:r>
        <w:rPr>
          <w:w w:val="105"/>
        </w:rPr>
        <w:t>prices  </w:t>
      </w:r>
      <w:r>
        <w:rPr>
          <w:spacing w:val="11"/>
          <w:w w:val="105"/>
        </w:rPr>
        <w:t>based </w:t>
      </w:r>
      <w:r>
        <w:rPr>
          <w:w w:val="105"/>
        </w:rPr>
        <w:t>on those </w:t>
      </w:r>
      <w:r>
        <w:rPr>
          <w:spacing w:val="2"/>
          <w:w w:val="105"/>
        </w:rPr>
        <w:t>observed  </w:t>
      </w:r>
      <w:r>
        <w:rPr>
          <w:w w:val="105"/>
        </w:rPr>
        <w:t>in  underlying  markets.  Also  since there is not a reliable forward market for jet fuel,  the  </w:t>
      </w:r>
      <w:r>
        <w:rPr>
          <w:spacing w:val="2"/>
          <w:w w:val="105"/>
        </w:rPr>
        <w:t>Company  </w:t>
      </w:r>
      <w:r>
        <w:rPr>
          <w:w w:val="105"/>
        </w:rPr>
        <w:t>must  estimate  the   </w:t>
      </w:r>
      <w:r>
        <w:rPr>
          <w:spacing w:val="5"/>
          <w:w w:val="105"/>
        </w:rPr>
        <w:t>future </w:t>
      </w:r>
      <w:r>
        <w:rPr>
          <w:w w:val="105"/>
        </w:rPr>
        <w:t>prices of jet fuel in order to </w:t>
      </w:r>
      <w:r>
        <w:rPr>
          <w:spacing w:val="2"/>
          <w:w w:val="105"/>
        </w:rPr>
        <w:t>measure </w:t>
      </w:r>
      <w:r>
        <w:rPr>
          <w:spacing w:val="6"/>
          <w:w w:val="105"/>
        </w:rPr>
        <w:t>the </w:t>
      </w:r>
      <w:r>
        <w:rPr>
          <w:spacing w:val="2"/>
          <w:w w:val="105"/>
        </w:rPr>
        <w:t>effectiveness </w:t>
      </w:r>
      <w:r>
        <w:rPr>
          <w:w w:val="105"/>
        </w:rPr>
        <w:t>of the </w:t>
      </w:r>
      <w:r>
        <w:rPr>
          <w:spacing w:val="2"/>
          <w:w w:val="105"/>
        </w:rPr>
        <w:t>hedging </w:t>
      </w:r>
      <w:r>
        <w:rPr>
          <w:w w:val="105"/>
        </w:rPr>
        <w:t>instruments  </w:t>
      </w:r>
      <w:r>
        <w:rPr>
          <w:spacing w:val="12"/>
          <w:w w:val="105"/>
        </w:rPr>
        <w:t>in </w:t>
      </w:r>
      <w:r>
        <w:rPr>
          <w:w w:val="105"/>
        </w:rPr>
        <w:t>offsetting changes to those prices, as </w:t>
      </w:r>
      <w:r>
        <w:rPr>
          <w:spacing w:val="2"/>
          <w:w w:val="105"/>
        </w:rPr>
        <w:t>required  </w:t>
      </w:r>
      <w:r>
        <w:rPr>
          <w:spacing w:val="4"/>
          <w:w w:val="105"/>
        </w:rPr>
        <w:t>by </w:t>
      </w:r>
      <w:r>
        <w:rPr>
          <w:w w:val="105"/>
        </w:rPr>
        <w:t>SFAS 133. Forward jet fuel prices are </w:t>
      </w:r>
      <w:r>
        <w:rPr>
          <w:spacing w:val="8"/>
          <w:w w:val="105"/>
        </w:rPr>
        <w:t>estimated </w:t>
      </w:r>
      <w:r>
        <w:rPr>
          <w:w w:val="105"/>
        </w:rPr>
        <w:t>through the </w:t>
      </w:r>
      <w:r>
        <w:rPr>
          <w:spacing w:val="3"/>
          <w:w w:val="105"/>
        </w:rPr>
        <w:t>observation </w:t>
      </w:r>
      <w:r>
        <w:rPr>
          <w:w w:val="105"/>
        </w:rPr>
        <w:t>of similar </w:t>
      </w:r>
      <w:r>
        <w:rPr>
          <w:spacing w:val="9"/>
          <w:w w:val="105"/>
        </w:rPr>
        <w:t>commodity </w:t>
      </w:r>
      <w:r>
        <w:rPr>
          <w:w w:val="105"/>
        </w:rPr>
        <w:t>futures prices (such as  crude  oil  and  </w:t>
      </w:r>
      <w:r>
        <w:rPr>
          <w:spacing w:val="2"/>
          <w:w w:val="105"/>
        </w:rPr>
        <w:t>heating  </w:t>
      </w:r>
      <w:r>
        <w:rPr>
          <w:spacing w:val="5"/>
          <w:w w:val="105"/>
        </w:rPr>
        <w:t>oil) </w:t>
      </w:r>
      <w:r>
        <w:rPr>
          <w:w w:val="105"/>
        </w:rPr>
        <w:t>and adjusted  based  on  historical  </w:t>
      </w:r>
      <w:r>
        <w:rPr>
          <w:spacing w:val="2"/>
          <w:w w:val="105"/>
        </w:rPr>
        <w:t>variations  </w:t>
      </w:r>
      <w:r>
        <w:rPr>
          <w:spacing w:val="4"/>
          <w:w w:val="105"/>
        </w:rPr>
        <w:t>to </w:t>
      </w:r>
      <w:r>
        <w:rPr>
          <w:spacing w:val="2"/>
          <w:w w:val="105"/>
        </w:rPr>
        <w:t>those  like </w:t>
      </w:r>
      <w:r>
        <w:rPr>
          <w:spacing w:val="46"/>
          <w:w w:val="105"/>
        </w:rPr>
        <w:t> </w:t>
      </w:r>
      <w:r>
        <w:rPr>
          <w:spacing w:val="3"/>
          <w:w w:val="105"/>
        </w:rPr>
        <w:t>commodities.</w:t>
      </w:r>
    </w:p>
    <w:p>
      <w:pPr>
        <w:pStyle w:val="BodyText"/>
        <w:spacing w:line="254" w:lineRule="auto"/>
        <w:ind w:left="100" w:right="2" w:firstLine="180"/>
        <w:jc w:val="both"/>
      </w:pPr>
      <w:r>
        <w:rPr>
          <w:w w:val="105"/>
        </w:rPr>
        <w:t>Fair values for </w:t>
      </w:r>
      <w:r>
        <w:rPr>
          <w:spacing w:val="2"/>
          <w:w w:val="105"/>
        </w:rPr>
        <w:t>financial  </w:t>
      </w:r>
      <w:r>
        <w:rPr>
          <w:spacing w:val="3"/>
          <w:w w:val="105"/>
        </w:rPr>
        <w:t>derivative</w:t>
      </w:r>
      <w:r>
        <w:rPr>
          <w:spacing w:val="53"/>
          <w:w w:val="105"/>
        </w:rPr>
        <w:t> </w:t>
      </w:r>
      <w:r>
        <w:rPr>
          <w:spacing w:val="5"/>
          <w:w w:val="105"/>
        </w:rPr>
        <w:t>instruments </w:t>
      </w:r>
      <w:r>
        <w:rPr>
          <w:w w:val="105"/>
        </w:rPr>
        <w:t>and forward jet  fuel  prices  are  both  </w:t>
      </w:r>
      <w:r>
        <w:rPr>
          <w:spacing w:val="8"/>
          <w:w w:val="105"/>
        </w:rPr>
        <w:t>estimated </w:t>
      </w:r>
      <w:r>
        <w:rPr>
          <w:w w:val="105"/>
        </w:rPr>
        <w:t>prior to the time that the </w:t>
      </w:r>
      <w:r>
        <w:rPr>
          <w:spacing w:val="2"/>
          <w:w w:val="105"/>
        </w:rPr>
        <w:t>financial </w:t>
      </w:r>
      <w:r>
        <w:rPr>
          <w:spacing w:val="9"/>
          <w:w w:val="105"/>
        </w:rPr>
        <w:t>derivative </w:t>
      </w:r>
      <w:r>
        <w:rPr>
          <w:w w:val="105"/>
        </w:rPr>
        <w:t>instruments settle and the time that jet fuel </w:t>
      </w:r>
      <w:r>
        <w:rPr>
          <w:spacing w:val="4"/>
          <w:w w:val="105"/>
        </w:rPr>
        <w:t>is </w:t>
      </w:r>
      <w:r>
        <w:rPr>
          <w:spacing w:val="2"/>
          <w:w w:val="105"/>
        </w:rPr>
        <w:t>purchased  </w:t>
      </w:r>
      <w:r>
        <w:rPr>
          <w:w w:val="105"/>
        </w:rPr>
        <w:t>and  </w:t>
      </w:r>
      <w:r>
        <w:rPr>
          <w:spacing w:val="3"/>
          <w:w w:val="105"/>
        </w:rPr>
        <w:t>consumed,</w:t>
      </w:r>
      <w:r>
        <w:rPr>
          <w:spacing w:val="53"/>
          <w:w w:val="105"/>
        </w:rPr>
        <w:t> </w:t>
      </w:r>
      <w:r>
        <w:rPr>
          <w:w w:val="105"/>
        </w:rPr>
        <w:t>respectively.   </w:t>
      </w:r>
      <w:r>
        <w:rPr>
          <w:spacing w:val="8"/>
          <w:w w:val="105"/>
        </w:rPr>
        <w:t>How- </w:t>
      </w:r>
      <w:r>
        <w:rPr>
          <w:w w:val="105"/>
        </w:rPr>
        <w:t>ever, once settlement of the </w:t>
      </w:r>
      <w:r>
        <w:rPr>
          <w:spacing w:val="2"/>
          <w:w w:val="105"/>
        </w:rPr>
        <w:t>financial </w:t>
      </w:r>
      <w:r>
        <w:rPr>
          <w:spacing w:val="9"/>
          <w:w w:val="105"/>
        </w:rPr>
        <w:t>derivative </w:t>
      </w:r>
      <w:r>
        <w:rPr>
          <w:w w:val="105"/>
        </w:rPr>
        <w:t>instruments occur and the </w:t>
      </w:r>
      <w:r>
        <w:rPr>
          <w:spacing w:val="2"/>
          <w:w w:val="105"/>
        </w:rPr>
        <w:t>hedged </w:t>
      </w:r>
      <w:r>
        <w:rPr>
          <w:w w:val="105"/>
        </w:rPr>
        <w:t>jet fuel </w:t>
      </w:r>
      <w:r>
        <w:rPr>
          <w:spacing w:val="4"/>
          <w:w w:val="105"/>
        </w:rPr>
        <w:t>is </w:t>
      </w:r>
      <w:r>
        <w:rPr>
          <w:spacing w:val="2"/>
          <w:w w:val="105"/>
        </w:rPr>
        <w:t>purchased  </w:t>
      </w:r>
      <w:r>
        <w:rPr>
          <w:w w:val="105"/>
        </w:rPr>
        <w:t>and  </w:t>
      </w:r>
      <w:r>
        <w:rPr>
          <w:spacing w:val="2"/>
          <w:w w:val="105"/>
        </w:rPr>
        <w:t>consumed,  </w:t>
      </w:r>
      <w:r>
        <w:rPr>
          <w:w w:val="105"/>
        </w:rPr>
        <w:t>all  values  and  </w:t>
      </w:r>
      <w:r>
        <w:rPr>
          <w:spacing w:val="6"/>
          <w:w w:val="105"/>
        </w:rPr>
        <w:t>prices </w:t>
      </w:r>
      <w:r>
        <w:rPr>
          <w:w w:val="105"/>
        </w:rPr>
        <w:t>are known and are realized in the </w:t>
      </w:r>
      <w:r>
        <w:rPr>
          <w:spacing w:val="8"/>
          <w:w w:val="105"/>
        </w:rPr>
        <w:t>financial </w:t>
      </w:r>
      <w:r>
        <w:rPr>
          <w:w w:val="105"/>
        </w:rPr>
        <w:t>statements.  Based  on  these   actual   results   </w:t>
      </w:r>
      <w:r>
        <w:rPr>
          <w:spacing w:val="13"/>
          <w:w w:val="105"/>
        </w:rPr>
        <w:t>once </w:t>
      </w:r>
      <w:r>
        <w:rPr>
          <w:w w:val="105"/>
        </w:rPr>
        <w:t>all values  and  prices  </w:t>
      </w:r>
      <w:r>
        <w:rPr>
          <w:spacing w:val="3"/>
          <w:w w:val="105"/>
        </w:rPr>
        <w:t>become</w:t>
      </w:r>
      <w:r>
        <w:rPr>
          <w:spacing w:val="53"/>
          <w:w w:val="105"/>
        </w:rPr>
        <w:t> </w:t>
      </w:r>
      <w:r>
        <w:rPr>
          <w:w w:val="105"/>
        </w:rPr>
        <w:t>known,  </w:t>
      </w:r>
      <w:r>
        <w:rPr>
          <w:spacing w:val="6"/>
          <w:w w:val="105"/>
        </w:rPr>
        <w:t>the </w:t>
      </w:r>
      <w:r>
        <w:rPr>
          <w:w w:val="105"/>
        </w:rPr>
        <w:t>Company’s  estimates  have  </w:t>
      </w:r>
      <w:r>
        <w:rPr>
          <w:spacing w:val="2"/>
          <w:w w:val="105"/>
        </w:rPr>
        <w:t>proved  </w:t>
      </w:r>
      <w:r>
        <w:rPr>
          <w:w w:val="105"/>
        </w:rPr>
        <w:t>to   </w:t>
      </w:r>
      <w:r>
        <w:rPr>
          <w:spacing w:val="12"/>
          <w:w w:val="105"/>
        </w:rPr>
        <w:t>be  </w:t>
      </w:r>
      <w:r>
        <w:rPr>
          <w:w w:val="105"/>
        </w:rPr>
        <w:t>materially  accurate.  Furthermore,   since   </w:t>
      </w:r>
      <w:r>
        <w:rPr>
          <w:spacing w:val="6"/>
          <w:w w:val="105"/>
        </w:rPr>
        <w:t>the </w:t>
      </w:r>
      <w:r>
        <w:rPr>
          <w:w w:val="105"/>
        </w:rPr>
        <w:t>majority   of  the   Company’s   hedges   settle  </w:t>
      </w:r>
      <w:r>
        <w:rPr>
          <w:spacing w:val="1"/>
          <w:w w:val="105"/>
        </w:rPr>
        <w:t> </w:t>
      </w:r>
      <w:r>
        <w:rPr>
          <w:spacing w:val="10"/>
          <w:w w:val="105"/>
        </w:rPr>
        <w:t>within</w:t>
      </w:r>
    </w:p>
    <w:p>
      <w:pPr>
        <w:pStyle w:val="BodyText"/>
        <w:spacing w:line="254" w:lineRule="auto"/>
        <w:ind w:left="100"/>
        <w:jc w:val="both"/>
      </w:pPr>
      <w:r>
        <w:rPr>
          <w:w w:val="105"/>
        </w:rPr>
        <w:t>12 to 24 months from  the  time  the  </w:t>
      </w:r>
      <w:r>
        <w:rPr>
          <w:spacing w:val="9"/>
          <w:w w:val="105"/>
        </w:rPr>
        <w:t>Company  </w:t>
      </w:r>
      <w:r>
        <w:rPr>
          <w:w w:val="105"/>
        </w:rPr>
        <w:t>enters  into  the  contract  for  the  </w:t>
      </w:r>
      <w:r>
        <w:rPr>
          <w:spacing w:val="9"/>
          <w:w w:val="105"/>
        </w:rPr>
        <w:t>derivative </w:t>
      </w:r>
      <w:r>
        <w:rPr>
          <w:spacing w:val="2"/>
          <w:w w:val="105"/>
        </w:rPr>
        <w:t>financial instrument,  </w:t>
      </w:r>
      <w:r>
        <w:rPr>
          <w:w w:val="105"/>
        </w:rPr>
        <w:t>the  estimates  </w:t>
      </w:r>
      <w:r>
        <w:rPr>
          <w:spacing w:val="2"/>
          <w:w w:val="105"/>
        </w:rPr>
        <w:t>being  </w:t>
      </w:r>
      <w:r>
        <w:rPr>
          <w:spacing w:val="17"/>
          <w:w w:val="105"/>
        </w:rPr>
        <w:t>made </w:t>
      </w:r>
      <w:r>
        <w:rPr>
          <w:w w:val="105"/>
        </w:rPr>
        <w:t>are relatively</w:t>
      </w:r>
      <w:r>
        <w:rPr>
          <w:spacing w:val="44"/>
          <w:w w:val="105"/>
        </w:rPr>
        <w:t> </w:t>
      </w:r>
      <w:r>
        <w:rPr>
          <w:w w:val="105"/>
        </w:rPr>
        <w:t>short-term.</w:t>
      </w:r>
    </w:p>
    <w:p>
      <w:pPr>
        <w:pStyle w:val="BodyText"/>
        <w:spacing w:line="254" w:lineRule="auto"/>
        <w:ind w:left="100" w:right="5" w:firstLine="180"/>
        <w:jc w:val="both"/>
      </w:pPr>
      <w:r>
        <w:rPr>
          <w:spacing w:val="2"/>
          <w:w w:val="110"/>
        </w:rPr>
        <w:t>Estimating </w:t>
      </w:r>
      <w:r>
        <w:rPr>
          <w:w w:val="110"/>
        </w:rPr>
        <w:t>the fair value of these fuel </w:t>
      </w:r>
      <w:r>
        <w:rPr>
          <w:spacing w:val="10"/>
          <w:w w:val="110"/>
        </w:rPr>
        <w:t>hedging </w:t>
      </w:r>
      <w:r>
        <w:rPr>
          <w:w w:val="110"/>
        </w:rPr>
        <w:t>derivatives and forward prices for jet fuel will </w:t>
      </w:r>
      <w:r>
        <w:rPr>
          <w:spacing w:val="4"/>
          <w:w w:val="110"/>
        </w:rPr>
        <w:t>also </w:t>
      </w:r>
      <w:r>
        <w:rPr>
          <w:w w:val="110"/>
        </w:rPr>
        <w:t>result in changes in their values from </w:t>
      </w:r>
      <w:r>
        <w:rPr>
          <w:spacing w:val="2"/>
          <w:w w:val="110"/>
        </w:rPr>
        <w:t>period </w:t>
      </w:r>
      <w:r>
        <w:rPr>
          <w:spacing w:val="4"/>
          <w:w w:val="110"/>
        </w:rPr>
        <w:t>to </w:t>
      </w:r>
      <w:r>
        <w:rPr>
          <w:spacing w:val="2"/>
          <w:w w:val="110"/>
        </w:rPr>
        <w:t>period </w:t>
      </w:r>
      <w:r>
        <w:rPr>
          <w:w w:val="110"/>
        </w:rPr>
        <w:t>and thus </w:t>
      </w:r>
      <w:r>
        <w:rPr>
          <w:spacing w:val="3"/>
          <w:w w:val="110"/>
        </w:rPr>
        <w:t>determine </w:t>
      </w:r>
      <w:r>
        <w:rPr>
          <w:w w:val="110"/>
        </w:rPr>
        <w:t>how they  </w:t>
      </w:r>
      <w:r>
        <w:rPr>
          <w:spacing w:val="6"/>
          <w:w w:val="110"/>
        </w:rPr>
        <w:t>are </w:t>
      </w:r>
      <w:r>
        <w:rPr>
          <w:w w:val="110"/>
        </w:rPr>
        <w:t>accounted for under SFAS 133. To the extent </w:t>
      </w:r>
      <w:r>
        <w:rPr>
          <w:spacing w:val="5"/>
          <w:w w:val="110"/>
        </w:rPr>
        <w:t>that </w:t>
      </w:r>
      <w:r>
        <w:rPr>
          <w:w w:val="110"/>
        </w:rPr>
        <w:t>the period to period change in the </w:t>
      </w:r>
      <w:r>
        <w:rPr>
          <w:spacing w:val="2"/>
          <w:w w:val="110"/>
        </w:rPr>
        <w:t>estimated </w:t>
      </w:r>
      <w:r>
        <w:rPr>
          <w:spacing w:val="6"/>
          <w:w w:val="110"/>
        </w:rPr>
        <w:t>fair </w:t>
      </w:r>
      <w:r>
        <w:rPr>
          <w:w w:val="110"/>
        </w:rPr>
        <w:t>value of a fuel </w:t>
      </w:r>
      <w:r>
        <w:rPr>
          <w:spacing w:val="2"/>
          <w:w w:val="110"/>
        </w:rPr>
        <w:t>hedging instrument </w:t>
      </w:r>
      <w:r>
        <w:rPr>
          <w:w w:val="110"/>
        </w:rPr>
        <w:t>differs from a period to period change in the estimated price </w:t>
      </w:r>
      <w:r>
        <w:rPr>
          <w:spacing w:val="6"/>
          <w:w w:val="110"/>
        </w:rPr>
        <w:t>of</w:t>
      </w:r>
      <w:r>
        <w:rPr>
          <w:spacing w:val="61"/>
          <w:w w:val="110"/>
        </w:rPr>
        <w:t> </w:t>
      </w:r>
      <w:r>
        <w:rPr>
          <w:w w:val="110"/>
        </w:rPr>
        <w:t>the </w:t>
      </w:r>
      <w:r>
        <w:rPr>
          <w:spacing w:val="2"/>
          <w:w w:val="110"/>
        </w:rPr>
        <w:t>associated </w:t>
      </w:r>
      <w:r>
        <w:rPr>
          <w:w w:val="110"/>
        </w:rPr>
        <w:t>jet fuel to be </w:t>
      </w:r>
      <w:r>
        <w:rPr>
          <w:spacing w:val="7"/>
          <w:w w:val="110"/>
        </w:rPr>
        <w:t>purchased, </w:t>
      </w:r>
      <w:r>
        <w:rPr>
          <w:spacing w:val="3"/>
          <w:w w:val="110"/>
        </w:rPr>
        <w:t>ineffectiveness </w:t>
      </w:r>
      <w:r>
        <w:rPr>
          <w:w w:val="110"/>
        </w:rPr>
        <w:t>of the fuel </w:t>
      </w:r>
      <w:r>
        <w:rPr>
          <w:spacing w:val="2"/>
          <w:w w:val="110"/>
        </w:rPr>
        <w:t>hedge </w:t>
      </w:r>
      <w:r>
        <w:rPr>
          <w:w w:val="110"/>
        </w:rPr>
        <w:t>will result, </w:t>
      </w:r>
      <w:r>
        <w:rPr>
          <w:spacing w:val="4"/>
          <w:w w:val="110"/>
        </w:rPr>
        <w:t>as </w:t>
      </w:r>
      <w:r>
        <w:rPr>
          <w:spacing w:val="3"/>
          <w:w w:val="110"/>
        </w:rPr>
        <w:t>defined   </w:t>
      </w:r>
      <w:r>
        <w:rPr>
          <w:w w:val="110"/>
        </w:rPr>
        <w:t>by  SFAS  133.  This   could   result  in   </w:t>
      </w:r>
      <w:r>
        <w:rPr>
          <w:spacing w:val="6"/>
          <w:w w:val="110"/>
        </w:rPr>
        <w:t>the</w:t>
      </w:r>
    </w:p>
    <w:p>
      <w:pPr>
        <w:pStyle w:val="BodyText"/>
        <w:spacing w:line="254" w:lineRule="auto" w:before="69"/>
        <w:ind w:left="100" w:right="101"/>
        <w:jc w:val="both"/>
      </w:pPr>
      <w:r>
        <w:rPr/>
        <w:br w:type="column"/>
      </w:r>
      <w:r>
        <w:rPr>
          <w:w w:val="105"/>
        </w:rPr>
        <w:t>immediate recording of charges or income, even though the derivative instrument may not expire until  a  future  period.  Historically,  the  Company has  not   experienced   significant   ineffectiveness in  its  fuel  hedges  accounted  for  under  SFAS  133.</w:t>
      </w:r>
    </w:p>
    <w:p>
      <w:pPr>
        <w:pStyle w:val="BodyText"/>
        <w:spacing w:line="254" w:lineRule="auto"/>
        <w:ind w:left="100" w:right="107" w:firstLine="180"/>
        <w:jc w:val="both"/>
      </w:pPr>
      <w:r>
        <w:rPr>
          <w:w w:val="105"/>
        </w:rPr>
        <w:t>See Note 2 and Note 9 to the </w:t>
      </w:r>
      <w:r>
        <w:rPr>
          <w:spacing w:val="6"/>
          <w:w w:val="105"/>
        </w:rPr>
        <w:t>Consolidated </w:t>
      </w:r>
      <w:r>
        <w:rPr>
          <w:spacing w:val="2"/>
          <w:w w:val="105"/>
        </w:rPr>
        <w:t>Financial  </w:t>
      </w:r>
      <w:r>
        <w:rPr>
          <w:w w:val="105"/>
        </w:rPr>
        <w:t>Statements  for  more  </w:t>
      </w:r>
      <w:r>
        <w:rPr>
          <w:spacing w:val="3"/>
          <w:w w:val="105"/>
        </w:rPr>
        <w:t>information   </w:t>
      </w:r>
      <w:r>
        <w:rPr>
          <w:spacing w:val="12"/>
          <w:w w:val="105"/>
        </w:rPr>
        <w:t>on </w:t>
      </w:r>
      <w:r>
        <w:rPr>
          <w:w w:val="105"/>
        </w:rPr>
        <w:t>SFAS 133 and the Company’s  fuel  </w:t>
      </w:r>
      <w:r>
        <w:rPr>
          <w:spacing w:val="10"/>
          <w:w w:val="105"/>
        </w:rPr>
        <w:t>hedging </w:t>
      </w:r>
      <w:r>
        <w:rPr>
          <w:spacing w:val="6"/>
          <w:w w:val="105"/>
        </w:rPr>
        <w:t>activities.</w:t>
      </w:r>
    </w:p>
    <w:p>
      <w:pPr>
        <w:pStyle w:val="BodyText"/>
        <w:spacing w:before="11"/>
        <w:rPr>
          <w:sz w:val="21"/>
        </w:rPr>
      </w:pPr>
    </w:p>
    <w:p>
      <w:pPr>
        <w:pStyle w:val="BodyText"/>
        <w:ind w:left="100"/>
        <w:jc w:val="both"/>
        <w:rPr>
          <w:rFonts w:ascii="Franklin Gothic Medium"/>
        </w:rPr>
      </w:pPr>
      <w:r>
        <w:rPr>
          <w:rFonts w:ascii="Franklin Gothic Medium"/>
        </w:rPr>
        <w:t>Forward-Looking  Statements</w:t>
      </w:r>
    </w:p>
    <w:p>
      <w:pPr>
        <w:pStyle w:val="BodyText"/>
        <w:spacing w:before="2"/>
        <w:rPr>
          <w:rFonts w:ascii="Franklin Gothic Medium"/>
          <w:sz w:val="25"/>
        </w:rPr>
      </w:pPr>
    </w:p>
    <w:p>
      <w:pPr>
        <w:pStyle w:val="BodyText"/>
        <w:spacing w:line="254" w:lineRule="auto"/>
        <w:ind w:left="100" w:right="106" w:firstLine="180"/>
        <w:jc w:val="both"/>
      </w:pPr>
      <w:r>
        <w:rPr>
          <w:w w:val="105"/>
        </w:rPr>
        <w:t>Some  statements  in  this  Form  10-K   (or otherwise made by the Company or on the Company’s behalf from time to  time  in  other reports, filings with the Securities and Exchange Commission, news releases, conferences,  World Wide Web postings, or otherwise) which are not historical facts may be “forward-looking  state- ments” within the meaning of Section 21E of the Securities Exchange Act of 1934 and the Private Securities Litigation Reform Act of 1995. Forward- looking statements include statements about Southwest’s estimates, expectations, beliefs, intentions, or strategies for the future and the assumptions underlying these forward-looking statements. Southwest  uses  the  words “anticipates,” “believes,” “estimates,” “may,” “expects,”   “intends,”    “forecasts,”    “should,” “will,” and similar expressions to identify these forward-looking statements. Forward-looking state- ments involve risks and uncertainties that could cause actual results to differ  materially  from historical experience or the Company’s present expectations. Factors that could cause these differences  include,  but  are  not  limited  to:</w:t>
      </w:r>
    </w:p>
    <w:p>
      <w:pPr>
        <w:pStyle w:val="BodyText"/>
        <w:spacing w:before="6"/>
      </w:pPr>
    </w:p>
    <w:p>
      <w:pPr>
        <w:pStyle w:val="ListParagraph"/>
        <w:numPr>
          <w:ilvl w:val="0"/>
          <w:numId w:val="4"/>
        </w:numPr>
        <w:tabs>
          <w:tab w:pos="640" w:val="left" w:leader="none"/>
        </w:tabs>
        <w:spacing w:line="254" w:lineRule="auto" w:before="0" w:after="0"/>
        <w:ind w:left="640" w:right="103" w:hanging="180"/>
        <w:jc w:val="both"/>
        <w:rPr>
          <w:sz w:val="20"/>
        </w:rPr>
      </w:pPr>
      <w:r>
        <w:rPr>
          <w:w w:val="105"/>
          <w:sz w:val="20"/>
        </w:rPr>
        <w:t>Items directly linked to the </w:t>
      </w:r>
      <w:r>
        <w:rPr>
          <w:spacing w:val="2"/>
          <w:w w:val="105"/>
          <w:sz w:val="20"/>
        </w:rPr>
        <w:t>September </w:t>
      </w:r>
      <w:r>
        <w:rPr>
          <w:w w:val="105"/>
          <w:sz w:val="20"/>
        </w:rPr>
        <w:t>11, 2001, terrorist attacks, such as the </w:t>
      </w:r>
      <w:r>
        <w:rPr>
          <w:spacing w:val="8"/>
          <w:w w:val="105"/>
          <w:sz w:val="20"/>
        </w:rPr>
        <w:t>adverse </w:t>
      </w:r>
      <w:r>
        <w:rPr>
          <w:w w:val="105"/>
          <w:sz w:val="20"/>
        </w:rPr>
        <w:t>impact of new airline and airport </w:t>
      </w:r>
      <w:r>
        <w:rPr>
          <w:spacing w:val="3"/>
          <w:w w:val="105"/>
          <w:sz w:val="20"/>
        </w:rPr>
        <w:t>security </w:t>
      </w:r>
      <w:r>
        <w:rPr>
          <w:w w:val="105"/>
          <w:sz w:val="20"/>
        </w:rPr>
        <w:t>directives on the Company’s costs </w:t>
      </w:r>
      <w:r>
        <w:rPr>
          <w:spacing w:val="12"/>
          <w:w w:val="105"/>
          <w:sz w:val="20"/>
        </w:rPr>
        <w:t>and </w:t>
      </w:r>
      <w:r>
        <w:rPr>
          <w:w w:val="105"/>
          <w:sz w:val="20"/>
        </w:rPr>
        <w:t>Customer  </w:t>
      </w:r>
      <w:r>
        <w:rPr>
          <w:spacing w:val="3"/>
          <w:w w:val="105"/>
          <w:sz w:val="20"/>
        </w:rPr>
        <w:t>demand</w:t>
      </w:r>
      <w:r>
        <w:rPr>
          <w:spacing w:val="53"/>
          <w:w w:val="105"/>
          <w:sz w:val="20"/>
        </w:rPr>
        <w:t> </w:t>
      </w:r>
      <w:r>
        <w:rPr>
          <w:w w:val="105"/>
          <w:sz w:val="20"/>
        </w:rPr>
        <w:t>for  travel,  </w:t>
      </w:r>
      <w:r>
        <w:rPr>
          <w:spacing w:val="7"/>
          <w:w w:val="105"/>
          <w:sz w:val="20"/>
        </w:rPr>
        <w:t>changes   </w:t>
      </w:r>
      <w:r>
        <w:rPr>
          <w:spacing w:val="12"/>
          <w:w w:val="105"/>
          <w:sz w:val="20"/>
        </w:rPr>
        <w:t>in </w:t>
      </w:r>
      <w:r>
        <w:rPr>
          <w:spacing w:val="2"/>
          <w:w w:val="105"/>
          <w:sz w:val="20"/>
        </w:rPr>
        <w:t>the </w:t>
      </w:r>
      <w:r>
        <w:rPr>
          <w:spacing w:val="4"/>
          <w:w w:val="105"/>
          <w:sz w:val="20"/>
        </w:rPr>
        <w:t>Transportation </w:t>
      </w:r>
      <w:r>
        <w:rPr>
          <w:spacing w:val="2"/>
          <w:w w:val="105"/>
          <w:sz w:val="20"/>
        </w:rPr>
        <w:t>Security </w:t>
      </w:r>
      <w:r>
        <w:rPr>
          <w:spacing w:val="4"/>
          <w:w w:val="105"/>
          <w:sz w:val="20"/>
        </w:rPr>
        <w:t>Administration’s scope for </w:t>
      </w:r>
      <w:r>
        <w:rPr>
          <w:spacing w:val="9"/>
          <w:w w:val="105"/>
          <w:sz w:val="20"/>
        </w:rPr>
        <w:t>managing  </w:t>
      </w:r>
      <w:r>
        <w:rPr>
          <w:w w:val="105"/>
          <w:sz w:val="20"/>
        </w:rPr>
        <w:t>U.S.  </w:t>
      </w:r>
      <w:r>
        <w:rPr>
          <w:spacing w:val="5"/>
          <w:w w:val="105"/>
          <w:sz w:val="20"/>
        </w:rPr>
        <w:t>airport  </w:t>
      </w:r>
      <w:r>
        <w:rPr>
          <w:spacing w:val="2"/>
          <w:w w:val="105"/>
          <w:sz w:val="20"/>
        </w:rPr>
        <w:t>security, </w:t>
      </w:r>
      <w:r>
        <w:rPr>
          <w:w w:val="105"/>
          <w:sz w:val="20"/>
        </w:rPr>
        <w:t>the  </w:t>
      </w:r>
      <w:r>
        <w:rPr>
          <w:spacing w:val="2"/>
          <w:w w:val="105"/>
          <w:sz w:val="20"/>
        </w:rPr>
        <w:t>availability  </w:t>
      </w:r>
      <w:r>
        <w:rPr>
          <w:w w:val="105"/>
          <w:sz w:val="20"/>
        </w:rPr>
        <w:t>and  cost  of  war-risk  </w:t>
      </w:r>
      <w:r>
        <w:rPr>
          <w:spacing w:val="12"/>
          <w:w w:val="105"/>
          <w:sz w:val="20"/>
        </w:rPr>
        <w:t>and </w:t>
      </w:r>
      <w:r>
        <w:rPr>
          <w:w w:val="105"/>
          <w:sz w:val="20"/>
        </w:rPr>
        <w:t>other </w:t>
      </w:r>
      <w:r>
        <w:rPr>
          <w:spacing w:val="3"/>
          <w:w w:val="105"/>
          <w:sz w:val="20"/>
        </w:rPr>
        <w:t>aviation </w:t>
      </w:r>
      <w:r>
        <w:rPr>
          <w:spacing w:val="2"/>
          <w:w w:val="105"/>
          <w:sz w:val="20"/>
        </w:rPr>
        <w:t>insurance, </w:t>
      </w:r>
      <w:r>
        <w:rPr>
          <w:spacing w:val="7"/>
          <w:w w:val="105"/>
          <w:sz w:val="20"/>
        </w:rPr>
        <w:t>including  </w:t>
      </w:r>
      <w:r>
        <w:rPr>
          <w:spacing w:val="6"/>
          <w:w w:val="105"/>
          <w:sz w:val="20"/>
        </w:rPr>
        <w:t>the federal </w:t>
      </w:r>
      <w:r>
        <w:rPr>
          <w:spacing w:val="59"/>
          <w:w w:val="105"/>
          <w:sz w:val="20"/>
        </w:rPr>
        <w:t> </w:t>
      </w:r>
      <w:r>
        <w:rPr>
          <w:spacing w:val="6"/>
          <w:w w:val="105"/>
          <w:sz w:val="20"/>
        </w:rPr>
        <w:t>government’s </w:t>
      </w:r>
      <w:r>
        <w:rPr>
          <w:spacing w:val="59"/>
          <w:w w:val="105"/>
          <w:sz w:val="20"/>
        </w:rPr>
        <w:t> </w:t>
      </w:r>
      <w:r>
        <w:rPr>
          <w:spacing w:val="7"/>
          <w:w w:val="105"/>
          <w:sz w:val="20"/>
        </w:rPr>
        <w:t>provision   </w:t>
      </w:r>
      <w:r>
        <w:rPr>
          <w:spacing w:val="6"/>
          <w:w w:val="105"/>
          <w:sz w:val="20"/>
        </w:rPr>
        <w:t>of </w:t>
      </w:r>
      <w:r>
        <w:rPr>
          <w:spacing w:val="59"/>
          <w:w w:val="105"/>
          <w:sz w:val="20"/>
        </w:rPr>
        <w:t> </w:t>
      </w:r>
      <w:r>
        <w:rPr>
          <w:spacing w:val="6"/>
          <w:w w:val="105"/>
          <w:sz w:val="20"/>
        </w:rPr>
        <w:t>third-</w:t>
      </w:r>
    </w:p>
    <w:p>
      <w:pPr>
        <w:spacing w:after="0" w:line="254" w:lineRule="auto"/>
        <w:jc w:val="both"/>
        <w:rPr>
          <w:sz w:val="20"/>
        </w:rPr>
        <w:sectPr>
          <w:headerReference w:type="default" r:id="rId99"/>
          <w:footerReference w:type="default" r:id="rId100"/>
          <w:footerReference w:type="even" r:id="rId101"/>
          <w:pgSz w:w="11520" w:h="14400"/>
          <w:pgMar w:header="0" w:footer="706" w:top="960" w:bottom="900" w:left="700" w:right="840"/>
          <w:pgNumType w:start="25"/>
          <w:cols w:num="2" w:equalWidth="0">
            <w:col w:w="4738" w:space="402"/>
            <w:col w:w="4840"/>
          </w:cols>
        </w:sectPr>
      </w:pPr>
    </w:p>
    <w:p>
      <w:pPr>
        <w:pStyle w:val="BodyText"/>
        <w:spacing w:line="254" w:lineRule="auto" w:before="69"/>
        <w:ind w:left="640" w:right="4"/>
        <w:jc w:val="both"/>
      </w:pPr>
      <w:bookmarkStart w:name="Market Risk Disclosures" w:id="33"/>
      <w:bookmarkEnd w:id="33"/>
      <w:r>
        <w:rPr/>
      </w:r>
      <w:r>
        <w:rPr>
          <w:w w:val="105"/>
        </w:rPr>
        <w:t>party war-risk coverage,  and  the  possibility of  additional  incidents   that   could   cause the public to question the safety and/or efficiency  of  air travel.</w:t>
      </w:r>
    </w:p>
    <w:p>
      <w:pPr>
        <w:pStyle w:val="BodyText"/>
        <w:spacing w:before="5"/>
      </w:pPr>
    </w:p>
    <w:p>
      <w:pPr>
        <w:pStyle w:val="ListParagraph"/>
        <w:numPr>
          <w:ilvl w:val="0"/>
          <w:numId w:val="4"/>
        </w:numPr>
        <w:tabs>
          <w:tab w:pos="640" w:val="left" w:leader="none"/>
        </w:tabs>
        <w:spacing w:line="254" w:lineRule="auto" w:before="1" w:after="0"/>
        <w:ind w:left="640" w:right="14" w:hanging="180"/>
        <w:jc w:val="both"/>
        <w:rPr>
          <w:sz w:val="20"/>
        </w:rPr>
      </w:pPr>
      <w:r>
        <w:rPr>
          <w:sz w:val="20"/>
        </w:rPr>
        <w:t>War or other military actions by the U.S. </w:t>
      </w:r>
      <w:r>
        <w:rPr>
          <w:spacing w:val="4"/>
          <w:sz w:val="20"/>
        </w:rPr>
        <w:t>or others.</w:t>
      </w:r>
    </w:p>
    <w:p>
      <w:pPr>
        <w:pStyle w:val="BodyText"/>
        <w:spacing w:before="6"/>
      </w:pPr>
    </w:p>
    <w:p>
      <w:pPr>
        <w:pStyle w:val="ListParagraph"/>
        <w:numPr>
          <w:ilvl w:val="0"/>
          <w:numId w:val="4"/>
        </w:numPr>
        <w:tabs>
          <w:tab w:pos="640" w:val="left" w:leader="none"/>
        </w:tabs>
        <w:spacing w:line="254" w:lineRule="auto" w:before="0" w:after="0"/>
        <w:ind w:left="640" w:right="0" w:hanging="180"/>
        <w:jc w:val="both"/>
        <w:rPr>
          <w:sz w:val="20"/>
        </w:rPr>
      </w:pPr>
      <w:r>
        <w:rPr>
          <w:w w:val="105"/>
          <w:sz w:val="20"/>
        </w:rPr>
        <w:t>Competitive factors, such as fare sales </w:t>
      </w:r>
      <w:r>
        <w:rPr>
          <w:spacing w:val="12"/>
          <w:w w:val="105"/>
          <w:sz w:val="20"/>
        </w:rPr>
        <w:t>and </w:t>
      </w:r>
      <w:r>
        <w:rPr>
          <w:w w:val="105"/>
          <w:sz w:val="20"/>
        </w:rPr>
        <w:t>capacity </w:t>
      </w:r>
      <w:r>
        <w:rPr>
          <w:spacing w:val="2"/>
          <w:w w:val="105"/>
          <w:sz w:val="20"/>
        </w:rPr>
        <w:t>decisions </w:t>
      </w:r>
      <w:r>
        <w:rPr>
          <w:w w:val="105"/>
          <w:sz w:val="20"/>
        </w:rPr>
        <w:t>by the Company and </w:t>
      </w:r>
      <w:r>
        <w:rPr>
          <w:spacing w:val="2"/>
          <w:w w:val="105"/>
          <w:sz w:val="20"/>
        </w:rPr>
        <w:t>its </w:t>
      </w:r>
      <w:r>
        <w:rPr>
          <w:w w:val="105"/>
          <w:sz w:val="20"/>
        </w:rPr>
        <w:t>competitors, </w:t>
      </w:r>
      <w:r>
        <w:rPr>
          <w:spacing w:val="7"/>
          <w:w w:val="105"/>
          <w:sz w:val="20"/>
        </w:rPr>
        <w:t>changes </w:t>
      </w:r>
      <w:r>
        <w:rPr>
          <w:spacing w:val="6"/>
          <w:w w:val="105"/>
          <w:sz w:val="20"/>
        </w:rPr>
        <w:t>in </w:t>
      </w:r>
      <w:r>
        <w:rPr>
          <w:spacing w:val="5"/>
          <w:w w:val="105"/>
          <w:sz w:val="20"/>
        </w:rPr>
        <w:t>competitors’ </w:t>
      </w:r>
      <w:r>
        <w:rPr>
          <w:spacing w:val="4"/>
          <w:w w:val="105"/>
          <w:sz w:val="20"/>
        </w:rPr>
        <w:t>flight schedules, </w:t>
      </w:r>
      <w:r>
        <w:rPr>
          <w:w w:val="105"/>
          <w:sz w:val="20"/>
        </w:rPr>
        <w:t>mergers and </w:t>
      </w:r>
      <w:r>
        <w:rPr>
          <w:spacing w:val="7"/>
          <w:w w:val="105"/>
          <w:sz w:val="20"/>
        </w:rPr>
        <w:t>acquisitions, </w:t>
      </w:r>
      <w:r>
        <w:rPr>
          <w:spacing w:val="2"/>
          <w:w w:val="105"/>
          <w:sz w:val="20"/>
        </w:rPr>
        <w:t>codesharing </w:t>
      </w:r>
      <w:r>
        <w:rPr>
          <w:w w:val="105"/>
          <w:sz w:val="20"/>
        </w:rPr>
        <w:t>programs, and airline </w:t>
      </w:r>
      <w:r>
        <w:rPr>
          <w:spacing w:val="5"/>
          <w:w w:val="105"/>
          <w:sz w:val="20"/>
        </w:rPr>
        <w:t>bank-- ruptcies.</w:t>
      </w:r>
    </w:p>
    <w:p>
      <w:pPr>
        <w:pStyle w:val="BodyText"/>
        <w:spacing w:before="5"/>
      </w:pPr>
    </w:p>
    <w:p>
      <w:pPr>
        <w:pStyle w:val="ListParagraph"/>
        <w:numPr>
          <w:ilvl w:val="0"/>
          <w:numId w:val="4"/>
        </w:numPr>
        <w:tabs>
          <w:tab w:pos="640" w:val="left" w:leader="none"/>
        </w:tabs>
        <w:spacing w:line="254" w:lineRule="auto" w:before="1" w:after="0"/>
        <w:ind w:left="640" w:right="5" w:hanging="180"/>
        <w:jc w:val="both"/>
        <w:rPr>
          <w:sz w:val="20"/>
        </w:rPr>
      </w:pPr>
      <w:r>
        <w:rPr>
          <w:w w:val="105"/>
          <w:sz w:val="20"/>
        </w:rPr>
        <w:t>General </w:t>
      </w:r>
      <w:r>
        <w:rPr>
          <w:spacing w:val="3"/>
          <w:w w:val="105"/>
          <w:sz w:val="20"/>
        </w:rPr>
        <w:t>economic </w:t>
      </w:r>
      <w:r>
        <w:rPr>
          <w:spacing w:val="2"/>
          <w:w w:val="105"/>
          <w:sz w:val="20"/>
        </w:rPr>
        <w:t>conditions, which </w:t>
      </w:r>
      <w:r>
        <w:rPr>
          <w:spacing w:val="8"/>
          <w:w w:val="105"/>
          <w:sz w:val="20"/>
        </w:rPr>
        <w:t>could </w:t>
      </w:r>
      <w:r>
        <w:rPr>
          <w:w w:val="105"/>
          <w:sz w:val="20"/>
        </w:rPr>
        <w:t>adversely affect the </w:t>
      </w:r>
      <w:r>
        <w:rPr>
          <w:spacing w:val="3"/>
          <w:w w:val="105"/>
          <w:sz w:val="20"/>
        </w:rPr>
        <w:t>demand </w:t>
      </w:r>
      <w:r>
        <w:rPr>
          <w:w w:val="105"/>
          <w:sz w:val="20"/>
        </w:rPr>
        <w:t>for travel </w:t>
      </w:r>
      <w:r>
        <w:rPr>
          <w:spacing w:val="12"/>
          <w:w w:val="105"/>
          <w:sz w:val="20"/>
        </w:rPr>
        <w:t>in </w:t>
      </w:r>
      <w:r>
        <w:rPr>
          <w:w w:val="105"/>
          <w:sz w:val="20"/>
        </w:rPr>
        <w:t>general and </w:t>
      </w:r>
      <w:r>
        <w:rPr>
          <w:spacing w:val="2"/>
          <w:w w:val="105"/>
          <w:sz w:val="20"/>
        </w:rPr>
        <w:t>consumer </w:t>
      </w:r>
      <w:r>
        <w:rPr>
          <w:w w:val="105"/>
          <w:sz w:val="20"/>
        </w:rPr>
        <w:t>ticket  </w:t>
      </w:r>
      <w:r>
        <w:rPr>
          <w:spacing w:val="7"/>
          <w:w w:val="105"/>
          <w:sz w:val="20"/>
        </w:rPr>
        <w:t>purchasing </w:t>
      </w:r>
      <w:r>
        <w:rPr>
          <w:w w:val="105"/>
          <w:sz w:val="20"/>
        </w:rPr>
        <w:t>habits, as well as decisions by major </w:t>
      </w:r>
      <w:r>
        <w:rPr>
          <w:spacing w:val="4"/>
          <w:w w:val="105"/>
          <w:sz w:val="20"/>
        </w:rPr>
        <w:t>freight </w:t>
      </w:r>
      <w:r>
        <w:rPr>
          <w:w w:val="105"/>
          <w:sz w:val="20"/>
        </w:rPr>
        <w:t>Customers on how they allocate </w:t>
      </w:r>
      <w:r>
        <w:rPr>
          <w:spacing w:val="4"/>
          <w:w w:val="105"/>
          <w:sz w:val="20"/>
        </w:rPr>
        <w:t>freight </w:t>
      </w:r>
      <w:r>
        <w:rPr>
          <w:w w:val="105"/>
          <w:sz w:val="20"/>
        </w:rPr>
        <w:t>deliveries  among  different  types  of </w:t>
      </w:r>
      <w:r>
        <w:rPr>
          <w:spacing w:val="41"/>
          <w:w w:val="105"/>
          <w:sz w:val="20"/>
        </w:rPr>
        <w:t> </w:t>
      </w:r>
      <w:r>
        <w:rPr>
          <w:w w:val="105"/>
          <w:sz w:val="20"/>
        </w:rPr>
        <w:t>carriers.</w:t>
      </w:r>
    </w:p>
    <w:p>
      <w:pPr>
        <w:pStyle w:val="BodyText"/>
        <w:spacing w:before="6"/>
      </w:pPr>
    </w:p>
    <w:p>
      <w:pPr>
        <w:pStyle w:val="ListParagraph"/>
        <w:numPr>
          <w:ilvl w:val="0"/>
          <w:numId w:val="4"/>
        </w:numPr>
        <w:tabs>
          <w:tab w:pos="640" w:val="left" w:leader="none"/>
        </w:tabs>
        <w:spacing w:line="254" w:lineRule="auto" w:before="0" w:after="0"/>
        <w:ind w:left="640" w:right="0" w:hanging="180"/>
        <w:jc w:val="both"/>
        <w:rPr>
          <w:sz w:val="20"/>
        </w:rPr>
      </w:pPr>
      <w:r>
        <w:rPr>
          <w:w w:val="105"/>
          <w:sz w:val="20"/>
        </w:rPr>
        <w:t>Factors that could affect  the  </w:t>
      </w:r>
      <w:r>
        <w:rPr>
          <w:spacing w:val="6"/>
          <w:w w:val="105"/>
          <w:sz w:val="20"/>
        </w:rPr>
        <w:t>Company’s </w:t>
      </w:r>
      <w:r>
        <w:rPr>
          <w:w w:val="105"/>
          <w:sz w:val="20"/>
        </w:rPr>
        <w:t>ability  to  control  its  costs,  such  as  </w:t>
      </w:r>
      <w:r>
        <w:rPr>
          <w:spacing w:val="6"/>
          <w:w w:val="105"/>
          <w:sz w:val="20"/>
        </w:rPr>
        <w:t>the </w:t>
      </w:r>
      <w:r>
        <w:rPr>
          <w:w w:val="105"/>
          <w:sz w:val="20"/>
        </w:rPr>
        <w:t>results of </w:t>
      </w:r>
      <w:r>
        <w:rPr>
          <w:spacing w:val="2"/>
          <w:w w:val="105"/>
          <w:sz w:val="20"/>
        </w:rPr>
        <w:t>Employee  </w:t>
      </w:r>
      <w:r>
        <w:rPr>
          <w:w w:val="105"/>
          <w:sz w:val="20"/>
        </w:rPr>
        <w:t>labor </w:t>
      </w:r>
      <w:r>
        <w:rPr>
          <w:spacing w:val="4"/>
          <w:w w:val="105"/>
          <w:sz w:val="20"/>
        </w:rPr>
        <w:t>contract </w:t>
      </w:r>
      <w:r>
        <w:rPr>
          <w:spacing w:val="2"/>
          <w:w w:val="105"/>
          <w:sz w:val="20"/>
        </w:rPr>
        <w:t>negotiations,  Employee  </w:t>
      </w:r>
      <w:r>
        <w:rPr>
          <w:w w:val="105"/>
          <w:sz w:val="20"/>
        </w:rPr>
        <w:t>hiring  and  </w:t>
      </w:r>
      <w:r>
        <w:rPr>
          <w:spacing w:val="4"/>
          <w:w w:val="105"/>
          <w:sz w:val="20"/>
        </w:rPr>
        <w:t>reten-  </w:t>
      </w:r>
      <w:r>
        <w:rPr>
          <w:w w:val="105"/>
          <w:sz w:val="20"/>
        </w:rPr>
        <w:t>tion rates, costs for health care, the largely </w:t>
      </w:r>
      <w:r>
        <w:rPr>
          <w:spacing w:val="3"/>
          <w:w w:val="105"/>
          <w:sz w:val="20"/>
        </w:rPr>
        <w:t>unpredictable </w:t>
      </w:r>
      <w:r>
        <w:rPr>
          <w:w w:val="105"/>
          <w:sz w:val="20"/>
        </w:rPr>
        <w:t>prices  of  jet  fuel,  crude  </w:t>
      </w:r>
      <w:r>
        <w:rPr>
          <w:spacing w:val="5"/>
          <w:w w:val="105"/>
          <w:sz w:val="20"/>
        </w:rPr>
        <w:t>oil, </w:t>
      </w:r>
      <w:r>
        <w:rPr>
          <w:w w:val="105"/>
          <w:sz w:val="20"/>
        </w:rPr>
        <w:t>and </w:t>
      </w:r>
      <w:r>
        <w:rPr>
          <w:spacing w:val="2"/>
          <w:w w:val="105"/>
          <w:sz w:val="20"/>
        </w:rPr>
        <w:t>heating  </w:t>
      </w:r>
      <w:r>
        <w:rPr>
          <w:w w:val="105"/>
          <w:sz w:val="20"/>
        </w:rPr>
        <w:t>oil,  the  </w:t>
      </w:r>
      <w:r>
        <w:rPr>
          <w:spacing w:val="3"/>
          <w:w w:val="105"/>
          <w:sz w:val="20"/>
        </w:rPr>
        <w:t>continued</w:t>
      </w:r>
      <w:r>
        <w:rPr>
          <w:spacing w:val="53"/>
          <w:w w:val="105"/>
          <w:sz w:val="20"/>
        </w:rPr>
        <w:t> </w:t>
      </w:r>
      <w:r>
        <w:rPr>
          <w:spacing w:val="6"/>
          <w:w w:val="105"/>
          <w:sz w:val="20"/>
        </w:rPr>
        <w:t>effective- </w:t>
      </w:r>
      <w:r>
        <w:rPr>
          <w:w w:val="105"/>
          <w:sz w:val="20"/>
        </w:rPr>
        <w:t>ness  of  the  Company’s   fuel   </w:t>
      </w:r>
      <w:r>
        <w:rPr>
          <w:spacing w:val="7"/>
          <w:w w:val="105"/>
          <w:sz w:val="20"/>
        </w:rPr>
        <w:t>hedges, </w:t>
      </w:r>
      <w:r>
        <w:rPr>
          <w:w w:val="105"/>
          <w:sz w:val="20"/>
        </w:rPr>
        <w:t>changes in the  Company’s  overall  </w:t>
      </w:r>
      <w:r>
        <w:rPr>
          <w:spacing w:val="5"/>
          <w:w w:val="105"/>
          <w:sz w:val="20"/>
        </w:rPr>
        <w:t>fuel  </w:t>
      </w:r>
      <w:r>
        <w:rPr>
          <w:spacing w:val="2"/>
          <w:w w:val="105"/>
          <w:sz w:val="20"/>
        </w:rPr>
        <w:t>hedging </w:t>
      </w:r>
      <w:r>
        <w:rPr>
          <w:w w:val="105"/>
          <w:sz w:val="20"/>
        </w:rPr>
        <w:t>strategy, capacity </w:t>
      </w:r>
      <w:r>
        <w:rPr>
          <w:spacing w:val="2"/>
          <w:w w:val="105"/>
          <w:sz w:val="20"/>
        </w:rPr>
        <w:t>decisions </w:t>
      </w:r>
      <w:r>
        <w:rPr>
          <w:w w:val="105"/>
          <w:sz w:val="20"/>
        </w:rPr>
        <w:t>by </w:t>
      </w:r>
      <w:r>
        <w:rPr>
          <w:spacing w:val="6"/>
          <w:w w:val="105"/>
          <w:sz w:val="20"/>
        </w:rPr>
        <w:t>the </w:t>
      </w:r>
      <w:r>
        <w:rPr>
          <w:spacing w:val="8"/>
          <w:w w:val="105"/>
          <w:sz w:val="20"/>
        </w:rPr>
        <w:t>Company </w:t>
      </w:r>
      <w:r>
        <w:rPr>
          <w:w w:val="105"/>
          <w:sz w:val="20"/>
        </w:rPr>
        <w:t>and its competitors, </w:t>
      </w:r>
      <w:r>
        <w:rPr>
          <w:spacing w:val="7"/>
          <w:w w:val="105"/>
          <w:sz w:val="20"/>
        </w:rPr>
        <w:t>unscheduled </w:t>
      </w:r>
      <w:r>
        <w:rPr>
          <w:spacing w:val="6"/>
          <w:w w:val="105"/>
          <w:sz w:val="20"/>
        </w:rPr>
        <w:t>required </w:t>
      </w:r>
      <w:r>
        <w:rPr>
          <w:spacing w:val="4"/>
          <w:w w:val="105"/>
          <w:sz w:val="20"/>
        </w:rPr>
        <w:t>aircraft </w:t>
      </w:r>
      <w:r>
        <w:rPr>
          <w:spacing w:val="5"/>
          <w:w w:val="105"/>
          <w:sz w:val="20"/>
        </w:rPr>
        <w:t>airframe </w:t>
      </w:r>
      <w:r>
        <w:rPr>
          <w:spacing w:val="6"/>
          <w:w w:val="105"/>
          <w:sz w:val="20"/>
        </w:rPr>
        <w:t>or </w:t>
      </w:r>
      <w:r>
        <w:rPr>
          <w:spacing w:val="8"/>
          <w:w w:val="105"/>
          <w:sz w:val="20"/>
        </w:rPr>
        <w:t>engine </w:t>
      </w:r>
      <w:r>
        <w:rPr>
          <w:spacing w:val="5"/>
          <w:w w:val="105"/>
          <w:sz w:val="20"/>
        </w:rPr>
        <w:t>repairs </w:t>
      </w:r>
      <w:r>
        <w:rPr>
          <w:spacing w:val="8"/>
          <w:w w:val="105"/>
          <w:sz w:val="20"/>
        </w:rPr>
        <w:t>and </w:t>
      </w:r>
      <w:r>
        <w:rPr>
          <w:spacing w:val="2"/>
          <w:w w:val="105"/>
          <w:sz w:val="20"/>
        </w:rPr>
        <w:t>regulatory </w:t>
      </w:r>
      <w:r>
        <w:rPr>
          <w:spacing w:val="6"/>
          <w:w w:val="105"/>
          <w:sz w:val="20"/>
        </w:rPr>
        <w:t>requirements,</w:t>
      </w:r>
      <w:r>
        <w:rPr>
          <w:spacing w:val="59"/>
          <w:w w:val="105"/>
          <w:sz w:val="20"/>
        </w:rPr>
        <w:t> </w:t>
      </w:r>
      <w:r>
        <w:rPr>
          <w:w w:val="105"/>
          <w:sz w:val="20"/>
        </w:rPr>
        <w:t>changes </w:t>
      </w:r>
      <w:r>
        <w:rPr>
          <w:spacing w:val="12"/>
          <w:w w:val="105"/>
          <w:sz w:val="20"/>
        </w:rPr>
        <w:t>in </w:t>
      </w:r>
      <w:r>
        <w:rPr>
          <w:spacing w:val="3"/>
          <w:w w:val="105"/>
          <w:sz w:val="20"/>
        </w:rPr>
        <w:t>commission </w:t>
      </w:r>
      <w:r>
        <w:rPr>
          <w:w w:val="105"/>
          <w:sz w:val="20"/>
        </w:rPr>
        <w:t>policy, </w:t>
      </w:r>
      <w:r>
        <w:rPr>
          <w:spacing w:val="2"/>
          <w:w w:val="105"/>
          <w:sz w:val="20"/>
        </w:rPr>
        <w:t>availability </w:t>
      </w:r>
      <w:r>
        <w:rPr>
          <w:w w:val="105"/>
          <w:sz w:val="20"/>
        </w:rPr>
        <w:t>of </w:t>
      </w:r>
      <w:r>
        <w:rPr>
          <w:spacing w:val="6"/>
          <w:w w:val="105"/>
          <w:sz w:val="20"/>
        </w:rPr>
        <w:t>capital </w:t>
      </w:r>
      <w:r>
        <w:rPr>
          <w:w w:val="105"/>
          <w:sz w:val="20"/>
        </w:rPr>
        <w:t>markets, </w:t>
      </w:r>
      <w:r>
        <w:rPr>
          <w:spacing w:val="8"/>
          <w:w w:val="105"/>
          <w:sz w:val="20"/>
        </w:rPr>
        <w:t>and </w:t>
      </w:r>
      <w:r>
        <w:rPr>
          <w:spacing w:val="2"/>
          <w:w w:val="105"/>
          <w:sz w:val="20"/>
        </w:rPr>
        <w:t>future </w:t>
      </w:r>
      <w:r>
        <w:rPr>
          <w:spacing w:val="8"/>
          <w:w w:val="105"/>
          <w:sz w:val="20"/>
        </w:rPr>
        <w:t>financing </w:t>
      </w:r>
      <w:r>
        <w:rPr>
          <w:spacing w:val="9"/>
          <w:w w:val="105"/>
          <w:sz w:val="20"/>
        </w:rPr>
        <w:t>decisions </w:t>
      </w:r>
      <w:r>
        <w:rPr>
          <w:spacing w:val="10"/>
          <w:w w:val="105"/>
          <w:sz w:val="20"/>
        </w:rPr>
        <w:t>made </w:t>
      </w:r>
      <w:r>
        <w:rPr>
          <w:spacing w:val="6"/>
          <w:w w:val="105"/>
          <w:sz w:val="20"/>
        </w:rPr>
        <w:t>by </w:t>
      </w:r>
      <w:r>
        <w:rPr>
          <w:spacing w:val="2"/>
          <w:w w:val="105"/>
          <w:sz w:val="20"/>
        </w:rPr>
        <w:t>the</w:t>
      </w:r>
      <w:r>
        <w:rPr>
          <w:spacing w:val="32"/>
          <w:w w:val="105"/>
          <w:sz w:val="20"/>
        </w:rPr>
        <w:t> </w:t>
      </w:r>
      <w:r>
        <w:rPr>
          <w:spacing w:val="7"/>
          <w:w w:val="105"/>
          <w:sz w:val="20"/>
        </w:rPr>
        <w:t>Company.</w:t>
      </w:r>
    </w:p>
    <w:p>
      <w:pPr>
        <w:pStyle w:val="BodyText"/>
        <w:spacing w:before="5"/>
      </w:pPr>
    </w:p>
    <w:p>
      <w:pPr>
        <w:pStyle w:val="ListParagraph"/>
        <w:numPr>
          <w:ilvl w:val="0"/>
          <w:numId w:val="4"/>
        </w:numPr>
        <w:tabs>
          <w:tab w:pos="640" w:val="left" w:leader="none"/>
        </w:tabs>
        <w:spacing w:line="254" w:lineRule="auto" w:before="1" w:after="0"/>
        <w:ind w:left="640" w:right="4" w:hanging="180"/>
        <w:jc w:val="both"/>
        <w:rPr>
          <w:sz w:val="20"/>
        </w:rPr>
      </w:pPr>
      <w:r>
        <w:rPr>
          <w:spacing w:val="2"/>
          <w:w w:val="105"/>
          <w:sz w:val="20"/>
        </w:rPr>
        <w:t>Disruptions </w:t>
      </w:r>
      <w:r>
        <w:rPr>
          <w:w w:val="105"/>
          <w:sz w:val="20"/>
        </w:rPr>
        <w:t>to </w:t>
      </w:r>
      <w:r>
        <w:rPr>
          <w:spacing w:val="2"/>
          <w:w w:val="105"/>
          <w:sz w:val="20"/>
        </w:rPr>
        <w:t>operations </w:t>
      </w:r>
      <w:r>
        <w:rPr>
          <w:w w:val="105"/>
          <w:sz w:val="20"/>
        </w:rPr>
        <w:t>due to </w:t>
      </w:r>
      <w:r>
        <w:rPr>
          <w:spacing w:val="8"/>
          <w:w w:val="105"/>
          <w:sz w:val="20"/>
        </w:rPr>
        <w:t>adverse </w:t>
      </w:r>
      <w:r>
        <w:rPr>
          <w:w w:val="105"/>
          <w:sz w:val="20"/>
        </w:rPr>
        <w:t>weather </w:t>
      </w:r>
      <w:r>
        <w:rPr>
          <w:spacing w:val="2"/>
          <w:w w:val="105"/>
          <w:sz w:val="20"/>
        </w:rPr>
        <w:t>conditions </w:t>
      </w:r>
      <w:r>
        <w:rPr>
          <w:w w:val="105"/>
          <w:sz w:val="20"/>
        </w:rPr>
        <w:t>and air traffic control- related </w:t>
      </w:r>
      <w:r>
        <w:rPr>
          <w:spacing w:val="40"/>
          <w:w w:val="105"/>
          <w:sz w:val="20"/>
        </w:rPr>
        <w:t> </w:t>
      </w:r>
      <w:r>
        <w:rPr>
          <w:spacing w:val="2"/>
          <w:w w:val="105"/>
          <w:sz w:val="20"/>
        </w:rPr>
        <w:t>constraints.</w:t>
      </w:r>
    </w:p>
    <w:p>
      <w:pPr>
        <w:pStyle w:val="BodyText"/>
        <w:spacing w:before="5"/>
        <w:rPr>
          <w:sz w:val="21"/>
        </w:rPr>
      </w:pPr>
    </w:p>
    <w:p>
      <w:pPr>
        <w:pStyle w:val="BodyText"/>
        <w:spacing w:line="254" w:lineRule="auto"/>
        <w:ind w:left="100" w:firstLine="180"/>
        <w:jc w:val="both"/>
      </w:pPr>
      <w:r>
        <w:rPr>
          <w:w w:val="105"/>
        </w:rPr>
        <w:t>Caution should be taken not to place undue reliance on the Company’s forward-looking statements,  which   represent   the   Company’s views  only  as  of  the  date  this  report  is  filed.  The</w:t>
      </w:r>
    </w:p>
    <w:p>
      <w:pPr>
        <w:pStyle w:val="BodyText"/>
        <w:spacing w:line="254" w:lineRule="auto" w:before="69"/>
        <w:ind w:left="100" w:right="106"/>
        <w:jc w:val="both"/>
      </w:pPr>
      <w:r>
        <w:rPr/>
        <w:br w:type="column"/>
      </w:r>
      <w:r>
        <w:rPr>
          <w:w w:val="105"/>
        </w:rPr>
        <w:t>Company undertakes no obligation to update publicly or revise any forward-looking statement, whether as a result of new information, future events,  or  otherwise.</w:t>
      </w:r>
    </w:p>
    <w:p>
      <w:pPr>
        <w:pStyle w:val="BodyText"/>
        <w:spacing w:before="4"/>
        <w:rPr>
          <w:sz w:val="21"/>
        </w:rPr>
      </w:pPr>
    </w:p>
    <w:p>
      <w:pPr>
        <w:tabs>
          <w:tab w:pos="1099" w:val="left" w:leader="none"/>
        </w:tabs>
        <w:spacing w:line="254" w:lineRule="auto" w:before="0"/>
        <w:ind w:left="1100" w:right="914" w:hanging="1000"/>
        <w:jc w:val="left"/>
        <w:rPr>
          <w:i/>
          <w:sz w:val="20"/>
        </w:rPr>
      </w:pPr>
      <w:r>
        <w:rPr>
          <w:rFonts w:ascii="Franklin Gothic Medium"/>
          <w:w w:val="105"/>
          <w:sz w:val="20"/>
        </w:rPr>
        <w:t>Item</w:t>
      </w:r>
      <w:r>
        <w:rPr>
          <w:rFonts w:ascii="Franklin Gothic Medium"/>
          <w:spacing w:val="7"/>
          <w:w w:val="105"/>
          <w:sz w:val="20"/>
        </w:rPr>
        <w:t> </w:t>
      </w:r>
      <w:r>
        <w:rPr>
          <w:rFonts w:ascii="Franklin Gothic Medium"/>
          <w:w w:val="105"/>
          <w:sz w:val="20"/>
        </w:rPr>
        <w:t>7A.</w:t>
        <w:tab/>
      </w:r>
      <w:r>
        <w:rPr>
          <w:i/>
          <w:spacing w:val="3"/>
          <w:w w:val="105"/>
          <w:sz w:val="20"/>
        </w:rPr>
        <w:t>Qualitative</w:t>
      </w:r>
      <w:r>
        <w:rPr>
          <w:i/>
          <w:spacing w:val="37"/>
          <w:w w:val="105"/>
          <w:sz w:val="20"/>
        </w:rPr>
        <w:t> </w:t>
      </w:r>
      <w:r>
        <w:rPr>
          <w:i/>
          <w:spacing w:val="2"/>
          <w:w w:val="105"/>
          <w:sz w:val="20"/>
        </w:rPr>
        <w:t>and</w:t>
      </w:r>
      <w:r>
        <w:rPr>
          <w:i/>
          <w:spacing w:val="37"/>
          <w:w w:val="105"/>
          <w:sz w:val="20"/>
        </w:rPr>
        <w:t> </w:t>
      </w:r>
      <w:r>
        <w:rPr>
          <w:i/>
          <w:spacing w:val="4"/>
          <w:w w:val="105"/>
          <w:sz w:val="20"/>
        </w:rPr>
        <w:t>Quantitative</w:t>
      </w:r>
      <w:r>
        <w:rPr>
          <w:i/>
          <w:spacing w:val="4"/>
          <w:w w:val="101"/>
          <w:sz w:val="20"/>
        </w:rPr>
        <w:t> </w:t>
      </w:r>
      <w:r>
        <w:rPr>
          <w:i/>
          <w:spacing w:val="2"/>
          <w:w w:val="105"/>
          <w:sz w:val="20"/>
        </w:rPr>
        <w:t>Disclosures  About  Market </w:t>
      </w:r>
      <w:r>
        <w:rPr>
          <w:i/>
          <w:spacing w:val="45"/>
          <w:w w:val="105"/>
          <w:sz w:val="20"/>
        </w:rPr>
        <w:t> </w:t>
      </w:r>
      <w:r>
        <w:rPr>
          <w:i/>
          <w:spacing w:val="3"/>
          <w:w w:val="105"/>
          <w:sz w:val="20"/>
        </w:rPr>
        <w:t>Risk</w:t>
      </w:r>
    </w:p>
    <w:p>
      <w:pPr>
        <w:pStyle w:val="BodyText"/>
        <w:spacing w:before="4"/>
        <w:rPr>
          <w:i/>
          <w:sz w:val="21"/>
        </w:rPr>
      </w:pPr>
    </w:p>
    <w:p>
      <w:pPr>
        <w:pStyle w:val="BodyText"/>
        <w:spacing w:line="254" w:lineRule="auto"/>
        <w:ind w:left="100" w:right="106" w:firstLine="180"/>
        <w:jc w:val="both"/>
      </w:pPr>
      <w:r>
        <w:rPr>
          <w:w w:val="105"/>
        </w:rPr>
        <w:t>Southwest has interest rate risk in that it </w:t>
      </w:r>
      <w:r>
        <w:rPr>
          <w:spacing w:val="6"/>
          <w:w w:val="105"/>
        </w:rPr>
        <w:t>holds </w:t>
      </w:r>
      <w:r>
        <w:rPr>
          <w:w w:val="105"/>
        </w:rPr>
        <w:t>floating  rate  debt  instruments  and  has  </w:t>
      </w:r>
      <w:r>
        <w:rPr>
          <w:spacing w:val="9"/>
          <w:w w:val="105"/>
        </w:rPr>
        <w:t>com- </w:t>
      </w:r>
      <w:r>
        <w:rPr>
          <w:w w:val="105"/>
        </w:rPr>
        <w:t>modity price risk  in  that  it  must  </w:t>
      </w:r>
      <w:r>
        <w:rPr>
          <w:spacing w:val="2"/>
          <w:w w:val="105"/>
        </w:rPr>
        <w:t>purchase  </w:t>
      </w:r>
      <w:r>
        <w:rPr>
          <w:w w:val="105"/>
        </w:rPr>
        <w:t>jet  </w:t>
      </w:r>
      <w:r>
        <w:rPr>
          <w:spacing w:val="5"/>
          <w:w w:val="105"/>
        </w:rPr>
        <w:t>fuel </w:t>
      </w:r>
      <w:r>
        <w:rPr>
          <w:w w:val="105"/>
        </w:rPr>
        <w:t>to </w:t>
      </w:r>
      <w:r>
        <w:rPr>
          <w:spacing w:val="2"/>
          <w:w w:val="105"/>
        </w:rPr>
        <w:t>operate </w:t>
      </w:r>
      <w:r>
        <w:rPr>
          <w:w w:val="105"/>
        </w:rPr>
        <w:t>its  aircraft  fleet.  The  </w:t>
      </w:r>
      <w:r>
        <w:rPr>
          <w:spacing w:val="9"/>
          <w:w w:val="105"/>
        </w:rPr>
        <w:t>Company </w:t>
      </w:r>
      <w:r>
        <w:rPr>
          <w:w w:val="105"/>
        </w:rPr>
        <w:t>purchases jet fuel at </w:t>
      </w:r>
      <w:r>
        <w:rPr>
          <w:spacing w:val="2"/>
          <w:w w:val="105"/>
        </w:rPr>
        <w:t>prevailing </w:t>
      </w:r>
      <w:r>
        <w:rPr>
          <w:w w:val="105"/>
        </w:rPr>
        <w:t>market prices </w:t>
      </w:r>
      <w:r>
        <w:rPr>
          <w:spacing w:val="6"/>
          <w:w w:val="105"/>
        </w:rPr>
        <w:t>but </w:t>
      </w:r>
      <w:r>
        <w:rPr>
          <w:w w:val="105"/>
        </w:rPr>
        <w:t>seeks  to  </w:t>
      </w:r>
      <w:r>
        <w:rPr>
          <w:spacing w:val="3"/>
          <w:w w:val="105"/>
        </w:rPr>
        <w:t>minimize</w:t>
      </w:r>
      <w:r>
        <w:rPr>
          <w:spacing w:val="53"/>
          <w:w w:val="105"/>
        </w:rPr>
        <w:t> </w:t>
      </w:r>
      <w:r>
        <w:rPr>
          <w:w w:val="105"/>
        </w:rPr>
        <w:t>its  </w:t>
      </w:r>
      <w:r>
        <w:rPr>
          <w:spacing w:val="2"/>
          <w:w w:val="105"/>
        </w:rPr>
        <w:t>average  </w:t>
      </w:r>
      <w:r>
        <w:rPr>
          <w:w w:val="105"/>
        </w:rPr>
        <w:t>jet   fuel   cost through </w:t>
      </w:r>
      <w:r>
        <w:rPr>
          <w:spacing w:val="3"/>
          <w:w w:val="105"/>
        </w:rPr>
        <w:t>execution </w:t>
      </w:r>
      <w:r>
        <w:rPr>
          <w:w w:val="105"/>
        </w:rPr>
        <w:t>of a </w:t>
      </w:r>
      <w:r>
        <w:rPr>
          <w:spacing w:val="3"/>
          <w:w w:val="105"/>
        </w:rPr>
        <w:t>documented </w:t>
      </w:r>
      <w:r>
        <w:rPr>
          <w:spacing w:val="10"/>
          <w:w w:val="105"/>
        </w:rPr>
        <w:t>hedging </w:t>
      </w:r>
      <w:r>
        <w:rPr>
          <w:w w:val="105"/>
        </w:rPr>
        <w:t>strategy. Southwest has market </w:t>
      </w:r>
      <w:r>
        <w:rPr>
          <w:spacing w:val="2"/>
          <w:w w:val="105"/>
        </w:rPr>
        <w:t>sensitive </w:t>
      </w:r>
      <w:r>
        <w:rPr>
          <w:spacing w:val="3"/>
          <w:w w:val="105"/>
        </w:rPr>
        <w:t>instru- </w:t>
      </w:r>
      <w:r>
        <w:rPr>
          <w:w w:val="105"/>
        </w:rPr>
        <w:t>ments in the form of  fixed-rate  debt  </w:t>
      </w:r>
      <w:r>
        <w:rPr>
          <w:spacing w:val="5"/>
          <w:w w:val="105"/>
        </w:rPr>
        <w:t>instruments </w:t>
      </w:r>
      <w:r>
        <w:rPr>
          <w:w w:val="105"/>
        </w:rPr>
        <w:t>and </w:t>
      </w:r>
      <w:r>
        <w:rPr>
          <w:spacing w:val="3"/>
          <w:w w:val="105"/>
        </w:rPr>
        <w:t>derivative </w:t>
      </w:r>
      <w:r>
        <w:rPr>
          <w:w w:val="105"/>
        </w:rPr>
        <w:t>instruments used to hedge  </w:t>
      </w:r>
      <w:r>
        <w:rPr>
          <w:spacing w:val="2"/>
          <w:w w:val="105"/>
        </w:rPr>
        <w:t>its exposure  </w:t>
      </w:r>
      <w:r>
        <w:rPr>
          <w:w w:val="105"/>
        </w:rPr>
        <w:t>to  jet  fuel   price   increases.   </w:t>
      </w:r>
      <w:r>
        <w:rPr>
          <w:spacing w:val="7"/>
          <w:w w:val="105"/>
        </w:rPr>
        <w:t>The </w:t>
      </w:r>
      <w:r>
        <w:rPr>
          <w:spacing w:val="2"/>
          <w:w w:val="105"/>
        </w:rPr>
        <w:t>Company  </w:t>
      </w:r>
      <w:r>
        <w:rPr>
          <w:w w:val="105"/>
        </w:rPr>
        <w:t>also  operates  97  aircraft   </w:t>
      </w:r>
      <w:r>
        <w:rPr>
          <w:spacing w:val="11"/>
          <w:w w:val="105"/>
        </w:rPr>
        <w:t>under </w:t>
      </w:r>
      <w:r>
        <w:rPr>
          <w:spacing w:val="2"/>
          <w:w w:val="105"/>
        </w:rPr>
        <w:t>operating  </w:t>
      </w:r>
      <w:r>
        <w:rPr>
          <w:w w:val="105"/>
        </w:rPr>
        <w:t>and   capital   leases.   </w:t>
      </w:r>
      <w:r>
        <w:rPr>
          <w:spacing w:val="2"/>
          <w:w w:val="105"/>
        </w:rPr>
        <w:t>However,   </w:t>
      </w:r>
      <w:r>
        <w:rPr>
          <w:spacing w:val="3"/>
          <w:w w:val="105"/>
        </w:rPr>
        <w:t>leases </w:t>
      </w:r>
      <w:r>
        <w:rPr>
          <w:w w:val="105"/>
        </w:rPr>
        <w:t>are not </w:t>
      </w:r>
      <w:r>
        <w:rPr>
          <w:spacing w:val="3"/>
          <w:w w:val="105"/>
        </w:rPr>
        <w:t>considered </w:t>
      </w:r>
      <w:r>
        <w:rPr>
          <w:w w:val="105"/>
        </w:rPr>
        <w:t>market </w:t>
      </w:r>
      <w:r>
        <w:rPr>
          <w:spacing w:val="2"/>
          <w:w w:val="105"/>
        </w:rPr>
        <w:t>sensitive </w:t>
      </w:r>
      <w:r>
        <w:rPr>
          <w:spacing w:val="8"/>
          <w:w w:val="105"/>
        </w:rPr>
        <w:t>financial </w:t>
      </w:r>
      <w:r>
        <w:rPr>
          <w:w w:val="105"/>
        </w:rPr>
        <w:t>instruments  and,  therefore,  are  not  </w:t>
      </w:r>
      <w:r>
        <w:rPr>
          <w:spacing w:val="2"/>
          <w:w w:val="105"/>
        </w:rPr>
        <w:t>included   </w:t>
      </w:r>
      <w:r>
        <w:rPr>
          <w:spacing w:val="12"/>
          <w:w w:val="105"/>
        </w:rPr>
        <w:t>in </w:t>
      </w:r>
      <w:r>
        <w:rPr>
          <w:w w:val="105"/>
        </w:rPr>
        <w:t>the interest rate sensitivity analysis </w:t>
      </w:r>
      <w:r>
        <w:rPr>
          <w:spacing w:val="7"/>
          <w:w w:val="105"/>
        </w:rPr>
        <w:t>below. </w:t>
      </w:r>
      <w:r>
        <w:rPr>
          <w:spacing w:val="2"/>
          <w:w w:val="105"/>
        </w:rPr>
        <w:t>Commitments </w:t>
      </w:r>
      <w:r>
        <w:rPr>
          <w:w w:val="105"/>
        </w:rPr>
        <w:t>related to  leases  are  disclosed  </w:t>
      </w:r>
      <w:r>
        <w:rPr>
          <w:spacing w:val="11"/>
          <w:w w:val="105"/>
        </w:rPr>
        <w:t>in </w:t>
      </w:r>
      <w:r>
        <w:rPr>
          <w:w w:val="105"/>
        </w:rPr>
        <w:t>Note 8 to the Consolidated  </w:t>
      </w:r>
      <w:r>
        <w:rPr>
          <w:spacing w:val="3"/>
          <w:w w:val="105"/>
        </w:rPr>
        <w:t>Financial</w:t>
      </w:r>
      <w:r>
        <w:rPr>
          <w:spacing w:val="53"/>
          <w:w w:val="105"/>
        </w:rPr>
        <w:t> </w:t>
      </w:r>
      <w:r>
        <w:rPr>
          <w:spacing w:val="4"/>
          <w:w w:val="105"/>
        </w:rPr>
        <w:t>Statements. </w:t>
      </w:r>
      <w:r>
        <w:rPr>
          <w:w w:val="105"/>
        </w:rPr>
        <w:t>The Company does not purchase or hold </w:t>
      </w:r>
      <w:r>
        <w:rPr>
          <w:spacing w:val="6"/>
          <w:w w:val="105"/>
        </w:rPr>
        <w:t>any </w:t>
      </w:r>
      <w:r>
        <w:rPr>
          <w:spacing w:val="3"/>
          <w:w w:val="105"/>
        </w:rPr>
        <w:t>derivative </w:t>
      </w:r>
      <w:r>
        <w:rPr>
          <w:spacing w:val="2"/>
          <w:w w:val="105"/>
        </w:rPr>
        <w:t>financial </w:t>
      </w:r>
      <w:r>
        <w:rPr>
          <w:w w:val="105"/>
        </w:rPr>
        <w:t>instruments for trading </w:t>
      </w:r>
      <w:r>
        <w:rPr>
          <w:spacing w:val="5"/>
          <w:w w:val="105"/>
        </w:rPr>
        <w:t>pur- </w:t>
      </w:r>
      <w:r>
        <w:rPr>
          <w:w w:val="105"/>
        </w:rPr>
        <w:t>poses. See Note 2 to the </w:t>
      </w:r>
      <w:r>
        <w:rPr>
          <w:spacing w:val="2"/>
          <w:w w:val="105"/>
        </w:rPr>
        <w:t>Consolidated </w:t>
      </w:r>
      <w:r>
        <w:rPr>
          <w:spacing w:val="9"/>
          <w:w w:val="105"/>
        </w:rPr>
        <w:t>Financial </w:t>
      </w:r>
      <w:r>
        <w:rPr>
          <w:w w:val="105"/>
        </w:rPr>
        <w:t>Statements for </w:t>
      </w:r>
      <w:r>
        <w:rPr>
          <w:spacing w:val="3"/>
          <w:w w:val="105"/>
        </w:rPr>
        <w:t>information </w:t>
      </w:r>
      <w:r>
        <w:rPr>
          <w:w w:val="105"/>
        </w:rPr>
        <w:t>on the </w:t>
      </w:r>
      <w:r>
        <w:rPr>
          <w:spacing w:val="6"/>
          <w:w w:val="105"/>
        </w:rPr>
        <w:t>Company’s </w:t>
      </w:r>
      <w:r>
        <w:rPr>
          <w:w w:val="105"/>
        </w:rPr>
        <w:t>accounting for its hedging program and  Note  9  </w:t>
      </w:r>
      <w:r>
        <w:rPr>
          <w:spacing w:val="4"/>
          <w:w w:val="105"/>
        </w:rPr>
        <w:t>to </w:t>
      </w:r>
      <w:r>
        <w:rPr>
          <w:w w:val="105"/>
        </w:rPr>
        <w:t>the </w:t>
      </w:r>
      <w:r>
        <w:rPr>
          <w:spacing w:val="2"/>
          <w:w w:val="105"/>
        </w:rPr>
        <w:t>Consolidated Financial </w:t>
      </w:r>
      <w:r>
        <w:rPr>
          <w:w w:val="105"/>
        </w:rPr>
        <w:t>Statements for </w:t>
      </w:r>
      <w:r>
        <w:rPr>
          <w:spacing w:val="4"/>
          <w:w w:val="105"/>
        </w:rPr>
        <w:t>further </w:t>
      </w:r>
      <w:r>
        <w:rPr>
          <w:w w:val="105"/>
        </w:rPr>
        <w:t>details on the Company’s </w:t>
      </w:r>
      <w:r>
        <w:rPr>
          <w:spacing w:val="2"/>
          <w:w w:val="105"/>
        </w:rPr>
        <w:t>financial </w:t>
      </w:r>
      <w:r>
        <w:rPr>
          <w:spacing w:val="9"/>
          <w:w w:val="105"/>
        </w:rPr>
        <w:t>derivative </w:t>
      </w:r>
      <w:r>
        <w:rPr>
          <w:spacing w:val="5"/>
          <w:w w:val="105"/>
        </w:rPr>
        <w:t>instruments.</w:t>
      </w:r>
    </w:p>
    <w:p>
      <w:pPr>
        <w:pStyle w:val="BodyText"/>
        <w:spacing w:before="11"/>
        <w:rPr>
          <w:sz w:val="21"/>
        </w:rPr>
      </w:pPr>
    </w:p>
    <w:p>
      <w:pPr>
        <w:pStyle w:val="BodyText"/>
        <w:ind w:left="100"/>
        <w:jc w:val="both"/>
        <w:rPr>
          <w:rFonts w:ascii="Franklin Gothic Medium"/>
        </w:rPr>
      </w:pPr>
      <w:r>
        <w:rPr>
          <w:rFonts w:ascii="Franklin Gothic Medium"/>
        </w:rPr>
        <w:t>Fuel  hedging</w:t>
      </w:r>
    </w:p>
    <w:p>
      <w:pPr>
        <w:pStyle w:val="BodyText"/>
        <w:spacing w:before="2"/>
        <w:rPr>
          <w:rFonts w:ascii="Franklin Gothic Medium"/>
          <w:sz w:val="25"/>
        </w:rPr>
      </w:pPr>
    </w:p>
    <w:p>
      <w:pPr>
        <w:pStyle w:val="BodyText"/>
        <w:spacing w:line="254" w:lineRule="auto"/>
        <w:ind w:left="100" w:right="105" w:firstLine="180"/>
        <w:jc w:val="both"/>
      </w:pPr>
      <w:r>
        <w:rPr>
          <w:w w:val="105"/>
        </w:rPr>
        <w:t>The fair  values  of  </w:t>
      </w:r>
      <w:r>
        <w:rPr>
          <w:spacing w:val="2"/>
          <w:w w:val="105"/>
        </w:rPr>
        <w:t>outstanding  </w:t>
      </w:r>
      <w:r>
        <w:rPr>
          <w:spacing w:val="8"/>
          <w:w w:val="105"/>
        </w:rPr>
        <w:t>financial </w:t>
      </w:r>
      <w:r>
        <w:rPr>
          <w:spacing w:val="3"/>
          <w:w w:val="105"/>
        </w:rPr>
        <w:t>derivative</w:t>
      </w:r>
      <w:r>
        <w:rPr>
          <w:spacing w:val="53"/>
          <w:w w:val="105"/>
        </w:rPr>
        <w:t> </w:t>
      </w:r>
      <w:r>
        <w:rPr>
          <w:w w:val="105"/>
        </w:rPr>
        <w:t>instruments  related  to  the  </w:t>
      </w:r>
      <w:r>
        <w:rPr>
          <w:spacing w:val="6"/>
          <w:w w:val="105"/>
        </w:rPr>
        <w:t>Company’s </w:t>
      </w:r>
      <w:r>
        <w:rPr>
          <w:w w:val="105"/>
        </w:rPr>
        <w:t>jet fuel market price risk at  </w:t>
      </w:r>
      <w:r>
        <w:rPr>
          <w:spacing w:val="3"/>
          <w:w w:val="105"/>
        </w:rPr>
        <w:t>December</w:t>
      </w:r>
      <w:r>
        <w:rPr>
          <w:spacing w:val="53"/>
          <w:w w:val="105"/>
        </w:rPr>
        <w:t> </w:t>
      </w:r>
      <w:r>
        <w:rPr>
          <w:w w:val="105"/>
        </w:rPr>
        <w:t>31,  2002, were a net asset of $157.2 million. The  </w:t>
      </w:r>
      <w:r>
        <w:rPr>
          <w:spacing w:val="4"/>
          <w:w w:val="105"/>
        </w:rPr>
        <w:t>current </w:t>
      </w:r>
      <w:r>
        <w:rPr>
          <w:w w:val="105"/>
        </w:rPr>
        <w:t>portion  of  these  </w:t>
      </w:r>
      <w:r>
        <w:rPr>
          <w:spacing w:val="2"/>
          <w:w w:val="105"/>
        </w:rPr>
        <w:t>financial  </w:t>
      </w:r>
      <w:r>
        <w:rPr>
          <w:spacing w:val="3"/>
          <w:w w:val="105"/>
        </w:rPr>
        <w:t>derivative</w:t>
      </w:r>
      <w:r>
        <w:rPr>
          <w:spacing w:val="53"/>
          <w:w w:val="105"/>
        </w:rPr>
        <w:t> </w:t>
      </w:r>
      <w:r>
        <w:rPr>
          <w:spacing w:val="5"/>
          <w:w w:val="105"/>
        </w:rPr>
        <w:t>instruments, </w:t>
      </w:r>
      <w:r>
        <w:rPr>
          <w:w w:val="105"/>
        </w:rPr>
        <w:t>or $112.8 million, is classified as “Fuel </w:t>
      </w:r>
      <w:r>
        <w:rPr>
          <w:spacing w:val="12"/>
          <w:w w:val="105"/>
        </w:rPr>
        <w:t>hedge </w:t>
      </w:r>
      <w:r>
        <w:rPr>
          <w:w w:val="105"/>
        </w:rPr>
        <w:t>contracts”  in  the  </w:t>
      </w:r>
      <w:r>
        <w:rPr>
          <w:spacing w:val="2"/>
          <w:w w:val="105"/>
        </w:rPr>
        <w:t>Consolidated   </w:t>
      </w:r>
      <w:r>
        <w:rPr>
          <w:w w:val="105"/>
        </w:rPr>
        <w:t>Balance   </w:t>
      </w:r>
      <w:r>
        <w:rPr>
          <w:spacing w:val="5"/>
          <w:w w:val="105"/>
        </w:rPr>
        <w:t>Sheet.  </w:t>
      </w:r>
      <w:r>
        <w:rPr>
          <w:w w:val="105"/>
        </w:rPr>
        <w:t>The  long-term  </w:t>
      </w:r>
      <w:r>
        <w:rPr>
          <w:spacing w:val="2"/>
          <w:w w:val="105"/>
        </w:rPr>
        <w:t>portion  </w:t>
      </w:r>
      <w:r>
        <w:rPr>
          <w:w w:val="105"/>
        </w:rPr>
        <w:t>of  these   </w:t>
      </w:r>
      <w:r>
        <w:rPr>
          <w:spacing w:val="8"/>
          <w:w w:val="105"/>
        </w:rPr>
        <w:t>financial </w:t>
      </w:r>
      <w:r>
        <w:rPr>
          <w:spacing w:val="3"/>
          <w:w w:val="105"/>
        </w:rPr>
        <w:t>derivative</w:t>
      </w:r>
      <w:r>
        <w:rPr>
          <w:spacing w:val="53"/>
          <w:w w:val="105"/>
        </w:rPr>
        <w:t> </w:t>
      </w:r>
      <w:r>
        <w:rPr>
          <w:w w:val="105"/>
        </w:rPr>
        <w:t>instruments,  or  $44.4  million,   </w:t>
      </w:r>
      <w:r>
        <w:rPr>
          <w:spacing w:val="4"/>
          <w:w w:val="105"/>
        </w:rPr>
        <w:t>is </w:t>
      </w:r>
      <w:r>
        <w:rPr>
          <w:w w:val="105"/>
        </w:rPr>
        <w:t>included  in  “Other  assets.”  The  fair  values  of  </w:t>
      </w:r>
      <w:r>
        <w:rPr>
          <w:spacing w:val="16"/>
          <w:w w:val="105"/>
        </w:rPr>
        <w:t> </w:t>
      </w:r>
      <w:r>
        <w:rPr>
          <w:spacing w:val="6"/>
          <w:w w:val="105"/>
        </w:rPr>
        <w:t>the</w:t>
      </w:r>
    </w:p>
    <w:p>
      <w:pPr>
        <w:spacing w:after="0" w:line="254" w:lineRule="auto"/>
        <w:jc w:val="both"/>
        <w:sectPr>
          <w:headerReference w:type="default" r:id="rId102"/>
          <w:pgSz w:w="11520" w:h="14400"/>
          <w:pgMar w:header="0" w:footer="706" w:top="960" w:bottom="900" w:left="700" w:right="840"/>
          <w:cols w:num="2" w:equalWidth="0">
            <w:col w:w="4737" w:space="403"/>
            <w:col w:w="4840"/>
          </w:cols>
        </w:sectPr>
      </w:pPr>
    </w:p>
    <w:p>
      <w:pPr>
        <w:pStyle w:val="BodyText"/>
        <w:spacing w:line="254" w:lineRule="auto" w:before="69"/>
        <w:ind w:left="100" w:right="2"/>
        <w:jc w:val="both"/>
      </w:pPr>
      <w:r>
        <w:rPr>
          <w:spacing w:val="2"/>
          <w:w w:val="105"/>
        </w:rPr>
        <w:t>derivative instruments, depending </w:t>
      </w:r>
      <w:r>
        <w:rPr>
          <w:w w:val="105"/>
        </w:rPr>
        <w:t>on the type </w:t>
      </w:r>
      <w:r>
        <w:rPr>
          <w:spacing w:val="6"/>
          <w:w w:val="105"/>
        </w:rPr>
        <w:t>of </w:t>
      </w:r>
      <w:r>
        <w:rPr>
          <w:w w:val="105"/>
        </w:rPr>
        <w:t>instrument, were </w:t>
      </w:r>
      <w:r>
        <w:rPr>
          <w:spacing w:val="3"/>
          <w:w w:val="105"/>
        </w:rPr>
        <w:t>determined </w:t>
      </w:r>
      <w:r>
        <w:rPr>
          <w:w w:val="105"/>
        </w:rPr>
        <w:t>by use of  </w:t>
      </w:r>
      <w:r>
        <w:rPr>
          <w:spacing w:val="6"/>
          <w:w w:val="105"/>
        </w:rPr>
        <w:t>present </w:t>
      </w:r>
      <w:r>
        <w:rPr>
          <w:spacing w:val="2"/>
          <w:w w:val="105"/>
        </w:rPr>
        <w:t>value methods </w:t>
      </w:r>
      <w:r>
        <w:rPr>
          <w:w w:val="105"/>
        </w:rPr>
        <w:t>or </w:t>
      </w:r>
      <w:r>
        <w:rPr>
          <w:spacing w:val="2"/>
          <w:w w:val="105"/>
        </w:rPr>
        <w:t>standard option value  </w:t>
      </w:r>
      <w:r>
        <w:rPr>
          <w:spacing w:val="8"/>
          <w:w w:val="105"/>
        </w:rPr>
        <w:t>models </w:t>
      </w:r>
      <w:r>
        <w:rPr>
          <w:spacing w:val="2"/>
          <w:w w:val="105"/>
        </w:rPr>
        <w:t>with assumptions about commodity  </w:t>
      </w:r>
      <w:r>
        <w:rPr>
          <w:w w:val="105"/>
        </w:rPr>
        <w:t>prices  </w:t>
      </w:r>
      <w:r>
        <w:rPr>
          <w:spacing w:val="11"/>
          <w:w w:val="105"/>
        </w:rPr>
        <w:t>based </w:t>
      </w:r>
      <w:r>
        <w:rPr>
          <w:w w:val="105"/>
        </w:rPr>
        <w:t>on those </w:t>
      </w:r>
      <w:r>
        <w:rPr>
          <w:spacing w:val="2"/>
          <w:w w:val="105"/>
        </w:rPr>
        <w:t>observed </w:t>
      </w:r>
      <w:r>
        <w:rPr>
          <w:w w:val="105"/>
        </w:rPr>
        <w:t>in underlying markets. </w:t>
      </w:r>
      <w:r>
        <w:rPr>
          <w:spacing w:val="10"/>
          <w:w w:val="105"/>
        </w:rPr>
        <w:t>An </w:t>
      </w:r>
      <w:r>
        <w:rPr>
          <w:spacing w:val="4"/>
          <w:w w:val="105"/>
        </w:rPr>
        <w:t>immediate </w:t>
      </w:r>
      <w:r>
        <w:rPr>
          <w:w w:val="105"/>
        </w:rPr>
        <w:t>ten percent </w:t>
      </w:r>
      <w:r>
        <w:rPr>
          <w:spacing w:val="2"/>
          <w:w w:val="105"/>
        </w:rPr>
        <w:t>increase </w:t>
      </w:r>
      <w:r>
        <w:rPr>
          <w:w w:val="105"/>
        </w:rPr>
        <w:t>or </w:t>
      </w:r>
      <w:r>
        <w:rPr>
          <w:spacing w:val="2"/>
          <w:w w:val="105"/>
        </w:rPr>
        <w:t>decrease </w:t>
      </w:r>
      <w:r>
        <w:rPr>
          <w:spacing w:val="12"/>
          <w:w w:val="105"/>
        </w:rPr>
        <w:t>in </w:t>
      </w:r>
      <w:r>
        <w:rPr>
          <w:w w:val="105"/>
        </w:rPr>
        <w:t>underlying fuel-related commodity prices from </w:t>
      </w:r>
      <w:r>
        <w:rPr>
          <w:spacing w:val="6"/>
          <w:w w:val="105"/>
        </w:rPr>
        <w:t>the </w:t>
      </w:r>
      <w:r>
        <w:rPr>
          <w:spacing w:val="3"/>
          <w:w w:val="105"/>
        </w:rPr>
        <w:t>December</w:t>
      </w:r>
      <w:r>
        <w:rPr>
          <w:spacing w:val="53"/>
          <w:w w:val="105"/>
        </w:rPr>
        <w:t> </w:t>
      </w:r>
      <w:r>
        <w:rPr>
          <w:w w:val="105"/>
        </w:rPr>
        <w:t>31,  2002,  prices  would  </w:t>
      </w:r>
      <w:r>
        <w:rPr>
          <w:spacing w:val="6"/>
          <w:w w:val="105"/>
        </w:rPr>
        <w:t>correspond- </w:t>
      </w:r>
      <w:r>
        <w:rPr>
          <w:w w:val="105"/>
        </w:rPr>
        <w:t>ingly </w:t>
      </w:r>
      <w:r>
        <w:rPr>
          <w:spacing w:val="2"/>
          <w:w w:val="105"/>
        </w:rPr>
        <w:t>change </w:t>
      </w:r>
      <w:r>
        <w:rPr>
          <w:w w:val="105"/>
        </w:rPr>
        <w:t>the fair value of the </w:t>
      </w:r>
      <w:r>
        <w:rPr>
          <w:spacing w:val="9"/>
          <w:w w:val="105"/>
        </w:rPr>
        <w:t>commodity </w:t>
      </w:r>
      <w:r>
        <w:rPr>
          <w:spacing w:val="3"/>
          <w:w w:val="105"/>
        </w:rPr>
        <w:t>derivative   </w:t>
      </w:r>
      <w:r>
        <w:rPr>
          <w:w w:val="105"/>
        </w:rPr>
        <w:t>instruments  in  place  by </w:t>
      </w:r>
      <w:r>
        <w:rPr>
          <w:spacing w:val="25"/>
          <w:w w:val="105"/>
        </w:rPr>
        <w:t> </w:t>
      </w:r>
      <w:r>
        <w:rPr>
          <w:spacing w:val="7"/>
          <w:w w:val="105"/>
        </w:rPr>
        <w:t>approximately</w:t>
      </w:r>
    </w:p>
    <w:p>
      <w:pPr>
        <w:pStyle w:val="BodyText"/>
        <w:spacing w:line="254" w:lineRule="auto"/>
        <w:ind w:left="100"/>
        <w:jc w:val="both"/>
      </w:pPr>
      <w:r>
        <w:rPr>
          <w:w w:val="105"/>
        </w:rPr>
        <w:t>$135 million. Changes in the related </w:t>
      </w:r>
      <w:r>
        <w:rPr>
          <w:spacing w:val="9"/>
          <w:w w:val="105"/>
        </w:rPr>
        <w:t>commodity </w:t>
      </w:r>
      <w:r>
        <w:rPr>
          <w:spacing w:val="3"/>
          <w:w w:val="105"/>
        </w:rPr>
        <w:t>derivative </w:t>
      </w:r>
      <w:r>
        <w:rPr>
          <w:spacing w:val="2"/>
          <w:w w:val="105"/>
        </w:rPr>
        <w:t>instrument </w:t>
      </w:r>
      <w:r>
        <w:rPr>
          <w:w w:val="105"/>
        </w:rPr>
        <w:t>cash flows may </w:t>
      </w:r>
      <w:r>
        <w:rPr>
          <w:spacing w:val="2"/>
          <w:w w:val="105"/>
        </w:rPr>
        <w:t>change  </w:t>
      </w:r>
      <w:r>
        <w:rPr>
          <w:spacing w:val="4"/>
          <w:w w:val="105"/>
        </w:rPr>
        <w:t>by </w:t>
      </w:r>
      <w:r>
        <w:rPr>
          <w:w w:val="105"/>
        </w:rPr>
        <w:t>more  or  less  than  this  </w:t>
      </w:r>
      <w:r>
        <w:rPr>
          <w:spacing w:val="2"/>
          <w:w w:val="105"/>
        </w:rPr>
        <w:t>amount  based   </w:t>
      </w:r>
      <w:r>
        <w:rPr>
          <w:spacing w:val="16"/>
          <w:w w:val="105"/>
        </w:rPr>
        <w:t>upon </w:t>
      </w:r>
      <w:r>
        <w:rPr>
          <w:w w:val="105"/>
        </w:rPr>
        <w:t>further fluctuations in futures prices  as  well  </w:t>
      </w:r>
      <w:r>
        <w:rPr>
          <w:spacing w:val="4"/>
          <w:w w:val="105"/>
        </w:rPr>
        <w:t>as </w:t>
      </w:r>
      <w:r>
        <w:rPr>
          <w:w w:val="105"/>
        </w:rPr>
        <w:t>related  </w:t>
      </w:r>
      <w:r>
        <w:rPr>
          <w:spacing w:val="3"/>
          <w:w w:val="105"/>
        </w:rPr>
        <w:t>income</w:t>
      </w:r>
      <w:r>
        <w:rPr>
          <w:spacing w:val="53"/>
          <w:w w:val="105"/>
        </w:rPr>
        <w:t> </w:t>
      </w:r>
      <w:r>
        <w:rPr>
          <w:w w:val="105"/>
        </w:rPr>
        <w:t>tax  effects.   This   </w:t>
      </w:r>
      <w:r>
        <w:rPr>
          <w:spacing w:val="5"/>
          <w:w w:val="105"/>
        </w:rPr>
        <w:t>sensitivity </w:t>
      </w:r>
      <w:r>
        <w:rPr>
          <w:w w:val="105"/>
        </w:rPr>
        <w:t>analysis uses industry  standard  </w:t>
      </w:r>
      <w:r>
        <w:rPr>
          <w:spacing w:val="2"/>
          <w:w w:val="105"/>
        </w:rPr>
        <w:t>valuation  </w:t>
      </w:r>
      <w:r>
        <w:rPr>
          <w:spacing w:val="8"/>
          <w:w w:val="105"/>
        </w:rPr>
        <w:t>models </w:t>
      </w:r>
      <w:r>
        <w:rPr>
          <w:w w:val="105"/>
        </w:rPr>
        <w:t>and holds all  inputs  constant  at  </w:t>
      </w:r>
      <w:r>
        <w:rPr>
          <w:spacing w:val="3"/>
          <w:w w:val="105"/>
        </w:rPr>
        <w:t>December</w:t>
      </w:r>
      <w:r>
        <w:rPr>
          <w:spacing w:val="53"/>
          <w:w w:val="105"/>
        </w:rPr>
        <w:t> </w:t>
      </w:r>
      <w:r>
        <w:rPr>
          <w:w w:val="105"/>
        </w:rPr>
        <w:t>31, 2002,  levels,  except  underlying  futures   prices.</w:t>
      </w:r>
    </w:p>
    <w:p>
      <w:pPr>
        <w:pStyle w:val="BodyText"/>
        <w:spacing w:before="11"/>
        <w:rPr>
          <w:sz w:val="21"/>
        </w:rPr>
      </w:pPr>
    </w:p>
    <w:p>
      <w:pPr>
        <w:pStyle w:val="BodyText"/>
        <w:ind w:left="100"/>
        <w:jc w:val="both"/>
        <w:rPr>
          <w:rFonts w:ascii="Franklin Gothic Medium"/>
        </w:rPr>
      </w:pPr>
      <w:r>
        <w:rPr>
          <w:rFonts w:ascii="Franklin Gothic Medium"/>
        </w:rPr>
        <w:t>Financial  market risk</w:t>
      </w:r>
    </w:p>
    <w:p>
      <w:pPr>
        <w:pStyle w:val="BodyText"/>
        <w:spacing w:before="2"/>
        <w:rPr>
          <w:rFonts w:ascii="Franklin Gothic Medium"/>
          <w:sz w:val="25"/>
        </w:rPr>
      </w:pPr>
    </w:p>
    <w:p>
      <w:pPr>
        <w:pStyle w:val="BodyText"/>
        <w:spacing w:line="254" w:lineRule="auto"/>
        <w:ind w:left="100" w:right="3" w:firstLine="180"/>
        <w:jc w:val="both"/>
      </w:pPr>
      <w:r>
        <w:rPr>
          <w:w w:val="105"/>
        </w:rPr>
        <w:t>Airline  operators  are   inherently   </w:t>
      </w:r>
      <w:r>
        <w:rPr>
          <w:spacing w:val="6"/>
          <w:w w:val="105"/>
        </w:rPr>
        <w:t>capital </w:t>
      </w:r>
      <w:r>
        <w:rPr>
          <w:spacing w:val="3"/>
          <w:w w:val="105"/>
        </w:rPr>
        <w:t>intensive </w:t>
      </w:r>
      <w:r>
        <w:rPr>
          <w:w w:val="105"/>
        </w:rPr>
        <w:t>as the vast majority of the </w:t>
      </w:r>
      <w:r>
        <w:rPr>
          <w:spacing w:val="6"/>
          <w:w w:val="105"/>
        </w:rPr>
        <w:t>Company’s </w:t>
      </w:r>
      <w:r>
        <w:rPr>
          <w:w w:val="105"/>
        </w:rPr>
        <w:t>assets  are  </w:t>
      </w:r>
      <w:r>
        <w:rPr>
          <w:spacing w:val="3"/>
          <w:w w:val="105"/>
        </w:rPr>
        <w:t>expensive</w:t>
      </w:r>
      <w:r>
        <w:rPr>
          <w:spacing w:val="53"/>
          <w:w w:val="105"/>
        </w:rPr>
        <w:t> </w:t>
      </w:r>
      <w:r>
        <w:rPr>
          <w:w w:val="105"/>
        </w:rPr>
        <w:t>aircraft,  which  are  </w:t>
      </w:r>
      <w:r>
        <w:rPr>
          <w:spacing w:val="3"/>
          <w:w w:val="105"/>
        </w:rPr>
        <w:t>long-  </w:t>
      </w:r>
      <w:r>
        <w:rPr>
          <w:w w:val="105"/>
        </w:rPr>
        <w:t>lived. The Company’s strategy is to </w:t>
      </w:r>
      <w:r>
        <w:rPr>
          <w:spacing w:val="6"/>
          <w:w w:val="105"/>
        </w:rPr>
        <w:t>capitalize </w:t>
      </w:r>
      <w:r>
        <w:rPr>
          <w:spacing w:val="2"/>
          <w:w w:val="105"/>
        </w:rPr>
        <w:t>conservatively </w:t>
      </w:r>
      <w:r>
        <w:rPr>
          <w:w w:val="105"/>
        </w:rPr>
        <w:t>and grow capacity steadily </w:t>
      </w:r>
      <w:r>
        <w:rPr>
          <w:spacing w:val="11"/>
          <w:w w:val="105"/>
        </w:rPr>
        <w:t>and </w:t>
      </w:r>
      <w:r>
        <w:rPr>
          <w:w w:val="105"/>
        </w:rPr>
        <w:t>profitably. While the </w:t>
      </w:r>
      <w:r>
        <w:rPr>
          <w:spacing w:val="2"/>
          <w:w w:val="105"/>
        </w:rPr>
        <w:t>Company </w:t>
      </w:r>
      <w:r>
        <w:rPr>
          <w:w w:val="105"/>
        </w:rPr>
        <w:t>uses </w:t>
      </w:r>
      <w:r>
        <w:rPr>
          <w:spacing w:val="8"/>
          <w:w w:val="105"/>
        </w:rPr>
        <w:t>financial </w:t>
      </w:r>
      <w:r>
        <w:rPr>
          <w:w w:val="105"/>
        </w:rPr>
        <w:t>leverage, it  has  </w:t>
      </w:r>
      <w:r>
        <w:rPr>
          <w:spacing w:val="4"/>
          <w:w w:val="105"/>
        </w:rPr>
        <w:t>maintained  </w:t>
      </w:r>
      <w:r>
        <w:rPr>
          <w:w w:val="105"/>
        </w:rPr>
        <w:t>a  strong  </w:t>
      </w:r>
      <w:r>
        <w:rPr>
          <w:spacing w:val="9"/>
          <w:w w:val="105"/>
        </w:rPr>
        <w:t>balance  </w:t>
      </w:r>
      <w:r>
        <w:rPr>
          <w:w w:val="105"/>
        </w:rPr>
        <w:t>sheet and an “A” credit rating on its  </w:t>
      </w:r>
      <w:r>
        <w:rPr>
          <w:spacing w:val="8"/>
          <w:w w:val="105"/>
        </w:rPr>
        <w:t>senior </w:t>
      </w:r>
      <w:r>
        <w:rPr>
          <w:w w:val="105"/>
        </w:rPr>
        <w:t>unsecured fixed-rate debt with Standard &amp;  </w:t>
      </w:r>
      <w:r>
        <w:rPr>
          <w:spacing w:val="4"/>
          <w:w w:val="105"/>
        </w:rPr>
        <w:t>Poor’s </w:t>
      </w:r>
      <w:r>
        <w:rPr>
          <w:w w:val="105"/>
        </w:rPr>
        <w:t>and Fitch ratings agencies,  and  a  “Baa1”  </w:t>
      </w:r>
      <w:r>
        <w:rPr>
          <w:spacing w:val="6"/>
          <w:w w:val="105"/>
        </w:rPr>
        <w:t>credit </w:t>
      </w:r>
      <w:r>
        <w:rPr>
          <w:w w:val="105"/>
        </w:rPr>
        <w:t>rating  with  Moody’s  rating  agency.   </w:t>
      </w:r>
      <w:r>
        <w:rPr>
          <w:spacing w:val="7"/>
          <w:w w:val="105"/>
        </w:rPr>
        <w:t>The  </w:t>
      </w:r>
      <w:r>
        <w:rPr>
          <w:w w:val="105"/>
        </w:rPr>
        <w:t>Company’s Aircraft  Secured  Notes  and  </w:t>
      </w:r>
      <w:r>
        <w:rPr>
          <w:spacing w:val="8"/>
          <w:w w:val="105"/>
        </w:rPr>
        <w:t>French </w:t>
      </w:r>
      <w:r>
        <w:rPr>
          <w:w w:val="105"/>
        </w:rPr>
        <w:t>Credit Agreements do not give  rise  to  </w:t>
      </w:r>
      <w:r>
        <w:rPr>
          <w:spacing w:val="6"/>
          <w:w w:val="105"/>
        </w:rPr>
        <w:t>significant </w:t>
      </w:r>
      <w:r>
        <w:rPr>
          <w:w w:val="105"/>
        </w:rPr>
        <w:t>fair value risk but do give rise to interest rate risk </w:t>
      </w:r>
      <w:r>
        <w:rPr>
          <w:spacing w:val="2"/>
          <w:w w:val="105"/>
        </w:rPr>
        <w:t>because </w:t>
      </w:r>
      <w:r>
        <w:rPr>
          <w:w w:val="105"/>
        </w:rPr>
        <w:t>these borrowings are floating-rate </w:t>
      </w:r>
      <w:r>
        <w:rPr>
          <w:spacing w:val="8"/>
          <w:w w:val="105"/>
        </w:rPr>
        <w:t>debt. </w:t>
      </w:r>
      <w:r>
        <w:rPr>
          <w:w w:val="105"/>
        </w:rPr>
        <w:t>Although  there  is  interest  rate   risk   </w:t>
      </w:r>
      <w:r>
        <w:rPr>
          <w:spacing w:val="7"/>
          <w:w w:val="105"/>
        </w:rPr>
        <w:t>associated </w:t>
      </w:r>
      <w:r>
        <w:rPr>
          <w:w w:val="105"/>
        </w:rPr>
        <w:t>with these secured borrowings,  the  risk  </w:t>
      </w:r>
      <w:r>
        <w:rPr>
          <w:spacing w:val="4"/>
          <w:w w:val="105"/>
        </w:rPr>
        <w:t>is  </w:t>
      </w:r>
      <w:r>
        <w:rPr>
          <w:spacing w:val="2"/>
          <w:w w:val="105"/>
        </w:rPr>
        <w:t>somewhat mitigated </w:t>
      </w:r>
      <w:r>
        <w:rPr>
          <w:w w:val="105"/>
        </w:rPr>
        <w:t>by  the  fact  that  </w:t>
      </w:r>
      <w:r>
        <w:rPr>
          <w:spacing w:val="6"/>
          <w:w w:val="105"/>
        </w:rPr>
        <w:t>the </w:t>
      </w:r>
      <w:r>
        <w:rPr>
          <w:spacing w:val="59"/>
          <w:w w:val="105"/>
        </w:rPr>
        <w:t> </w:t>
      </w:r>
      <w:r>
        <w:rPr>
          <w:w w:val="105"/>
        </w:rPr>
        <w:t>Company may prepay this debt on any of </w:t>
      </w:r>
      <w:r>
        <w:rPr>
          <w:spacing w:val="6"/>
          <w:w w:val="105"/>
        </w:rPr>
        <w:t>the </w:t>
      </w:r>
      <w:r>
        <w:rPr>
          <w:spacing w:val="2"/>
          <w:w w:val="105"/>
        </w:rPr>
        <w:t>semi-annual  principal  </w:t>
      </w:r>
      <w:r>
        <w:rPr>
          <w:w w:val="105"/>
        </w:rPr>
        <w:t>and   interest   </w:t>
      </w:r>
      <w:r>
        <w:rPr>
          <w:spacing w:val="9"/>
          <w:w w:val="105"/>
        </w:rPr>
        <w:t>payment </w:t>
      </w:r>
      <w:r>
        <w:rPr>
          <w:w w:val="105"/>
        </w:rPr>
        <w:t>dates.  See  Note  6  and  Note  7  to   </w:t>
      </w:r>
      <w:r>
        <w:rPr>
          <w:spacing w:val="6"/>
          <w:w w:val="105"/>
        </w:rPr>
        <w:t>the </w:t>
      </w:r>
      <w:r>
        <w:rPr>
          <w:spacing w:val="2"/>
          <w:w w:val="105"/>
        </w:rPr>
        <w:t>Consolidated Financial </w:t>
      </w:r>
      <w:r>
        <w:rPr>
          <w:w w:val="105"/>
        </w:rPr>
        <w:t>Statements for </w:t>
      </w:r>
      <w:r>
        <w:rPr>
          <w:spacing w:val="12"/>
          <w:w w:val="105"/>
        </w:rPr>
        <w:t>more </w:t>
      </w:r>
      <w:r>
        <w:rPr>
          <w:spacing w:val="3"/>
          <w:w w:val="105"/>
        </w:rPr>
        <w:t>information </w:t>
      </w:r>
      <w:r>
        <w:rPr>
          <w:w w:val="105"/>
        </w:rPr>
        <w:t>on the material  terms  of  </w:t>
      </w:r>
      <w:r>
        <w:rPr>
          <w:spacing w:val="6"/>
          <w:w w:val="105"/>
        </w:rPr>
        <w:t>the </w:t>
      </w:r>
      <w:r>
        <w:rPr>
          <w:w w:val="105"/>
        </w:rPr>
        <w:t>Company’s  short-term  and  long-term</w:t>
      </w:r>
      <w:r>
        <w:rPr>
          <w:spacing w:val="35"/>
          <w:w w:val="105"/>
        </w:rPr>
        <w:t> </w:t>
      </w:r>
      <w:r>
        <w:rPr>
          <w:w w:val="105"/>
        </w:rPr>
        <w:t>debt.</w:t>
      </w:r>
    </w:p>
    <w:p>
      <w:pPr>
        <w:pStyle w:val="BodyText"/>
        <w:spacing w:line="254" w:lineRule="auto" w:before="1"/>
        <w:ind w:left="100" w:right="6" w:firstLine="180"/>
        <w:jc w:val="both"/>
      </w:pPr>
      <w:r>
        <w:rPr>
          <w:w w:val="105"/>
        </w:rPr>
        <w:t>As disclosed in Note 7 to the </w:t>
      </w:r>
      <w:r>
        <w:rPr>
          <w:spacing w:val="6"/>
          <w:w w:val="105"/>
        </w:rPr>
        <w:t>Consolidated </w:t>
      </w:r>
      <w:r>
        <w:rPr>
          <w:spacing w:val="2"/>
          <w:w w:val="105"/>
        </w:rPr>
        <w:t>Financial     </w:t>
      </w:r>
      <w:r>
        <w:rPr>
          <w:spacing w:val="51"/>
          <w:w w:val="105"/>
        </w:rPr>
        <w:t> </w:t>
      </w:r>
      <w:r>
        <w:rPr>
          <w:w w:val="105"/>
        </w:rPr>
        <w:t>Statements,       the       </w:t>
      </w:r>
      <w:r>
        <w:rPr>
          <w:spacing w:val="2"/>
          <w:w w:val="105"/>
        </w:rPr>
        <w:t>Company     </w:t>
      </w:r>
      <w:r>
        <w:rPr>
          <w:spacing w:val="39"/>
          <w:w w:val="105"/>
        </w:rPr>
        <w:t> </w:t>
      </w:r>
      <w:r>
        <w:rPr>
          <w:spacing w:val="12"/>
          <w:w w:val="105"/>
        </w:rPr>
        <w:t>had</w:t>
      </w:r>
    </w:p>
    <w:p>
      <w:pPr>
        <w:pStyle w:val="BodyText"/>
        <w:spacing w:before="69"/>
        <w:ind w:left="100"/>
        <w:jc w:val="both"/>
      </w:pPr>
      <w:r>
        <w:rPr/>
        <w:br w:type="column"/>
      </w:r>
      <w:r>
        <w:rPr>
          <w:w w:val="105"/>
        </w:rPr>
        <w:t>outstanding     senior     unsecured     notes    totaling</w:t>
      </w:r>
    </w:p>
    <w:p>
      <w:pPr>
        <w:pStyle w:val="BodyText"/>
        <w:spacing w:line="254" w:lineRule="auto" w:before="15"/>
        <w:ind w:left="100" w:right="107"/>
        <w:jc w:val="both"/>
      </w:pPr>
      <w:r>
        <w:rPr>
          <w:w w:val="110"/>
        </w:rPr>
        <w:t>$785 million at December 31, 2002.  In  addition, as disclosed in Note 7, the Company had outstanding   long-term   fixed-rate   debt   totaling</w:t>
      </w:r>
    </w:p>
    <w:p>
      <w:pPr>
        <w:pStyle w:val="BodyText"/>
        <w:spacing w:line="254" w:lineRule="auto" w:before="1"/>
        <w:ind w:left="100" w:right="112"/>
        <w:jc w:val="both"/>
      </w:pPr>
      <w:r>
        <w:rPr>
          <w:w w:val="105"/>
        </w:rPr>
        <w:t>$585.7 million in the form of </w:t>
      </w:r>
      <w:r>
        <w:rPr>
          <w:spacing w:val="4"/>
          <w:w w:val="105"/>
        </w:rPr>
        <w:t>Pass-Through </w:t>
      </w:r>
      <w:r>
        <w:rPr>
          <w:w w:val="105"/>
        </w:rPr>
        <w:t>Certificates (Certificates), which are secured  </w:t>
      </w:r>
      <w:r>
        <w:rPr>
          <w:spacing w:val="3"/>
          <w:w w:val="105"/>
        </w:rPr>
        <w:t>by </w:t>
      </w:r>
      <w:r>
        <w:rPr>
          <w:w w:val="105"/>
        </w:rPr>
        <w:t>aircraft the </w:t>
      </w:r>
      <w:r>
        <w:rPr>
          <w:spacing w:val="2"/>
          <w:w w:val="105"/>
        </w:rPr>
        <w:t>Company </w:t>
      </w:r>
      <w:r>
        <w:rPr>
          <w:w w:val="105"/>
        </w:rPr>
        <w:t>owns. The total of </w:t>
      </w:r>
      <w:r>
        <w:rPr>
          <w:spacing w:val="6"/>
          <w:w w:val="105"/>
        </w:rPr>
        <w:t>the </w:t>
      </w:r>
      <w:r>
        <w:rPr>
          <w:w w:val="105"/>
        </w:rPr>
        <w:t>Company’s long-term  </w:t>
      </w:r>
      <w:r>
        <w:rPr>
          <w:spacing w:val="2"/>
          <w:w w:val="105"/>
        </w:rPr>
        <w:t>unsecured  </w:t>
      </w:r>
      <w:r>
        <w:rPr>
          <w:w w:val="105"/>
        </w:rPr>
        <w:t>notes  </w:t>
      </w:r>
      <w:r>
        <w:rPr>
          <w:spacing w:val="4"/>
          <w:w w:val="105"/>
        </w:rPr>
        <w:t>repre- </w:t>
      </w:r>
      <w:r>
        <w:rPr>
          <w:w w:val="105"/>
        </w:rPr>
        <w:t>sented 11.7 percent of total </w:t>
      </w:r>
      <w:r>
        <w:rPr>
          <w:spacing w:val="2"/>
          <w:w w:val="105"/>
        </w:rPr>
        <w:t>noncurrent </w:t>
      </w:r>
      <w:r>
        <w:rPr>
          <w:w w:val="105"/>
        </w:rPr>
        <w:t>assets </w:t>
      </w:r>
      <w:r>
        <w:rPr>
          <w:spacing w:val="4"/>
          <w:w w:val="105"/>
        </w:rPr>
        <w:t>at </w:t>
      </w:r>
      <w:r>
        <w:rPr>
          <w:spacing w:val="3"/>
          <w:w w:val="105"/>
        </w:rPr>
        <w:t>December</w:t>
      </w:r>
      <w:r>
        <w:rPr>
          <w:spacing w:val="53"/>
          <w:w w:val="105"/>
        </w:rPr>
        <w:t> </w:t>
      </w:r>
      <w:r>
        <w:rPr>
          <w:w w:val="105"/>
        </w:rPr>
        <w:t>31,  2002.  The  </w:t>
      </w:r>
      <w:r>
        <w:rPr>
          <w:spacing w:val="2"/>
          <w:w w:val="105"/>
        </w:rPr>
        <w:t>unsecured  </w:t>
      </w:r>
      <w:r>
        <w:rPr>
          <w:spacing w:val="3"/>
          <w:w w:val="105"/>
        </w:rPr>
        <w:t>long-term </w:t>
      </w:r>
      <w:r>
        <w:rPr>
          <w:w w:val="105"/>
        </w:rPr>
        <w:t>debt  currently  has  a  </w:t>
      </w:r>
      <w:r>
        <w:rPr>
          <w:spacing w:val="3"/>
          <w:w w:val="105"/>
        </w:rPr>
        <w:t>weighted-average  </w:t>
      </w:r>
      <w:r>
        <w:rPr>
          <w:w w:val="105"/>
        </w:rPr>
        <w:t>maturity </w:t>
      </w:r>
      <w:r>
        <w:rPr>
          <w:spacing w:val="6"/>
          <w:w w:val="105"/>
        </w:rPr>
        <w:t>of</w:t>
      </w:r>
    </w:p>
    <w:p>
      <w:pPr>
        <w:pStyle w:val="BodyText"/>
        <w:spacing w:line="254" w:lineRule="auto" w:before="1"/>
        <w:ind w:left="100" w:right="101"/>
        <w:jc w:val="both"/>
      </w:pPr>
      <w:r>
        <w:rPr>
          <w:w w:val="105"/>
        </w:rPr>
        <w:t>8.2 years at </w:t>
      </w:r>
      <w:r>
        <w:rPr>
          <w:spacing w:val="2"/>
          <w:w w:val="105"/>
        </w:rPr>
        <w:t>fixed </w:t>
      </w:r>
      <w:r>
        <w:rPr>
          <w:w w:val="105"/>
        </w:rPr>
        <w:t>rates </w:t>
      </w:r>
      <w:r>
        <w:rPr>
          <w:spacing w:val="2"/>
          <w:w w:val="105"/>
        </w:rPr>
        <w:t>averaging </w:t>
      </w:r>
      <w:r>
        <w:rPr>
          <w:w w:val="105"/>
        </w:rPr>
        <w:t>7.3 percent </w:t>
      </w:r>
      <w:r>
        <w:rPr>
          <w:spacing w:val="4"/>
          <w:w w:val="105"/>
        </w:rPr>
        <w:t>at </w:t>
      </w:r>
      <w:r>
        <w:rPr>
          <w:spacing w:val="3"/>
          <w:w w:val="105"/>
        </w:rPr>
        <w:t>December </w:t>
      </w:r>
      <w:r>
        <w:rPr>
          <w:w w:val="105"/>
        </w:rPr>
        <w:t>31, 2002, </w:t>
      </w:r>
      <w:r>
        <w:rPr>
          <w:spacing w:val="2"/>
          <w:w w:val="105"/>
        </w:rPr>
        <w:t>which </w:t>
      </w:r>
      <w:r>
        <w:rPr>
          <w:w w:val="105"/>
        </w:rPr>
        <w:t>is  </w:t>
      </w:r>
      <w:r>
        <w:rPr>
          <w:spacing w:val="2"/>
          <w:w w:val="105"/>
        </w:rPr>
        <w:t>comparable  </w:t>
      </w:r>
      <w:r>
        <w:rPr>
          <w:spacing w:val="4"/>
          <w:w w:val="105"/>
        </w:rPr>
        <w:t>to  </w:t>
      </w:r>
      <w:r>
        <w:rPr>
          <w:spacing w:val="2"/>
          <w:w w:val="105"/>
        </w:rPr>
        <w:t>average </w:t>
      </w:r>
      <w:r>
        <w:rPr>
          <w:w w:val="105"/>
        </w:rPr>
        <w:t>rates </w:t>
      </w:r>
      <w:r>
        <w:rPr>
          <w:spacing w:val="2"/>
          <w:w w:val="105"/>
        </w:rPr>
        <w:t>prevailing </w:t>
      </w:r>
      <w:r>
        <w:rPr>
          <w:w w:val="105"/>
        </w:rPr>
        <w:t>for similar debt  </w:t>
      </w:r>
      <w:r>
        <w:rPr>
          <w:spacing w:val="3"/>
          <w:w w:val="105"/>
        </w:rPr>
        <w:t>instru- </w:t>
      </w:r>
      <w:r>
        <w:rPr>
          <w:w w:val="105"/>
        </w:rPr>
        <w:t>ments  over  the  last  ten  years.  The  </w:t>
      </w:r>
      <w:r>
        <w:rPr>
          <w:spacing w:val="4"/>
          <w:w w:val="105"/>
        </w:rPr>
        <w:t>Certificates </w:t>
      </w:r>
      <w:r>
        <w:rPr>
          <w:w w:val="105"/>
        </w:rPr>
        <w:t>bear  interest  at  a  </w:t>
      </w:r>
      <w:r>
        <w:rPr>
          <w:spacing w:val="4"/>
          <w:w w:val="105"/>
        </w:rPr>
        <w:t>combined  </w:t>
      </w:r>
      <w:r>
        <w:rPr>
          <w:spacing w:val="7"/>
          <w:w w:val="105"/>
        </w:rPr>
        <w:t>weighted-average </w:t>
      </w:r>
      <w:r>
        <w:rPr>
          <w:w w:val="105"/>
        </w:rPr>
        <w:t>rate of 5.5 percent. The Company does not </w:t>
      </w:r>
      <w:r>
        <w:rPr>
          <w:spacing w:val="16"/>
          <w:w w:val="105"/>
        </w:rPr>
        <w:t>have </w:t>
      </w:r>
      <w:r>
        <w:rPr>
          <w:w w:val="105"/>
        </w:rPr>
        <w:t>significant exposure to  changing  interest  rates  </w:t>
      </w:r>
      <w:r>
        <w:rPr>
          <w:spacing w:val="12"/>
          <w:w w:val="105"/>
        </w:rPr>
        <w:t>on </w:t>
      </w:r>
      <w:r>
        <w:rPr>
          <w:w w:val="105"/>
        </w:rPr>
        <w:t>its </w:t>
      </w:r>
      <w:r>
        <w:rPr>
          <w:spacing w:val="2"/>
          <w:w w:val="105"/>
        </w:rPr>
        <w:t>unsecured </w:t>
      </w:r>
      <w:r>
        <w:rPr>
          <w:w w:val="105"/>
        </w:rPr>
        <w:t>long-term debt or its </w:t>
      </w:r>
      <w:r>
        <w:rPr>
          <w:spacing w:val="4"/>
          <w:w w:val="105"/>
        </w:rPr>
        <w:t>Certificates </w:t>
      </w:r>
      <w:r>
        <w:rPr>
          <w:spacing w:val="2"/>
          <w:w w:val="105"/>
        </w:rPr>
        <w:t>because </w:t>
      </w:r>
      <w:r>
        <w:rPr>
          <w:w w:val="105"/>
        </w:rPr>
        <w:t>the interest rates  are  </w:t>
      </w:r>
      <w:r>
        <w:rPr>
          <w:spacing w:val="2"/>
          <w:w w:val="105"/>
        </w:rPr>
        <w:t>fixed  </w:t>
      </w:r>
      <w:r>
        <w:rPr>
          <w:w w:val="105"/>
        </w:rPr>
        <w:t>and  </w:t>
      </w:r>
      <w:r>
        <w:rPr>
          <w:spacing w:val="6"/>
          <w:w w:val="105"/>
        </w:rPr>
        <w:t>the </w:t>
      </w:r>
      <w:r>
        <w:rPr>
          <w:w w:val="105"/>
        </w:rPr>
        <w:t>financial   leverage   is </w:t>
      </w:r>
      <w:r>
        <w:rPr>
          <w:spacing w:val="3"/>
          <w:w w:val="105"/>
        </w:rPr>
        <w:t> </w:t>
      </w:r>
      <w:r>
        <w:rPr>
          <w:w w:val="105"/>
        </w:rPr>
        <w:t>modest.</w:t>
      </w:r>
    </w:p>
    <w:p>
      <w:pPr>
        <w:pStyle w:val="BodyText"/>
        <w:spacing w:line="254" w:lineRule="auto" w:before="1"/>
        <w:ind w:left="100" w:right="110" w:firstLine="180"/>
        <w:jc w:val="both"/>
      </w:pPr>
      <w:r>
        <w:rPr>
          <w:w w:val="105"/>
        </w:rPr>
        <w:t>The  Company  also  has  some  risk   associated with changing interest rates due to the short-term nature     of      its     invested      cash,      which     was</w:t>
      </w:r>
    </w:p>
    <w:p>
      <w:pPr>
        <w:pStyle w:val="BodyText"/>
        <w:spacing w:line="254" w:lineRule="auto" w:before="1"/>
        <w:ind w:left="100" w:right="101"/>
        <w:jc w:val="both"/>
      </w:pPr>
      <w:r>
        <w:rPr>
          <w:w w:val="105"/>
        </w:rPr>
        <w:t>$1.82  billion  at  </w:t>
      </w:r>
      <w:r>
        <w:rPr>
          <w:spacing w:val="3"/>
          <w:w w:val="105"/>
        </w:rPr>
        <w:t>December</w:t>
      </w:r>
      <w:r>
        <w:rPr>
          <w:spacing w:val="53"/>
          <w:w w:val="105"/>
        </w:rPr>
        <w:t> </w:t>
      </w:r>
      <w:r>
        <w:rPr>
          <w:w w:val="105"/>
        </w:rPr>
        <w:t>31,   2002.   </w:t>
      </w:r>
      <w:r>
        <w:rPr>
          <w:spacing w:val="8"/>
          <w:w w:val="105"/>
        </w:rPr>
        <w:t>The </w:t>
      </w:r>
      <w:r>
        <w:rPr>
          <w:w w:val="105"/>
        </w:rPr>
        <w:t>Company invests available cash in certificates </w:t>
      </w:r>
      <w:r>
        <w:rPr>
          <w:spacing w:val="6"/>
          <w:w w:val="105"/>
        </w:rPr>
        <w:t>of </w:t>
      </w:r>
      <w:r>
        <w:rPr>
          <w:w w:val="105"/>
        </w:rPr>
        <w:t>deposit, highly rated </w:t>
      </w:r>
      <w:r>
        <w:rPr>
          <w:spacing w:val="2"/>
          <w:w w:val="105"/>
        </w:rPr>
        <w:t>money </w:t>
      </w:r>
      <w:r>
        <w:rPr>
          <w:w w:val="105"/>
        </w:rPr>
        <w:t>markets, and </w:t>
      </w:r>
      <w:r>
        <w:rPr>
          <w:spacing w:val="6"/>
          <w:w w:val="105"/>
        </w:rPr>
        <w:t>invest- </w:t>
      </w:r>
      <w:r>
        <w:rPr>
          <w:w w:val="105"/>
        </w:rPr>
        <w:t>ment grade commercial paper that generally </w:t>
      </w:r>
      <w:r>
        <w:rPr>
          <w:spacing w:val="16"/>
          <w:w w:val="105"/>
        </w:rPr>
        <w:t>have </w:t>
      </w:r>
      <w:r>
        <w:rPr>
          <w:w w:val="105"/>
        </w:rPr>
        <w:t>maturities of three months or less; therefore, </w:t>
      </w:r>
      <w:r>
        <w:rPr>
          <w:spacing w:val="6"/>
          <w:w w:val="105"/>
        </w:rPr>
        <w:t>the </w:t>
      </w:r>
      <w:r>
        <w:rPr>
          <w:w w:val="105"/>
        </w:rPr>
        <w:t>returns </w:t>
      </w:r>
      <w:r>
        <w:rPr>
          <w:spacing w:val="2"/>
          <w:w w:val="105"/>
        </w:rPr>
        <w:t>earned </w:t>
      </w:r>
      <w:r>
        <w:rPr>
          <w:w w:val="105"/>
        </w:rPr>
        <w:t>on  these  </w:t>
      </w:r>
      <w:r>
        <w:rPr>
          <w:spacing w:val="2"/>
          <w:w w:val="105"/>
        </w:rPr>
        <w:t>investments  </w:t>
      </w:r>
      <w:r>
        <w:rPr>
          <w:spacing w:val="3"/>
          <w:w w:val="105"/>
        </w:rPr>
        <w:t>parallel </w:t>
      </w:r>
      <w:r>
        <w:rPr>
          <w:w w:val="105"/>
        </w:rPr>
        <w:t>closely with floating interest  rates.  The  </w:t>
      </w:r>
      <w:r>
        <w:rPr>
          <w:spacing w:val="9"/>
          <w:w w:val="105"/>
        </w:rPr>
        <w:t>Company </w:t>
      </w:r>
      <w:r>
        <w:rPr>
          <w:w w:val="105"/>
        </w:rPr>
        <w:t>has  not  </w:t>
      </w:r>
      <w:r>
        <w:rPr>
          <w:spacing w:val="2"/>
          <w:w w:val="105"/>
        </w:rPr>
        <w:t>undertaken  </w:t>
      </w:r>
      <w:r>
        <w:rPr>
          <w:w w:val="105"/>
        </w:rPr>
        <w:t>any  </w:t>
      </w:r>
      <w:r>
        <w:rPr>
          <w:spacing w:val="3"/>
          <w:w w:val="105"/>
        </w:rPr>
        <w:t>additional</w:t>
      </w:r>
      <w:r>
        <w:rPr>
          <w:spacing w:val="53"/>
          <w:w w:val="105"/>
        </w:rPr>
        <w:t> </w:t>
      </w:r>
      <w:r>
        <w:rPr>
          <w:w w:val="105"/>
        </w:rPr>
        <w:t>actions   </w:t>
      </w:r>
      <w:r>
        <w:rPr>
          <w:spacing w:val="4"/>
          <w:w w:val="105"/>
        </w:rPr>
        <w:t>to </w:t>
      </w:r>
      <w:r>
        <w:rPr>
          <w:w w:val="105"/>
        </w:rPr>
        <w:t>cover interest rate  market  risk  and  is  not  a  party  to any other material market interest rate risk </w:t>
      </w:r>
      <w:r>
        <w:rPr>
          <w:spacing w:val="4"/>
          <w:w w:val="105"/>
        </w:rPr>
        <w:t>management  </w:t>
      </w:r>
      <w:r>
        <w:rPr>
          <w:spacing w:val="9"/>
          <w:w w:val="105"/>
        </w:rPr>
        <w:t> </w:t>
      </w:r>
      <w:r>
        <w:rPr>
          <w:spacing w:val="5"/>
          <w:w w:val="105"/>
        </w:rPr>
        <w:t>activities.</w:t>
      </w:r>
    </w:p>
    <w:p>
      <w:pPr>
        <w:pStyle w:val="BodyText"/>
        <w:spacing w:line="254" w:lineRule="auto" w:before="1"/>
        <w:ind w:left="100" w:right="108" w:firstLine="180"/>
        <w:jc w:val="both"/>
      </w:pPr>
      <w:r>
        <w:rPr>
          <w:w w:val="105"/>
        </w:rPr>
        <w:t>A </w:t>
      </w:r>
      <w:r>
        <w:rPr>
          <w:spacing w:val="2"/>
          <w:w w:val="105"/>
        </w:rPr>
        <w:t>hypothetical </w:t>
      </w:r>
      <w:r>
        <w:rPr>
          <w:w w:val="105"/>
        </w:rPr>
        <w:t>ten percent change in </w:t>
      </w:r>
      <w:r>
        <w:rPr>
          <w:spacing w:val="6"/>
          <w:w w:val="105"/>
        </w:rPr>
        <w:t>market </w:t>
      </w:r>
      <w:r>
        <w:rPr>
          <w:w w:val="105"/>
        </w:rPr>
        <w:t>interest rates  as  of  </w:t>
      </w:r>
      <w:r>
        <w:rPr>
          <w:spacing w:val="3"/>
          <w:w w:val="105"/>
        </w:rPr>
        <w:t>December</w:t>
      </w:r>
      <w:r>
        <w:rPr>
          <w:spacing w:val="53"/>
          <w:w w:val="105"/>
        </w:rPr>
        <w:t> </w:t>
      </w:r>
      <w:r>
        <w:rPr>
          <w:w w:val="105"/>
        </w:rPr>
        <w:t>31,  2002,  </w:t>
      </w:r>
      <w:r>
        <w:rPr>
          <w:spacing w:val="9"/>
          <w:w w:val="105"/>
        </w:rPr>
        <w:t>would  </w:t>
      </w:r>
      <w:r>
        <w:rPr>
          <w:w w:val="105"/>
        </w:rPr>
        <w:t>not have a material effect on the fair value of </w:t>
      </w:r>
      <w:r>
        <w:rPr>
          <w:spacing w:val="6"/>
          <w:w w:val="105"/>
        </w:rPr>
        <w:t>the</w:t>
      </w:r>
      <w:r>
        <w:rPr>
          <w:spacing w:val="59"/>
          <w:w w:val="105"/>
        </w:rPr>
        <w:t> </w:t>
      </w:r>
      <w:r>
        <w:rPr>
          <w:w w:val="105"/>
        </w:rPr>
        <w:t>Company’s   fixed-rate   debt   instruments.    </w:t>
      </w:r>
      <w:r>
        <w:rPr>
          <w:spacing w:val="6"/>
          <w:w w:val="105"/>
        </w:rPr>
        <w:t>See  </w:t>
      </w:r>
      <w:r>
        <w:rPr>
          <w:w w:val="105"/>
        </w:rPr>
        <w:t>Note 9 to  the  </w:t>
      </w:r>
      <w:r>
        <w:rPr>
          <w:spacing w:val="2"/>
          <w:w w:val="105"/>
        </w:rPr>
        <w:t>Consolidated  Financial  </w:t>
      </w:r>
      <w:r>
        <w:rPr>
          <w:spacing w:val="4"/>
          <w:w w:val="105"/>
        </w:rPr>
        <w:t>Statements </w:t>
      </w:r>
      <w:r>
        <w:rPr>
          <w:w w:val="105"/>
        </w:rPr>
        <w:t>for further </w:t>
      </w:r>
      <w:r>
        <w:rPr>
          <w:spacing w:val="3"/>
          <w:w w:val="105"/>
        </w:rPr>
        <w:t>information </w:t>
      </w:r>
      <w:r>
        <w:rPr>
          <w:w w:val="105"/>
        </w:rPr>
        <w:t>on the fair value of </w:t>
      </w:r>
      <w:r>
        <w:rPr>
          <w:spacing w:val="6"/>
          <w:w w:val="105"/>
        </w:rPr>
        <w:t>the </w:t>
      </w:r>
      <w:r>
        <w:rPr>
          <w:w w:val="105"/>
        </w:rPr>
        <w:t>Company’s </w:t>
      </w:r>
      <w:r>
        <w:rPr>
          <w:spacing w:val="2"/>
          <w:w w:val="105"/>
        </w:rPr>
        <w:t>financial </w:t>
      </w:r>
      <w:r>
        <w:rPr>
          <w:w w:val="105"/>
        </w:rPr>
        <w:t>instruments. A  change  </w:t>
      </w:r>
      <w:r>
        <w:rPr>
          <w:spacing w:val="12"/>
          <w:w w:val="105"/>
        </w:rPr>
        <w:t>in </w:t>
      </w:r>
      <w:r>
        <w:rPr>
          <w:w w:val="105"/>
        </w:rPr>
        <w:t>market interest rates could, </w:t>
      </w:r>
      <w:r>
        <w:rPr>
          <w:spacing w:val="2"/>
          <w:w w:val="105"/>
        </w:rPr>
        <w:t>however, have </w:t>
      </w:r>
      <w:r>
        <w:rPr>
          <w:w w:val="105"/>
        </w:rPr>
        <w:t>a </w:t>
      </w:r>
      <w:r>
        <w:rPr>
          <w:spacing w:val="2"/>
          <w:w w:val="105"/>
        </w:rPr>
        <w:t>corresponding </w:t>
      </w:r>
      <w:r>
        <w:rPr>
          <w:w w:val="105"/>
        </w:rPr>
        <w:t>effect on the Company’s  </w:t>
      </w:r>
      <w:r>
        <w:rPr>
          <w:spacing w:val="7"/>
          <w:w w:val="105"/>
        </w:rPr>
        <w:t>earnings </w:t>
      </w:r>
      <w:r>
        <w:rPr>
          <w:w w:val="105"/>
        </w:rPr>
        <w:t>and  cash  flows  </w:t>
      </w:r>
      <w:r>
        <w:rPr>
          <w:spacing w:val="2"/>
          <w:w w:val="105"/>
        </w:rPr>
        <w:t>associated  </w:t>
      </w:r>
      <w:r>
        <w:rPr>
          <w:w w:val="105"/>
        </w:rPr>
        <w:t>with  its   </w:t>
      </w:r>
      <w:r>
        <w:rPr>
          <w:spacing w:val="3"/>
          <w:w w:val="105"/>
        </w:rPr>
        <w:t>Aircraft </w:t>
      </w:r>
      <w:r>
        <w:rPr>
          <w:w w:val="105"/>
        </w:rPr>
        <w:t>Secured Notes, French Credit Agreements, </w:t>
      </w:r>
      <w:r>
        <w:rPr>
          <w:spacing w:val="12"/>
          <w:w w:val="105"/>
        </w:rPr>
        <w:t>and </w:t>
      </w:r>
      <w:r>
        <w:rPr>
          <w:w w:val="105"/>
        </w:rPr>
        <w:t>invested  cash  because  of   the  floating-rate   </w:t>
      </w:r>
      <w:r>
        <w:rPr>
          <w:spacing w:val="8"/>
          <w:w w:val="105"/>
        </w:rPr>
        <w:t>nature</w:t>
      </w:r>
    </w:p>
    <w:p>
      <w:pPr>
        <w:spacing w:after="0" w:line="254" w:lineRule="auto"/>
        <w:jc w:val="both"/>
        <w:sectPr>
          <w:headerReference w:type="default" r:id="rId103"/>
          <w:footerReference w:type="default" r:id="rId104"/>
          <w:footerReference w:type="even" r:id="rId105"/>
          <w:pgSz w:w="11520" w:h="14400"/>
          <w:pgMar w:header="0" w:footer="706" w:top="960" w:bottom="900" w:left="700" w:right="840"/>
          <w:pgNumType w:start="27"/>
          <w:cols w:num="2" w:equalWidth="0">
            <w:col w:w="4737" w:space="403"/>
            <w:col w:w="4840"/>
          </w:cols>
        </w:sectPr>
      </w:pPr>
    </w:p>
    <w:p>
      <w:pPr>
        <w:pStyle w:val="BodyText"/>
        <w:spacing w:line="254" w:lineRule="auto" w:before="69"/>
        <w:ind w:left="100"/>
        <w:jc w:val="both"/>
      </w:pPr>
      <w:r>
        <w:rPr>
          <w:w w:val="105"/>
        </w:rPr>
        <w:t>of  these   items.   Assuming   floating   market   rates in effect as of </w:t>
      </w:r>
      <w:r>
        <w:rPr>
          <w:spacing w:val="3"/>
          <w:w w:val="105"/>
        </w:rPr>
        <w:t>December </w:t>
      </w:r>
      <w:r>
        <w:rPr>
          <w:w w:val="105"/>
        </w:rPr>
        <w:t>31, 2002, were </w:t>
      </w:r>
      <w:r>
        <w:rPr>
          <w:spacing w:val="9"/>
          <w:w w:val="105"/>
        </w:rPr>
        <w:t>held </w:t>
      </w:r>
      <w:r>
        <w:rPr>
          <w:w w:val="105"/>
        </w:rPr>
        <w:t>constant throughout a 12-month period, a </w:t>
      </w:r>
      <w:r>
        <w:rPr>
          <w:spacing w:val="2"/>
          <w:w w:val="105"/>
        </w:rPr>
        <w:t>hypothetical </w:t>
      </w:r>
      <w:r>
        <w:rPr>
          <w:w w:val="105"/>
        </w:rPr>
        <w:t>ten percent  change  in  those  rates would correspondingly change the Company’s </w:t>
      </w:r>
      <w:r>
        <w:rPr>
          <w:spacing w:val="6"/>
          <w:w w:val="105"/>
        </w:rPr>
        <w:t>net </w:t>
      </w:r>
      <w:r>
        <w:rPr>
          <w:w w:val="105"/>
        </w:rPr>
        <w:t>earnings and cash  flows  </w:t>
      </w:r>
      <w:r>
        <w:rPr>
          <w:spacing w:val="2"/>
          <w:w w:val="105"/>
        </w:rPr>
        <w:t>associated  </w:t>
      </w:r>
      <w:r>
        <w:rPr>
          <w:w w:val="105"/>
        </w:rPr>
        <w:t>with  </w:t>
      </w:r>
      <w:r>
        <w:rPr>
          <w:spacing w:val="7"/>
          <w:w w:val="105"/>
        </w:rPr>
        <w:t>these </w:t>
      </w:r>
      <w:r>
        <w:rPr>
          <w:w w:val="105"/>
        </w:rPr>
        <w:t>items by </w:t>
      </w:r>
      <w:r>
        <w:rPr>
          <w:spacing w:val="3"/>
          <w:w w:val="105"/>
        </w:rPr>
        <w:t>approximately </w:t>
      </w:r>
      <w:r>
        <w:rPr>
          <w:w w:val="105"/>
        </w:rPr>
        <w:t>$1.3 million. Using </w:t>
      </w:r>
      <w:r>
        <w:rPr>
          <w:spacing w:val="7"/>
          <w:w w:val="105"/>
        </w:rPr>
        <w:t>these </w:t>
      </w:r>
      <w:r>
        <w:rPr>
          <w:spacing w:val="2"/>
          <w:w w:val="105"/>
        </w:rPr>
        <w:t>assumptions  </w:t>
      </w:r>
      <w:r>
        <w:rPr>
          <w:w w:val="105"/>
        </w:rPr>
        <w:t>and   </w:t>
      </w:r>
      <w:r>
        <w:rPr>
          <w:spacing w:val="2"/>
          <w:w w:val="105"/>
        </w:rPr>
        <w:t>considering   </w:t>
      </w:r>
      <w:r>
        <w:rPr>
          <w:w w:val="105"/>
        </w:rPr>
        <w:t>the   </w:t>
      </w:r>
      <w:r>
        <w:rPr>
          <w:spacing w:val="6"/>
          <w:w w:val="105"/>
        </w:rPr>
        <w:t>Company’s </w:t>
      </w:r>
      <w:r>
        <w:rPr>
          <w:w w:val="105"/>
        </w:rPr>
        <w:t>cash  </w:t>
      </w:r>
      <w:r>
        <w:rPr>
          <w:spacing w:val="2"/>
          <w:w w:val="105"/>
        </w:rPr>
        <w:t>balance  </w:t>
      </w:r>
      <w:r>
        <w:rPr>
          <w:w w:val="105"/>
        </w:rPr>
        <w:t>and  floating-rate  debt   </w:t>
      </w:r>
      <w:r>
        <w:rPr>
          <w:spacing w:val="7"/>
          <w:w w:val="105"/>
        </w:rPr>
        <w:t>outstanding </w:t>
      </w:r>
      <w:r>
        <w:rPr>
          <w:w w:val="105"/>
        </w:rPr>
        <w:t>at  </w:t>
      </w:r>
      <w:r>
        <w:rPr>
          <w:spacing w:val="3"/>
          <w:w w:val="105"/>
        </w:rPr>
        <w:t>December</w:t>
      </w:r>
      <w:r>
        <w:rPr>
          <w:spacing w:val="53"/>
          <w:w w:val="105"/>
        </w:rPr>
        <w:t> </w:t>
      </w:r>
      <w:r>
        <w:rPr>
          <w:w w:val="105"/>
        </w:rPr>
        <w:t>31,  2002,  an  </w:t>
      </w:r>
      <w:r>
        <w:rPr>
          <w:spacing w:val="2"/>
          <w:w w:val="105"/>
        </w:rPr>
        <w:t>increase  </w:t>
      </w:r>
      <w:r>
        <w:rPr>
          <w:w w:val="105"/>
        </w:rPr>
        <w:t>in   </w:t>
      </w:r>
      <w:r>
        <w:rPr>
          <w:spacing w:val="3"/>
          <w:w w:val="105"/>
        </w:rPr>
        <w:t>rates </w:t>
      </w:r>
      <w:r>
        <w:rPr>
          <w:w w:val="105"/>
        </w:rPr>
        <w:t>would have  a  net  </w:t>
      </w:r>
      <w:r>
        <w:rPr>
          <w:spacing w:val="2"/>
          <w:w w:val="105"/>
        </w:rPr>
        <w:t>positive  </w:t>
      </w:r>
      <w:r>
        <w:rPr>
          <w:w w:val="105"/>
        </w:rPr>
        <w:t>effect  on  </w:t>
      </w:r>
      <w:r>
        <w:rPr>
          <w:spacing w:val="6"/>
          <w:w w:val="105"/>
        </w:rPr>
        <w:t>the </w:t>
      </w:r>
      <w:r>
        <w:rPr>
          <w:w w:val="105"/>
        </w:rPr>
        <w:t>Company’s earnings and cash  flows,  while  a </w:t>
      </w:r>
      <w:r>
        <w:rPr>
          <w:spacing w:val="2"/>
          <w:w w:val="105"/>
        </w:rPr>
        <w:t>decrease </w:t>
      </w:r>
      <w:r>
        <w:rPr>
          <w:w w:val="105"/>
        </w:rPr>
        <w:t>in  rates  would  </w:t>
      </w:r>
      <w:r>
        <w:rPr>
          <w:spacing w:val="2"/>
          <w:w w:val="105"/>
        </w:rPr>
        <w:t>have  </w:t>
      </w:r>
      <w:r>
        <w:rPr>
          <w:w w:val="105"/>
        </w:rPr>
        <w:t>a  net  </w:t>
      </w:r>
      <w:r>
        <w:rPr>
          <w:spacing w:val="9"/>
          <w:w w:val="105"/>
        </w:rPr>
        <w:t>negative </w:t>
      </w:r>
      <w:r>
        <w:rPr>
          <w:w w:val="105"/>
        </w:rPr>
        <w:t>effect  on  the  Company’s  earnings   and   </w:t>
      </w:r>
      <w:r>
        <w:rPr>
          <w:spacing w:val="8"/>
          <w:w w:val="105"/>
        </w:rPr>
        <w:t>cash  </w:t>
      </w:r>
      <w:r>
        <w:rPr>
          <w:w w:val="105"/>
        </w:rPr>
        <w:t>flows. </w:t>
      </w:r>
      <w:r>
        <w:rPr>
          <w:spacing w:val="2"/>
          <w:w w:val="105"/>
        </w:rPr>
        <w:t>However, </w:t>
      </w:r>
      <w:r>
        <w:rPr>
          <w:w w:val="105"/>
        </w:rPr>
        <w:t>a ten percent change  in  </w:t>
      </w:r>
      <w:r>
        <w:rPr>
          <w:spacing w:val="6"/>
          <w:w w:val="105"/>
        </w:rPr>
        <w:t>market </w:t>
      </w:r>
      <w:r>
        <w:rPr>
          <w:w w:val="105"/>
        </w:rPr>
        <w:t>rates  would  not  </w:t>
      </w:r>
      <w:r>
        <w:rPr>
          <w:spacing w:val="2"/>
          <w:w w:val="105"/>
        </w:rPr>
        <w:t>impact  </w:t>
      </w:r>
      <w:r>
        <w:rPr>
          <w:w w:val="105"/>
        </w:rPr>
        <w:t>the  Company’s   </w:t>
      </w:r>
      <w:r>
        <w:rPr>
          <w:spacing w:val="7"/>
          <w:w w:val="105"/>
        </w:rPr>
        <w:t>earnings </w:t>
      </w:r>
      <w:r>
        <w:rPr>
          <w:w w:val="105"/>
        </w:rPr>
        <w:t>or cash flow  </w:t>
      </w:r>
      <w:r>
        <w:rPr>
          <w:spacing w:val="2"/>
          <w:w w:val="105"/>
        </w:rPr>
        <w:t>associated  </w:t>
      </w:r>
      <w:r>
        <w:rPr>
          <w:w w:val="105"/>
        </w:rPr>
        <w:t>with  the  </w:t>
      </w:r>
      <w:r>
        <w:rPr>
          <w:spacing w:val="6"/>
          <w:w w:val="105"/>
        </w:rPr>
        <w:t>Company’s </w:t>
      </w:r>
      <w:r>
        <w:rPr>
          <w:w w:val="105"/>
        </w:rPr>
        <w:t>publicly  traded  fixed-rate  debt  or  its</w:t>
      </w:r>
      <w:r>
        <w:rPr>
          <w:spacing w:val="38"/>
          <w:w w:val="105"/>
        </w:rPr>
        <w:t> </w:t>
      </w:r>
      <w:r>
        <w:rPr>
          <w:w w:val="105"/>
        </w:rPr>
        <w:t>Certificates.</w:t>
      </w:r>
    </w:p>
    <w:p>
      <w:pPr>
        <w:pStyle w:val="BodyText"/>
        <w:spacing w:line="254" w:lineRule="auto" w:before="69"/>
        <w:ind w:left="100" w:right="101" w:firstLine="180"/>
        <w:jc w:val="both"/>
      </w:pPr>
      <w:r>
        <w:rPr/>
        <w:br w:type="column"/>
      </w:r>
      <w:r>
        <w:rPr>
          <w:w w:val="105"/>
        </w:rPr>
        <w:t>The Company is also subject to various types </w:t>
      </w:r>
      <w:r>
        <w:rPr>
          <w:spacing w:val="6"/>
          <w:w w:val="105"/>
        </w:rPr>
        <w:t>of </w:t>
      </w:r>
      <w:r>
        <w:rPr>
          <w:w w:val="105"/>
        </w:rPr>
        <w:t>liquidity  and  </w:t>
      </w:r>
      <w:r>
        <w:rPr>
          <w:spacing w:val="3"/>
          <w:w w:val="105"/>
        </w:rPr>
        <w:t>financing</w:t>
      </w:r>
      <w:r>
        <w:rPr>
          <w:spacing w:val="53"/>
          <w:w w:val="105"/>
        </w:rPr>
        <w:t> </w:t>
      </w:r>
      <w:r>
        <w:rPr>
          <w:w w:val="105"/>
        </w:rPr>
        <w:t>risk  </w:t>
      </w:r>
      <w:r>
        <w:rPr>
          <w:spacing w:val="2"/>
          <w:w w:val="105"/>
        </w:rPr>
        <w:t>included   </w:t>
      </w:r>
      <w:r>
        <w:rPr>
          <w:spacing w:val="12"/>
          <w:w w:val="105"/>
        </w:rPr>
        <w:t>in </w:t>
      </w:r>
      <w:r>
        <w:rPr>
          <w:spacing w:val="2"/>
          <w:w w:val="105"/>
        </w:rPr>
        <w:t>agreements  </w:t>
      </w:r>
      <w:r>
        <w:rPr>
          <w:w w:val="105"/>
        </w:rPr>
        <w:t>with   </w:t>
      </w:r>
      <w:r>
        <w:rPr>
          <w:spacing w:val="2"/>
          <w:w w:val="105"/>
        </w:rPr>
        <w:t>financial   institutions   </w:t>
      </w:r>
      <w:r>
        <w:rPr>
          <w:spacing w:val="5"/>
          <w:w w:val="105"/>
        </w:rPr>
        <w:t>that </w:t>
      </w:r>
      <w:r>
        <w:rPr>
          <w:w w:val="105"/>
        </w:rPr>
        <w:t>process credit card transactions on behalf of </w:t>
      </w:r>
      <w:r>
        <w:rPr>
          <w:spacing w:val="6"/>
          <w:w w:val="105"/>
        </w:rPr>
        <w:t>the </w:t>
      </w:r>
      <w:r>
        <w:rPr>
          <w:spacing w:val="2"/>
          <w:w w:val="105"/>
        </w:rPr>
        <w:t>Company, </w:t>
      </w:r>
      <w:r>
        <w:rPr>
          <w:w w:val="105"/>
        </w:rPr>
        <w:t>the Company’s </w:t>
      </w:r>
      <w:r>
        <w:rPr>
          <w:spacing w:val="2"/>
          <w:w w:val="105"/>
        </w:rPr>
        <w:t>revolving </w:t>
      </w:r>
      <w:r>
        <w:rPr>
          <w:w w:val="105"/>
        </w:rPr>
        <w:t>credit  facility,  and </w:t>
      </w:r>
      <w:r>
        <w:rPr>
          <w:spacing w:val="2"/>
          <w:w w:val="105"/>
        </w:rPr>
        <w:t>outstanding </w:t>
      </w:r>
      <w:r>
        <w:rPr>
          <w:w w:val="105"/>
        </w:rPr>
        <w:t>debt agreements. Such  risks </w:t>
      </w:r>
      <w:r>
        <w:rPr>
          <w:spacing w:val="2"/>
          <w:w w:val="105"/>
        </w:rPr>
        <w:t>included </w:t>
      </w:r>
      <w:r>
        <w:rPr>
          <w:w w:val="105"/>
        </w:rPr>
        <w:t>the  </w:t>
      </w:r>
      <w:r>
        <w:rPr>
          <w:spacing w:val="2"/>
          <w:w w:val="105"/>
        </w:rPr>
        <w:t>Company  </w:t>
      </w:r>
      <w:r>
        <w:rPr>
          <w:spacing w:val="4"/>
          <w:w w:val="105"/>
        </w:rPr>
        <w:t>maintaining  </w:t>
      </w:r>
      <w:r>
        <w:rPr>
          <w:spacing w:val="16"/>
          <w:w w:val="105"/>
        </w:rPr>
        <w:t>minimum </w:t>
      </w:r>
      <w:r>
        <w:rPr>
          <w:w w:val="105"/>
        </w:rPr>
        <w:t>credit ratings, the Company’s assets (for  </w:t>
      </w:r>
      <w:r>
        <w:rPr>
          <w:spacing w:val="7"/>
          <w:w w:val="105"/>
        </w:rPr>
        <w:t>secured </w:t>
      </w:r>
      <w:r>
        <w:rPr>
          <w:w w:val="105"/>
        </w:rPr>
        <w:t>debt) </w:t>
      </w:r>
      <w:r>
        <w:rPr>
          <w:spacing w:val="4"/>
          <w:w w:val="105"/>
        </w:rPr>
        <w:t>maintaining minimum </w:t>
      </w:r>
      <w:r>
        <w:rPr>
          <w:w w:val="105"/>
        </w:rPr>
        <w:t>fair values, and </w:t>
      </w:r>
      <w:r>
        <w:rPr>
          <w:spacing w:val="6"/>
          <w:w w:val="105"/>
        </w:rPr>
        <w:t>the </w:t>
      </w:r>
      <w:r>
        <w:rPr>
          <w:spacing w:val="2"/>
          <w:w w:val="105"/>
        </w:rPr>
        <w:t>Company  </w:t>
      </w:r>
      <w:r>
        <w:rPr>
          <w:spacing w:val="3"/>
          <w:w w:val="105"/>
        </w:rPr>
        <w:t>achieving</w:t>
      </w:r>
      <w:r>
        <w:rPr>
          <w:spacing w:val="53"/>
          <w:w w:val="105"/>
        </w:rPr>
        <w:t> </w:t>
      </w:r>
      <w:r>
        <w:rPr>
          <w:spacing w:val="4"/>
          <w:w w:val="105"/>
        </w:rPr>
        <w:t>minimum   </w:t>
      </w:r>
      <w:r>
        <w:rPr>
          <w:spacing w:val="3"/>
          <w:w w:val="105"/>
        </w:rPr>
        <w:t>covenant   </w:t>
      </w:r>
      <w:r>
        <w:rPr>
          <w:spacing w:val="4"/>
          <w:w w:val="105"/>
        </w:rPr>
        <w:t>ratios </w:t>
      </w:r>
      <w:r>
        <w:rPr>
          <w:w w:val="105"/>
        </w:rPr>
        <w:t>with regard to its </w:t>
      </w:r>
      <w:r>
        <w:rPr>
          <w:spacing w:val="2"/>
          <w:w w:val="105"/>
        </w:rPr>
        <w:t>available </w:t>
      </w:r>
      <w:r>
        <w:rPr>
          <w:w w:val="105"/>
        </w:rPr>
        <w:t>or </w:t>
      </w:r>
      <w:r>
        <w:rPr>
          <w:spacing w:val="2"/>
          <w:w w:val="105"/>
        </w:rPr>
        <w:t>outstanding </w:t>
      </w:r>
      <w:r>
        <w:rPr>
          <w:spacing w:val="10"/>
          <w:w w:val="105"/>
        </w:rPr>
        <w:t>debt </w:t>
      </w:r>
      <w:r>
        <w:rPr>
          <w:w w:val="105"/>
        </w:rPr>
        <w:t>agreements. The Company met or </w:t>
      </w:r>
      <w:r>
        <w:rPr>
          <w:spacing w:val="3"/>
          <w:w w:val="105"/>
        </w:rPr>
        <w:t>exceeded </w:t>
      </w:r>
      <w:r>
        <w:rPr>
          <w:spacing w:val="6"/>
          <w:w w:val="105"/>
        </w:rPr>
        <w:t>the </w:t>
      </w:r>
      <w:r>
        <w:rPr>
          <w:spacing w:val="4"/>
          <w:w w:val="105"/>
        </w:rPr>
        <w:t>minimum </w:t>
      </w:r>
      <w:r>
        <w:rPr>
          <w:w w:val="105"/>
        </w:rPr>
        <w:t>standards set  forth  in  these  </w:t>
      </w:r>
      <w:r>
        <w:rPr>
          <w:spacing w:val="5"/>
          <w:w w:val="105"/>
        </w:rPr>
        <w:t>agree-  </w:t>
      </w:r>
      <w:r>
        <w:rPr>
          <w:w w:val="105"/>
        </w:rPr>
        <w:t>ments as of </w:t>
      </w:r>
      <w:r>
        <w:rPr>
          <w:spacing w:val="3"/>
          <w:w w:val="105"/>
        </w:rPr>
        <w:t>December </w:t>
      </w:r>
      <w:r>
        <w:rPr>
          <w:w w:val="105"/>
        </w:rPr>
        <w:t>31, 2002. </w:t>
      </w:r>
      <w:r>
        <w:rPr>
          <w:spacing w:val="2"/>
          <w:w w:val="105"/>
        </w:rPr>
        <w:t>However, </w:t>
      </w:r>
      <w:r>
        <w:rPr>
          <w:spacing w:val="5"/>
          <w:w w:val="105"/>
        </w:rPr>
        <w:t>if </w:t>
      </w:r>
      <w:r>
        <w:rPr>
          <w:spacing w:val="2"/>
          <w:w w:val="105"/>
        </w:rPr>
        <w:t>conditions change  </w:t>
      </w:r>
      <w:r>
        <w:rPr>
          <w:w w:val="105"/>
        </w:rPr>
        <w:t>and  the  Company  failed  </w:t>
      </w:r>
      <w:r>
        <w:rPr>
          <w:spacing w:val="4"/>
          <w:w w:val="105"/>
        </w:rPr>
        <w:t>to  </w:t>
      </w:r>
      <w:r>
        <w:rPr>
          <w:w w:val="105"/>
        </w:rPr>
        <w:t>meet the </w:t>
      </w:r>
      <w:r>
        <w:rPr>
          <w:spacing w:val="4"/>
          <w:w w:val="105"/>
        </w:rPr>
        <w:t>minimum </w:t>
      </w:r>
      <w:r>
        <w:rPr>
          <w:w w:val="105"/>
        </w:rPr>
        <w:t>standards set forth in </w:t>
      </w:r>
      <w:r>
        <w:rPr>
          <w:spacing w:val="6"/>
          <w:w w:val="105"/>
        </w:rPr>
        <w:t>the </w:t>
      </w:r>
      <w:r>
        <w:rPr>
          <w:w w:val="105"/>
        </w:rPr>
        <w:t>agreements,  it  could  reduce  the  </w:t>
      </w:r>
      <w:r>
        <w:rPr>
          <w:spacing w:val="2"/>
          <w:w w:val="105"/>
        </w:rPr>
        <w:t>availability  </w:t>
      </w:r>
      <w:r>
        <w:rPr>
          <w:spacing w:val="6"/>
          <w:w w:val="105"/>
        </w:rPr>
        <w:t>of </w:t>
      </w:r>
      <w:r>
        <w:rPr>
          <w:w w:val="105"/>
        </w:rPr>
        <w:t>cash  under  the  agreements  or  increase  the  costs to  keep  the  agreements  intact  as</w:t>
      </w:r>
      <w:r>
        <w:rPr>
          <w:spacing w:val="47"/>
          <w:w w:val="105"/>
        </w:rPr>
        <w:t> </w:t>
      </w:r>
      <w:r>
        <w:rPr>
          <w:w w:val="105"/>
        </w:rPr>
        <w:t>written.</w:t>
      </w:r>
    </w:p>
    <w:p>
      <w:pPr>
        <w:spacing w:after="0" w:line="254" w:lineRule="auto"/>
        <w:jc w:val="both"/>
        <w:sectPr>
          <w:headerReference w:type="default" r:id="rId106"/>
          <w:pgSz w:w="11520" w:h="14400"/>
          <w:pgMar w:header="0" w:footer="706" w:top="960" w:bottom="900" w:left="700" w:right="840"/>
          <w:cols w:num="2" w:equalWidth="0">
            <w:col w:w="4730" w:space="410"/>
            <w:col w:w="4840"/>
          </w:cols>
        </w:sectPr>
      </w:pPr>
    </w:p>
    <w:p>
      <w:pPr>
        <w:spacing w:before="69"/>
        <w:ind w:left="140" w:right="0" w:firstLine="0"/>
        <w:jc w:val="left"/>
        <w:rPr>
          <w:i/>
          <w:sz w:val="20"/>
        </w:rPr>
      </w:pPr>
      <w:bookmarkStart w:name="Financial Statements" w:id="34"/>
      <w:bookmarkEnd w:id="34"/>
      <w:r>
        <w:rPr/>
      </w:r>
      <w:bookmarkStart w:name="Balance Sheet" w:id="35"/>
      <w:bookmarkEnd w:id="35"/>
      <w:r>
        <w:rPr/>
      </w:r>
      <w:r>
        <w:rPr>
          <w:rFonts w:ascii="Franklin Gothic Medium"/>
          <w:w w:val="105"/>
          <w:sz w:val="20"/>
        </w:rPr>
        <w:t>Item  8.  </w:t>
      </w:r>
      <w:r>
        <w:rPr>
          <w:i/>
          <w:w w:val="105"/>
          <w:sz w:val="20"/>
        </w:rPr>
        <w:t>Financial  Statements  and  Supplementary Data</w:t>
      </w:r>
    </w:p>
    <w:p>
      <w:pPr>
        <w:spacing w:line="290" w:lineRule="auto" w:before="39"/>
        <w:ind w:left="140" w:right="6949" w:firstLine="0"/>
        <w:jc w:val="left"/>
        <w:rPr>
          <w:rFonts w:ascii="Franklin Gothic Medium"/>
          <w:sz w:val="16"/>
        </w:rPr>
      </w:pPr>
      <w:r>
        <w:rPr>
          <w:rFonts w:ascii="Franklin Gothic Medium"/>
          <w:sz w:val="16"/>
        </w:rPr>
        <w:t>SOUTHWEST AIRLINES CO. CONSOLIDATED  BALANCE  SHEET</w:t>
      </w:r>
    </w:p>
    <w:p>
      <w:pPr>
        <w:tabs>
          <w:tab w:pos="6879" w:val="left" w:leader="none"/>
        </w:tabs>
        <w:spacing w:before="134"/>
        <w:ind w:left="140" w:right="0" w:firstLine="0"/>
        <w:jc w:val="left"/>
        <w:rPr>
          <w:rFonts w:ascii="Franklin Gothic Medium"/>
          <w:sz w:val="16"/>
        </w:rPr>
      </w:pPr>
      <w:r>
        <w:rPr>
          <w:i/>
          <w:w w:val="105"/>
          <w:sz w:val="16"/>
        </w:rPr>
        <w:t>(In  </w:t>
      </w:r>
      <w:r>
        <w:rPr>
          <w:i/>
          <w:spacing w:val="2"/>
          <w:w w:val="105"/>
          <w:sz w:val="16"/>
        </w:rPr>
        <w:t>thousands,  except  </w:t>
      </w:r>
      <w:r>
        <w:rPr>
          <w:i/>
          <w:w w:val="105"/>
          <w:sz w:val="16"/>
        </w:rPr>
        <w:t>per </w:t>
      </w:r>
      <w:r>
        <w:rPr>
          <w:i/>
          <w:spacing w:val="31"/>
          <w:w w:val="105"/>
          <w:sz w:val="16"/>
        </w:rPr>
        <w:t> </w:t>
      </w:r>
      <w:r>
        <w:rPr>
          <w:i/>
          <w:spacing w:val="2"/>
          <w:w w:val="105"/>
          <w:sz w:val="16"/>
        </w:rPr>
        <w:t>share </w:t>
      </w:r>
      <w:r>
        <w:rPr>
          <w:i/>
          <w:spacing w:val="7"/>
          <w:w w:val="105"/>
          <w:sz w:val="16"/>
        </w:rPr>
        <w:t> </w:t>
      </w:r>
      <w:r>
        <w:rPr>
          <w:i/>
          <w:spacing w:val="2"/>
          <w:w w:val="105"/>
          <w:sz w:val="16"/>
        </w:rPr>
        <w:t>amounts)</w:t>
        <w:tab/>
      </w:r>
      <w:r>
        <w:rPr>
          <w:rFonts w:ascii="Franklin Gothic Medium"/>
          <w:spacing w:val="3"/>
          <w:w w:val="105"/>
          <w:sz w:val="16"/>
        </w:rPr>
        <w:t>DECEMBER</w:t>
      </w:r>
      <w:r>
        <w:rPr>
          <w:rFonts w:ascii="Franklin Gothic Medium"/>
          <w:spacing w:val="17"/>
          <w:w w:val="105"/>
          <w:sz w:val="16"/>
        </w:rPr>
        <w:t> </w:t>
      </w:r>
      <w:r>
        <w:rPr>
          <w:rFonts w:ascii="Franklin Gothic Medium"/>
          <w:spacing w:val="4"/>
          <w:w w:val="105"/>
          <w:sz w:val="16"/>
        </w:rPr>
        <w:t>31,</w:t>
      </w:r>
    </w:p>
    <w:p>
      <w:pPr>
        <w:tabs>
          <w:tab w:pos="5759" w:val="left" w:leader="none"/>
          <w:tab w:pos="6764" w:val="left" w:leader="none"/>
          <w:tab w:pos="8119" w:val="left" w:leader="none"/>
          <w:tab w:pos="8579" w:val="left" w:leader="none"/>
          <w:tab w:pos="9484" w:val="left" w:leader="none"/>
        </w:tabs>
        <w:spacing w:before="4"/>
        <w:ind w:left="5200" w:right="0" w:firstLine="0"/>
        <w:jc w:val="left"/>
        <w:rPr>
          <w:sz w:val="16"/>
        </w:rPr>
      </w:pPr>
      <w:r>
        <w:rPr>
          <w:rFonts w:ascii="Franklin Gothic Medium"/>
          <w:w w:val="116"/>
          <w:sz w:val="16"/>
          <w:u w:val="single"/>
        </w:rPr>
        <w:t> </w:t>
      </w:r>
      <w:r>
        <w:rPr>
          <w:rFonts w:ascii="Franklin Gothic Medium"/>
          <w:sz w:val="16"/>
          <w:u w:val="single"/>
        </w:rPr>
        <w:tab/>
      </w:r>
      <w:r>
        <w:rPr>
          <w:rFonts w:ascii="Franklin Gothic Medium"/>
          <w:w w:val="110"/>
          <w:sz w:val="16"/>
          <w:u w:val="single"/>
        </w:rPr>
        <w:t>2002</w:t>
        <w:tab/>
      </w:r>
      <w:r>
        <w:rPr>
          <w:rFonts w:ascii="Franklin Gothic Medium"/>
          <w:w w:val="110"/>
          <w:sz w:val="16"/>
        </w:rPr>
        <w:tab/>
      </w:r>
      <w:r>
        <w:rPr>
          <w:w w:val="110"/>
          <w:sz w:val="16"/>
          <w:u w:val="single"/>
        </w:rPr>
        <w:t> </w:t>
        <w:tab/>
        <w:t>2001</w:t>
      </w:r>
      <w:r>
        <w:rPr>
          <w:sz w:val="16"/>
          <w:u w:val="single"/>
        </w:rPr>
        <w:tab/>
      </w:r>
    </w:p>
    <w:p>
      <w:pPr>
        <w:spacing w:before="30"/>
        <w:ind w:left="140" w:right="0" w:firstLine="0"/>
        <w:jc w:val="left"/>
        <w:rPr>
          <w:rFonts w:ascii="Franklin Gothic Medium"/>
          <w:sz w:val="16"/>
        </w:rPr>
      </w:pPr>
      <w:r>
        <w:rPr>
          <w:rFonts w:ascii="Franklin Gothic Medium"/>
          <w:sz w:val="16"/>
        </w:rPr>
        <w:t>ASSETS</w:t>
      </w:r>
    </w:p>
    <w:p>
      <w:pPr>
        <w:spacing w:before="32"/>
        <w:ind w:left="140" w:right="0" w:firstLine="0"/>
        <w:jc w:val="left"/>
        <w:rPr>
          <w:sz w:val="16"/>
        </w:rPr>
      </w:pPr>
      <w:r>
        <w:rPr>
          <w:w w:val="110"/>
          <w:sz w:val="16"/>
        </w:rPr>
        <w:t>Current  assets:</w:t>
      </w:r>
    </w:p>
    <w:p>
      <w:pPr>
        <w:tabs>
          <w:tab w:pos="5759" w:val="left" w:leader="none"/>
          <w:tab w:pos="6059" w:val="left" w:leader="none"/>
          <w:tab w:pos="8399" w:val="left" w:leader="none"/>
          <w:tab w:pos="8799" w:val="left" w:leader="none"/>
        </w:tabs>
        <w:spacing w:line="295" w:lineRule="auto" w:before="64"/>
        <w:ind w:left="320" w:right="659" w:firstLine="0"/>
        <w:jc w:val="left"/>
        <w:rPr>
          <w:sz w:val="16"/>
        </w:rPr>
      </w:pPr>
      <w:r>
        <w:rPr>
          <w:w w:val="110"/>
          <w:sz w:val="16"/>
        </w:rPr>
        <w:t>Cash  and</w:t>
      </w:r>
      <w:r>
        <w:rPr>
          <w:spacing w:val="36"/>
          <w:w w:val="110"/>
          <w:sz w:val="16"/>
        </w:rPr>
        <w:t> </w:t>
      </w:r>
      <w:r>
        <w:rPr>
          <w:w w:val="110"/>
          <w:sz w:val="16"/>
        </w:rPr>
        <w:t>cash</w:t>
      </w:r>
      <w:r>
        <w:rPr>
          <w:spacing w:val="38"/>
          <w:w w:val="110"/>
          <w:sz w:val="16"/>
        </w:rPr>
        <w:t> </w:t>
      </w:r>
      <w:r>
        <w:rPr>
          <w:w w:val="110"/>
          <w:sz w:val="16"/>
        </w:rPr>
        <w:t>equivalents</w:t>
        <w:tab/>
      </w:r>
      <w:r>
        <w:rPr>
          <w:rFonts w:ascii="Franklin Gothic Medium"/>
          <w:w w:val="110"/>
          <w:sz w:val="16"/>
        </w:rPr>
        <w:t>$</w:t>
      </w:r>
      <w:r>
        <w:rPr>
          <w:rFonts w:ascii="Franklin Gothic Medium"/>
          <w:spacing w:val="-12"/>
          <w:w w:val="110"/>
          <w:sz w:val="16"/>
        </w:rPr>
        <w:t> </w:t>
      </w:r>
      <w:r>
        <w:rPr>
          <w:rFonts w:ascii="Franklin Gothic Medium"/>
          <w:w w:val="110"/>
          <w:sz w:val="16"/>
        </w:rPr>
        <w:t>1,815,352</w:t>
        <w:tab/>
      </w:r>
      <w:r>
        <w:rPr>
          <w:w w:val="110"/>
          <w:sz w:val="16"/>
        </w:rPr>
        <w:t>$ </w:t>
      </w:r>
      <w:r>
        <w:rPr>
          <w:spacing w:val="10"/>
          <w:w w:val="110"/>
          <w:sz w:val="16"/>
        </w:rPr>
        <w:t> </w:t>
      </w:r>
      <w:r>
        <w:rPr>
          <w:w w:val="110"/>
          <w:sz w:val="16"/>
        </w:rPr>
        <w:t>2,279,861</w:t>
      </w:r>
      <w:r>
        <w:rPr>
          <w:spacing w:val="-2"/>
          <w:w w:val="118"/>
          <w:sz w:val="16"/>
        </w:rPr>
        <w:t> </w:t>
      </w:r>
      <w:r>
        <w:rPr>
          <w:w w:val="110"/>
          <w:sz w:val="16"/>
        </w:rPr>
        <w:t>Accounts  and</w:t>
      </w:r>
      <w:r>
        <w:rPr>
          <w:spacing w:val="21"/>
          <w:w w:val="110"/>
          <w:sz w:val="16"/>
        </w:rPr>
        <w:t> </w:t>
      </w:r>
      <w:r>
        <w:rPr>
          <w:w w:val="110"/>
          <w:sz w:val="16"/>
        </w:rPr>
        <w:t>other</w:t>
      </w:r>
      <w:r>
        <w:rPr>
          <w:spacing w:val="30"/>
          <w:w w:val="110"/>
          <w:sz w:val="16"/>
        </w:rPr>
        <w:t> </w:t>
      </w:r>
      <w:r>
        <w:rPr>
          <w:w w:val="110"/>
          <w:sz w:val="16"/>
        </w:rPr>
        <w:t>receivables</w:t>
        <w:tab/>
        <w:tab/>
      </w:r>
      <w:r>
        <w:rPr>
          <w:rFonts w:ascii="Franklin Gothic Medium"/>
          <w:w w:val="110"/>
          <w:sz w:val="16"/>
        </w:rPr>
        <w:t>174,393</w:t>
        <w:tab/>
        <w:tab/>
      </w:r>
      <w:r>
        <w:rPr>
          <w:spacing w:val="-2"/>
          <w:w w:val="110"/>
          <w:sz w:val="16"/>
        </w:rPr>
        <w:t>71,283</w:t>
      </w:r>
    </w:p>
    <w:p>
      <w:pPr>
        <w:tabs>
          <w:tab w:pos="6159" w:val="left" w:leader="none"/>
          <w:tab w:pos="8799" w:val="left" w:leader="none"/>
        </w:tabs>
        <w:spacing w:line="175" w:lineRule="exact" w:before="0"/>
        <w:ind w:left="320" w:right="0" w:firstLine="0"/>
        <w:jc w:val="left"/>
        <w:rPr>
          <w:sz w:val="16"/>
        </w:rPr>
      </w:pPr>
      <w:r>
        <w:rPr>
          <w:w w:val="110"/>
          <w:sz w:val="16"/>
        </w:rPr>
        <w:t>Inventories  of  parts  and  supplies,</w:t>
      </w:r>
      <w:r>
        <w:rPr>
          <w:spacing w:val="6"/>
          <w:w w:val="110"/>
          <w:sz w:val="16"/>
        </w:rPr>
        <w:t> </w:t>
      </w:r>
      <w:r>
        <w:rPr>
          <w:w w:val="110"/>
          <w:sz w:val="16"/>
        </w:rPr>
        <w:t>at</w:t>
      </w:r>
      <w:r>
        <w:rPr>
          <w:spacing w:val="33"/>
          <w:w w:val="110"/>
          <w:sz w:val="16"/>
        </w:rPr>
        <w:t> </w:t>
      </w:r>
      <w:r>
        <w:rPr>
          <w:w w:val="110"/>
          <w:sz w:val="16"/>
        </w:rPr>
        <w:t>cost</w:t>
        <w:tab/>
      </w:r>
      <w:r>
        <w:rPr>
          <w:rFonts w:ascii="Franklin Gothic Medium"/>
          <w:w w:val="110"/>
          <w:sz w:val="16"/>
        </w:rPr>
        <w:t>86,016</w:t>
        <w:tab/>
      </w:r>
      <w:r>
        <w:rPr>
          <w:spacing w:val="-2"/>
          <w:w w:val="110"/>
          <w:sz w:val="16"/>
        </w:rPr>
        <w:t>70,561</w:t>
      </w:r>
    </w:p>
    <w:p>
      <w:pPr>
        <w:tabs>
          <w:tab w:pos="6180" w:val="left" w:leader="none"/>
          <w:tab w:pos="8799" w:val="left" w:leader="none"/>
        </w:tabs>
        <w:spacing w:before="45"/>
        <w:ind w:left="320" w:right="0" w:firstLine="0"/>
        <w:jc w:val="left"/>
        <w:rPr>
          <w:sz w:val="16"/>
        </w:rPr>
      </w:pPr>
      <w:r>
        <w:rPr>
          <w:w w:val="110"/>
          <w:sz w:val="16"/>
        </w:rPr>
        <w:t>Deferred</w:t>
      </w:r>
      <w:r>
        <w:rPr>
          <w:spacing w:val="13"/>
          <w:w w:val="110"/>
          <w:sz w:val="16"/>
        </w:rPr>
        <w:t> </w:t>
      </w:r>
      <w:r>
        <w:rPr>
          <w:w w:val="110"/>
          <w:sz w:val="16"/>
        </w:rPr>
        <w:t>income</w:t>
      </w:r>
      <w:r>
        <w:rPr>
          <w:spacing w:val="13"/>
          <w:w w:val="110"/>
          <w:sz w:val="16"/>
        </w:rPr>
        <w:t> </w:t>
      </w:r>
      <w:r>
        <w:rPr>
          <w:w w:val="110"/>
          <w:sz w:val="16"/>
        </w:rPr>
        <w:t>taxes</w:t>
        <w:tab/>
      </w:r>
      <w:r>
        <w:rPr>
          <w:rFonts w:ascii="Franklin Gothic Medium"/>
          <w:w w:val="110"/>
          <w:sz w:val="16"/>
        </w:rPr>
        <w:t>-</w:t>
        <w:tab/>
      </w:r>
      <w:r>
        <w:rPr>
          <w:spacing w:val="-2"/>
          <w:w w:val="110"/>
          <w:sz w:val="16"/>
        </w:rPr>
        <w:t>46,400</w:t>
      </w:r>
    </w:p>
    <w:p>
      <w:pPr>
        <w:tabs>
          <w:tab w:pos="5199" w:val="left" w:leader="none"/>
          <w:tab w:pos="6059" w:val="left" w:leader="none"/>
          <w:tab w:pos="6159" w:val="left" w:leader="none"/>
          <w:tab w:pos="8119" w:val="left" w:leader="none"/>
          <w:tab w:pos="8799" w:val="left" w:leader="none"/>
          <w:tab w:pos="9059" w:val="left" w:leader="none"/>
        </w:tabs>
        <w:spacing w:line="295" w:lineRule="auto" w:before="44"/>
        <w:ind w:left="320" w:right="659" w:firstLine="0"/>
        <w:jc w:val="left"/>
        <w:rPr>
          <w:sz w:val="16"/>
        </w:rPr>
      </w:pPr>
      <w:r>
        <w:rPr>
          <w:w w:val="105"/>
          <w:sz w:val="16"/>
        </w:rPr>
        <w:t>Fuel  hedge</w:t>
      </w:r>
      <w:r>
        <w:rPr>
          <w:spacing w:val="36"/>
          <w:w w:val="105"/>
          <w:sz w:val="16"/>
        </w:rPr>
        <w:t> </w:t>
      </w:r>
      <w:r>
        <w:rPr>
          <w:w w:val="105"/>
          <w:sz w:val="16"/>
        </w:rPr>
        <w:t>income</w:t>
      </w:r>
      <w:r>
        <w:rPr>
          <w:spacing w:val="37"/>
          <w:w w:val="105"/>
          <w:sz w:val="16"/>
        </w:rPr>
        <w:t> </w:t>
      </w:r>
      <w:r>
        <w:rPr>
          <w:w w:val="105"/>
          <w:sz w:val="16"/>
        </w:rPr>
        <w:t>taxes</w:t>
        <w:tab/>
        <w:tab/>
      </w:r>
      <w:r>
        <w:rPr>
          <w:rFonts w:ascii="Franklin Gothic Medium"/>
          <w:w w:val="105"/>
          <w:sz w:val="16"/>
        </w:rPr>
        <w:t>112,847</w:t>
        <w:tab/>
        <w:tab/>
        <w:tab/>
      </w:r>
      <w:r>
        <w:rPr>
          <w:sz w:val="16"/>
        </w:rPr>
        <w:t>- </w:t>
      </w:r>
      <w:r>
        <w:rPr>
          <w:w w:val="105"/>
          <w:sz w:val="16"/>
        </w:rPr>
        <w:t>Prepaid  expenses  and  other  </w:t>
      </w:r>
      <w:r>
        <w:rPr>
          <w:spacing w:val="27"/>
          <w:w w:val="105"/>
          <w:sz w:val="16"/>
        </w:rPr>
        <w:t> </w:t>
      </w:r>
      <w:r>
        <w:rPr>
          <w:w w:val="105"/>
          <w:sz w:val="16"/>
        </w:rPr>
        <w:t>current </w:t>
      </w:r>
      <w:r>
        <w:rPr>
          <w:spacing w:val="16"/>
          <w:w w:val="105"/>
          <w:sz w:val="16"/>
        </w:rPr>
        <w:t> </w:t>
      </w:r>
      <w:r>
        <w:rPr>
          <w:w w:val="105"/>
          <w:sz w:val="16"/>
        </w:rPr>
        <w:t>assets</w:t>
        <w:tab/>
      </w:r>
      <w:r>
        <w:rPr>
          <w:rFonts w:ascii="Franklin Gothic Medium"/>
          <w:w w:val="105"/>
          <w:sz w:val="16"/>
          <w:u w:val="single"/>
        </w:rPr>
        <w:t> </w:t>
        <w:tab/>
        <w:tab/>
        <w:t>43,352</w:t>
      </w:r>
      <w:r>
        <w:rPr>
          <w:rFonts w:ascii="Franklin Gothic Medium"/>
          <w:w w:val="105"/>
          <w:sz w:val="16"/>
        </w:rPr>
        <w:tab/>
      </w:r>
      <w:r>
        <w:rPr>
          <w:w w:val="105"/>
          <w:sz w:val="16"/>
          <w:u w:val="single"/>
        </w:rPr>
        <w:t> </w:t>
        <w:tab/>
        <w:t>52,114</w:t>
      </w:r>
      <w:r>
        <w:rPr>
          <w:spacing w:val="-17"/>
          <w:sz w:val="16"/>
          <w:u w:val="single"/>
        </w:rPr>
        <w:t> </w:t>
      </w:r>
    </w:p>
    <w:p>
      <w:pPr>
        <w:tabs>
          <w:tab w:pos="5919" w:val="left" w:leader="none"/>
          <w:tab w:pos="8559" w:val="left" w:leader="none"/>
        </w:tabs>
        <w:spacing w:line="417" w:lineRule="auto" w:before="0"/>
        <w:ind w:left="140" w:right="659" w:firstLine="360"/>
        <w:jc w:val="left"/>
        <w:rPr>
          <w:sz w:val="16"/>
        </w:rPr>
      </w:pPr>
      <w:r>
        <w:rPr/>
        <w:pict>
          <v:shape style="position:absolute;margin-left:38.374454pt;margin-top:29.30518pt;width:470.5pt;height:389.35pt;mso-position-horizontal-relative:page;mso-position-vertical-relative:paragraph;z-index:6448"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994"/>
                    <w:gridCol w:w="2341"/>
                    <w:gridCol w:w="2075"/>
                  </w:tblGrid>
                  <w:tr>
                    <w:trPr>
                      <w:trHeight w:val="203" w:hRule="exact"/>
                    </w:trPr>
                    <w:tc>
                      <w:tcPr>
                        <w:tcW w:w="4994" w:type="dxa"/>
                      </w:tcPr>
                      <w:p>
                        <w:pPr>
                          <w:pStyle w:val="TableParagraph"/>
                          <w:spacing w:line="189" w:lineRule="exact"/>
                          <w:ind w:left="212"/>
                          <w:rPr>
                            <w:sz w:val="16"/>
                          </w:rPr>
                        </w:pPr>
                        <w:r>
                          <w:rPr>
                            <w:w w:val="105"/>
                            <w:sz w:val="16"/>
                          </w:rPr>
                          <w:t>Flight equipment</w:t>
                        </w:r>
                      </w:p>
                    </w:tc>
                    <w:tc>
                      <w:tcPr>
                        <w:tcW w:w="2341" w:type="dxa"/>
                      </w:tcPr>
                      <w:p>
                        <w:pPr>
                          <w:pStyle w:val="TableParagraph"/>
                          <w:spacing w:line="181" w:lineRule="exact"/>
                          <w:ind w:right="757"/>
                          <w:jc w:val="right"/>
                          <w:rPr>
                            <w:rFonts w:ascii="Franklin Gothic Medium"/>
                            <w:sz w:val="16"/>
                          </w:rPr>
                        </w:pPr>
                        <w:r>
                          <w:rPr>
                            <w:rFonts w:ascii="Franklin Gothic Medium"/>
                            <w:sz w:val="16"/>
                          </w:rPr>
                          <w:t>8,024,719</w:t>
                        </w:r>
                      </w:p>
                    </w:tc>
                    <w:tc>
                      <w:tcPr>
                        <w:tcW w:w="2075" w:type="dxa"/>
                      </w:tcPr>
                      <w:p>
                        <w:pPr>
                          <w:pStyle w:val="TableParagraph"/>
                          <w:spacing w:line="189" w:lineRule="exact"/>
                          <w:ind w:left="1117"/>
                          <w:rPr>
                            <w:sz w:val="16"/>
                          </w:rPr>
                        </w:pPr>
                        <w:r>
                          <w:rPr>
                            <w:w w:val="120"/>
                            <w:sz w:val="16"/>
                          </w:rPr>
                          <w:t>7,534,119</w:t>
                        </w:r>
                      </w:p>
                    </w:tc>
                  </w:tr>
                  <w:tr>
                    <w:trPr>
                      <w:trHeight w:val="240" w:hRule="exact"/>
                    </w:trPr>
                    <w:tc>
                      <w:tcPr>
                        <w:tcW w:w="4994" w:type="dxa"/>
                      </w:tcPr>
                      <w:p>
                        <w:pPr>
                          <w:pStyle w:val="TableParagraph"/>
                          <w:spacing w:before="10"/>
                          <w:ind w:left="212"/>
                          <w:rPr>
                            <w:sz w:val="16"/>
                          </w:rPr>
                        </w:pPr>
                        <w:r>
                          <w:rPr>
                            <w:w w:val="105"/>
                            <w:sz w:val="16"/>
                          </w:rPr>
                          <w:t>Ground  property  and equipment</w:t>
                        </w:r>
                      </w:p>
                    </w:tc>
                    <w:tc>
                      <w:tcPr>
                        <w:tcW w:w="2341" w:type="dxa"/>
                      </w:tcPr>
                      <w:p>
                        <w:pPr>
                          <w:pStyle w:val="TableParagraph"/>
                          <w:spacing w:before="16"/>
                          <w:ind w:right="757"/>
                          <w:jc w:val="right"/>
                          <w:rPr>
                            <w:rFonts w:ascii="Franklin Gothic Medium"/>
                            <w:sz w:val="16"/>
                          </w:rPr>
                        </w:pPr>
                        <w:r>
                          <w:rPr>
                            <w:rFonts w:ascii="Franklin Gothic Medium"/>
                            <w:sz w:val="16"/>
                          </w:rPr>
                          <w:t>1,041,844</w:t>
                        </w:r>
                      </w:p>
                    </w:tc>
                    <w:tc>
                      <w:tcPr>
                        <w:tcW w:w="2075" w:type="dxa"/>
                      </w:tcPr>
                      <w:p>
                        <w:pPr>
                          <w:pStyle w:val="TableParagraph"/>
                          <w:spacing w:before="10"/>
                          <w:ind w:left="1257"/>
                          <w:rPr>
                            <w:sz w:val="16"/>
                          </w:rPr>
                        </w:pPr>
                        <w:r>
                          <w:rPr>
                            <w:w w:val="120"/>
                            <w:sz w:val="16"/>
                          </w:rPr>
                          <w:t>899,421</w:t>
                        </w:r>
                      </w:p>
                    </w:tc>
                  </w:tr>
                  <w:tr>
                    <w:trPr>
                      <w:trHeight w:val="250" w:hRule="exact"/>
                    </w:trPr>
                    <w:tc>
                      <w:tcPr>
                        <w:tcW w:w="4994" w:type="dxa"/>
                      </w:tcPr>
                      <w:p>
                        <w:pPr>
                          <w:pStyle w:val="TableParagraph"/>
                          <w:spacing w:before="30"/>
                          <w:ind w:left="212"/>
                          <w:rPr>
                            <w:sz w:val="16"/>
                          </w:rPr>
                        </w:pPr>
                        <w:r>
                          <w:rPr>
                            <w:w w:val="105"/>
                            <w:sz w:val="16"/>
                          </w:rPr>
                          <w:t>Deposits   on   flight   equipment   purchase contracts</w:t>
                        </w:r>
                      </w:p>
                    </w:tc>
                    <w:tc>
                      <w:tcPr>
                        <w:tcW w:w="2341" w:type="dxa"/>
                      </w:tcPr>
                      <w:p>
                        <w:pPr>
                          <w:pStyle w:val="TableParagraph"/>
                          <w:tabs>
                            <w:tab w:pos="859" w:val="left" w:leader="none"/>
                          </w:tabs>
                          <w:spacing w:before="36"/>
                          <w:ind w:right="675"/>
                          <w:jc w:val="right"/>
                          <w:rPr>
                            <w:rFonts w:ascii="Franklin Gothic Medium"/>
                            <w:sz w:val="16"/>
                          </w:rPr>
                        </w:pPr>
                        <w:r>
                          <w:rPr>
                            <w:rFonts w:ascii="Franklin Gothic Medium"/>
                            <w:w w:val="116"/>
                            <w:sz w:val="16"/>
                            <w:u w:val="single"/>
                          </w:rPr>
                          <w:t> </w:t>
                        </w:r>
                        <w:r>
                          <w:rPr>
                            <w:rFonts w:ascii="Franklin Gothic Medium"/>
                            <w:sz w:val="16"/>
                            <w:u w:val="single"/>
                          </w:rPr>
                          <w:tab/>
                          <w:t>389,094</w:t>
                        </w:r>
                        <w:r>
                          <w:rPr>
                            <w:rFonts w:ascii="Franklin Gothic Medium"/>
                            <w:spacing w:val="4"/>
                            <w:sz w:val="16"/>
                            <w:u w:val="single"/>
                          </w:rPr>
                          <w:t> </w:t>
                        </w:r>
                      </w:p>
                    </w:tc>
                    <w:tc>
                      <w:tcPr>
                        <w:tcW w:w="2075" w:type="dxa"/>
                      </w:tcPr>
                      <w:p>
                        <w:pPr>
                          <w:pStyle w:val="TableParagraph"/>
                          <w:tabs>
                            <w:tab w:pos="579" w:val="left" w:leader="none"/>
                          </w:tabs>
                          <w:spacing w:before="30"/>
                          <w:ind w:right="30"/>
                          <w:jc w:val="right"/>
                          <w:rPr>
                            <w:sz w:val="16"/>
                          </w:rPr>
                        </w:pPr>
                        <w:r>
                          <w:rPr>
                            <w:w w:val="132"/>
                            <w:sz w:val="16"/>
                            <w:u w:val="single"/>
                          </w:rPr>
                          <w:t> </w:t>
                        </w:r>
                        <w:r>
                          <w:rPr>
                            <w:sz w:val="16"/>
                            <w:u w:val="single"/>
                          </w:rPr>
                          <w:tab/>
                        </w:r>
                        <w:r>
                          <w:rPr>
                            <w:spacing w:val="-1"/>
                            <w:w w:val="115"/>
                            <w:sz w:val="16"/>
                            <w:u w:val="single"/>
                          </w:rPr>
                          <w:t>468,154</w:t>
                        </w:r>
                        <w:r>
                          <w:rPr>
                            <w:spacing w:val="-17"/>
                            <w:sz w:val="16"/>
                            <w:u w:val="single"/>
                          </w:rPr>
                          <w:t> </w:t>
                        </w:r>
                      </w:p>
                    </w:tc>
                  </w:tr>
                  <w:tr>
                    <w:trPr>
                      <w:trHeight w:val="240" w:hRule="exact"/>
                    </w:trPr>
                    <w:tc>
                      <w:tcPr>
                        <w:tcW w:w="4994" w:type="dxa"/>
                      </w:tcPr>
                      <w:p>
                        <w:pPr/>
                      </w:p>
                    </w:tc>
                    <w:tc>
                      <w:tcPr>
                        <w:tcW w:w="2341" w:type="dxa"/>
                      </w:tcPr>
                      <w:p>
                        <w:pPr>
                          <w:pStyle w:val="TableParagraph"/>
                          <w:spacing w:before="26"/>
                          <w:ind w:right="757"/>
                          <w:jc w:val="right"/>
                          <w:rPr>
                            <w:rFonts w:ascii="Franklin Gothic Medium"/>
                            <w:sz w:val="16"/>
                          </w:rPr>
                        </w:pPr>
                        <w:r>
                          <w:rPr>
                            <w:rFonts w:ascii="Franklin Gothic Medium"/>
                            <w:sz w:val="16"/>
                          </w:rPr>
                          <w:t>9,455,657</w:t>
                        </w:r>
                      </w:p>
                    </w:tc>
                    <w:tc>
                      <w:tcPr>
                        <w:tcW w:w="2075" w:type="dxa"/>
                      </w:tcPr>
                      <w:p>
                        <w:pPr>
                          <w:pStyle w:val="TableParagraph"/>
                          <w:spacing w:before="20"/>
                          <w:ind w:left="1117"/>
                          <w:rPr>
                            <w:sz w:val="16"/>
                          </w:rPr>
                        </w:pPr>
                        <w:r>
                          <w:rPr>
                            <w:w w:val="120"/>
                            <w:sz w:val="16"/>
                          </w:rPr>
                          <w:t>8,901,694</w:t>
                        </w:r>
                      </w:p>
                    </w:tc>
                  </w:tr>
                  <w:tr>
                    <w:trPr>
                      <w:trHeight w:val="240" w:hRule="exact"/>
                    </w:trPr>
                    <w:tc>
                      <w:tcPr>
                        <w:tcW w:w="4994" w:type="dxa"/>
                      </w:tcPr>
                      <w:p>
                        <w:pPr>
                          <w:pStyle w:val="TableParagraph"/>
                          <w:spacing w:before="20"/>
                          <w:ind w:left="212"/>
                          <w:rPr>
                            <w:sz w:val="16"/>
                          </w:rPr>
                        </w:pPr>
                        <w:r>
                          <w:rPr>
                            <w:w w:val="110"/>
                            <w:sz w:val="16"/>
                          </w:rPr>
                          <w:t>Less  allowance  for depreciation</w:t>
                        </w:r>
                      </w:p>
                    </w:tc>
                    <w:tc>
                      <w:tcPr>
                        <w:tcW w:w="2341" w:type="dxa"/>
                      </w:tcPr>
                      <w:p>
                        <w:pPr>
                          <w:pStyle w:val="TableParagraph"/>
                          <w:tabs>
                            <w:tab w:pos="719" w:val="left" w:leader="none"/>
                          </w:tabs>
                          <w:spacing w:before="26"/>
                          <w:ind w:right="675"/>
                          <w:jc w:val="right"/>
                          <w:rPr>
                            <w:rFonts w:ascii="Franklin Gothic Medium"/>
                            <w:sz w:val="16"/>
                          </w:rPr>
                        </w:pPr>
                        <w:r>
                          <w:rPr>
                            <w:rFonts w:ascii="Franklin Gothic Medium"/>
                            <w:w w:val="116"/>
                            <w:sz w:val="16"/>
                            <w:u w:val="single"/>
                          </w:rPr>
                          <w:t> </w:t>
                        </w:r>
                        <w:r>
                          <w:rPr>
                            <w:rFonts w:ascii="Franklin Gothic Medium"/>
                            <w:sz w:val="16"/>
                            <w:u w:val="single"/>
                          </w:rPr>
                          <w:tab/>
                          <w:t>2,810,193</w:t>
                        </w:r>
                        <w:r>
                          <w:rPr>
                            <w:rFonts w:ascii="Franklin Gothic Medium"/>
                            <w:spacing w:val="4"/>
                            <w:sz w:val="16"/>
                            <w:u w:val="single"/>
                          </w:rPr>
                          <w:t> </w:t>
                        </w:r>
                      </w:p>
                    </w:tc>
                    <w:tc>
                      <w:tcPr>
                        <w:tcW w:w="2075" w:type="dxa"/>
                      </w:tcPr>
                      <w:p>
                        <w:pPr>
                          <w:pStyle w:val="TableParagraph"/>
                          <w:tabs>
                            <w:tab w:pos="439" w:val="left" w:leader="none"/>
                          </w:tabs>
                          <w:spacing w:before="20"/>
                          <w:ind w:right="30"/>
                          <w:jc w:val="right"/>
                          <w:rPr>
                            <w:sz w:val="16"/>
                          </w:rPr>
                        </w:pPr>
                        <w:r>
                          <w:rPr>
                            <w:w w:val="132"/>
                            <w:sz w:val="16"/>
                            <w:u w:val="single"/>
                          </w:rPr>
                          <w:t> </w:t>
                        </w:r>
                        <w:r>
                          <w:rPr>
                            <w:sz w:val="16"/>
                            <w:u w:val="single"/>
                          </w:rPr>
                          <w:tab/>
                        </w:r>
                        <w:r>
                          <w:rPr>
                            <w:spacing w:val="-1"/>
                            <w:w w:val="115"/>
                            <w:sz w:val="16"/>
                            <w:u w:val="single"/>
                          </w:rPr>
                          <w:t>2,456,207</w:t>
                        </w:r>
                        <w:r>
                          <w:rPr>
                            <w:spacing w:val="-17"/>
                            <w:sz w:val="16"/>
                            <w:u w:val="single"/>
                          </w:rPr>
                          <w:t> </w:t>
                        </w:r>
                      </w:p>
                    </w:tc>
                  </w:tr>
                  <w:tr>
                    <w:trPr>
                      <w:trHeight w:val="250" w:hRule="exact"/>
                    </w:trPr>
                    <w:tc>
                      <w:tcPr>
                        <w:tcW w:w="4994" w:type="dxa"/>
                      </w:tcPr>
                      <w:p>
                        <w:pPr/>
                      </w:p>
                    </w:tc>
                    <w:tc>
                      <w:tcPr>
                        <w:tcW w:w="2341" w:type="dxa"/>
                      </w:tcPr>
                      <w:p>
                        <w:pPr>
                          <w:pStyle w:val="TableParagraph"/>
                          <w:spacing w:before="26"/>
                          <w:ind w:right="757"/>
                          <w:jc w:val="right"/>
                          <w:rPr>
                            <w:rFonts w:ascii="Franklin Gothic Medium"/>
                            <w:sz w:val="16"/>
                          </w:rPr>
                        </w:pPr>
                        <w:r>
                          <w:rPr>
                            <w:rFonts w:ascii="Franklin Gothic Medium"/>
                            <w:sz w:val="16"/>
                          </w:rPr>
                          <w:t>6,645,464</w:t>
                        </w:r>
                      </w:p>
                    </w:tc>
                    <w:tc>
                      <w:tcPr>
                        <w:tcW w:w="2075" w:type="dxa"/>
                      </w:tcPr>
                      <w:p>
                        <w:pPr>
                          <w:pStyle w:val="TableParagraph"/>
                          <w:spacing w:before="20"/>
                          <w:ind w:left="1117"/>
                          <w:rPr>
                            <w:sz w:val="16"/>
                          </w:rPr>
                        </w:pPr>
                        <w:r>
                          <w:rPr>
                            <w:w w:val="120"/>
                            <w:sz w:val="16"/>
                          </w:rPr>
                          <w:t>6,445,487</w:t>
                        </w:r>
                      </w:p>
                    </w:tc>
                  </w:tr>
                  <w:tr>
                    <w:trPr>
                      <w:trHeight w:val="240" w:hRule="exact"/>
                    </w:trPr>
                    <w:tc>
                      <w:tcPr>
                        <w:tcW w:w="4994" w:type="dxa"/>
                      </w:tcPr>
                      <w:p>
                        <w:pPr>
                          <w:pStyle w:val="TableParagraph"/>
                          <w:spacing w:before="30"/>
                          <w:ind w:left="32"/>
                          <w:rPr>
                            <w:sz w:val="16"/>
                          </w:rPr>
                        </w:pPr>
                        <w:r>
                          <w:rPr>
                            <w:w w:val="110"/>
                            <w:sz w:val="16"/>
                          </w:rPr>
                          <w:t>Other assets</w:t>
                        </w:r>
                      </w:p>
                    </w:tc>
                    <w:tc>
                      <w:tcPr>
                        <w:tcW w:w="2341" w:type="dxa"/>
                      </w:tcPr>
                      <w:p>
                        <w:pPr>
                          <w:pStyle w:val="TableParagraph"/>
                          <w:tabs>
                            <w:tab w:pos="959" w:val="left" w:leader="none"/>
                          </w:tabs>
                          <w:spacing w:before="36"/>
                          <w:ind w:right="675"/>
                          <w:jc w:val="right"/>
                          <w:rPr>
                            <w:rFonts w:ascii="Franklin Gothic Medium"/>
                            <w:sz w:val="16"/>
                          </w:rPr>
                        </w:pPr>
                        <w:r>
                          <w:rPr>
                            <w:rFonts w:ascii="Franklin Gothic Medium"/>
                            <w:w w:val="116"/>
                            <w:sz w:val="16"/>
                            <w:u w:val="single"/>
                          </w:rPr>
                          <w:t> </w:t>
                        </w:r>
                        <w:r>
                          <w:rPr>
                            <w:rFonts w:ascii="Franklin Gothic Medium"/>
                            <w:sz w:val="16"/>
                            <w:u w:val="single"/>
                          </w:rPr>
                          <w:tab/>
                          <w:t>76,326</w:t>
                        </w:r>
                        <w:r>
                          <w:rPr>
                            <w:rFonts w:ascii="Franklin Gothic Medium"/>
                            <w:spacing w:val="4"/>
                            <w:sz w:val="16"/>
                            <w:u w:val="single"/>
                          </w:rPr>
                          <w:t> </w:t>
                        </w:r>
                      </w:p>
                    </w:tc>
                    <w:tc>
                      <w:tcPr>
                        <w:tcW w:w="2075" w:type="dxa"/>
                      </w:tcPr>
                      <w:p>
                        <w:pPr>
                          <w:pStyle w:val="TableParagraph"/>
                          <w:tabs>
                            <w:tab w:pos="679" w:val="left" w:leader="none"/>
                          </w:tabs>
                          <w:spacing w:before="30"/>
                          <w:ind w:right="30"/>
                          <w:jc w:val="right"/>
                          <w:rPr>
                            <w:sz w:val="16"/>
                          </w:rPr>
                        </w:pPr>
                        <w:r>
                          <w:rPr>
                            <w:w w:val="132"/>
                            <w:sz w:val="16"/>
                            <w:u w:val="single"/>
                          </w:rPr>
                          <w:t> </w:t>
                        </w:r>
                        <w:r>
                          <w:rPr>
                            <w:sz w:val="16"/>
                            <w:u w:val="single"/>
                          </w:rPr>
                          <w:tab/>
                        </w:r>
                        <w:r>
                          <w:rPr>
                            <w:spacing w:val="-2"/>
                            <w:w w:val="115"/>
                            <w:sz w:val="16"/>
                            <w:u w:val="single"/>
                          </w:rPr>
                          <w:t>31,435</w:t>
                        </w:r>
                        <w:r>
                          <w:rPr>
                            <w:spacing w:val="-17"/>
                            <w:sz w:val="16"/>
                            <w:u w:val="single"/>
                          </w:rPr>
                          <w:t> </w:t>
                        </w:r>
                      </w:p>
                    </w:tc>
                  </w:tr>
                  <w:tr>
                    <w:trPr>
                      <w:trHeight w:val="292" w:hRule="exact"/>
                    </w:trPr>
                    <w:tc>
                      <w:tcPr>
                        <w:tcW w:w="4994" w:type="dxa"/>
                      </w:tcPr>
                      <w:p>
                        <w:pPr/>
                      </w:p>
                    </w:tc>
                    <w:tc>
                      <w:tcPr>
                        <w:tcW w:w="2341" w:type="dxa"/>
                      </w:tcPr>
                      <w:p>
                        <w:pPr>
                          <w:pStyle w:val="TableParagraph"/>
                          <w:tabs>
                            <w:tab w:pos="559" w:val="left" w:leader="none"/>
                          </w:tabs>
                          <w:spacing w:before="16"/>
                          <w:ind w:right="680"/>
                          <w:jc w:val="right"/>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30"/>
                            <w:sz w:val="16"/>
                            <w:u w:val="single"/>
                          </w:rPr>
                          <w:t> </w:t>
                        </w:r>
                        <w:r>
                          <w:rPr>
                            <w:rFonts w:ascii="Franklin Gothic Medium"/>
                            <w:sz w:val="16"/>
                            <w:u w:val="single"/>
                          </w:rPr>
                          <w:t>8,953,750</w:t>
                        </w:r>
                        <w:r>
                          <w:rPr>
                            <w:rFonts w:ascii="Franklin Gothic Medium"/>
                            <w:spacing w:val="19"/>
                            <w:sz w:val="16"/>
                            <w:u w:val="single"/>
                          </w:rPr>
                          <w:t> </w:t>
                        </w:r>
                      </w:p>
                    </w:tc>
                    <w:tc>
                      <w:tcPr>
                        <w:tcW w:w="2075" w:type="dxa"/>
                      </w:tcPr>
                      <w:p>
                        <w:pPr>
                          <w:pStyle w:val="TableParagraph"/>
                          <w:tabs>
                            <w:tab w:pos="279" w:val="left" w:leader="none"/>
                          </w:tabs>
                          <w:spacing w:before="10"/>
                          <w:ind w:right="35"/>
                          <w:jc w:val="right"/>
                          <w:rPr>
                            <w:sz w:val="16"/>
                          </w:rPr>
                        </w:pPr>
                        <w:r>
                          <w:rPr>
                            <w:w w:val="132"/>
                            <w:sz w:val="16"/>
                            <w:u w:val="single"/>
                          </w:rPr>
                          <w:t> </w:t>
                        </w:r>
                        <w:r>
                          <w:rPr>
                            <w:sz w:val="16"/>
                            <w:u w:val="single"/>
                          </w:rPr>
                          <w:tab/>
                        </w:r>
                        <w:r>
                          <w:rPr>
                            <w:w w:val="120"/>
                            <w:sz w:val="16"/>
                            <w:u w:val="single"/>
                          </w:rPr>
                          <w:t>$</w:t>
                        </w:r>
                        <w:r>
                          <w:rPr>
                            <w:spacing w:val="-25"/>
                            <w:w w:val="120"/>
                            <w:sz w:val="16"/>
                            <w:u w:val="single"/>
                          </w:rPr>
                          <w:t> </w:t>
                        </w:r>
                        <w:r>
                          <w:rPr>
                            <w:w w:val="120"/>
                            <w:sz w:val="16"/>
                            <w:u w:val="single"/>
                          </w:rPr>
                          <w:t>8,997,141</w:t>
                        </w:r>
                        <w:r>
                          <w:rPr>
                            <w:spacing w:val="-1"/>
                            <w:sz w:val="16"/>
                            <w:u w:val="single"/>
                          </w:rPr>
                          <w:t> </w:t>
                        </w:r>
                      </w:p>
                    </w:tc>
                  </w:tr>
                  <w:tr>
                    <w:trPr>
                      <w:trHeight w:val="288" w:hRule="exact"/>
                    </w:trPr>
                    <w:tc>
                      <w:tcPr>
                        <w:tcW w:w="4994" w:type="dxa"/>
                      </w:tcPr>
                      <w:p>
                        <w:pPr>
                          <w:pStyle w:val="TableParagraph"/>
                          <w:spacing w:before="84"/>
                          <w:ind w:left="32"/>
                          <w:rPr>
                            <w:rFonts w:ascii="Franklin Gothic Medium" w:hAnsi="Franklin Gothic Medium"/>
                            <w:sz w:val="16"/>
                          </w:rPr>
                        </w:pPr>
                        <w:r>
                          <w:rPr>
                            <w:rFonts w:ascii="Franklin Gothic Medium" w:hAnsi="Franklin Gothic Medium"/>
                            <w:sz w:val="16"/>
                          </w:rPr>
                          <w:t>LIABILITIES  AND   STOCKHOLDERS’  EQUITY</w:t>
                        </w:r>
                      </w:p>
                    </w:tc>
                    <w:tc>
                      <w:tcPr>
                        <w:tcW w:w="2341" w:type="dxa"/>
                      </w:tcPr>
                      <w:p>
                        <w:pPr/>
                      </w:p>
                    </w:tc>
                    <w:tc>
                      <w:tcPr>
                        <w:tcW w:w="2075" w:type="dxa"/>
                      </w:tcPr>
                      <w:p>
                        <w:pPr/>
                      </w:p>
                    </w:tc>
                  </w:tr>
                  <w:tr>
                    <w:trPr>
                      <w:trHeight w:val="230" w:hRule="exact"/>
                    </w:trPr>
                    <w:tc>
                      <w:tcPr>
                        <w:tcW w:w="4994" w:type="dxa"/>
                      </w:tcPr>
                      <w:p>
                        <w:pPr>
                          <w:pStyle w:val="TableParagraph"/>
                          <w:spacing w:before="10"/>
                          <w:ind w:left="32"/>
                          <w:rPr>
                            <w:sz w:val="16"/>
                          </w:rPr>
                        </w:pPr>
                        <w:r>
                          <w:rPr>
                            <w:w w:val="105"/>
                            <w:sz w:val="16"/>
                          </w:rPr>
                          <w:t>Current  liabilities:</w:t>
                        </w:r>
                      </w:p>
                    </w:tc>
                    <w:tc>
                      <w:tcPr>
                        <w:tcW w:w="2341" w:type="dxa"/>
                      </w:tcPr>
                      <w:p>
                        <w:pPr/>
                      </w:p>
                    </w:tc>
                    <w:tc>
                      <w:tcPr>
                        <w:tcW w:w="2075" w:type="dxa"/>
                      </w:tcPr>
                      <w:p>
                        <w:pPr/>
                      </w:p>
                    </w:tc>
                  </w:tr>
                  <w:tr>
                    <w:trPr>
                      <w:trHeight w:val="240" w:hRule="exact"/>
                    </w:trPr>
                    <w:tc>
                      <w:tcPr>
                        <w:tcW w:w="4994" w:type="dxa"/>
                      </w:tcPr>
                      <w:p>
                        <w:pPr>
                          <w:pStyle w:val="TableParagraph"/>
                          <w:spacing w:before="20"/>
                          <w:ind w:left="212"/>
                          <w:rPr>
                            <w:sz w:val="16"/>
                          </w:rPr>
                        </w:pPr>
                        <w:r>
                          <w:rPr>
                            <w:w w:val="105"/>
                            <w:sz w:val="16"/>
                          </w:rPr>
                          <w:t>Accounts  payable</w:t>
                        </w:r>
                      </w:p>
                    </w:tc>
                    <w:tc>
                      <w:tcPr>
                        <w:tcW w:w="2341" w:type="dxa"/>
                      </w:tcPr>
                      <w:p>
                        <w:pPr>
                          <w:pStyle w:val="TableParagraph"/>
                          <w:spacing w:before="26"/>
                          <w:ind w:right="759"/>
                          <w:jc w:val="right"/>
                          <w:rPr>
                            <w:rFonts w:ascii="Franklin Gothic Medium"/>
                            <w:sz w:val="16"/>
                          </w:rPr>
                        </w:pPr>
                        <w:r>
                          <w:rPr>
                            <w:rFonts w:ascii="Franklin Gothic Medium"/>
                            <w:sz w:val="16"/>
                          </w:rPr>
                          <w:t>$ 362,027</w:t>
                        </w:r>
                      </w:p>
                    </w:tc>
                    <w:tc>
                      <w:tcPr>
                        <w:tcW w:w="2075" w:type="dxa"/>
                      </w:tcPr>
                      <w:p>
                        <w:pPr>
                          <w:pStyle w:val="TableParagraph"/>
                          <w:spacing w:before="20"/>
                          <w:ind w:left="1117"/>
                          <w:rPr>
                            <w:sz w:val="16"/>
                          </w:rPr>
                        </w:pPr>
                        <w:r>
                          <w:rPr>
                            <w:w w:val="120"/>
                            <w:sz w:val="16"/>
                          </w:rPr>
                          <w:t>$ 504,831</w:t>
                        </w:r>
                      </w:p>
                    </w:tc>
                  </w:tr>
                  <w:tr>
                    <w:trPr>
                      <w:trHeight w:val="230" w:hRule="exact"/>
                    </w:trPr>
                    <w:tc>
                      <w:tcPr>
                        <w:tcW w:w="4994" w:type="dxa"/>
                      </w:tcPr>
                      <w:p>
                        <w:pPr>
                          <w:pStyle w:val="TableParagraph"/>
                          <w:spacing w:before="20"/>
                          <w:ind w:left="212"/>
                          <w:rPr>
                            <w:sz w:val="16"/>
                          </w:rPr>
                        </w:pPr>
                        <w:r>
                          <w:rPr>
                            <w:w w:val="105"/>
                            <w:sz w:val="16"/>
                          </w:rPr>
                          <w:t>Accrued  liabilities</w:t>
                        </w:r>
                      </w:p>
                    </w:tc>
                    <w:tc>
                      <w:tcPr>
                        <w:tcW w:w="2341" w:type="dxa"/>
                      </w:tcPr>
                      <w:p>
                        <w:pPr>
                          <w:pStyle w:val="TableParagraph"/>
                          <w:spacing w:before="26"/>
                          <w:ind w:right="757"/>
                          <w:jc w:val="right"/>
                          <w:rPr>
                            <w:rFonts w:ascii="Franklin Gothic Medium"/>
                            <w:sz w:val="16"/>
                          </w:rPr>
                        </w:pPr>
                        <w:r>
                          <w:rPr>
                            <w:rFonts w:ascii="Franklin Gothic Medium"/>
                            <w:sz w:val="16"/>
                          </w:rPr>
                          <w:t>529,109</w:t>
                        </w:r>
                      </w:p>
                    </w:tc>
                    <w:tc>
                      <w:tcPr>
                        <w:tcW w:w="2075" w:type="dxa"/>
                      </w:tcPr>
                      <w:p>
                        <w:pPr>
                          <w:pStyle w:val="TableParagraph"/>
                          <w:spacing w:before="20"/>
                          <w:ind w:left="1257"/>
                          <w:rPr>
                            <w:sz w:val="16"/>
                          </w:rPr>
                        </w:pPr>
                        <w:r>
                          <w:rPr>
                            <w:w w:val="120"/>
                            <w:sz w:val="16"/>
                          </w:rPr>
                          <w:t>547,540</w:t>
                        </w:r>
                      </w:p>
                    </w:tc>
                  </w:tr>
                  <w:tr>
                    <w:trPr>
                      <w:trHeight w:val="220" w:hRule="exact"/>
                    </w:trPr>
                    <w:tc>
                      <w:tcPr>
                        <w:tcW w:w="4994" w:type="dxa"/>
                      </w:tcPr>
                      <w:p>
                        <w:pPr>
                          <w:pStyle w:val="TableParagraph"/>
                          <w:spacing w:before="10"/>
                          <w:ind w:left="212"/>
                          <w:rPr>
                            <w:sz w:val="16"/>
                          </w:rPr>
                        </w:pPr>
                        <w:r>
                          <w:rPr>
                            <w:sz w:val="16"/>
                          </w:rPr>
                          <w:t>Air   traffic  liability</w:t>
                        </w:r>
                      </w:p>
                    </w:tc>
                    <w:tc>
                      <w:tcPr>
                        <w:tcW w:w="2341" w:type="dxa"/>
                      </w:tcPr>
                      <w:p>
                        <w:pPr>
                          <w:pStyle w:val="TableParagraph"/>
                          <w:spacing w:before="16"/>
                          <w:ind w:right="757"/>
                          <w:jc w:val="right"/>
                          <w:rPr>
                            <w:rFonts w:ascii="Franklin Gothic Medium"/>
                            <w:sz w:val="16"/>
                          </w:rPr>
                        </w:pPr>
                        <w:r>
                          <w:rPr>
                            <w:rFonts w:ascii="Franklin Gothic Medium"/>
                            <w:sz w:val="16"/>
                          </w:rPr>
                          <w:t>412,238</w:t>
                        </w:r>
                      </w:p>
                    </w:tc>
                    <w:tc>
                      <w:tcPr>
                        <w:tcW w:w="2075" w:type="dxa"/>
                      </w:tcPr>
                      <w:p>
                        <w:pPr>
                          <w:pStyle w:val="TableParagraph"/>
                          <w:spacing w:before="10"/>
                          <w:ind w:left="1257"/>
                          <w:rPr>
                            <w:sz w:val="16"/>
                          </w:rPr>
                        </w:pPr>
                        <w:r>
                          <w:rPr>
                            <w:w w:val="120"/>
                            <w:sz w:val="16"/>
                          </w:rPr>
                          <w:t>450,407</w:t>
                        </w:r>
                      </w:p>
                    </w:tc>
                  </w:tr>
                  <w:tr>
                    <w:trPr>
                      <w:trHeight w:val="220" w:hRule="exact"/>
                    </w:trPr>
                    <w:tc>
                      <w:tcPr>
                        <w:tcW w:w="4994" w:type="dxa"/>
                      </w:tcPr>
                      <w:p>
                        <w:pPr>
                          <w:pStyle w:val="TableParagraph"/>
                          <w:spacing w:before="10"/>
                          <w:ind w:left="212"/>
                          <w:rPr>
                            <w:sz w:val="16"/>
                          </w:rPr>
                        </w:pPr>
                        <w:r>
                          <w:rPr>
                            <w:w w:val="105"/>
                            <w:sz w:val="16"/>
                          </w:rPr>
                          <w:t>Aircraft   purchase  obligations</w:t>
                        </w:r>
                      </w:p>
                    </w:tc>
                    <w:tc>
                      <w:tcPr>
                        <w:tcW w:w="2341" w:type="dxa"/>
                      </w:tcPr>
                      <w:p>
                        <w:pPr>
                          <w:pStyle w:val="TableParagraph"/>
                          <w:spacing w:before="16"/>
                          <w:ind w:right="140"/>
                          <w:jc w:val="center"/>
                          <w:rPr>
                            <w:rFonts w:ascii="Franklin Gothic Medium"/>
                            <w:sz w:val="16"/>
                          </w:rPr>
                        </w:pPr>
                        <w:r>
                          <w:rPr>
                            <w:rFonts w:ascii="Franklin Gothic Medium"/>
                            <w:w w:val="101"/>
                            <w:sz w:val="16"/>
                          </w:rPr>
                          <w:t>-</w:t>
                        </w:r>
                      </w:p>
                    </w:tc>
                    <w:tc>
                      <w:tcPr>
                        <w:tcW w:w="2075" w:type="dxa"/>
                      </w:tcPr>
                      <w:p>
                        <w:pPr>
                          <w:pStyle w:val="TableParagraph"/>
                          <w:spacing w:before="10"/>
                          <w:ind w:left="1257"/>
                          <w:rPr>
                            <w:sz w:val="16"/>
                          </w:rPr>
                        </w:pPr>
                        <w:r>
                          <w:rPr>
                            <w:w w:val="120"/>
                            <w:sz w:val="16"/>
                          </w:rPr>
                          <w:t>221,840</w:t>
                        </w:r>
                      </w:p>
                    </w:tc>
                  </w:tr>
                  <w:tr>
                    <w:trPr>
                      <w:trHeight w:val="220" w:hRule="exact"/>
                    </w:trPr>
                    <w:tc>
                      <w:tcPr>
                        <w:tcW w:w="4994" w:type="dxa"/>
                      </w:tcPr>
                      <w:p>
                        <w:pPr>
                          <w:pStyle w:val="TableParagraph"/>
                          <w:spacing w:before="10"/>
                          <w:ind w:left="212"/>
                          <w:rPr>
                            <w:sz w:val="16"/>
                          </w:rPr>
                        </w:pPr>
                        <w:r>
                          <w:rPr>
                            <w:sz w:val="16"/>
                          </w:rPr>
                          <w:t>Short-term   borrowings</w:t>
                        </w:r>
                      </w:p>
                    </w:tc>
                    <w:tc>
                      <w:tcPr>
                        <w:tcW w:w="2341" w:type="dxa"/>
                      </w:tcPr>
                      <w:p>
                        <w:pPr>
                          <w:pStyle w:val="TableParagraph"/>
                          <w:spacing w:before="16"/>
                          <w:ind w:right="140"/>
                          <w:jc w:val="center"/>
                          <w:rPr>
                            <w:rFonts w:ascii="Franklin Gothic Medium"/>
                            <w:sz w:val="16"/>
                          </w:rPr>
                        </w:pPr>
                        <w:r>
                          <w:rPr>
                            <w:rFonts w:ascii="Franklin Gothic Medium"/>
                            <w:w w:val="101"/>
                            <w:sz w:val="16"/>
                          </w:rPr>
                          <w:t>-</w:t>
                        </w:r>
                      </w:p>
                    </w:tc>
                    <w:tc>
                      <w:tcPr>
                        <w:tcW w:w="2075" w:type="dxa"/>
                      </w:tcPr>
                      <w:p>
                        <w:pPr>
                          <w:pStyle w:val="TableParagraph"/>
                          <w:spacing w:before="10"/>
                          <w:ind w:left="1257"/>
                          <w:rPr>
                            <w:sz w:val="16"/>
                          </w:rPr>
                        </w:pPr>
                        <w:r>
                          <w:rPr>
                            <w:w w:val="120"/>
                            <w:sz w:val="16"/>
                          </w:rPr>
                          <w:t>475,000</w:t>
                        </w:r>
                      </w:p>
                    </w:tc>
                  </w:tr>
                  <w:tr>
                    <w:trPr>
                      <w:trHeight w:val="230" w:hRule="exact"/>
                    </w:trPr>
                    <w:tc>
                      <w:tcPr>
                        <w:tcW w:w="4994" w:type="dxa"/>
                      </w:tcPr>
                      <w:p>
                        <w:pPr>
                          <w:pStyle w:val="TableParagraph"/>
                          <w:spacing w:before="10"/>
                          <w:ind w:left="212"/>
                          <w:rPr>
                            <w:sz w:val="16"/>
                          </w:rPr>
                        </w:pPr>
                        <w:r>
                          <w:rPr>
                            <w:sz w:val="16"/>
                          </w:rPr>
                          <w:t>Current   maturities   of   long-term  debt</w:t>
                        </w:r>
                      </w:p>
                    </w:tc>
                    <w:tc>
                      <w:tcPr>
                        <w:tcW w:w="2341" w:type="dxa"/>
                      </w:tcPr>
                      <w:p>
                        <w:pPr>
                          <w:pStyle w:val="TableParagraph"/>
                          <w:tabs>
                            <w:tab w:pos="859" w:val="left" w:leader="none"/>
                          </w:tabs>
                          <w:spacing w:before="16"/>
                          <w:ind w:right="675"/>
                          <w:jc w:val="right"/>
                          <w:rPr>
                            <w:rFonts w:ascii="Franklin Gothic Medium"/>
                            <w:sz w:val="16"/>
                          </w:rPr>
                        </w:pPr>
                        <w:r>
                          <w:rPr>
                            <w:rFonts w:ascii="Franklin Gothic Medium"/>
                            <w:w w:val="116"/>
                            <w:sz w:val="16"/>
                            <w:u w:val="single"/>
                          </w:rPr>
                          <w:t> </w:t>
                        </w:r>
                        <w:r>
                          <w:rPr>
                            <w:rFonts w:ascii="Franklin Gothic Medium"/>
                            <w:sz w:val="16"/>
                            <w:u w:val="single"/>
                          </w:rPr>
                          <w:tab/>
                          <w:t>130,454</w:t>
                        </w:r>
                        <w:r>
                          <w:rPr>
                            <w:rFonts w:ascii="Franklin Gothic Medium"/>
                            <w:spacing w:val="4"/>
                            <w:sz w:val="16"/>
                            <w:u w:val="single"/>
                          </w:rPr>
                          <w:t> </w:t>
                        </w:r>
                      </w:p>
                    </w:tc>
                    <w:tc>
                      <w:tcPr>
                        <w:tcW w:w="2075" w:type="dxa"/>
                      </w:tcPr>
                      <w:p>
                        <w:pPr>
                          <w:pStyle w:val="TableParagraph"/>
                          <w:tabs>
                            <w:tab w:pos="679" w:val="left" w:leader="none"/>
                          </w:tabs>
                          <w:spacing w:before="10"/>
                          <w:ind w:right="30"/>
                          <w:jc w:val="right"/>
                          <w:rPr>
                            <w:sz w:val="16"/>
                          </w:rPr>
                        </w:pPr>
                        <w:r>
                          <w:rPr>
                            <w:w w:val="132"/>
                            <w:sz w:val="16"/>
                            <w:u w:val="single"/>
                          </w:rPr>
                          <w:t> </w:t>
                        </w:r>
                        <w:r>
                          <w:rPr>
                            <w:sz w:val="16"/>
                            <w:u w:val="single"/>
                          </w:rPr>
                          <w:tab/>
                        </w:r>
                        <w:r>
                          <w:rPr>
                            <w:spacing w:val="-2"/>
                            <w:w w:val="115"/>
                            <w:sz w:val="16"/>
                            <w:u w:val="single"/>
                          </w:rPr>
                          <w:t>39,567</w:t>
                        </w:r>
                        <w:r>
                          <w:rPr>
                            <w:spacing w:val="-17"/>
                            <w:sz w:val="16"/>
                            <w:u w:val="single"/>
                          </w:rPr>
                          <w:t> </w:t>
                        </w:r>
                      </w:p>
                    </w:tc>
                  </w:tr>
                  <w:tr>
                    <w:trPr>
                      <w:trHeight w:val="310" w:hRule="exact"/>
                    </w:trPr>
                    <w:tc>
                      <w:tcPr>
                        <w:tcW w:w="4994" w:type="dxa"/>
                      </w:tcPr>
                      <w:p>
                        <w:pPr>
                          <w:pStyle w:val="TableParagraph"/>
                          <w:spacing w:before="20"/>
                          <w:ind w:left="392"/>
                          <w:rPr>
                            <w:sz w:val="16"/>
                          </w:rPr>
                        </w:pPr>
                        <w:r>
                          <w:rPr>
                            <w:w w:val="105"/>
                            <w:sz w:val="16"/>
                          </w:rPr>
                          <w:t>Total  current  liabilities</w:t>
                        </w:r>
                      </w:p>
                    </w:tc>
                    <w:tc>
                      <w:tcPr>
                        <w:tcW w:w="2341" w:type="dxa"/>
                      </w:tcPr>
                      <w:p>
                        <w:pPr>
                          <w:pStyle w:val="TableParagraph"/>
                          <w:spacing w:before="26"/>
                          <w:ind w:right="757"/>
                          <w:jc w:val="right"/>
                          <w:rPr>
                            <w:rFonts w:ascii="Franklin Gothic Medium"/>
                            <w:sz w:val="16"/>
                          </w:rPr>
                        </w:pPr>
                        <w:r>
                          <w:rPr>
                            <w:rFonts w:ascii="Franklin Gothic Medium"/>
                            <w:sz w:val="16"/>
                          </w:rPr>
                          <w:t>1,433,828</w:t>
                        </w:r>
                      </w:p>
                    </w:tc>
                    <w:tc>
                      <w:tcPr>
                        <w:tcW w:w="2075" w:type="dxa"/>
                      </w:tcPr>
                      <w:p>
                        <w:pPr>
                          <w:pStyle w:val="TableParagraph"/>
                          <w:spacing w:before="20"/>
                          <w:ind w:left="1117"/>
                          <w:rPr>
                            <w:sz w:val="16"/>
                          </w:rPr>
                        </w:pPr>
                        <w:r>
                          <w:rPr>
                            <w:w w:val="120"/>
                            <w:sz w:val="16"/>
                          </w:rPr>
                          <w:t>2,239,185</w:t>
                        </w:r>
                      </w:p>
                    </w:tc>
                  </w:tr>
                  <w:tr>
                    <w:trPr>
                      <w:trHeight w:val="300" w:hRule="exact"/>
                    </w:trPr>
                    <w:tc>
                      <w:tcPr>
                        <w:tcW w:w="4994" w:type="dxa"/>
                      </w:tcPr>
                      <w:p>
                        <w:pPr>
                          <w:pStyle w:val="TableParagraph"/>
                          <w:spacing w:before="90"/>
                          <w:ind w:left="32"/>
                          <w:rPr>
                            <w:sz w:val="16"/>
                          </w:rPr>
                        </w:pPr>
                        <w:r>
                          <w:rPr>
                            <w:w w:val="105"/>
                            <w:sz w:val="16"/>
                          </w:rPr>
                          <w:t>Long-term  debt  less  current   maturities</w:t>
                        </w:r>
                      </w:p>
                    </w:tc>
                    <w:tc>
                      <w:tcPr>
                        <w:tcW w:w="2341" w:type="dxa"/>
                      </w:tcPr>
                      <w:p>
                        <w:pPr>
                          <w:pStyle w:val="TableParagraph"/>
                          <w:spacing w:before="96"/>
                          <w:ind w:right="757"/>
                          <w:jc w:val="right"/>
                          <w:rPr>
                            <w:rFonts w:ascii="Franklin Gothic Medium"/>
                            <w:sz w:val="16"/>
                          </w:rPr>
                        </w:pPr>
                        <w:r>
                          <w:rPr>
                            <w:rFonts w:ascii="Franklin Gothic Medium"/>
                            <w:sz w:val="16"/>
                          </w:rPr>
                          <w:t>1,552,781</w:t>
                        </w:r>
                      </w:p>
                    </w:tc>
                    <w:tc>
                      <w:tcPr>
                        <w:tcW w:w="2075" w:type="dxa"/>
                      </w:tcPr>
                      <w:p>
                        <w:pPr>
                          <w:pStyle w:val="TableParagraph"/>
                          <w:spacing w:before="90"/>
                          <w:ind w:left="1117"/>
                          <w:rPr>
                            <w:sz w:val="16"/>
                          </w:rPr>
                        </w:pPr>
                        <w:r>
                          <w:rPr>
                            <w:w w:val="120"/>
                            <w:sz w:val="16"/>
                          </w:rPr>
                          <w:t>1,327,158</w:t>
                        </w:r>
                      </w:p>
                    </w:tc>
                  </w:tr>
                  <w:tr>
                    <w:trPr>
                      <w:trHeight w:val="210" w:hRule="exact"/>
                    </w:trPr>
                    <w:tc>
                      <w:tcPr>
                        <w:tcW w:w="4994" w:type="dxa"/>
                      </w:tcPr>
                      <w:p>
                        <w:pPr>
                          <w:pStyle w:val="TableParagraph"/>
                          <w:spacing w:before="10"/>
                          <w:ind w:left="32"/>
                          <w:rPr>
                            <w:sz w:val="16"/>
                          </w:rPr>
                        </w:pPr>
                        <w:r>
                          <w:rPr>
                            <w:w w:val="105"/>
                            <w:sz w:val="16"/>
                          </w:rPr>
                          <w:t>Deferred  income  taxes</w:t>
                        </w:r>
                      </w:p>
                    </w:tc>
                    <w:tc>
                      <w:tcPr>
                        <w:tcW w:w="2341" w:type="dxa"/>
                      </w:tcPr>
                      <w:p>
                        <w:pPr>
                          <w:pStyle w:val="TableParagraph"/>
                          <w:spacing w:before="16"/>
                          <w:ind w:right="757"/>
                          <w:jc w:val="right"/>
                          <w:rPr>
                            <w:rFonts w:ascii="Franklin Gothic Medium"/>
                            <w:sz w:val="16"/>
                          </w:rPr>
                        </w:pPr>
                        <w:r>
                          <w:rPr>
                            <w:rFonts w:ascii="Franklin Gothic Medium"/>
                            <w:sz w:val="16"/>
                          </w:rPr>
                          <w:t>1,227,475</w:t>
                        </w:r>
                      </w:p>
                    </w:tc>
                    <w:tc>
                      <w:tcPr>
                        <w:tcW w:w="2075" w:type="dxa"/>
                      </w:tcPr>
                      <w:p>
                        <w:pPr>
                          <w:pStyle w:val="TableParagraph"/>
                          <w:spacing w:before="10"/>
                          <w:ind w:left="1117"/>
                          <w:rPr>
                            <w:sz w:val="16"/>
                          </w:rPr>
                        </w:pPr>
                        <w:r>
                          <w:rPr>
                            <w:w w:val="120"/>
                            <w:sz w:val="16"/>
                          </w:rPr>
                          <w:t>1,058,143</w:t>
                        </w:r>
                      </w:p>
                    </w:tc>
                  </w:tr>
                  <w:tr>
                    <w:trPr>
                      <w:trHeight w:val="200" w:hRule="exact"/>
                    </w:trPr>
                    <w:tc>
                      <w:tcPr>
                        <w:tcW w:w="4994" w:type="dxa"/>
                      </w:tcPr>
                      <w:p>
                        <w:pPr>
                          <w:pStyle w:val="TableParagraph"/>
                          <w:ind w:left="32"/>
                          <w:rPr>
                            <w:sz w:val="16"/>
                          </w:rPr>
                        </w:pPr>
                        <w:r>
                          <w:rPr>
                            <w:w w:val="110"/>
                            <w:sz w:val="16"/>
                          </w:rPr>
                          <w:t>Deferred gains from sale and leaseback of    aircraft</w:t>
                        </w:r>
                      </w:p>
                    </w:tc>
                    <w:tc>
                      <w:tcPr>
                        <w:tcW w:w="2341" w:type="dxa"/>
                      </w:tcPr>
                      <w:p>
                        <w:pPr>
                          <w:pStyle w:val="TableParagraph"/>
                          <w:spacing w:before="6"/>
                          <w:ind w:right="757"/>
                          <w:jc w:val="right"/>
                          <w:rPr>
                            <w:rFonts w:ascii="Franklin Gothic Medium"/>
                            <w:sz w:val="16"/>
                          </w:rPr>
                        </w:pPr>
                        <w:r>
                          <w:rPr>
                            <w:rFonts w:ascii="Franklin Gothic Medium"/>
                            <w:sz w:val="16"/>
                          </w:rPr>
                          <w:t>183,797</w:t>
                        </w:r>
                      </w:p>
                    </w:tc>
                    <w:tc>
                      <w:tcPr>
                        <w:tcW w:w="2075" w:type="dxa"/>
                      </w:tcPr>
                      <w:p>
                        <w:pPr>
                          <w:pStyle w:val="TableParagraph"/>
                          <w:ind w:left="1257"/>
                          <w:rPr>
                            <w:sz w:val="16"/>
                          </w:rPr>
                        </w:pPr>
                        <w:r>
                          <w:rPr>
                            <w:w w:val="120"/>
                            <w:sz w:val="16"/>
                          </w:rPr>
                          <w:t>192,342</w:t>
                        </w:r>
                      </w:p>
                    </w:tc>
                  </w:tr>
                  <w:tr>
                    <w:trPr>
                      <w:trHeight w:val="260" w:hRule="exact"/>
                    </w:trPr>
                    <w:tc>
                      <w:tcPr>
                        <w:tcW w:w="4994" w:type="dxa"/>
                      </w:tcPr>
                      <w:p>
                        <w:pPr>
                          <w:pStyle w:val="TableParagraph"/>
                          <w:ind w:left="32"/>
                          <w:rPr>
                            <w:sz w:val="16"/>
                          </w:rPr>
                        </w:pPr>
                        <w:r>
                          <w:rPr>
                            <w:w w:val="105"/>
                            <w:sz w:val="16"/>
                          </w:rPr>
                          <w:t>Other  deferred  liabilities</w:t>
                        </w:r>
                      </w:p>
                    </w:tc>
                    <w:tc>
                      <w:tcPr>
                        <w:tcW w:w="2341" w:type="dxa"/>
                      </w:tcPr>
                      <w:p>
                        <w:pPr>
                          <w:pStyle w:val="TableParagraph"/>
                          <w:spacing w:before="6"/>
                          <w:ind w:right="757"/>
                          <w:jc w:val="right"/>
                          <w:rPr>
                            <w:rFonts w:ascii="Franklin Gothic Medium"/>
                            <w:sz w:val="16"/>
                          </w:rPr>
                        </w:pPr>
                        <w:r>
                          <w:rPr>
                            <w:rFonts w:ascii="Franklin Gothic Medium"/>
                            <w:sz w:val="16"/>
                          </w:rPr>
                          <w:t>134,252</w:t>
                        </w:r>
                      </w:p>
                    </w:tc>
                    <w:tc>
                      <w:tcPr>
                        <w:tcW w:w="2075" w:type="dxa"/>
                      </w:tcPr>
                      <w:p>
                        <w:pPr>
                          <w:pStyle w:val="TableParagraph"/>
                          <w:ind w:left="1257"/>
                          <w:rPr>
                            <w:sz w:val="16"/>
                          </w:rPr>
                        </w:pPr>
                        <w:r>
                          <w:rPr>
                            <w:w w:val="120"/>
                            <w:sz w:val="16"/>
                          </w:rPr>
                          <w:t>166,260</w:t>
                        </w:r>
                      </w:p>
                    </w:tc>
                  </w:tr>
                  <w:tr>
                    <w:trPr>
                      <w:trHeight w:val="340" w:hRule="exact"/>
                    </w:trPr>
                    <w:tc>
                      <w:tcPr>
                        <w:tcW w:w="4994" w:type="dxa"/>
                      </w:tcPr>
                      <w:p>
                        <w:pPr>
                          <w:pStyle w:val="TableParagraph"/>
                          <w:spacing w:before="60"/>
                          <w:ind w:left="32"/>
                          <w:rPr>
                            <w:sz w:val="16"/>
                          </w:rPr>
                        </w:pPr>
                        <w:r>
                          <w:rPr>
                            <w:w w:val="105"/>
                            <w:sz w:val="16"/>
                          </w:rPr>
                          <w:t>Commitments   and   contingencies</w:t>
                        </w:r>
                      </w:p>
                    </w:tc>
                    <w:tc>
                      <w:tcPr>
                        <w:tcW w:w="2341" w:type="dxa"/>
                      </w:tcPr>
                      <w:p>
                        <w:pPr/>
                      </w:p>
                    </w:tc>
                    <w:tc>
                      <w:tcPr>
                        <w:tcW w:w="2075" w:type="dxa"/>
                      </w:tcPr>
                      <w:p>
                        <w:pPr/>
                      </w:p>
                    </w:tc>
                  </w:tr>
                  <w:tr>
                    <w:trPr>
                      <w:trHeight w:val="280" w:hRule="exact"/>
                    </w:trPr>
                    <w:tc>
                      <w:tcPr>
                        <w:tcW w:w="4994" w:type="dxa"/>
                      </w:tcPr>
                      <w:p>
                        <w:pPr>
                          <w:pStyle w:val="TableParagraph"/>
                          <w:spacing w:before="80"/>
                          <w:ind w:left="32"/>
                          <w:rPr>
                            <w:sz w:val="16"/>
                          </w:rPr>
                        </w:pPr>
                        <w:r>
                          <w:rPr>
                            <w:w w:val="105"/>
                            <w:sz w:val="16"/>
                          </w:rPr>
                          <w:t>Stockholders’   equity:</w:t>
                        </w:r>
                      </w:p>
                    </w:tc>
                    <w:tc>
                      <w:tcPr>
                        <w:tcW w:w="2341" w:type="dxa"/>
                      </w:tcPr>
                      <w:p>
                        <w:pPr/>
                      </w:p>
                    </w:tc>
                    <w:tc>
                      <w:tcPr>
                        <w:tcW w:w="2075" w:type="dxa"/>
                      </w:tcPr>
                      <w:p>
                        <w:pPr/>
                      </w:p>
                    </w:tc>
                  </w:tr>
                  <w:tr>
                    <w:trPr>
                      <w:trHeight w:val="570" w:hRule="exact"/>
                    </w:trPr>
                    <w:tc>
                      <w:tcPr>
                        <w:tcW w:w="4994" w:type="dxa"/>
                      </w:tcPr>
                      <w:p>
                        <w:pPr>
                          <w:pStyle w:val="TableParagraph"/>
                          <w:spacing w:line="180" w:lineRule="exact" w:before="9"/>
                          <w:ind w:left="212"/>
                          <w:rPr>
                            <w:sz w:val="16"/>
                          </w:rPr>
                        </w:pPr>
                        <w:r>
                          <w:rPr>
                            <w:w w:val="115"/>
                            <w:sz w:val="16"/>
                          </w:rPr>
                          <w:t>Common stock, $1.00 par value: 2,000,000 shares authorized; 776,663 and 766,774 shares issued in 2002 and 2001, respectively</w:t>
                        </w:r>
                      </w:p>
                    </w:tc>
                    <w:tc>
                      <w:tcPr>
                        <w:tcW w:w="2341" w:type="dxa"/>
                      </w:tcPr>
                      <w:p>
                        <w:pPr>
                          <w:pStyle w:val="TableParagraph"/>
                          <w:rPr>
                            <w:sz w:val="18"/>
                          </w:rPr>
                        </w:pPr>
                      </w:p>
                      <w:p>
                        <w:pPr>
                          <w:pStyle w:val="TableParagraph"/>
                          <w:spacing w:before="146"/>
                          <w:ind w:right="737"/>
                          <w:jc w:val="right"/>
                          <w:rPr>
                            <w:rFonts w:ascii="Franklin Gothic Medium"/>
                            <w:sz w:val="16"/>
                          </w:rPr>
                        </w:pPr>
                        <w:r>
                          <w:rPr>
                            <w:rFonts w:ascii="Franklin Gothic Medium"/>
                            <w:sz w:val="16"/>
                          </w:rPr>
                          <w:t>776,663</w:t>
                        </w:r>
                      </w:p>
                    </w:tc>
                    <w:tc>
                      <w:tcPr>
                        <w:tcW w:w="2075" w:type="dxa"/>
                      </w:tcPr>
                      <w:p>
                        <w:pPr>
                          <w:pStyle w:val="TableParagraph"/>
                          <w:rPr>
                            <w:sz w:val="18"/>
                          </w:rPr>
                        </w:pPr>
                      </w:p>
                      <w:p>
                        <w:pPr>
                          <w:pStyle w:val="TableParagraph"/>
                          <w:spacing w:before="141"/>
                          <w:ind w:left="1277"/>
                          <w:rPr>
                            <w:sz w:val="16"/>
                          </w:rPr>
                        </w:pPr>
                        <w:r>
                          <w:rPr>
                            <w:w w:val="120"/>
                            <w:sz w:val="16"/>
                          </w:rPr>
                          <w:t>766,774</w:t>
                        </w:r>
                      </w:p>
                    </w:tc>
                  </w:tr>
                  <w:tr>
                    <w:trPr>
                      <w:trHeight w:val="230" w:hRule="exact"/>
                    </w:trPr>
                    <w:tc>
                      <w:tcPr>
                        <w:tcW w:w="4994" w:type="dxa"/>
                      </w:tcPr>
                      <w:p>
                        <w:pPr>
                          <w:pStyle w:val="TableParagraph"/>
                          <w:spacing w:before="10"/>
                          <w:ind w:left="32"/>
                          <w:rPr>
                            <w:sz w:val="16"/>
                          </w:rPr>
                        </w:pPr>
                        <w:r>
                          <w:rPr>
                            <w:w w:val="105"/>
                            <w:sz w:val="16"/>
                          </w:rPr>
                          <w:t>Capital  in  excess  of  par  value</w:t>
                        </w:r>
                      </w:p>
                    </w:tc>
                    <w:tc>
                      <w:tcPr>
                        <w:tcW w:w="2341" w:type="dxa"/>
                      </w:tcPr>
                      <w:p>
                        <w:pPr>
                          <w:pStyle w:val="TableParagraph"/>
                          <w:spacing w:before="16"/>
                          <w:ind w:right="737"/>
                          <w:jc w:val="right"/>
                          <w:rPr>
                            <w:rFonts w:ascii="Franklin Gothic Medium"/>
                            <w:sz w:val="16"/>
                          </w:rPr>
                        </w:pPr>
                        <w:r>
                          <w:rPr>
                            <w:rFonts w:ascii="Franklin Gothic Medium"/>
                            <w:sz w:val="16"/>
                          </w:rPr>
                          <w:t>135,848</w:t>
                        </w:r>
                      </w:p>
                    </w:tc>
                    <w:tc>
                      <w:tcPr>
                        <w:tcW w:w="2075" w:type="dxa"/>
                      </w:tcPr>
                      <w:p>
                        <w:pPr>
                          <w:pStyle w:val="TableParagraph"/>
                          <w:spacing w:before="10"/>
                          <w:ind w:left="1377"/>
                          <w:rPr>
                            <w:sz w:val="16"/>
                          </w:rPr>
                        </w:pPr>
                        <w:r>
                          <w:rPr>
                            <w:w w:val="120"/>
                            <w:sz w:val="16"/>
                          </w:rPr>
                          <w:t>50,409</w:t>
                        </w:r>
                      </w:p>
                    </w:tc>
                  </w:tr>
                  <w:tr>
                    <w:trPr>
                      <w:trHeight w:val="240" w:hRule="exact"/>
                    </w:trPr>
                    <w:tc>
                      <w:tcPr>
                        <w:tcW w:w="4994" w:type="dxa"/>
                      </w:tcPr>
                      <w:p>
                        <w:pPr>
                          <w:pStyle w:val="TableParagraph"/>
                          <w:spacing w:before="20"/>
                          <w:ind w:left="32"/>
                          <w:rPr>
                            <w:sz w:val="16"/>
                          </w:rPr>
                        </w:pPr>
                        <w:r>
                          <w:rPr>
                            <w:w w:val="105"/>
                            <w:sz w:val="16"/>
                          </w:rPr>
                          <w:t>Retained   earnings</w:t>
                        </w:r>
                      </w:p>
                    </w:tc>
                    <w:tc>
                      <w:tcPr>
                        <w:tcW w:w="2341" w:type="dxa"/>
                      </w:tcPr>
                      <w:p>
                        <w:pPr>
                          <w:pStyle w:val="TableParagraph"/>
                          <w:spacing w:before="26"/>
                          <w:ind w:right="737"/>
                          <w:jc w:val="right"/>
                          <w:rPr>
                            <w:rFonts w:ascii="Franklin Gothic Medium"/>
                            <w:sz w:val="16"/>
                          </w:rPr>
                        </w:pPr>
                        <w:r>
                          <w:rPr>
                            <w:rFonts w:ascii="Franklin Gothic Medium"/>
                            <w:sz w:val="16"/>
                          </w:rPr>
                          <w:t>3,455,448</w:t>
                        </w:r>
                      </w:p>
                    </w:tc>
                    <w:tc>
                      <w:tcPr>
                        <w:tcW w:w="2075" w:type="dxa"/>
                      </w:tcPr>
                      <w:p>
                        <w:pPr>
                          <w:pStyle w:val="TableParagraph"/>
                          <w:spacing w:before="20"/>
                          <w:ind w:left="1137"/>
                          <w:rPr>
                            <w:sz w:val="16"/>
                          </w:rPr>
                        </w:pPr>
                        <w:r>
                          <w:rPr>
                            <w:w w:val="120"/>
                            <w:sz w:val="16"/>
                          </w:rPr>
                          <w:t>3,228,408</w:t>
                        </w:r>
                      </w:p>
                    </w:tc>
                  </w:tr>
                  <w:tr>
                    <w:trPr>
                      <w:trHeight w:val="230" w:hRule="exact"/>
                    </w:trPr>
                    <w:tc>
                      <w:tcPr>
                        <w:tcW w:w="4994" w:type="dxa"/>
                      </w:tcPr>
                      <w:p>
                        <w:pPr>
                          <w:pStyle w:val="TableParagraph"/>
                          <w:spacing w:before="20"/>
                          <w:ind w:left="32"/>
                          <w:rPr>
                            <w:sz w:val="16"/>
                          </w:rPr>
                        </w:pPr>
                        <w:r>
                          <w:rPr>
                            <w:w w:val="105"/>
                            <w:sz w:val="16"/>
                          </w:rPr>
                          <w:t>Accumulated  other  comprehensive  income   (loss)</w:t>
                        </w:r>
                      </w:p>
                    </w:tc>
                    <w:tc>
                      <w:tcPr>
                        <w:tcW w:w="2341" w:type="dxa"/>
                      </w:tcPr>
                      <w:p>
                        <w:pPr>
                          <w:pStyle w:val="TableParagraph"/>
                          <w:tabs>
                            <w:tab w:pos="959" w:val="left" w:leader="none"/>
                          </w:tabs>
                          <w:spacing w:before="26"/>
                          <w:ind w:right="675"/>
                          <w:jc w:val="right"/>
                          <w:rPr>
                            <w:rFonts w:ascii="Franklin Gothic Medium"/>
                            <w:sz w:val="16"/>
                          </w:rPr>
                        </w:pPr>
                        <w:r>
                          <w:rPr>
                            <w:rFonts w:ascii="Franklin Gothic Medium"/>
                            <w:w w:val="116"/>
                            <w:sz w:val="16"/>
                            <w:u w:val="single"/>
                          </w:rPr>
                          <w:t> </w:t>
                        </w:r>
                        <w:r>
                          <w:rPr>
                            <w:rFonts w:ascii="Franklin Gothic Medium"/>
                            <w:sz w:val="16"/>
                            <w:u w:val="single"/>
                          </w:rPr>
                          <w:tab/>
                          <w:t>53,658</w:t>
                        </w:r>
                        <w:r>
                          <w:rPr>
                            <w:rFonts w:ascii="Franklin Gothic Medium"/>
                            <w:spacing w:val="-16"/>
                            <w:sz w:val="16"/>
                            <w:u w:val="single"/>
                          </w:rPr>
                          <w:t> </w:t>
                        </w:r>
                      </w:p>
                    </w:tc>
                    <w:tc>
                      <w:tcPr>
                        <w:tcW w:w="2075" w:type="dxa"/>
                      </w:tcPr>
                      <w:p>
                        <w:pPr>
                          <w:pStyle w:val="TableParagraph"/>
                          <w:tabs>
                            <w:tab w:pos="619" w:val="left" w:leader="none"/>
                          </w:tabs>
                          <w:spacing w:before="20"/>
                          <w:ind w:right="30"/>
                          <w:jc w:val="right"/>
                          <w:rPr>
                            <w:sz w:val="16"/>
                          </w:rPr>
                        </w:pPr>
                        <w:r>
                          <w:rPr>
                            <w:w w:val="132"/>
                            <w:sz w:val="16"/>
                            <w:u w:val="single"/>
                          </w:rPr>
                          <w:t> </w:t>
                        </w:r>
                        <w:r>
                          <w:rPr>
                            <w:sz w:val="16"/>
                            <w:u w:val="single"/>
                          </w:rPr>
                          <w:tab/>
                        </w:r>
                        <w:r>
                          <w:rPr>
                            <w:spacing w:val="-1"/>
                            <w:w w:val="115"/>
                            <w:sz w:val="16"/>
                            <w:u w:val="single"/>
                          </w:rPr>
                          <w:t>(31,538)</w:t>
                        </w:r>
                        <w:r>
                          <w:rPr>
                            <w:spacing w:val="-4"/>
                            <w:sz w:val="16"/>
                            <w:u w:val="single"/>
                          </w:rPr>
                          <w:t> </w:t>
                        </w:r>
                      </w:p>
                    </w:tc>
                  </w:tr>
                  <w:tr>
                    <w:trPr>
                      <w:trHeight w:val="220" w:hRule="exact"/>
                    </w:trPr>
                    <w:tc>
                      <w:tcPr>
                        <w:tcW w:w="4994" w:type="dxa"/>
                      </w:tcPr>
                      <w:p>
                        <w:pPr>
                          <w:pStyle w:val="TableParagraph"/>
                          <w:spacing w:before="10"/>
                          <w:ind w:left="212"/>
                          <w:rPr>
                            <w:sz w:val="16"/>
                          </w:rPr>
                        </w:pPr>
                        <w:r>
                          <w:rPr>
                            <w:w w:val="105"/>
                            <w:sz w:val="16"/>
                          </w:rPr>
                          <w:t>Total   stockholders’  equity</w:t>
                        </w:r>
                      </w:p>
                    </w:tc>
                    <w:tc>
                      <w:tcPr>
                        <w:tcW w:w="2341" w:type="dxa"/>
                      </w:tcPr>
                      <w:p>
                        <w:pPr>
                          <w:pStyle w:val="TableParagraph"/>
                          <w:tabs>
                            <w:tab w:pos="719" w:val="left" w:leader="none"/>
                          </w:tabs>
                          <w:spacing w:before="16"/>
                          <w:ind w:right="675"/>
                          <w:jc w:val="right"/>
                          <w:rPr>
                            <w:rFonts w:ascii="Franklin Gothic Medium"/>
                            <w:sz w:val="16"/>
                          </w:rPr>
                        </w:pPr>
                        <w:r>
                          <w:rPr>
                            <w:rFonts w:ascii="Franklin Gothic Medium"/>
                            <w:w w:val="116"/>
                            <w:sz w:val="16"/>
                            <w:u w:val="single"/>
                          </w:rPr>
                          <w:t> </w:t>
                        </w:r>
                        <w:r>
                          <w:rPr>
                            <w:rFonts w:ascii="Franklin Gothic Medium"/>
                            <w:sz w:val="16"/>
                            <w:u w:val="single"/>
                          </w:rPr>
                          <w:tab/>
                          <w:t>4,421,617</w:t>
                        </w:r>
                        <w:r>
                          <w:rPr>
                            <w:rFonts w:ascii="Franklin Gothic Medium"/>
                            <w:spacing w:val="-16"/>
                            <w:sz w:val="16"/>
                            <w:u w:val="single"/>
                          </w:rPr>
                          <w:t> </w:t>
                        </w:r>
                      </w:p>
                    </w:tc>
                    <w:tc>
                      <w:tcPr>
                        <w:tcW w:w="2075" w:type="dxa"/>
                      </w:tcPr>
                      <w:p>
                        <w:pPr>
                          <w:pStyle w:val="TableParagraph"/>
                          <w:tabs>
                            <w:tab w:pos="439" w:val="left" w:leader="none"/>
                          </w:tabs>
                          <w:spacing w:before="10"/>
                          <w:ind w:right="30"/>
                          <w:jc w:val="right"/>
                          <w:rPr>
                            <w:sz w:val="16"/>
                          </w:rPr>
                        </w:pPr>
                        <w:r>
                          <w:rPr>
                            <w:w w:val="132"/>
                            <w:sz w:val="16"/>
                            <w:u w:val="single"/>
                          </w:rPr>
                          <w:t> </w:t>
                        </w:r>
                        <w:r>
                          <w:rPr>
                            <w:sz w:val="16"/>
                            <w:u w:val="single"/>
                          </w:rPr>
                          <w:tab/>
                        </w:r>
                        <w:r>
                          <w:rPr>
                            <w:spacing w:val="-1"/>
                            <w:w w:val="115"/>
                            <w:sz w:val="16"/>
                            <w:u w:val="single"/>
                          </w:rPr>
                          <w:t>4,014,053</w:t>
                        </w:r>
                        <w:r>
                          <w:rPr>
                            <w:spacing w:val="-1"/>
                            <w:sz w:val="16"/>
                            <w:u w:val="single"/>
                          </w:rPr>
                          <w:t> </w:t>
                        </w:r>
                      </w:p>
                    </w:tc>
                  </w:tr>
                  <w:tr>
                    <w:trPr>
                      <w:trHeight w:val="290" w:hRule="exact"/>
                    </w:trPr>
                    <w:tc>
                      <w:tcPr>
                        <w:tcW w:w="4994" w:type="dxa"/>
                      </w:tcPr>
                      <w:p>
                        <w:pPr/>
                      </w:p>
                    </w:tc>
                    <w:tc>
                      <w:tcPr>
                        <w:tcW w:w="2341" w:type="dxa"/>
                      </w:tcPr>
                      <w:p>
                        <w:pPr>
                          <w:pStyle w:val="TableParagraph"/>
                          <w:tabs>
                            <w:tab w:pos="559" w:val="left" w:leader="none"/>
                          </w:tabs>
                          <w:spacing w:before="16"/>
                          <w:ind w:right="680"/>
                          <w:jc w:val="right"/>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30"/>
                            <w:sz w:val="16"/>
                            <w:u w:val="single"/>
                          </w:rPr>
                          <w:t> </w:t>
                        </w:r>
                        <w:r>
                          <w:rPr>
                            <w:rFonts w:ascii="Franklin Gothic Medium"/>
                            <w:sz w:val="16"/>
                            <w:u w:val="single"/>
                          </w:rPr>
                          <w:t>8,953,750</w:t>
                        </w:r>
                        <w:r>
                          <w:rPr>
                            <w:rFonts w:ascii="Franklin Gothic Medium"/>
                            <w:spacing w:val="-1"/>
                            <w:sz w:val="16"/>
                            <w:u w:val="single"/>
                          </w:rPr>
                          <w:t> </w:t>
                        </w:r>
                      </w:p>
                    </w:tc>
                    <w:tc>
                      <w:tcPr>
                        <w:tcW w:w="2075" w:type="dxa"/>
                      </w:tcPr>
                      <w:p>
                        <w:pPr>
                          <w:pStyle w:val="TableParagraph"/>
                          <w:tabs>
                            <w:tab w:pos="299" w:val="left" w:leader="none"/>
                          </w:tabs>
                          <w:spacing w:before="10"/>
                          <w:ind w:right="35"/>
                          <w:jc w:val="right"/>
                          <w:rPr>
                            <w:sz w:val="16"/>
                          </w:rPr>
                        </w:pPr>
                        <w:r>
                          <w:rPr>
                            <w:w w:val="132"/>
                            <w:sz w:val="16"/>
                            <w:u w:val="single"/>
                          </w:rPr>
                          <w:t> </w:t>
                        </w:r>
                        <w:r>
                          <w:rPr>
                            <w:sz w:val="16"/>
                            <w:u w:val="single"/>
                          </w:rPr>
                          <w:tab/>
                        </w:r>
                        <w:r>
                          <w:rPr>
                            <w:w w:val="120"/>
                            <w:sz w:val="16"/>
                            <w:u w:val="single"/>
                          </w:rPr>
                          <w:t>$</w:t>
                        </w:r>
                        <w:r>
                          <w:rPr>
                            <w:spacing w:val="-25"/>
                            <w:w w:val="120"/>
                            <w:sz w:val="16"/>
                            <w:u w:val="single"/>
                          </w:rPr>
                          <w:t> </w:t>
                        </w:r>
                        <w:r>
                          <w:rPr>
                            <w:w w:val="120"/>
                            <w:sz w:val="16"/>
                            <w:u w:val="single"/>
                          </w:rPr>
                          <w:t>8,997,141</w:t>
                        </w:r>
                        <w:r>
                          <w:rPr>
                            <w:spacing w:val="-5"/>
                            <w:sz w:val="16"/>
                            <w:u w:val="single"/>
                          </w:rPr>
                          <w:t> </w:t>
                        </w:r>
                      </w:p>
                    </w:tc>
                  </w:tr>
                  <w:tr>
                    <w:trPr>
                      <w:trHeight w:val="273" w:hRule="exact"/>
                    </w:trPr>
                    <w:tc>
                      <w:tcPr>
                        <w:tcW w:w="4994" w:type="dxa"/>
                      </w:tcPr>
                      <w:p>
                        <w:pPr>
                          <w:pStyle w:val="TableParagraph"/>
                          <w:spacing w:before="80"/>
                          <w:ind w:left="32"/>
                          <w:rPr>
                            <w:sz w:val="16"/>
                          </w:rPr>
                        </w:pPr>
                        <w:r>
                          <w:rPr>
                            <w:w w:val="110"/>
                            <w:sz w:val="16"/>
                          </w:rPr>
                          <w:t>See  accompanying notes.</w:t>
                        </w:r>
                      </w:p>
                    </w:tc>
                    <w:tc>
                      <w:tcPr>
                        <w:tcW w:w="2341" w:type="dxa"/>
                      </w:tcPr>
                      <w:p>
                        <w:pPr/>
                      </w:p>
                    </w:tc>
                    <w:tc>
                      <w:tcPr>
                        <w:tcW w:w="2075" w:type="dxa"/>
                      </w:tcPr>
                      <w:p>
                        <w:pPr/>
                      </w:p>
                    </w:tc>
                  </w:tr>
                </w:tbl>
                <w:p>
                  <w:pPr>
                    <w:pStyle w:val="BodyText"/>
                  </w:pPr>
                </w:p>
              </w:txbxContent>
            </v:textbox>
            <w10:wrap type="none"/>
          </v:shape>
        </w:pict>
      </w:r>
      <w:r>
        <w:rPr>
          <w:w w:val="110"/>
          <w:sz w:val="16"/>
        </w:rPr>
        <w:t>Total </w:t>
      </w:r>
      <w:r>
        <w:rPr>
          <w:spacing w:val="1"/>
          <w:w w:val="110"/>
          <w:sz w:val="16"/>
        </w:rPr>
        <w:t> </w:t>
      </w:r>
      <w:r>
        <w:rPr>
          <w:w w:val="110"/>
          <w:sz w:val="16"/>
        </w:rPr>
        <w:t>current </w:t>
      </w:r>
      <w:r>
        <w:rPr>
          <w:spacing w:val="1"/>
          <w:w w:val="110"/>
          <w:sz w:val="16"/>
        </w:rPr>
        <w:t> </w:t>
      </w:r>
      <w:r>
        <w:rPr>
          <w:w w:val="110"/>
          <w:sz w:val="16"/>
        </w:rPr>
        <w:t>assets</w:t>
        <w:tab/>
      </w:r>
      <w:r>
        <w:rPr>
          <w:rFonts w:ascii="Franklin Gothic Medium"/>
          <w:w w:val="110"/>
          <w:sz w:val="16"/>
        </w:rPr>
        <w:t>2,231,960</w:t>
        <w:tab/>
      </w:r>
      <w:r>
        <w:rPr>
          <w:spacing w:val="-1"/>
          <w:w w:val="110"/>
          <w:sz w:val="16"/>
        </w:rPr>
        <w:t>2,520,219 </w:t>
      </w:r>
      <w:r>
        <w:rPr>
          <w:w w:val="110"/>
          <w:sz w:val="16"/>
        </w:rPr>
        <w:t>Property and equipment, at  </w:t>
      </w:r>
      <w:r>
        <w:rPr>
          <w:spacing w:val="17"/>
          <w:w w:val="110"/>
          <w:sz w:val="16"/>
        </w:rPr>
        <w:t> </w:t>
      </w:r>
      <w:r>
        <w:rPr>
          <w:w w:val="110"/>
          <w:sz w:val="16"/>
        </w:rPr>
        <w:t>cost:</w:t>
      </w:r>
    </w:p>
    <w:p>
      <w:pPr>
        <w:spacing w:after="0" w:line="417" w:lineRule="auto"/>
        <w:jc w:val="left"/>
        <w:rPr>
          <w:sz w:val="16"/>
        </w:rPr>
        <w:sectPr>
          <w:headerReference w:type="default" r:id="rId107"/>
          <w:footerReference w:type="default" r:id="rId108"/>
          <w:footerReference w:type="even" r:id="rId109"/>
          <w:pgSz w:w="11520" w:h="14400"/>
          <w:pgMar w:header="0" w:footer="706" w:top="960" w:bottom="900" w:left="660" w:right="880"/>
          <w:pgNumType w:start="29"/>
        </w:sectPr>
      </w:pPr>
    </w:p>
    <w:tbl>
      <w:tblPr>
        <w:tblW w:w="0" w:type="auto"/>
        <w:jc w:val="left"/>
        <w:tblInd w:w="10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73"/>
        <w:gridCol w:w="1605"/>
        <w:gridCol w:w="155"/>
        <w:gridCol w:w="1425"/>
        <w:gridCol w:w="175"/>
        <w:gridCol w:w="1577"/>
      </w:tblGrid>
      <w:tr>
        <w:trPr>
          <w:trHeight w:val="662" w:hRule="exact"/>
        </w:trPr>
        <w:tc>
          <w:tcPr>
            <w:tcW w:w="5073" w:type="dxa"/>
          </w:tcPr>
          <w:p>
            <w:pPr>
              <w:pStyle w:val="TableParagraph"/>
              <w:spacing w:line="290" w:lineRule="auto"/>
              <w:ind w:left="32" w:right="1965"/>
              <w:rPr>
                <w:rFonts w:ascii="Franklin Gothic Medium"/>
                <w:sz w:val="16"/>
              </w:rPr>
            </w:pPr>
            <w:bookmarkStart w:name="Income Statement" w:id="36"/>
            <w:bookmarkEnd w:id="36"/>
            <w:r>
              <w:rPr/>
            </w:r>
            <w:r>
              <w:rPr>
                <w:rFonts w:ascii="Franklin Gothic Medium"/>
                <w:sz w:val="16"/>
              </w:rPr>
              <w:t>SOUTHWEST  AIRLINES  </w:t>
            </w:r>
            <w:r>
              <w:rPr>
                <w:rFonts w:ascii="Franklin Gothic Medium"/>
                <w:spacing w:val="8"/>
                <w:sz w:val="16"/>
              </w:rPr>
              <w:t>CO. </w:t>
            </w:r>
            <w:r>
              <w:rPr>
                <w:rFonts w:ascii="Franklin Gothic Medium"/>
                <w:spacing w:val="3"/>
                <w:sz w:val="16"/>
              </w:rPr>
              <w:t>CONSOLIDATED   </w:t>
            </w:r>
            <w:r>
              <w:rPr>
                <w:rFonts w:ascii="Franklin Gothic Medium"/>
                <w:sz w:val="16"/>
              </w:rPr>
              <w:t>STATEMENT  OF </w:t>
            </w:r>
            <w:r>
              <w:rPr>
                <w:rFonts w:ascii="Franklin Gothic Medium"/>
                <w:spacing w:val="15"/>
                <w:sz w:val="16"/>
              </w:rPr>
              <w:t> </w:t>
            </w:r>
            <w:r>
              <w:rPr>
                <w:rFonts w:ascii="Franklin Gothic Medium"/>
                <w:spacing w:val="12"/>
                <w:sz w:val="16"/>
              </w:rPr>
              <w:t>INCOME</w:t>
            </w:r>
          </w:p>
        </w:tc>
        <w:tc>
          <w:tcPr>
            <w:tcW w:w="4937" w:type="dxa"/>
            <w:gridSpan w:val="5"/>
          </w:tcPr>
          <w:p>
            <w:pPr>
              <w:pStyle w:val="TableParagraph"/>
              <w:rPr>
                <w:sz w:val="18"/>
              </w:rPr>
            </w:pPr>
          </w:p>
          <w:p>
            <w:pPr>
              <w:pStyle w:val="TableParagraph"/>
              <w:spacing w:before="6"/>
              <w:rPr>
                <w:sz w:val="17"/>
              </w:rPr>
            </w:pPr>
          </w:p>
          <w:p>
            <w:pPr>
              <w:pStyle w:val="TableParagraph"/>
              <w:ind w:left="1220"/>
              <w:rPr>
                <w:rFonts w:ascii="Franklin Gothic Medium"/>
                <w:sz w:val="16"/>
              </w:rPr>
            </w:pPr>
            <w:r>
              <w:rPr>
                <w:rFonts w:ascii="Franklin Gothic Medium"/>
                <w:sz w:val="16"/>
              </w:rPr>
              <w:t>YEARS  ENDED  DECEMBER  31,</w:t>
            </w:r>
          </w:p>
        </w:tc>
      </w:tr>
      <w:tr>
        <w:trPr>
          <w:trHeight w:val="301" w:hRule="exact"/>
        </w:trPr>
        <w:tc>
          <w:tcPr>
            <w:tcW w:w="5073" w:type="dxa"/>
          </w:tcPr>
          <w:p>
            <w:pPr>
              <w:pStyle w:val="TableParagraph"/>
              <w:spacing w:before="45"/>
              <w:ind w:left="32"/>
              <w:rPr>
                <w:i/>
                <w:sz w:val="16"/>
              </w:rPr>
            </w:pPr>
            <w:r>
              <w:rPr>
                <w:i/>
                <w:w w:val="105"/>
                <w:sz w:val="16"/>
              </w:rPr>
              <w:t>(In  thousands,  except  per  share  amounts)</w:t>
            </w:r>
          </w:p>
        </w:tc>
        <w:tc>
          <w:tcPr>
            <w:tcW w:w="4937" w:type="dxa"/>
            <w:gridSpan w:val="5"/>
          </w:tcPr>
          <w:p>
            <w:pPr>
              <w:pStyle w:val="TableParagraph"/>
              <w:tabs>
                <w:tab w:pos="519" w:val="left" w:leader="none"/>
                <w:tab w:pos="1604" w:val="left" w:leader="none"/>
                <w:tab w:pos="2219" w:val="left" w:leader="none"/>
                <w:tab w:pos="3184" w:val="left" w:leader="none"/>
                <w:tab w:pos="3879" w:val="left" w:leader="none"/>
                <w:tab w:pos="4904" w:val="left" w:leader="none"/>
              </w:tabs>
              <w:spacing w:before="32"/>
              <w:rPr>
                <w:sz w:val="16"/>
              </w:rPr>
            </w:pPr>
            <w:r>
              <w:rPr>
                <w:rFonts w:ascii="Franklin Gothic Medium"/>
                <w:w w:val="116"/>
                <w:sz w:val="18"/>
                <w:u w:val="single"/>
              </w:rPr>
              <w:t> </w:t>
            </w:r>
            <w:r>
              <w:rPr>
                <w:rFonts w:ascii="Franklin Gothic Medium"/>
                <w:sz w:val="18"/>
                <w:u w:val="single"/>
              </w:rPr>
              <w:tab/>
            </w:r>
            <w:r>
              <w:rPr>
                <w:rFonts w:ascii="Franklin Gothic Medium"/>
                <w:w w:val="110"/>
                <w:sz w:val="18"/>
                <w:u w:val="single"/>
              </w:rPr>
              <w:t>2002</w:t>
              <w:tab/>
            </w:r>
            <w:r>
              <w:rPr>
                <w:w w:val="110"/>
                <w:sz w:val="16"/>
                <w:u w:val="single"/>
              </w:rPr>
              <w:t> </w:t>
              <w:tab/>
              <w:t>2001</w:t>
              <w:tab/>
              <w:t> </w:t>
              <w:tab/>
              <w:t>2000</w:t>
            </w:r>
            <w:r>
              <w:rPr>
                <w:sz w:val="16"/>
                <w:u w:val="single"/>
              </w:rPr>
              <w:tab/>
            </w:r>
          </w:p>
        </w:tc>
      </w:tr>
      <w:tr>
        <w:trPr>
          <w:trHeight w:val="289" w:hRule="exact"/>
        </w:trPr>
        <w:tc>
          <w:tcPr>
            <w:tcW w:w="5073" w:type="dxa"/>
          </w:tcPr>
          <w:p>
            <w:pPr>
              <w:pStyle w:val="TableParagraph"/>
              <w:spacing w:before="49"/>
              <w:ind w:left="32"/>
              <w:rPr>
                <w:rFonts w:ascii="Franklin Gothic Medium"/>
                <w:sz w:val="16"/>
              </w:rPr>
            </w:pPr>
            <w:r>
              <w:rPr>
                <w:rFonts w:ascii="Franklin Gothic Medium"/>
                <w:sz w:val="16"/>
              </w:rPr>
              <w:t>OPERATING  REVENUES:</w:t>
            </w:r>
          </w:p>
        </w:tc>
        <w:tc>
          <w:tcPr>
            <w:tcW w:w="4937" w:type="dxa"/>
            <w:gridSpan w:val="5"/>
          </w:tcPr>
          <w:p>
            <w:pPr/>
          </w:p>
        </w:tc>
      </w:tr>
      <w:tr>
        <w:trPr>
          <w:trHeight w:val="303" w:hRule="exact"/>
        </w:trPr>
        <w:tc>
          <w:tcPr>
            <w:tcW w:w="5073" w:type="dxa"/>
          </w:tcPr>
          <w:p>
            <w:pPr>
              <w:pStyle w:val="TableParagraph"/>
              <w:spacing w:before="55"/>
              <w:ind w:left="212"/>
              <w:rPr>
                <w:sz w:val="16"/>
              </w:rPr>
            </w:pPr>
            <w:r>
              <w:rPr>
                <w:w w:val="110"/>
                <w:sz w:val="16"/>
              </w:rPr>
              <w:t>Passenger</w:t>
            </w:r>
          </w:p>
        </w:tc>
        <w:tc>
          <w:tcPr>
            <w:tcW w:w="4937" w:type="dxa"/>
            <w:gridSpan w:val="5"/>
          </w:tcPr>
          <w:p>
            <w:pPr>
              <w:pStyle w:val="TableParagraph"/>
              <w:tabs>
                <w:tab w:pos="1919" w:val="left" w:leader="none"/>
                <w:tab w:pos="3662" w:val="left" w:leader="none"/>
              </w:tabs>
              <w:spacing w:before="42"/>
              <w:ind w:left="140"/>
              <w:rPr>
                <w:sz w:val="16"/>
              </w:rPr>
            </w:pPr>
            <w:r>
              <w:rPr>
                <w:rFonts w:ascii="Franklin Gothic Medium"/>
                <w:w w:val="110"/>
                <w:sz w:val="18"/>
              </w:rPr>
              <w:t>$ </w:t>
            </w:r>
            <w:r>
              <w:rPr>
                <w:rFonts w:ascii="Franklin Gothic Medium"/>
                <w:spacing w:val="21"/>
                <w:w w:val="110"/>
                <w:sz w:val="18"/>
              </w:rPr>
              <w:t> </w:t>
            </w:r>
            <w:r>
              <w:rPr>
                <w:rFonts w:ascii="Franklin Gothic Medium"/>
                <w:spacing w:val="2"/>
                <w:w w:val="110"/>
                <w:sz w:val="18"/>
              </w:rPr>
              <w:t>5,341,349</w:t>
              <w:tab/>
            </w:r>
            <w:r>
              <w:rPr>
                <w:w w:val="110"/>
                <w:sz w:val="16"/>
              </w:rPr>
              <w:t>$    </w:t>
            </w:r>
            <w:r>
              <w:rPr>
                <w:spacing w:val="21"/>
                <w:w w:val="110"/>
                <w:sz w:val="16"/>
              </w:rPr>
              <w:t> </w:t>
            </w:r>
            <w:r>
              <w:rPr>
                <w:spacing w:val="-3"/>
                <w:w w:val="110"/>
                <w:sz w:val="16"/>
              </w:rPr>
              <w:t>5,378,702</w:t>
              <w:tab/>
            </w:r>
            <w:r>
              <w:rPr>
                <w:w w:val="110"/>
                <w:sz w:val="16"/>
              </w:rPr>
              <w:t>$   </w:t>
            </w:r>
            <w:r>
              <w:rPr>
                <w:spacing w:val="37"/>
                <w:w w:val="110"/>
                <w:sz w:val="16"/>
              </w:rPr>
              <w:t> </w:t>
            </w:r>
            <w:r>
              <w:rPr>
                <w:spacing w:val="-3"/>
                <w:w w:val="110"/>
                <w:sz w:val="16"/>
              </w:rPr>
              <w:t>5,467,965</w:t>
            </w:r>
          </w:p>
        </w:tc>
      </w:tr>
      <w:tr>
        <w:trPr>
          <w:trHeight w:val="290" w:hRule="exact"/>
        </w:trPr>
        <w:tc>
          <w:tcPr>
            <w:tcW w:w="5073" w:type="dxa"/>
          </w:tcPr>
          <w:p>
            <w:pPr>
              <w:pStyle w:val="TableParagraph"/>
              <w:spacing w:before="52"/>
              <w:ind w:left="212"/>
              <w:rPr>
                <w:sz w:val="16"/>
              </w:rPr>
            </w:pPr>
            <w:r>
              <w:rPr>
                <w:w w:val="105"/>
                <w:sz w:val="16"/>
              </w:rPr>
              <w:t>Freight</w:t>
            </w:r>
          </w:p>
        </w:tc>
        <w:tc>
          <w:tcPr>
            <w:tcW w:w="4937" w:type="dxa"/>
            <w:gridSpan w:val="5"/>
          </w:tcPr>
          <w:p>
            <w:pPr>
              <w:pStyle w:val="TableParagraph"/>
              <w:tabs>
                <w:tab w:pos="2438" w:val="left" w:leader="none"/>
                <w:tab w:pos="4042" w:val="left" w:leader="none"/>
              </w:tabs>
              <w:spacing w:before="40"/>
              <w:ind w:left="679"/>
              <w:rPr>
                <w:sz w:val="16"/>
              </w:rPr>
            </w:pPr>
            <w:r>
              <w:rPr>
                <w:rFonts w:ascii="Franklin Gothic Medium"/>
                <w:w w:val="110"/>
                <w:sz w:val="18"/>
              </w:rPr>
              <w:t>84,675</w:t>
              <w:tab/>
            </w:r>
            <w:r>
              <w:rPr>
                <w:spacing w:val="-5"/>
                <w:w w:val="110"/>
                <w:sz w:val="16"/>
              </w:rPr>
              <w:t>91,270</w:t>
              <w:tab/>
              <w:t>110,742</w:t>
            </w:r>
          </w:p>
        </w:tc>
      </w:tr>
      <w:tr>
        <w:trPr>
          <w:trHeight w:val="290" w:hRule="exact"/>
        </w:trPr>
        <w:tc>
          <w:tcPr>
            <w:tcW w:w="5073" w:type="dxa"/>
          </w:tcPr>
          <w:p>
            <w:pPr>
              <w:pStyle w:val="TableParagraph"/>
              <w:spacing w:before="42"/>
              <w:ind w:left="212"/>
              <w:rPr>
                <w:sz w:val="16"/>
              </w:rPr>
            </w:pPr>
            <w:r>
              <w:rPr>
                <w:sz w:val="16"/>
              </w:rPr>
              <w:t>Other</w:t>
            </w:r>
          </w:p>
        </w:tc>
        <w:tc>
          <w:tcPr>
            <w:tcW w:w="4937" w:type="dxa"/>
            <w:gridSpan w:val="5"/>
          </w:tcPr>
          <w:p>
            <w:pPr>
              <w:pStyle w:val="TableParagraph"/>
              <w:tabs>
                <w:tab w:pos="679" w:val="left" w:leader="none"/>
                <w:tab w:pos="1604" w:val="left" w:leader="none"/>
                <w:tab w:pos="2438" w:val="left" w:leader="none"/>
                <w:tab w:pos="3184" w:val="left" w:leader="none"/>
                <w:tab w:pos="4138" w:val="left" w:leader="none"/>
                <w:tab w:pos="4904" w:val="left" w:leader="none"/>
              </w:tabs>
              <w:spacing w:before="30"/>
              <w:rPr>
                <w:sz w:val="16"/>
              </w:rPr>
            </w:pPr>
            <w:r>
              <w:rPr>
                <w:rFonts w:ascii="Franklin Gothic Medium"/>
                <w:w w:val="116"/>
                <w:sz w:val="18"/>
                <w:u w:val="single"/>
              </w:rPr>
              <w:t> </w:t>
            </w:r>
            <w:r>
              <w:rPr>
                <w:rFonts w:ascii="Franklin Gothic Medium"/>
                <w:sz w:val="18"/>
                <w:u w:val="single"/>
              </w:rPr>
              <w:tab/>
            </w:r>
            <w:r>
              <w:rPr>
                <w:rFonts w:ascii="Franklin Gothic Medium"/>
                <w:w w:val="110"/>
                <w:sz w:val="18"/>
                <w:u w:val="single"/>
              </w:rPr>
              <w:t>95,747</w:t>
              <w:tab/>
            </w:r>
            <w:r>
              <w:rPr>
                <w:w w:val="110"/>
                <w:sz w:val="16"/>
                <w:u w:val="single"/>
              </w:rPr>
              <w:t> </w:t>
              <w:tab/>
            </w:r>
            <w:r>
              <w:rPr>
                <w:spacing w:val="-5"/>
                <w:w w:val="110"/>
                <w:sz w:val="16"/>
                <w:u w:val="single"/>
              </w:rPr>
              <w:t>85,202</w:t>
              <w:tab/>
              <w:t> </w:t>
              <w:tab/>
              <w:t>70,853</w:t>
            </w:r>
            <w:r>
              <w:rPr>
                <w:spacing w:val="-5"/>
                <w:sz w:val="16"/>
                <w:u w:val="single"/>
              </w:rPr>
              <w:tab/>
            </w:r>
          </w:p>
        </w:tc>
      </w:tr>
      <w:tr>
        <w:trPr>
          <w:trHeight w:val="430" w:hRule="exact"/>
        </w:trPr>
        <w:tc>
          <w:tcPr>
            <w:tcW w:w="5073" w:type="dxa"/>
          </w:tcPr>
          <w:p>
            <w:pPr>
              <w:pStyle w:val="TableParagraph"/>
              <w:spacing w:before="52"/>
              <w:ind w:left="392"/>
              <w:rPr>
                <w:sz w:val="16"/>
              </w:rPr>
            </w:pPr>
            <w:r>
              <w:rPr>
                <w:w w:val="105"/>
                <w:sz w:val="16"/>
              </w:rPr>
              <w:t>Total   operating  revenues</w:t>
            </w:r>
          </w:p>
        </w:tc>
        <w:tc>
          <w:tcPr>
            <w:tcW w:w="4937" w:type="dxa"/>
            <w:gridSpan w:val="5"/>
          </w:tcPr>
          <w:p>
            <w:pPr>
              <w:pStyle w:val="TableParagraph"/>
              <w:tabs>
                <w:tab w:pos="2202" w:val="left" w:leader="none"/>
                <w:tab w:pos="3900" w:val="left" w:leader="none"/>
              </w:tabs>
              <w:spacing w:before="40"/>
              <w:ind w:left="419"/>
              <w:rPr>
                <w:sz w:val="16"/>
              </w:rPr>
            </w:pPr>
            <w:r>
              <w:rPr>
                <w:rFonts w:ascii="Franklin Gothic Medium"/>
                <w:spacing w:val="2"/>
                <w:w w:val="105"/>
                <w:sz w:val="18"/>
              </w:rPr>
              <w:t>5,521,771</w:t>
              <w:tab/>
            </w:r>
            <w:r>
              <w:rPr>
                <w:spacing w:val="-4"/>
                <w:w w:val="110"/>
                <w:sz w:val="16"/>
              </w:rPr>
              <w:t>5,555,174</w:t>
              <w:tab/>
              <w:t>5,649,560</w:t>
            </w:r>
          </w:p>
        </w:tc>
      </w:tr>
      <w:tr>
        <w:trPr>
          <w:trHeight w:val="420" w:hRule="exact"/>
        </w:trPr>
        <w:tc>
          <w:tcPr>
            <w:tcW w:w="5073" w:type="dxa"/>
          </w:tcPr>
          <w:p>
            <w:pPr>
              <w:pStyle w:val="TableParagraph"/>
              <w:spacing w:line="110" w:lineRule="exact"/>
              <w:ind w:left="32"/>
              <w:rPr>
                <w:rFonts w:ascii="Franklin Gothic Medium"/>
                <w:sz w:val="16"/>
              </w:rPr>
            </w:pPr>
            <w:r>
              <w:rPr>
                <w:rFonts w:ascii="Franklin Gothic Medium"/>
                <w:sz w:val="16"/>
              </w:rPr>
              <w:t>OPERATING  EXPENSES:</w:t>
            </w:r>
          </w:p>
          <w:p>
            <w:pPr>
              <w:pStyle w:val="TableParagraph"/>
              <w:spacing w:before="73"/>
              <w:ind w:left="212"/>
              <w:rPr>
                <w:sz w:val="16"/>
              </w:rPr>
            </w:pPr>
            <w:r>
              <w:rPr>
                <w:w w:val="110"/>
                <w:sz w:val="16"/>
              </w:rPr>
              <w:t>Salaries,  wages,  and benefits</w:t>
            </w:r>
          </w:p>
        </w:tc>
        <w:tc>
          <w:tcPr>
            <w:tcW w:w="1605" w:type="dxa"/>
          </w:tcPr>
          <w:p>
            <w:pPr>
              <w:pStyle w:val="TableParagraph"/>
              <w:spacing w:before="170"/>
              <w:ind w:left="419"/>
              <w:rPr>
                <w:rFonts w:ascii="Franklin Gothic Medium"/>
                <w:sz w:val="18"/>
              </w:rPr>
            </w:pPr>
            <w:r>
              <w:rPr>
                <w:rFonts w:ascii="Franklin Gothic Medium"/>
                <w:sz w:val="18"/>
              </w:rPr>
              <w:t>1,992,485</w:t>
            </w:r>
          </w:p>
        </w:tc>
        <w:tc>
          <w:tcPr>
            <w:tcW w:w="155" w:type="dxa"/>
          </w:tcPr>
          <w:p>
            <w:pPr/>
          </w:p>
        </w:tc>
        <w:tc>
          <w:tcPr>
            <w:tcW w:w="1425" w:type="dxa"/>
          </w:tcPr>
          <w:p>
            <w:pPr>
              <w:pStyle w:val="TableParagraph"/>
              <w:spacing w:before="11"/>
              <w:rPr>
                <w:sz w:val="14"/>
              </w:rPr>
            </w:pPr>
          </w:p>
          <w:p>
            <w:pPr>
              <w:pStyle w:val="TableParagraph"/>
              <w:spacing w:before="1"/>
              <w:ind w:left="441"/>
              <w:rPr>
                <w:sz w:val="16"/>
              </w:rPr>
            </w:pPr>
            <w:r>
              <w:rPr>
                <w:w w:val="120"/>
                <w:sz w:val="16"/>
              </w:rPr>
              <w:t>1,856,288</w:t>
            </w:r>
          </w:p>
        </w:tc>
        <w:tc>
          <w:tcPr>
            <w:tcW w:w="175" w:type="dxa"/>
          </w:tcPr>
          <w:p>
            <w:pPr/>
          </w:p>
        </w:tc>
        <w:tc>
          <w:tcPr>
            <w:tcW w:w="1577" w:type="dxa"/>
          </w:tcPr>
          <w:p>
            <w:pPr>
              <w:pStyle w:val="TableParagraph"/>
              <w:spacing w:before="11"/>
              <w:rPr>
                <w:sz w:val="14"/>
              </w:rPr>
            </w:pPr>
          </w:p>
          <w:p>
            <w:pPr>
              <w:pStyle w:val="TableParagraph"/>
              <w:spacing w:before="1"/>
              <w:ind w:left="541"/>
              <w:rPr>
                <w:sz w:val="16"/>
              </w:rPr>
            </w:pPr>
            <w:r>
              <w:rPr>
                <w:w w:val="120"/>
                <w:sz w:val="16"/>
              </w:rPr>
              <w:t>1,683,689</w:t>
            </w:r>
          </w:p>
        </w:tc>
      </w:tr>
      <w:tr>
        <w:trPr>
          <w:trHeight w:val="280" w:hRule="exact"/>
        </w:trPr>
        <w:tc>
          <w:tcPr>
            <w:tcW w:w="5073" w:type="dxa"/>
          </w:tcPr>
          <w:p>
            <w:pPr>
              <w:pStyle w:val="TableParagraph"/>
              <w:spacing w:before="42"/>
              <w:ind w:left="212"/>
              <w:rPr>
                <w:sz w:val="16"/>
              </w:rPr>
            </w:pPr>
            <w:r>
              <w:rPr>
                <w:w w:val="105"/>
                <w:sz w:val="16"/>
              </w:rPr>
              <w:t>Fuel  and oil</w:t>
            </w:r>
          </w:p>
        </w:tc>
        <w:tc>
          <w:tcPr>
            <w:tcW w:w="1605" w:type="dxa"/>
          </w:tcPr>
          <w:p>
            <w:pPr>
              <w:pStyle w:val="TableParagraph"/>
              <w:spacing w:before="30"/>
              <w:ind w:left="579"/>
              <w:rPr>
                <w:rFonts w:ascii="Franklin Gothic Medium"/>
                <w:sz w:val="18"/>
              </w:rPr>
            </w:pPr>
            <w:r>
              <w:rPr>
                <w:rFonts w:ascii="Franklin Gothic Medium"/>
                <w:sz w:val="18"/>
              </w:rPr>
              <w:t>762,096</w:t>
            </w:r>
          </w:p>
        </w:tc>
        <w:tc>
          <w:tcPr>
            <w:tcW w:w="155" w:type="dxa"/>
          </w:tcPr>
          <w:p>
            <w:pPr/>
          </w:p>
        </w:tc>
        <w:tc>
          <w:tcPr>
            <w:tcW w:w="1425" w:type="dxa"/>
          </w:tcPr>
          <w:p>
            <w:pPr>
              <w:pStyle w:val="TableParagraph"/>
              <w:spacing w:before="42"/>
              <w:ind w:left="582"/>
              <w:rPr>
                <w:sz w:val="16"/>
              </w:rPr>
            </w:pPr>
            <w:r>
              <w:rPr>
                <w:w w:val="120"/>
                <w:sz w:val="16"/>
              </w:rPr>
              <w:t>770,515</w:t>
            </w:r>
          </w:p>
        </w:tc>
        <w:tc>
          <w:tcPr>
            <w:tcW w:w="175" w:type="dxa"/>
          </w:tcPr>
          <w:p>
            <w:pPr/>
          </w:p>
        </w:tc>
        <w:tc>
          <w:tcPr>
            <w:tcW w:w="1577" w:type="dxa"/>
          </w:tcPr>
          <w:p>
            <w:pPr>
              <w:pStyle w:val="TableParagraph"/>
              <w:spacing w:before="42"/>
              <w:ind w:left="682"/>
              <w:rPr>
                <w:sz w:val="16"/>
              </w:rPr>
            </w:pPr>
            <w:r>
              <w:rPr>
                <w:w w:val="120"/>
                <w:sz w:val="16"/>
              </w:rPr>
              <w:t>804,426</w:t>
            </w:r>
          </w:p>
        </w:tc>
      </w:tr>
      <w:tr>
        <w:trPr>
          <w:trHeight w:val="280" w:hRule="exact"/>
        </w:trPr>
        <w:tc>
          <w:tcPr>
            <w:tcW w:w="5073" w:type="dxa"/>
          </w:tcPr>
          <w:p>
            <w:pPr>
              <w:pStyle w:val="TableParagraph"/>
              <w:spacing w:before="42"/>
              <w:ind w:left="212"/>
              <w:rPr>
                <w:sz w:val="16"/>
              </w:rPr>
            </w:pPr>
            <w:r>
              <w:rPr>
                <w:w w:val="105"/>
                <w:sz w:val="16"/>
              </w:rPr>
              <w:t>Maintenance   materials   and  repairs</w:t>
            </w:r>
          </w:p>
        </w:tc>
        <w:tc>
          <w:tcPr>
            <w:tcW w:w="1605" w:type="dxa"/>
          </w:tcPr>
          <w:p>
            <w:pPr>
              <w:pStyle w:val="TableParagraph"/>
              <w:spacing w:before="30"/>
              <w:ind w:left="579"/>
              <w:rPr>
                <w:rFonts w:ascii="Franklin Gothic Medium"/>
                <w:sz w:val="18"/>
              </w:rPr>
            </w:pPr>
            <w:r>
              <w:rPr>
                <w:rFonts w:ascii="Franklin Gothic Medium"/>
                <w:sz w:val="18"/>
              </w:rPr>
              <w:t>390,216</w:t>
            </w:r>
          </w:p>
        </w:tc>
        <w:tc>
          <w:tcPr>
            <w:tcW w:w="155" w:type="dxa"/>
          </w:tcPr>
          <w:p>
            <w:pPr/>
          </w:p>
        </w:tc>
        <w:tc>
          <w:tcPr>
            <w:tcW w:w="1425" w:type="dxa"/>
          </w:tcPr>
          <w:p>
            <w:pPr>
              <w:pStyle w:val="TableParagraph"/>
              <w:spacing w:before="42"/>
              <w:ind w:left="582"/>
              <w:rPr>
                <w:sz w:val="16"/>
              </w:rPr>
            </w:pPr>
            <w:r>
              <w:rPr>
                <w:w w:val="120"/>
                <w:sz w:val="16"/>
              </w:rPr>
              <w:t>397,505</w:t>
            </w:r>
          </w:p>
        </w:tc>
        <w:tc>
          <w:tcPr>
            <w:tcW w:w="175" w:type="dxa"/>
          </w:tcPr>
          <w:p>
            <w:pPr/>
          </w:p>
        </w:tc>
        <w:tc>
          <w:tcPr>
            <w:tcW w:w="1577" w:type="dxa"/>
          </w:tcPr>
          <w:p>
            <w:pPr>
              <w:pStyle w:val="TableParagraph"/>
              <w:spacing w:before="42"/>
              <w:ind w:left="682"/>
              <w:rPr>
                <w:sz w:val="16"/>
              </w:rPr>
            </w:pPr>
            <w:r>
              <w:rPr>
                <w:w w:val="120"/>
                <w:sz w:val="16"/>
              </w:rPr>
              <w:t>378,470</w:t>
            </w:r>
          </w:p>
        </w:tc>
      </w:tr>
      <w:tr>
        <w:trPr>
          <w:trHeight w:val="280" w:hRule="exact"/>
        </w:trPr>
        <w:tc>
          <w:tcPr>
            <w:tcW w:w="5073" w:type="dxa"/>
          </w:tcPr>
          <w:p>
            <w:pPr>
              <w:pStyle w:val="TableParagraph"/>
              <w:spacing w:before="42"/>
              <w:ind w:left="212"/>
              <w:rPr>
                <w:sz w:val="16"/>
              </w:rPr>
            </w:pPr>
            <w:r>
              <w:rPr>
                <w:w w:val="105"/>
                <w:sz w:val="16"/>
              </w:rPr>
              <w:t>Agency   commissions</w:t>
            </w:r>
          </w:p>
        </w:tc>
        <w:tc>
          <w:tcPr>
            <w:tcW w:w="1605" w:type="dxa"/>
          </w:tcPr>
          <w:p>
            <w:pPr>
              <w:pStyle w:val="TableParagraph"/>
              <w:spacing w:before="30"/>
              <w:ind w:left="679"/>
              <w:rPr>
                <w:rFonts w:ascii="Franklin Gothic Medium"/>
                <w:sz w:val="18"/>
              </w:rPr>
            </w:pPr>
            <w:r>
              <w:rPr>
                <w:rFonts w:ascii="Franklin Gothic Medium"/>
                <w:sz w:val="18"/>
              </w:rPr>
              <w:t>54,669</w:t>
            </w:r>
          </w:p>
        </w:tc>
        <w:tc>
          <w:tcPr>
            <w:tcW w:w="155" w:type="dxa"/>
          </w:tcPr>
          <w:p>
            <w:pPr/>
          </w:p>
        </w:tc>
        <w:tc>
          <w:tcPr>
            <w:tcW w:w="1425" w:type="dxa"/>
          </w:tcPr>
          <w:p>
            <w:pPr>
              <w:pStyle w:val="TableParagraph"/>
              <w:spacing w:before="42"/>
              <w:ind w:left="582"/>
              <w:rPr>
                <w:sz w:val="16"/>
              </w:rPr>
            </w:pPr>
            <w:r>
              <w:rPr>
                <w:w w:val="120"/>
                <w:sz w:val="16"/>
              </w:rPr>
              <w:t>103,014</w:t>
            </w:r>
          </w:p>
        </w:tc>
        <w:tc>
          <w:tcPr>
            <w:tcW w:w="175" w:type="dxa"/>
          </w:tcPr>
          <w:p>
            <w:pPr/>
          </w:p>
        </w:tc>
        <w:tc>
          <w:tcPr>
            <w:tcW w:w="1577" w:type="dxa"/>
          </w:tcPr>
          <w:p>
            <w:pPr>
              <w:pStyle w:val="TableParagraph"/>
              <w:spacing w:before="42"/>
              <w:ind w:left="682"/>
              <w:rPr>
                <w:sz w:val="16"/>
              </w:rPr>
            </w:pPr>
            <w:r>
              <w:rPr>
                <w:w w:val="120"/>
                <w:sz w:val="16"/>
              </w:rPr>
              <w:t>159,309</w:t>
            </w:r>
          </w:p>
        </w:tc>
      </w:tr>
      <w:tr>
        <w:trPr>
          <w:trHeight w:val="280" w:hRule="exact"/>
        </w:trPr>
        <w:tc>
          <w:tcPr>
            <w:tcW w:w="5073" w:type="dxa"/>
          </w:tcPr>
          <w:p>
            <w:pPr>
              <w:pStyle w:val="TableParagraph"/>
              <w:spacing w:before="42"/>
              <w:ind w:left="212"/>
              <w:rPr>
                <w:sz w:val="16"/>
              </w:rPr>
            </w:pPr>
            <w:r>
              <w:rPr>
                <w:w w:val="105"/>
                <w:sz w:val="16"/>
              </w:rPr>
              <w:t>Aircraft  rentals</w:t>
            </w:r>
          </w:p>
        </w:tc>
        <w:tc>
          <w:tcPr>
            <w:tcW w:w="1605" w:type="dxa"/>
          </w:tcPr>
          <w:p>
            <w:pPr>
              <w:pStyle w:val="TableParagraph"/>
              <w:spacing w:before="30"/>
              <w:ind w:left="579"/>
              <w:rPr>
                <w:rFonts w:ascii="Franklin Gothic Medium"/>
                <w:sz w:val="18"/>
              </w:rPr>
            </w:pPr>
            <w:r>
              <w:rPr>
                <w:rFonts w:ascii="Franklin Gothic Medium"/>
                <w:sz w:val="18"/>
              </w:rPr>
              <w:t>186,992</w:t>
            </w:r>
          </w:p>
        </w:tc>
        <w:tc>
          <w:tcPr>
            <w:tcW w:w="155" w:type="dxa"/>
          </w:tcPr>
          <w:p>
            <w:pPr/>
          </w:p>
        </w:tc>
        <w:tc>
          <w:tcPr>
            <w:tcW w:w="1425" w:type="dxa"/>
          </w:tcPr>
          <w:p>
            <w:pPr>
              <w:pStyle w:val="TableParagraph"/>
              <w:spacing w:before="42"/>
              <w:ind w:left="582"/>
              <w:rPr>
                <w:sz w:val="16"/>
              </w:rPr>
            </w:pPr>
            <w:r>
              <w:rPr>
                <w:w w:val="120"/>
                <w:sz w:val="16"/>
              </w:rPr>
              <w:t>192,110</w:t>
            </w:r>
          </w:p>
        </w:tc>
        <w:tc>
          <w:tcPr>
            <w:tcW w:w="175" w:type="dxa"/>
          </w:tcPr>
          <w:p>
            <w:pPr/>
          </w:p>
        </w:tc>
        <w:tc>
          <w:tcPr>
            <w:tcW w:w="1577" w:type="dxa"/>
          </w:tcPr>
          <w:p>
            <w:pPr>
              <w:pStyle w:val="TableParagraph"/>
              <w:spacing w:before="42"/>
              <w:ind w:left="682"/>
              <w:rPr>
                <w:sz w:val="16"/>
              </w:rPr>
            </w:pPr>
            <w:r>
              <w:rPr>
                <w:w w:val="120"/>
                <w:sz w:val="16"/>
              </w:rPr>
              <w:t>196,328</w:t>
            </w:r>
          </w:p>
        </w:tc>
      </w:tr>
      <w:tr>
        <w:trPr>
          <w:trHeight w:val="280" w:hRule="exact"/>
        </w:trPr>
        <w:tc>
          <w:tcPr>
            <w:tcW w:w="5073" w:type="dxa"/>
          </w:tcPr>
          <w:p>
            <w:pPr>
              <w:pStyle w:val="TableParagraph"/>
              <w:spacing w:before="42"/>
              <w:ind w:left="212"/>
              <w:rPr>
                <w:sz w:val="16"/>
              </w:rPr>
            </w:pPr>
            <w:r>
              <w:rPr>
                <w:w w:val="105"/>
                <w:sz w:val="16"/>
              </w:rPr>
              <w:t>Landing  fees  and  other  rentals</w:t>
            </w:r>
          </w:p>
        </w:tc>
        <w:tc>
          <w:tcPr>
            <w:tcW w:w="1605" w:type="dxa"/>
          </w:tcPr>
          <w:p>
            <w:pPr>
              <w:pStyle w:val="TableParagraph"/>
              <w:spacing w:before="30"/>
              <w:ind w:left="579"/>
              <w:rPr>
                <w:rFonts w:ascii="Franklin Gothic Medium"/>
                <w:sz w:val="18"/>
              </w:rPr>
            </w:pPr>
            <w:r>
              <w:rPr>
                <w:rFonts w:ascii="Franklin Gothic Medium"/>
                <w:sz w:val="18"/>
              </w:rPr>
              <w:t>344,660</w:t>
            </w:r>
          </w:p>
        </w:tc>
        <w:tc>
          <w:tcPr>
            <w:tcW w:w="155" w:type="dxa"/>
          </w:tcPr>
          <w:p>
            <w:pPr/>
          </w:p>
        </w:tc>
        <w:tc>
          <w:tcPr>
            <w:tcW w:w="1425" w:type="dxa"/>
          </w:tcPr>
          <w:p>
            <w:pPr>
              <w:pStyle w:val="TableParagraph"/>
              <w:spacing w:before="42"/>
              <w:ind w:left="582"/>
              <w:rPr>
                <w:sz w:val="16"/>
              </w:rPr>
            </w:pPr>
            <w:r>
              <w:rPr>
                <w:w w:val="120"/>
                <w:sz w:val="16"/>
              </w:rPr>
              <w:t>311,017</w:t>
            </w:r>
          </w:p>
        </w:tc>
        <w:tc>
          <w:tcPr>
            <w:tcW w:w="175" w:type="dxa"/>
          </w:tcPr>
          <w:p>
            <w:pPr/>
          </w:p>
        </w:tc>
        <w:tc>
          <w:tcPr>
            <w:tcW w:w="1577" w:type="dxa"/>
          </w:tcPr>
          <w:p>
            <w:pPr>
              <w:pStyle w:val="TableParagraph"/>
              <w:spacing w:before="42"/>
              <w:ind w:left="682"/>
              <w:rPr>
                <w:sz w:val="16"/>
              </w:rPr>
            </w:pPr>
            <w:r>
              <w:rPr>
                <w:w w:val="120"/>
                <w:sz w:val="16"/>
              </w:rPr>
              <w:t>265,106</w:t>
            </w:r>
          </w:p>
        </w:tc>
      </w:tr>
      <w:tr>
        <w:trPr>
          <w:trHeight w:val="290" w:hRule="exact"/>
        </w:trPr>
        <w:tc>
          <w:tcPr>
            <w:tcW w:w="5073" w:type="dxa"/>
          </w:tcPr>
          <w:p>
            <w:pPr>
              <w:pStyle w:val="TableParagraph"/>
              <w:spacing w:before="42"/>
              <w:ind w:left="212"/>
              <w:rPr>
                <w:sz w:val="16"/>
              </w:rPr>
            </w:pPr>
            <w:r>
              <w:rPr>
                <w:w w:val="105"/>
                <w:sz w:val="16"/>
              </w:rPr>
              <w:t>Depreciation</w:t>
            </w:r>
          </w:p>
        </w:tc>
        <w:tc>
          <w:tcPr>
            <w:tcW w:w="1605" w:type="dxa"/>
          </w:tcPr>
          <w:p>
            <w:pPr>
              <w:pStyle w:val="TableParagraph"/>
              <w:spacing w:before="30"/>
              <w:ind w:left="579"/>
              <w:rPr>
                <w:rFonts w:ascii="Franklin Gothic Medium"/>
                <w:sz w:val="18"/>
              </w:rPr>
            </w:pPr>
            <w:r>
              <w:rPr>
                <w:rFonts w:ascii="Franklin Gothic Medium"/>
                <w:sz w:val="18"/>
              </w:rPr>
              <w:t>356,304</w:t>
            </w:r>
          </w:p>
        </w:tc>
        <w:tc>
          <w:tcPr>
            <w:tcW w:w="155" w:type="dxa"/>
          </w:tcPr>
          <w:p>
            <w:pPr/>
          </w:p>
        </w:tc>
        <w:tc>
          <w:tcPr>
            <w:tcW w:w="1425" w:type="dxa"/>
          </w:tcPr>
          <w:p>
            <w:pPr>
              <w:pStyle w:val="TableParagraph"/>
              <w:spacing w:before="42"/>
              <w:ind w:left="582"/>
              <w:rPr>
                <w:sz w:val="16"/>
              </w:rPr>
            </w:pPr>
            <w:r>
              <w:rPr>
                <w:w w:val="120"/>
                <w:sz w:val="16"/>
              </w:rPr>
              <w:t>317,831</w:t>
            </w:r>
          </w:p>
        </w:tc>
        <w:tc>
          <w:tcPr>
            <w:tcW w:w="175" w:type="dxa"/>
          </w:tcPr>
          <w:p>
            <w:pPr/>
          </w:p>
        </w:tc>
        <w:tc>
          <w:tcPr>
            <w:tcW w:w="1577" w:type="dxa"/>
          </w:tcPr>
          <w:p>
            <w:pPr>
              <w:pStyle w:val="TableParagraph"/>
              <w:spacing w:before="42"/>
              <w:ind w:left="682"/>
              <w:rPr>
                <w:sz w:val="16"/>
              </w:rPr>
            </w:pPr>
            <w:r>
              <w:rPr>
                <w:w w:val="120"/>
                <w:sz w:val="16"/>
              </w:rPr>
              <w:t>281,276</w:t>
            </w:r>
          </w:p>
        </w:tc>
      </w:tr>
      <w:tr>
        <w:trPr>
          <w:trHeight w:val="300" w:hRule="exact"/>
        </w:trPr>
        <w:tc>
          <w:tcPr>
            <w:tcW w:w="5073" w:type="dxa"/>
          </w:tcPr>
          <w:p>
            <w:pPr>
              <w:pStyle w:val="TableParagraph"/>
              <w:spacing w:before="52"/>
              <w:ind w:left="212"/>
              <w:rPr>
                <w:sz w:val="16"/>
              </w:rPr>
            </w:pPr>
            <w:r>
              <w:rPr>
                <w:w w:val="105"/>
                <w:sz w:val="16"/>
              </w:rPr>
              <w:t>Other  operating  expenses</w:t>
            </w:r>
          </w:p>
        </w:tc>
        <w:tc>
          <w:tcPr>
            <w:tcW w:w="1605" w:type="dxa"/>
          </w:tcPr>
          <w:p>
            <w:pPr>
              <w:pStyle w:val="TableParagraph"/>
              <w:tabs>
                <w:tab w:pos="419" w:val="left" w:leader="none"/>
                <w:tab w:pos="1604"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1,017,011</w:t>
              <w:tab/>
            </w:r>
          </w:p>
        </w:tc>
        <w:tc>
          <w:tcPr>
            <w:tcW w:w="155" w:type="dxa"/>
          </w:tcPr>
          <w:p>
            <w:pPr/>
          </w:p>
        </w:tc>
        <w:tc>
          <w:tcPr>
            <w:tcW w:w="1425" w:type="dxa"/>
          </w:tcPr>
          <w:p>
            <w:pPr>
              <w:pStyle w:val="TableParagraph"/>
              <w:tabs>
                <w:tab w:pos="582" w:val="left" w:leader="none"/>
                <w:tab w:pos="1424" w:val="left" w:leader="none"/>
              </w:tabs>
              <w:spacing w:before="52"/>
              <w:rPr>
                <w:sz w:val="16"/>
              </w:rPr>
            </w:pPr>
            <w:r>
              <w:rPr>
                <w:w w:val="132"/>
                <w:sz w:val="16"/>
                <w:u w:val="single"/>
              </w:rPr>
              <w:t> </w:t>
            </w:r>
            <w:r>
              <w:rPr>
                <w:sz w:val="16"/>
                <w:u w:val="single"/>
              </w:rPr>
              <w:tab/>
            </w:r>
            <w:r>
              <w:rPr>
                <w:spacing w:val="-5"/>
                <w:w w:val="120"/>
                <w:sz w:val="16"/>
                <w:u w:val="single"/>
              </w:rPr>
              <w:t>975,772</w:t>
            </w:r>
            <w:r>
              <w:rPr>
                <w:spacing w:val="-5"/>
                <w:sz w:val="16"/>
                <w:u w:val="single"/>
              </w:rPr>
              <w:tab/>
            </w:r>
          </w:p>
        </w:tc>
        <w:tc>
          <w:tcPr>
            <w:tcW w:w="175" w:type="dxa"/>
          </w:tcPr>
          <w:p>
            <w:pPr/>
          </w:p>
        </w:tc>
        <w:tc>
          <w:tcPr>
            <w:tcW w:w="1577" w:type="dxa"/>
          </w:tcPr>
          <w:p>
            <w:pPr>
              <w:pStyle w:val="TableParagraph"/>
              <w:tabs>
                <w:tab w:pos="681" w:val="left" w:leader="none"/>
                <w:tab w:pos="1544" w:val="left" w:leader="none"/>
              </w:tabs>
              <w:spacing w:before="52"/>
              <w:rPr>
                <w:sz w:val="16"/>
              </w:rPr>
            </w:pPr>
            <w:r>
              <w:rPr>
                <w:w w:val="132"/>
                <w:sz w:val="16"/>
                <w:u w:val="single"/>
              </w:rPr>
              <w:t> </w:t>
            </w:r>
            <w:r>
              <w:rPr>
                <w:sz w:val="16"/>
                <w:u w:val="single"/>
              </w:rPr>
              <w:tab/>
            </w:r>
            <w:r>
              <w:rPr>
                <w:spacing w:val="-5"/>
                <w:w w:val="120"/>
                <w:sz w:val="16"/>
                <w:u w:val="single"/>
              </w:rPr>
              <w:t>859,811</w:t>
            </w:r>
            <w:r>
              <w:rPr>
                <w:spacing w:val="-5"/>
                <w:sz w:val="16"/>
                <w:u w:val="single"/>
              </w:rPr>
              <w:tab/>
            </w:r>
          </w:p>
        </w:tc>
      </w:tr>
      <w:tr>
        <w:trPr>
          <w:trHeight w:val="290" w:hRule="exact"/>
        </w:trPr>
        <w:tc>
          <w:tcPr>
            <w:tcW w:w="5073" w:type="dxa"/>
          </w:tcPr>
          <w:p>
            <w:pPr>
              <w:pStyle w:val="TableParagraph"/>
              <w:spacing w:before="52"/>
              <w:ind w:left="392"/>
              <w:rPr>
                <w:sz w:val="16"/>
              </w:rPr>
            </w:pPr>
            <w:r>
              <w:rPr>
                <w:w w:val="105"/>
                <w:sz w:val="16"/>
              </w:rPr>
              <w:t>Total   operating  expenses</w:t>
            </w:r>
          </w:p>
        </w:tc>
        <w:tc>
          <w:tcPr>
            <w:tcW w:w="1605" w:type="dxa"/>
            <w:tcBorders>
              <w:bottom w:val="single" w:sz="2" w:space="0" w:color="000000"/>
            </w:tcBorders>
          </w:tcPr>
          <w:p>
            <w:pPr>
              <w:pStyle w:val="TableParagraph"/>
              <w:spacing w:before="40"/>
              <w:ind w:left="419"/>
              <w:rPr>
                <w:rFonts w:ascii="Franklin Gothic Medium"/>
                <w:sz w:val="18"/>
              </w:rPr>
            </w:pPr>
            <w:r>
              <w:rPr>
                <w:rFonts w:ascii="Franklin Gothic Medium"/>
                <w:sz w:val="18"/>
              </w:rPr>
              <w:t>5,104,433</w:t>
            </w:r>
          </w:p>
        </w:tc>
        <w:tc>
          <w:tcPr>
            <w:tcW w:w="155" w:type="dxa"/>
          </w:tcPr>
          <w:p>
            <w:pPr/>
          </w:p>
        </w:tc>
        <w:tc>
          <w:tcPr>
            <w:tcW w:w="1425" w:type="dxa"/>
            <w:tcBorders>
              <w:bottom w:val="single" w:sz="2" w:space="0" w:color="000000"/>
            </w:tcBorders>
          </w:tcPr>
          <w:p>
            <w:pPr>
              <w:pStyle w:val="TableParagraph"/>
              <w:spacing w:before="52"/>
              <w:ind w:left="441"/>
              <w:rPr>
                <w:sz w:val="16"/>
              </w:rPr>
            </w:pPr>
            <w:r>
              <w:rPr>
                <w:w w:val="120"/>
                <w:sz w:val="16"/>
              </w:rPr>
              <w:t>4,924,052</w:t>
            </w:r>
          </w:p>
        </w:tc>
        <w:tc>
          <w:tcPr>
            <w:tcW w:w="175" w:type="dxa"/>
          </w:tcPr>
          <w:p>
            <w:pPr/>
          </w:p>
        </w:tc>
        <w:tc>
          <w:tcPr>
            <w:tcW w:w="1577" w:type="dxa"/>
            <w:tcBorders>
              <w:bottom w:val="single" w:sz="2" w:space="0" w:color="000000"/>
            </w:tcBorders>
          </w:tcPr>
          <w:p>
            <w:pPr>
              <w:pStyle w:val="TableParagraph"/>
              <w:spacing w:before="52"/>
              <w:ind w:left="541"/>
              <w:rPr>
                <w:sz w:val="16"/>
              </w:rPr>
            </w:pPr>
            <w:r>
              <w:rPr>
                <w:w w:val="120"/>
                <w:sz w:val="16"/>
              </w:rPr>
              <w:t>4,628,415</w:t>
            </w:r>
          </w:p>
        </w:tc>
      </w:tr>
      <w:tr>
        <w:trPr>
          <w:trHeight w:val="349" w:hRule="exact"/>
        </w:trPr>
        <w:tc>
          <w:tcPr>
            <w:tcW w:w="5073" w:type="dxa"/>
          </w:tcPr>
          <w:p>
            <w:pPr>
              <w:pStyle w:val="TableParagraph"/>
              <w:spacing w:before="108"/>
              <w:ind w:left="32"/>
              <w:rPr>
                <w:rFonts w:ascii="Franklin Gothic Medium"/>
                <w:sz w:val="16"/>
              </w:rPr>
            </w:pPr>
            <w:r>
              <w:rPr>
                <w:rFonts w:ascii="Franklin Gothic Medium"/>
                <w:sz w:val="16"/>
              </w:rPr>
              <w:t>OPERATING  INCOME</w:t>
            </w:r>
          </w:p>
        </w:tc>
        <w:tc>
          <w:tcPr>
            <w:tcW w:w="1605" w:type="dxa"/>
            <w:tcBorders>
              <w:top w:val="single" w:sz="2" w:space="0" w:color="000000"/>
            </w:tcBorders>
          </w:tcPr>
          <w:p>
            <w:pPr>
              <w:pStyle w:val="TableParagraph"/>
              <w:spacing w:before="87"/>
              <w:ind w:left="579"/>
              <w:rPr>
                <w:rFonts w:ascii="Franklin Gothic Medium"/>
                <w:sz w:val="18"/>
              </w:rPr>
            </w:pPr>
            <w:r>
              <w:rPr>
                <w:rFonts w:ascii="Franklin Gothic Medium"/>
                <w:sz w:val="18"/>
              </w:rPr>
              <w:t>417,338</w:t>
            </w:r>
          </w:p>
        </w:tc>
        <w:tc>
          <w:tcPr>
            <w:tcW w:w="155" w:type="dxa"/>
          </w:tcPr>
          <w:p>
            <w:pPr/>
          </w:p>
        </w:tc>
        <w:tc>
          <w:tcPr>
            <w:tcW w:w="1425" w:type="dxa"/>
            <w:tcBorders>
              <w:top w:val="single" w:sz="2" w:space="0" w:color="000000"/>
            </w:tcBorders>
          </w:tcPr>
          <w:p>
            <w:pPr>
              <w:pStyle w:val="TableParagraph"/>
              <w:spacing w:before="100"/>
              <w:ind w:left="584"/>
              <w:rPr>
                <w:sz w:val="16"/>
              </w:rPr>
            </w:pPr>
            <w:r>
              <w:rPr>
                <w:w w:val="120"/>
                <w:sz w:val="16"/>
              </w:rPr>
              <w:t>631,122</w:t>
            </w:r>
          </w:p>
        </w:tc>
        <w:tc>
          <w:tcPr>
            <w:tcW w:w="175" w:type="dxa"/>
          </w:tcPr>
          <w:p>
            <w:pPr/>
          </w:p>
        </w:tc>
        <w:tc>
          <w:tcPr>
            <w:tcW w:w="1577" w:type="dxa"/>
            <w:tcBorders>
              <w:top w:val="single" w:sz="2" w:space="0" w:color="000000"/>
            </w:tcBorders>
          </w:tcPr>
          <w:p>
            <w:pPr>
              <w:pStyle w:val="TableParagraph"/>
              <w:spacing w:before="100"/>
              <w:ind w:left="543"/>
              <w:rPr>
                <w:sz w:val="16"/>
              </w:rPr>
            </w:pPr>
            <w:r>
              <w:rPr>
                <w:w w:val="120"/>
                <w:sz w:val="16"/>
              </w:rPr>
              <w:t>1,021,145</w:t>
            </w:r>
          </w:p>
        </w:tc>
      </w:tr>
      <w:tr>
        <w:trPr>
          <w:trHeight w:val="531" w:hRule="exact"/>
        </w:trPr>
        <w:tc>
          <w:tcPr>
            <w:tcW w:w="5073" w:type="dxa"/>
          </w:tcPr>
          <w:p>
            <w:pPr>
              <w:pStyle w:val="TableParagraph"/>
              <w:spacing w:before="39"/>
              <w:ind w:left="32"/>
              <w:rPr>
                <w:rFonts w:ascii="Franklin Gothic Medium"/>
                <w:sz w:val="16"/>
              </w:rPr>
            </w:pPr>
            <w:r>
              <w:rPr>
                <w:rFonts w:ascii="Franklin Gothic Medium"/>
                <w:sz w:val="16"/>
              </w:rPr>
              <w:t>OTHER  EXPENSES  (INCOME):</w:t>
            </w:r>
          </w:p>
          <w:p>
            <w:pPr>
              <w:pStyle w:val="TableParagraph"/>
              <w:spacing w:before="72"/>
              <w:ind w:left="212"/>
              <w:rPr>
                <w:sz w:val="16"/>
              </w:rPr>
            </w:pPr>
            <w:r>
              <w:rPr>
                <w:w w:val="105"/>
                <w:sz w:val="16"/>
              </w:rPr>
              <w:t>Interest  expense</w:t>
            </w:r>
          </w:p>
        </w:tc>
        <w:tc>
          <w:tcPr>
            <w:tcW w:w="1605" w:type="dxa"/>
          </w:tcPr>
          <w:p>
            <w:pPr>
              <w:pStyle w:val="TableParagraph"/>
              <w:rPr>
                <w:sz w:val="23"/>
              </w:rPr>
            </w:pPr>
          </w:p>
          <w:p>
            <w:pPr>
              <w:pStyle w:val="TableParagraph"/>
              <w:ind w:left="579"/>
              <w:rPr>
                <w:rFonts w:ascii="Franklin Gothic Medium"/>
                <w:sz w:val="18"/>
              </w:rPr>
            </w:pPr>
            <w:r>
              <w:rPr>
                <w:rFonts w:ascii="Franklin Gothic Medium"/>
                <w:sz w:val="18"/>
              </w:rPr>
              <w:t>106,023</w:t>
            </w:r>
          </w:p>
        </w:tc>
        <w:tc>
          <w:tcPr>
            <w:tcW w:w="155" w:type="dxa"/>
          </w:tcPr>
          <w:p>
            <w:pPr/>
          </w:p>
        </w:tc>
        <w:tc>
          <w:tcPr>
            <w:tcW w:w="1425" w:type="dxa"/>
          </w:tcPr>
          <w:p>
            <w:pPr>
              <w:pStyle w:val="TableParagraph"/>
              <w:rPr>
                <w:sz w:val="24"/>
              </w:rPr>
            </w:pPr>
          </w:p>
          <w:p>
            <w:pPr>
              <w:pStyle w:val="TableParagraph"/>
              <w:spacing w:before="1"/>
              <w:ind w:left="678"/>
              <w:rPr>
                <w:sz w:val="16"/>
              </w:rPr>
            </w:pPr>
            <w:r>
              <w:rPr>
                <w:w w:val="120"/>
                <w:sz w:val="16"/>
              </w:rPr>
              <w:t>69,827</w:t>
            </w:r>
          </w:p>
        </w:tc>
        <w:tc>
          <w:tcPr>
            <w:tcW w:w="175" w:type="dxa"/>
          </w:tcPr>
          <w:p>
            <w:pPr/>
          </w:p>
        </w:tc>
        <w:tc>
          <w:tcPr>
            <w:tcW w:w="1577" w:type="dxa"/>
          </w:tcPr>
          <w:p>
            <w:pPr>
              <w:pStyle w:val="TableParagraph"/>
              <w:rPr>
                <w:sz w:val="24"/>
              </w:rPr>
            </w:pPr>
          </w:p>
          <w:p>
            <w:pPr>
              <w:pStyle w:val="TableParagraph"/>
              <w:spacing w:before="1"/>
              <w:ind w:left="779"/>
              <w:rPr>
                <w:sz w:val="16"/>
              </w:rPr>
            </w:pPr>
            <w:r>
              <w:rPr>
                <w:w w:val="120"/>
                <w:sz w:val="16"/>
              </w:rPr>
              <w:t>69,889</w:t>
            </w:r>
          </w:p>
        </w:tc>
      </w:tr>
      <w:tr>
        <w:trPr>
          <w:trHeight w:val="280" w:hRule="exact"/>
        </w:trPr>
        <w:tc>
          <w:tcPr>
            <w:tcW w:w="5073" w:type="dxa"/>
          </w:tcPr>
          <w:p>
            <w:pPr>
              <w:pStyle w:val="TableParagraph"/>
              <w:spacing w:before="42"/>
              <w:ind w:left="212"/>
              <w:rPr>
                <w:sz w:val="16"/>
              </w:rPr>
            </w:pPr>
            <w:r>
              <w:rPr>
                <w:w w:val="105"/>
                <w:sz w:val="16"/>
              </w:rPr>
              <w:t>Capitalized  interest</w:t>
            </w:r>
          </w:p>
        </w:tc>
        <w:tc>
          <w:tcPr>
            <w:tcW w:w="1605" w:type="dxa"/>
          </w:tcPr>
          <w:p>
            <w:pPr>
              <w:pStyle w:val="TableParagraph"/>
              <w:spacing w:before="30"/>
              <w:ind w:left="639"/>
              <w:rPr>
                <w:rFonts w:ascii="Franklin Gothic Medium"/>
                <w:sz w:val="18"/>
              </w:rPr>
            </w:pPr>
            <w:r>
              <w:rPr>
                <w:rFonts w:ascii="Franklin Gothic Medium"/>
                <w:sz w:val="18"/>
              </w:rPr>
              <w:t>(16,720)</w:t>
            </w:r>
          </w:p>
        </w:tc>
        <w:tc>
          <w:tcPr>
            <w:tcW w:w="155" w:type="dxa"/>
          </w:tcPr>
          <w:p>
            <w:pPr/>
          </w:p>
        </w:tc>
        <w:tc>
          <w:tcPr>
            <w:tcW w:w="1425" w:type="dxa"/>
          </w:tcPr>
          <w:p>
            <w:pPr>
              <w:pStyle w:val="TableParagraph"/>
              <w:spacing w:before="42"/>
              <w:ind w:left="624"/>
              <w:rPr>
                <w:sz w:val="16"/>
              </w:rPr>
            </w:pPr>
            <w:r>
              <w:rPr>
                <w:w w:val="115"/>
                <w:sz w:val="16"/>
              </w:rPr>
              <w:t>(20,576)</w:t>
            </w:r>
          </w:p>
        </w:tc>
        <w:tc>
          <w:tcPr>
            <w:tcW w:w="175" w:type="dxa"/>
          </w:tcPr>
          <w:p>
            <w:pPr/>
          </w:p>
        </w:tc>
        <w:tc>
          <w:tcPr>
            <w:tcW w:w="1577" w:type="dxa"/>
          </w:tcPr>
          <w:p>
            <w:pPr>
              <w:pStyle w:val="TableParagraph"/>
              <w:spacing w:before="42"/>
              <w:ind w:left="724"/>
              <w:rPr>
                <w:sz w:val="16"/>
              </w:rPr>
            </w:pPr>
            <w:r>
              <w:rPr>
                <w:w w:val="115"/>
                <w:sz w:val="16"/>
              </w:rPr>
              <w:t>(27,551)</w:t>
            </w:r>
          </w:p>
        </w:tc>
      </w:tr>
      <w:tr>
        <w:trPr>
          <w:trHeight w:val="280" w:hRule="exact"/>
        </w:trPr>
        <w:tc>
          <w:tcPr>
            <w:tcW w:w="5073" w:type="dxa"/>
          </w:tcPr>
          <w:p>
            <w:pPr>
              <w:pStyle w:val="TableParagraph"/>
              <w:spacing w:before="42"/>
              <w:ind w:left="212"/>
              <w:rPr>
                <w:sz w:val="16"/>
              </w:rPr>
            </w:pPr>
            <w:r>
              <w:rPr>
                <w:w w:val="105"/>
                <w:sz w:val="16"/>
              </w:rPr>
              <w:t>Interest  income</w:t>
            </w:r>
          </w:p>
        </w:tc>
        <w:tc>
          <w:tcPr>
            <w:tcW w:w="1605" w:type="dxa"/>
          </w:tcPr>
          <w:p>
            <w:pPr>
              <w:pStyle w:val="TableParagraph"/>
              <w:spacing w:before="30"/>
              <w:ind w:left="639"/>
              <w:rPr>
                <w:rFonts w:ascii="Franklin Gothic Medium"/>
                <w:sz w:val="18"/>
              </w:rPr>
            </w:pPr>
            <w:r>
              <w:rPr>
                <w:rFonts w:ascii="Franklin Gothic Medium"/>
                <w:sz w:val="18"/>
              </w:rPr>
              <w:t>(36,964)</w:t>
            </w:r>
          </w:p>
        </w:tc>
        <w:tc>
          <w:tcPr>
            <w:tcW w:w="155" w:type="dxa"/>
          </w:tcPr>
          <w:p>
            <w:pPr/>
          </w:p>
        </w:tc>
        <w:tc>
          <w:tcPr>
            <w:tcW w:w="1425" w:type="dxa"/>
          </w:tcPr>
          <w:p>
            <w:pPr>
              <w:pStyle w:val="TableParagraph"/>
              <w:spacing w:before="42"/>
              <w:ind w:left="624"/>
              <w:rPr>
                <w:sz w:val="16"/>
              </w:rPr>
            </w:pPr>
            <w:r>
              <w:rPr>
                <w:w w:val="115"/>
                <w:sz w:val="16"/>
              </w:rPr>
              <w:t>(42,562)</w:t>
            </w:r>
          </w:p>
        </w:tc>
        <w:tc>
          <w:tcPr>
            <w:tcW w:w="175" w:type="dxa"/>
          </w:tcPr>
          <w:p>
            <w:pPr/>
          </w:p>
        </w:tc>
        <w:tc>
          <w:tcPr>
            <w:tcW w:w="1577" w:type="dxa"/>
          </w:tcPr>
          <w:p>
            <w:pPr>
              <w:pStyle w:val="TableParagraph"/>
              <w:spacing w:before="42"/>
              <w:ind w:left="724"/>
              <w:rPr>
                <w:sz w:val="16"/>
              </w:rPr>
            </w:pPr>
            <w:r>
              <w:rPr>
                <w:w w:val="115"/>
                <w:sz w:val="16"/>
              </w:rPr>
              <w:t>(40,072)</w:t>
            </w:r>
          </w:p>
        </w:tc>
      </w:tr>
      <w:tr>
        <w:trPr>
          <w:trHeight w:val="290" w:hRule="exact"/>
        </w:trPr>
        <w:tc>
          <w:tcPr>
            <w:tcW w:w="5073" w:type="dxa"/>
          </w:tcPr>
          <w:p>
            <w:pPr>
              <w:pStyle w:val="TableParagraph"/>
              <w:spacing w:before="42"/>
              <w:ind w:left="212"/>
              <w:rPr>
                <w:sz w:val="16"/>
              </w:rPr>
            </w:pPr>
            <w:r>
              <w:rPr>
                <w:w w:val="110"/>
                <w:sz w:val="16"/>
              </w:rPr>
              <w:t>Other  (gains)  losses, net</w:t>
            </w:r>
          </w:p>
        </w:tc>
        <w:tc>
          <w:tcPr>
            <w:tcW w:w="1605" w:type="dxa"/>
          </w:tcPr>
          <w:p>
            <w:pPr>
              <w:pStyle w:val="TableParagraph"/>
              <w:tabs>
                <w:tab w:pos="6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(27,683)</w:t>
              <w:tab/>
            </w:r>
          </w:p>
        </w:tc>
        <w:tc>
          <w:tcPr>
            <w:tcW w:w="155" w:type="dxa"/>
          </w:tcPr>
          <w:p>
            <w:pPr/>
          </w:p>
        </w:tc>
        <w:tc>
          <w:tcPr>
            <w:tcW w:w="1425" w:type="dxa"/>
          </w:tcPr>
          <w:p>
            <w:pPr>
              <w:pStyle w:val="TableParagraph"/>
              <w:tabs>
                <w:tab w:pos="524" w:val="left" w:leader="none"/>
                <w:tab w:pos="1424" w:val="left" w:leader="none"/>
              </w:tabs>
              <w:spacing w:before="42"/>
              <w:rPr>
                <w:sz w:val="16"/>
              </w:rPr>
            </w:pPr>
            <w:r>
              <w:rPr>
                <w:w w:val="132"/>
                <w:sz w:val="16"/>
                <w:u w:val="single"/>
              </w:rPr>
              <w:t> </w:t>
            </w:r>
            <w:r>
              <w:rPr>
                <w:sz w:val="16"/>
                <w:u w:val="single"/>
              </w:rPr>
              <w:tab/>
            </w:r>
            <w:r>
              <w:rPr>
                <w:spacing w:val="-4"/>
                <w:w w:val="115"/>
                <w:sz w:val="16"/>
                <w:u w:val="single"/>
              </w:rPr>
              <w:t>(203,226)</w:t>
            </w:r>
            <w:r>
              <w:rPr>
                <w:spacing w:val="-4"/>
                <w:sz w:val="16"/>
                <w:u w:val="single"/>
              </w:rPr>
              <w:tab/>
            </w:r>
          </w:p>
        </w:tc>
        <w:tc>
          <w:tcPr>
            <w:tcW w:w="175" w:type="dxa"/>
          </w:tcPr>
          <w:p>
            <w:pPr/>
          </w:p>
        </w:tc>
        <w:tc>
          <w:tcPr>
            <w:tcW w:w="1577" w:type="dxa"/>
          </w:tcPr>
          <w:p>
            <w:pPr>
              <w:pStyle w:val="TableParagraph"/>
              <w:tabs>
                <w:tab w:pos="853" w:val="left" w:leader="none"/>
                <w:tab w:pos="1544" w:val="left" w:leader="none"/>
              </w:tabs>
              <w:spacing w:before="42"/>
              <w:rPr>
                <w:sz w:val="16"/>
              </w:rPr>
            </w:pPr>
            <w:r>
              <w:rPr>
                <w:w w:val="132"/>
                <w:sz w:val="16"/>
                <w:u w:val="single"/>
              </w:rPr>
              <w:t> </w:t>
            </w:r>
            <w:r>
              <w:rPr>
                <w:sz w:val="16"/>
                <w:u w:val="single"/>
              </w:rPr>
              <w:tab/>
            </w:r>
            <w:r>
              <w:rPr>
                <w:spacing w:val="-6"/>
                <w:w w:val="120"/>
                <w:sz w:val="16"/>
                <w:u w:val="single"/>
              </w:rPr>
              <w:t>1,515</w:t>
            </w:r>
            <w:r>
              <w:rPr>
                <w:spacing w:val="-6"/>
                <w:sz w:val="16"/>
                <w:u w:val="single"/>
              </w:rPr>
              <w:tab/>
            </w:r>
          </w:p>
        </w:tc>
      </w:tr>
      <w:tr>
        <w:trPr>
          <w:trHeight w:val="270" w:hRule="exact"/>
        </w:trPr>
        <w:tc>
          <w:tcPr>
            <w:tcW w:w="5073" w:type="dxa"/>
          </w:tcPr>
          <w:p>
            <w:pPr>
              <w:pStyle w:val="TableParagraph"/>
              <w:spacing w:before="52"/>
              <w:ind w:left="392"/>
              <w:rPr>
                <w:sz w:val="16"/>
              </w:rPr>
            </w:pPr>
            <w:r>
              <w:rPr>
                <w:w w:val="105"/>
                <w:sz w:val="16"/>
              </w:rPr>
              <w:t>Total   other  expenses (income)</w:t>
            </w:r>
          </w:p>
        </w:tc>
        <w:tc>
          <w:tcPr>
            <w:tcW w:w="1605" w:type="dxa"/>
            <w:tcBorders>
              <w:bottom w:val="single" w:sz="2" w:space="0" w:color="000000"/>
            </w:tcBorders>
          </w:tcPr>
          <w:p>
            <w:pPr>
              <w:pStyle w:val="TableParagraph"/>
              <w:spacing w:before="40"/>
              <w:ind w:left="679"/>
              <w:rPr>
                <w:rFonts w:ascii="Franklin Gothic Medium"/>
                <w:sz w:val="18"/>
              </w:rPr>
            </w:pPr>
            <w:r>
              <w:rPr>
                <w:rFonts w:ascii="Franklin Gothic Medium"/>
                <w:sz w:val="18"/>
              </w:rPr>
              <w:t>24,656</w:t>
            </w:r>
          </w:p>
        </w:tc>
        <w:tc>
          <w:tcPr>
            <w:tcW w:w="155" w:type="dxa"/>
          </w:tcPr>
          <w:p>
            <w:pPr/>
          </w:p>
        </w:tc>
        <w:tc>
          <w:tcPr>
            <w:tcW w:w="1425" w:type="dxa"/>
            <w:tcBorders>
              <w:bottom w:val="single" w:sz="2" w:space="0" w:color="000000"/>
            </w:tcBorders>
          </w:tcPr>
          <w:p>
            <w:pPr>
              <w:pStyle w:val="TableParagraph"/>
              <w:spacing w:before="52"/>
              <w:ind w:left="524"/>
              <w:rPr>
                <w:sz w:val="16"/>
              </w:rPr>
            </w:pPr>
            <w:r>
              <w:rPr>
                <w:w w:val="115"/>
                <w:sz w:val="16"/>
              </w:rPr>
              <w:t>(196,537)</w:t>
            </w:r>
          </w:p>
        </w:tc>
        <w:tc>
          <w:tcPr>
            <w:tcW w:w="175" w:type="dxa"/>
          </w:tcPr>
          <w:p>
            <w:pPr/>
          </w:p>
        </w:tc>
        <w:tc>
          <w:tcPr>
            <w:tcW w:w="1577" w:type="dxa"/>
            <w:tcBorders>
              <w:bottom w:val="single" w:sz="2" w:space="0" w:color="000000"/>
            </w:tcBorders>
          </w:tcPr>
          <w:p>
            <w:pPr>
              <w:pStyle w:val="TableParagraph"/>
              <w:spacing w:before="52"/>
              <w:ind w:left="853"/>
              <w:rPr>
                <w:sz w:val="16"/>
              </w:rPr>
            </w:pPr>
            <w:r>
              <w:rPr>
                <w:w w:val="120"/>
                <w:sz w:val="16"/>
              </w:rPr>
              <w:t>3,781</w:t>
            </w:r>
          </w:p>
        </w:tc>
      </w:tr>
      <w:tr>
        <w:trPr>
          <w:trHeight w:val="327" w:hRule="exact"/>
        </w:trPr>
        <w:tc>
          <w:tcPr>
            <w:tcW w:w="5073" w:type="dxa"/>
          </w:tcPr>
          <w:p>
            <w:pPr>
              <w:pStyle w:val="TableParagraph"/>
              <w:spacing w:before="108"/>
              <w:ind w:left="32"/>
              <w:rPr>
                <w:rFonts w:ascii="Franklin Gothic Medium"/>
                <w:sz w:val="16"/>
              </w:rPr>
            </w:pPr>
            <w:r>
              <w:rPr>
                <w:rFonts w:ascii="Franklin Gothic Medium"/>
                <w:sz w:val="16"/>
              </w:rPr>
              <w:t>INCOME  BEFORE  TAXES  AND  CUMULATIVE  EFFECT  OF    CHANGE</w:t>
            </w:r>
          </w:p>
        </w:tc>
        <w:tc>
          <w:tcPr>
            <w:tcW w:w="1605" w:type="dxa"/>
          </w:tcPr>
          <w:p>
            <w:pPr/>
          </w:p>
        </w:tc>
        <w:tc>
          <w:tcPr>
            <w:tcW w:w="155" w:type="dxa"/>
          </w:tcPr>
          <w:p>
            <w:pPr/>
          </w:p>
        </w:tc>
        <w:tc>
          <w:tcPr>
            <w:tcW w:w="1425" w:type="dxa"/>
          </w:tcPr>
          <w:p>
            <w:pPr/>
          </w:p>
        </w:tc>
        <w:tc>
          <w:tcPr>
            <w:tcW w:w="175" w:type="dxa"/>
          </w:tcPr>
          <w:p>
            <w:pPr/>
          </w:p>
        </w:tc>
        <w:tc>
          <w:tcPr>
            <w:tcW w:w="1577" w:type="dxa"/>
          </w:tcPr>
          <w:p>
            <w:pPr/>
          </w:p>
        </w:tc>
      </w:tr>
      <w:tr>
        <w:trPr>
          <w:trHeight w:val="273" w:hRule="exact"/>
        </w:trPr>
        <w:tc>
          <w:tcPr>
            <w:tcW w:w="5073" w:type="dxa"/>
          </w:tcPr>
          <w:p>
            <w:pPr>
              <w:pStyle w:val="TableParagraph"/>
              <w:spacing w:before="41"/>
              <w:ind w:left="212"/>
              <w:rPr>
                <w:rFonts w:ascii="Franklin Gothic Medium"/>
                <w:sz w:val="16"/>
              </w:rPr>
            </w:pPr>
            <w:r>
              <w:rPr>
                <w:rFonts w:ascii="Franklin Gothic Medium"/>
                <w:sz w:val="16"/>
              </w:rPr>
              <w:t>IN   ACCOUNTING  PRINCIPLE</w:t>
            </w:r>
          </w:p>
        </w:tc>
        <w:tc>
          <w:tcPr>
            <w:tcW w:w="1605" w:type="dxa"/>
          </w:tcPr>
          <w:p>
            <w:pPr>
              <w:pStyle w:val="TableParagraph"/>
              <w:spacing w:before="22"/>
              <w:ind w:left="579"/>
              <w:rPr>
                <w:rFonts w:ascii="Franklin Gothic Medium"/>
                <w:sz w:val="18"/>
              </w:rPr>
            </w:pPr>
            <w:r>
              <w:rPr>
                <w:rFonts w:ascii="Franklin Gothic Medium"/>
                <w:sz w:val="18"/>
              </w:rPr>
              <w:t>392,682</w:t>
            </w:r>
          </w:p>
        </w:tc>
        <w:tc>
          <w:tcPr>
            <w:tcW w:w="1580" w:type="dxa"/>
            <w:gridSpan w:val="2"/>
          </w:tcPr>
          <w:p>
            <w:pPr>
              <w:pStyle w:val="TableParagraph"/>
              <w:spacing w:before="35"/>
              <w:ind w:left="739"/>
              <w:rPr>
                <w:sz w:val="16"/>
              </w:rPr>
            </w:pPr>
            <w:r>
              <w:rPr>
                <w:w w:val="120"/>
                <w:sz w:val="16"/>
              </w:rPr>
              <w:t>827,659</w:t>
            </w:r>
          </w:p>
        </w:tc>
        <w:tc>
          <w:tcPr>
            <w:tcW w:w="1753" w:type="dxa"/>
            <w:gridSpan w:val="2"/>
          </w:tcPr>
          <w:p>
            <w:pPr>
              <w:pStyle w:val="TableParagraph"/>
              <w:spacing w:before="35"/>
              <w:ind w:left="718"/>
              <w:rPr>
                <w:sz w:val="16"/>
              </w:rPr>
            </w:pPr>
            <w:r>
              <w:rPr>
                <w:w w:val="120"/>
                <w:sz w:val="16"/>
              </w:rPr>
              <w:t>1,017,364</w:t>
            </w:r>
          </w:p>
        </w:tc>
      </w:tr>
      <w:tr>
        <w:trPr>
          <w:trHeight w:val="299" w:hRule="exact"/>
        </w:trPr>
        <w:tc>
          <w:tcPr>
            <w:tcW w:w="5073" w:type="dxa"/>
          </w:tcPr>
          <w:p>
            <w:pPr>
              <w:pStyle w:val="TableParagraph"/>
              <w:spacing w:before="48"/>
              <w:ind w:left="32"/>
              <w:rPr>
                <w:rFonts w:ascii="Franklin Gothic Medium"/>
                <w:sz w:val="16"/>
              </w:rPr>
            </w:pPr>
            <w:r>
              <w:rPr>
                <w:rFonts w:ascii="Franklin Gothic Medium"/>
                <w:sz w:val="16"/>
              </w:rPr>
              <w:t>PROVISION  FOR  INCOME  TAXES</w:t>
            </w:r>
          </w:p>
        </w:tc>
        <w:tc>
          <w:tcPr>
            <w:tcW w:w="1605" w:type="dxa"/>
          </w:tcPr>
          <w:p>
            <w:pPr>
              <w:pStyle w:val="TableParagraph"/>
              <w:tabs>
                <w:tab w:pos="57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151,713</w:t>
              <w:tab/>
            </w:r>
          </w:p>
        </w:tc>
        <w:tc>
          <w:tcPr>
            <w:tcW w:w="1580" w:type="dxa"/>
            <w:gridSpan w:val="2"/>
          </w:tcPr>
          <w:p>
            <w:pPr>
              <w:pStyle w:val="TableParagraph"/>
              <w:tabs>
                <w:tab w:pos="737" w:val="left" w:leader="none"/>
                <w:tab w:pos="1579" w:val="left" w:leader="none"/>
              </w:tabs>
              <w:spacing w:before="42"/>
              <w:ind w:left="155"/>
              <w:rPr>
                <w:sz w:val="16"/>
              </w:rPr>
            </w:pPr>
            <w:r>
              <w:rPr>
                <w:w w:val="132"/>
                <w:sz w:val="16"/>
                <w:u w:val="single"/>
              </w:rPr>
              <w:t> </w:t>
            </w:r>
            <w:r>
              <w:rPr>
                <w:sz w:val="16"/>
                <w:u w:val="single"/>
              </w:rPr>
              <w:tab/>
            </w:r>
            <w:r>
              <w:rPr>
                <w:spacing w:val="-5"/>
                <w:w w:val="120"/>
                <w:sz w:val="16"/>
                <w:u w:val="single"/>
              </w:rPr>
              <w:t>316,512</w:t>
            </w:r>
            <w:r>
              <w:rPr>
                <w:spacing w:val="-5"/>
                <w:sz w:val="16"/>
                <w:u w:val="single"/>
              </w:rPr>
              <w:tab/>
            </w:r>
          </w:p>
        </w:tc>
        <w:tc>
          <w:tcPr>
            <w:tcW w:w="1753" w:type="dxa"/>
            <w:gridSpan w:val="2"/>
          </w:tcPr>
          <w:p>
            <w:pPr>
              <w:pStyle w:val="TableParagraph"/>
              <w:tabs>
                <w:tab w:pos="857" w:val="left" w:leader="none"/>
                <w:tab w:pos="1719" w:val="left" w:leader="none"/>
              </w:tabs>
              <w:spacing w:before="42"/>
              <w:ind w:left="175"/>
              <w:rPr>
                <w:sz w:val="16"/>
              </w:rPr>
            </w:pPr>
            <w:r>
              <w:rPr>
                <w:w w:val="132"/>
                <w:sz w:val="16"/>
                <w:u w:val="single"/>
              </w:rPr>
              <w:t> </w:t>
            </w:r>
            <w:r>
              <w:rPr>
                <w:sz w:val="16"/>
                <w:u w:val="single"/>
              </w:rPr>
              <w:tab/>
            </w:r>
            <w:r>
              <w:rPr>
                <w:spacing w:val="-5"/>
                <w:w w:val="120"/>
                <w:sz w:val="16"/>
                <w:u w:val="single"/>
              </w:rPr>
              <w:t>392,140</w:t>
            </w:r>
            <w:r>
              <w:rPr>
                <w:spacing w:val="-5"/>
                <w:sz w:val="16"/>
                <w:u w:val="single"/>
              </w:rPr>
              <w:tab/>
            </w:r>
          </w:p>
        </w:tc>
      </w:tr>
      <w:tr>
        <w:trPr>
          <w:trHeight w:val="504" w:hRule="exact"/>
        </w:trPr>
        <w:tc>
          <w:tcPr>
            <w:tcW w:w="5073" w:type="dxa"/>
          </w:tcPr>
          <w:p>
            <w:pPr>
              <w:pStyle w:val="TableParagraph"/>
              <w:spacing w:line="343" w:lineRule="auto" w:before="49"/>
              <w:ind w:left="212" w:right="664" w:hanging="180"/>
              <w:rPr>
                <w:rFonts w:ascii="Franklin Gothic Medium"/>
                <w:sz w:val="16"/>
              </w:rPr>
            </w:pPr>
            <w:r>
              <w:rPr>
                <w:rFonts w:ascii="Franklin Gothic Medium"/>
                <w:sz w:val="16"/>
              </w:rPr>
              <w:t>INCOME BEFORE CUMULATIVE EFFECT OF CHANGE IN ACCOUNTING  PRINCIPLE</w:t>
            </w:r>
          </w:p>
        </w:tc>
        <w:tc>
          <w:tcPr>
            <w:tcW w:w="1605" w:type="dxa"/>
          </w:tcPr>
          <w:p>
            <w:pPr>
              <w:pStyle w:val="TableParagraph"/>
              <w:spacing w:before="10"/>
              <w:rPr>
                <w:sz w:val="23"/>
              </w:rPr>
            </w:pPr>
          </w:p>
          <w:p>
            <w:pPr>
              <w:pStyle w:val="TableParagraph"/>
              <w:ind w:left="579"/>
              <w:rPr>
                <w:rFonts w:ascii="Franklin Gothic Medium"/>
                <w:sz w:val="18"/>
              </w:rPr>
            </w:pPr>
            <w:r>
              <w:rPr>
                <w:rFonts w:ascii="Franklin Gothic Medium"/>
                <w:sz w:val="18"/>
              </w:rPr>
              <w:t>240,969</w:t>
            </w:r>
          </w:p>
        </w:tc>
        <w:tc>
          <w:tcPr>
            <w:tcW w:w="1580" w:type="dxa"/>
            <w:gridSpan w:val="2"/>
          </w:tcPr>
          <w:p>
            <w:pPr>
              <w:pStyle w:val="TableParagraph"/>
              <w:spacing w:before="10"/>
              <w:rPr>
                <w:sz w:val="24"/>
              </w:rPr>
            </w:pPr>
          </w:p>
          <w:p>
            <w:pPr>
              <w:pStyle w:val="TableParagraph"/>
              <w:spacing w:before="1"/>
              <w:ind w:left="737"/>
              <w:rPr>
                <w:sz w:val="16"/>
              </w:rPr>
            </w:pPr>
            <w:r>
              <w:rPr>
                <w:w w:val="120"/>
                <w:sz w:val="16"/>
              </w:rPr>
              <w:t>511,147</w:t>
            </w:r>
          </w:p>
        </w:tc>
        <w:tc>
          <w:tcPr>
            <w:tcW w:w="1753" w:type="dxa"/>
            <w:gridSpan w:val="2"/>
          </w:tcPr>
          <w:p>
            <w:pPr>
              <w:pStyle w:val="TableParagraph"/>
              <w:spacing w:before="10"/>
              <w:rPr>
                <w:sz w:val="24"/>
              </w:rPr>
            </w:pPr>
          </w:p>
          <w:p>
            <w:pPr>
              <w:pStyle w:val="TableParagraph"/>
              <w:spacing w:before="1"/>
              <w:ind w:left="857"/>
              <w:rPr>
                <w:sz w:val="16"/>
              </w:rPr>
            </w:pPr>
            <w:r>
              <w:rPr>
                <w:w w:val="120"/>
                <w:sz w:val="16"/>
              </w:rPr>
              <w:t>625,224</w:t>
            </w:r>
          </w:p>
        </w:tc>
      </w:tr>
      <w:tr>
        <w:trPr>
          <w:trHeight w:val="305" w:hRule="exact"/>
        </w:trPr>
        <w:tc>
          <w:tcPr>
            <w:tcW w:w="5073" w:type="dxa"/>
          </w:tcPr>
          <w:p>
            <w:pPr>
              <w:pStyle w:val="TableParagraph"/>
              <w:spacing w:before="85"/>
              <w:ind w:left="32"/>
              <w:rPr>
                <w:rFonts w:ascii="Franklin Gothic Medium"/>
                <w:sz w:val="16"/>
              </w:rPr>
            </w:pPr>
            <w:r>
              <w:rPr>
                <w:rFonts w:ascii="Franklin Gothic Medium"/>
                <w:sz w:val="16"/>
              </w:rPr>
              <w:t>CUMULATIVE  EFFECT  OF   CHANGE  IN   ACCOUNTING  PRINCIPLE,</w:t>
            </w:r>
          </w:p>
        </w:tc>
        <w:tc>
          <w:tcPr>
            <w:tcW w:w="1605" w:type="dxa"/>
          </w:tcPr>
          <w:p>
            <w:pPr/>
          </w:p>
        </w:tc>
        <w:tc>
          <w:tcPr>
            <w:tcW w:w="155" w:type="dxa"/>
          </w:tcPr>
          <w:p>
            <w:pPr/>
          </w:p>
        </w:tc>
        <w:tc>
          <w:tcPr>
            <w:tcW w:w="1425" w:type="dxa"/>
          </w:tcPr>
          <w:p>
            <w:pPr/>
          </w:p>
        </w:tc>
        <w:tc>
          <w:tcPr>
            <w:tcW w:w="175" w:type="dxa"/>
          </w:tcPr>
          <w:p>
            <w:pPr/>
          </w:p>
        </w:tc>
        <w:tc>
          <w:tcPr>
            <w:tcW w:w="1577" w:type="dxa"/>
          </w:tcPr>
          <w:p>
            <w:pPr/>
          </w:p>
        </w:tc>
      </w:tr>
      <w:tr>
        <w:trPr>
          <w:trHeight w:val="283" w:hRule="exact"/>
        </w:trPr>
        <w:tc>
          <w:tcPr>
            <w:tcW w:w="5073" w:type="dxa"/>
          </w:tcPr>
          <w:p>
            <w:pPr>
              <w:pStyle w:val="TableParagraph"/>
              <w:spacing w:before="41"/>
              <w:ind w:left="212"/>
              <w:rPr>
                <w:rFonts w:ascii="Franklin Gothic Medium"/>
                <w:sz w:val="16"/>
              </w:rPr>
            </w:pPr>
            <w:r>
              <w:rPr>
                <w:rFonts w:ascii="Franklin Gothic Medium"/>
                <w:sz w:val="16"/>
              </w:rPr>
              <w:t>NET  OF INCOME  TAXES</w:t>
            </w:r>
          </w:p>
        </w:tc>
        <w:tc>
          <w:tcPr>
            <w:tcW w:w="1605" w:type="dxa"/>
          </w:tcPr>
          <w:p>
            <w:pPr>
              <w:pStyle w:val="TableParagraph"/>
              <w:tabs>
                <w:tab w:pos="939" w:val="left" w:leader="none"/>
                <w:tab w:pos="1604" w:val="left" w:leader="none"/>
              </w:tabs>
              <w:spacing w:before="22"/>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35"/>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899" w:val="left" w:leader="none"/>
                <w:tab w:pos="1719" w:val="left" w:leader="none"/>
              </w:tabs>
              <w:spacing w:before="35"/>
              <w:ind w:left="175"/>
              <w:rPr>
                <w:sz w:val="16"/>
              </w:rPr>
            </w:pPr>
            <w:r>
              <w:rPr>
                <w:w w:val="132"/>
                <w:sz w:val="16"/>
                <w:u w:val="single"/>
              </w:rPr>
              <w:t> </w:t>
            </w:r>
            <w:r>
              <w:rPr>
                <w:sz w:val="16"/>
                <w:u w:val="single"/>
              </w:rPr>
              <w:tab/>
            </w:r>
            <w:r>
              <w:rPr>
                <w:spacing w:val="-4"/>
                <w:w w:val="115"/>
                <w:sz w:val="16"/>
                <w:u w:val="single"/>
              </w:rPr>
              <w:t>(22,131)</w:t>
            </w:r>
            <w:r>
              <w:rPr>
                <w:spacing w:val="-4"/>
                <w:sz w:val="16"/>
                <w:u w:val="single"/>
              </w:rPr>
              <w:tab/>
            </w:r>
          </w:p>
        </w:tc>
      </w:tr>
      <w:tr>
        <w:trPr>
          <w:trHeight w:val="309" w:hRule="exact"/>
        </w:trPr>
        <w:tc>
          <w:tcPr>
            <w:tcW w:w="5073" w:type="dxa"/>
          </w:tcPr>
          <w:p>
            <w:pPr>
              <w:pStyle w:val="TableParagraph"/>
              <w:spacing w:before="58"/>
              <w:ind w:left="32"/>
              <w:rPr>
                <w:rFonts w:ascii="Franklin Gothic Medium"/>
                <w:sz w:val="16"/>
              </w:rPr>
            </w:pPr>
            <w:r>
              <w:rPr>
                <w:rFonts w:ascii="Franklin Gothic Medium"/>
                <w:sz w:val="16"/>
              </w:rPr>
              <w:t>NET  INCOME</w:t>
            </w:r>
          </w:p>
        </w:tc>
        <w:tc>
          <w:tcPr>
            <w:tcW w:w="1605" w:type="dxa"/>
          </w:tcPr>
          <w:p>
            <w:pPr>
              <w:pStyle w:val="TableParagraph"/>
              <w:tabs>
                <w:tab w:pos="57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  </w:t>
            </w:r>
            <w:r>
              <w:rPr>
                <w:rFonts w:ascii="Franklin Gothic Medium"/>
                <w:spacing w:val="-8"/>
                <w:sz w:val="18"/>
                <w:u w:val="single"/>
              </w:rPr>
              <w:t> </w:t>
            </w:r>
            <w:r>
              <w:rPr>
                <w:rFonts w:ascii="Franklin Gothic Medium"/>
                <w:sz w:val="18"/>
                <w:u w:val="single"/>
              </w:rPr>
              <w:t>$</w:t>
              <w:tab/>
            </w:r>
            <w:r>
              <w:rPr>
                <w:rFonts w:ascii="Franklin Gothic Medium"/>
                <w:spacing w:val="2"/>
                <w:sz w:val="18"/>
                <w:u w:val="single"/>
              </w:rPr>
              <w:t>240,969</w:t>
              <w:tab/>
            </w:r>
          </w:p>
        </w:tc>
        <w:tc>
          <w:tcPr>
            <w:tcW w:w="1580" w:type="dxa"/>
            <w:gridSpan w:val="2"/>
          </w:tcPr>
          <w:p>
            <w:pPr>
              <w:pStyle w:val="TableParagraph"/>
              <w:tabs>
                <w:tab w:pos="415" w:val="left" w:leader="none"/>
                <w:tab w:pos="731"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r>
            <w:r>
              <w:rPr>
                <w:spacing w:val="-4"/>
                <w:w w:val="120"/>
                <w:sz w:val="16"/>
                <w:u w:val="single"/>
              </w:rPr>
              <w:t>511,147</w:t>
            </w:r>
            <w:r>
              <w:rPr>
                <w:spacing w:val="-4"/>
                <w:sz w:val="16"/>
                <w:u w:val="single"/>
              </w:rPr>
              <w:tab/>
            </w:r>
          </w:p>
        </w:tc>
        <w:tc>
          <w:tcPr>
            <w:tcW w:w="1753" w:type="dxa"/>
            <w:gridSpan w:val="2"/>
          </w:tcPr>
          <w:p>
            <w:pPr>
              <w:pStyle w:val="TableParagraph"/>
              <w:tabs>
                <w:tab w:pos="535" w:val="left" w:leader="none"/>
                <w:tab w:pos="836"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r>
            <w:r>
              <w:rPr>
                <w:spacing w:val="-5"/>
                <w:w w:val="120"/>
                <w:sz w:val="16"/>
                <w:u w:val="single"/>
              </w:rPr>
              <w:t>603,</w:t>
            </w:r>
            <w:r>
              <w:rPr>
                <w:spacing w:val="-29"/>
                <w:w w:val="120"/>
                <w:sz w:val="16"/>
                <w:u w:val="single"/>
              </w:rPr>
              <w:t> </w:t>
            </w:r>
            <w:r>
              <w:rPr>
                <w:spacing w:val="-3"/>
                <w:w w:val="120"/>
                <w:sz w:val="16"/>
                <w:u w:val="single"/>
              </w:rPr>
              <w:t>093</w:t>
            </w:r>
            <w:r>
              <w:rPr>
                <w:spacing w:val="-3"/>
                <w:sz w:val="16"/>
                <w:u w:val="single"/>
              </w:rPr>
              <w:tab/>
            </w:r>
          </w:p>
        </w:tc>
      </w:tr>
      <w:tr>
        <w:trPr>
          <w:trHeight w:val="541" w:hRule="exact"/>
        </w:trPr>
        <w:tc>
          <w:tcPr>
            <w:tcW w:w="5073" w:type="dxa"/>
          </w:tcPr>
          <w:p>
            <w:pPr>
              <w:pStyle w:val="TableParagraph"/>
              <w:spacing w:line="343" w:lineRule="auto" w:before="49"/>
              <w:ind w:left="212" w:right="308" w:hanging="180"/>
              <w:rPr>
                <w:rFonts w:ascii="Franklin Gothic Medium"/>
                <w:sz w:val="16"/>
              </w:rPr>
            </w:pPr>
            <w:r>
              <w:rPr>
                <w:rFonts w:ascii="Franklin Gothic Medium"/>
                <w:spacing w:val="2"/>
                <w:sz w:val="16"/>
              </w:rPr>
              <w:t>NET </w:t>
            </w:r>
            <w:r>
              <w:rPr>
                <w:rFonts w:ascii="Franklin Gothic Medium"/>
                <w:spacing w:val="3"/>
                <w:sz w:val="16"/>
              </w:rPr>
              <w:t>INCOME </w:t>
            </w:r>
            <w:r>
              <w:rPr>
                <w:rFonts w:ascii="Franklin Gothic Medium"/>
                <w:spacing w:val="2"/>
                <w:sz w:val="16"/>
              </w:rPr>
              <w:t>PER </w:t>
            </w:r>
            <w:r>
              <w:rPr>
                <w:rFonts w:ascii="Franklin Gothic Medium"/>
                <w:spacing w:val="3"/>
                <w:sz w:val="16"/>
              </w:rPr>
              <w:t>SHARE, BASIC  BEFORE  CUMULATIVE  </w:t>
            </w:r>
            <w:r>
              <w:rPr>
                <w:rFonts w:ascii="Franklin Gothic Medium"/>
                <w:spacing w:val="4"/>
                <w:sz w:val="16"/>
              </w:rPr>
              <w:t>EFFECT  </w:t>
            </w:r>
            <w:r>
              <w:rPr>
                <w:rFonts w:ascii="Franklin Gothic Medium"/>
                <w:sz w:val="16"/>
              </w:rPr>
              <w:t>OF  </w:t>
            </w:r>
            <w:r>
              <w:rPr>
                <w:rFonts w:ascii="Franklin Gothic Medium"/>
                <w:spacing w:val="3"/>
                <w:sz w:val="16"/>
              </w:rPr>
              <w:t>CHANGE  </w:t>
            </w:r>
            <w:r>
              <w:rPr>
                <w:rFonts w:ascii="Franklin Gothic Medium"/>
                <w:sz w:val="16"/>
              </w:rPr>
              <w:t>IN  </w:t>
            </w:r>
            <w:r>
              <w:rPr>
                <w:rFonts w:ascii="Franklin Gothic Medium"/>
                <w:spacing w:val="3"/>
                <w:sz w:val="16"/>
              </w:rPr>
              <w:t>ACCOUNTING  </w:t>
            </w:r>
            <w:r>
              <w:rPr>
                <w:rFonts w:ascii="Franklin Gothic Medium"/>
                <w:spacing w:val="19"/>
                <w:sz w:val="16"/>
              </w:rPr>
              <w:t> </w:t>
            </w:r>
            <w:r>
              <w:rPr>
                <w:rFonts w:ascii="Franklin Gothic Medium"/>
                <w:spacing w:val="4"/>
                <w:sz w:val="16"/>
              </w:rPr>
              <w:t>PRINCIPLE</w:t>
            </w:r>
          </w:p>
        </w:tc>
        <w:tc>
          <w:tcPr>
            <w:tcW w:w="1605" w:type="dxa"/>
          </w:tcPr>
          <w:p>
            <w:pPr>
              <w:pStyle w:val="TableParagraph"/>
              <w:spacing w:before="10"/>
              <w:rPr>
                <w:sz w:val="23"/>
              </w:rPr>
            </w:pPr>
          </w:p>
          <w:p>
            <w:pPr>
              <w:pStyle w:val="TableParagraph"/>
              <w:tabs>
                <w:tab w:pos="1099" w:val="left" w:leader="none"/>
              </w:tabs>
              <w:ind w:left="520"/>
              <w:rPr>
                <w:rFonts w:ascii="Franklin Gothic Medium"/>
                <w:sz w:val="18"/>
              </w:rPr>
            </w:pPr>
            <w:r>
              <w:rPr>
                <w:rFonts w:ascii="Franklin Gothic Medium"/>
                <w:sz w:val="18"/>
              </w:rPr>
              <w:t>$</w:t>
              <w:tab/>
              <w:t>.31</w:t>
            </w:r>
          </w:p>
        </w:tc>
        <w:tc>
          <w:tcPr>
            <w:tcW w:w="1580" w:type="dxa"/>
            <w:gridSpan w:val="2"/>
          </w:tcPr>
          <w:p>
            <w:pPr>
              <w:pStyle w:val="TableParagraph"/>
              <w:spacing w:before="10"/>
              <w:rPr>
                <w:sz w:val="24"/>
              </w:rPr>
            </w:pPr>
          </w:p>
          <w:p>
            <w:pPr>
              <w:pStyle w:val="TableParagraph"/>
              <w:tabs>
                <w:tab w:pos="1057" w:val="left" w:leader="none"/>
              </w:tabs>
              <w:spacing w:before="1"/>
              <w:ind w:left="635"/>
              <w:rPr>
                <w:sz w:val="16"/>
              </w:rPr>
            </w:pPr>
            <w:r>
              <w:rPr>
                <w:w w:val="120"/>
                <w:sz w:val="16"/>
              </w:rPr>
              <w:t>$</w:t>
              <w:tab/>
            </w:r>
            <w:r>
              <w:rPr>
                <w:spacing w:val="-2"/>
                <w:w w:val="120"/>
                <w:sz w:val="16"/>
              </w:rPr>
              <w:t>.67</w:t>
            </w:r>
          </w:p>
        </w:tc>
        <w:tc>
          <w:tcPr>
            <w:tcW w:w="1753" w:type="dxa"/>
            <w:gridSpan w:val="2"/>
          </w:tcPr>
          <w:p>
            <w:pPr>
              <w:pStyle w:val="TableParagraph"/>
              <w:spacing w:before="10"/>
              <w:rPr>
                <w:sz w:val="24"/>
              </w:rPr>
            </w:pPr>
          </w:p>
          <w:p>
            <w:pPr>
              <w:pStyle w:val="TableParagraph"/>
              <w:tabs>
                <w:tab w:pos="1246" w:val="left" w:leader="none"/>
              </w:tabs>
              <w:spacing w:before="1"/>
              <w:ind w:left="775"/>
              <w:rPr>
                <w:sz w:val="16"/>
              </w:rPr>
            </w:pPr>
            <w:r>
              <w:rPr>
                <w:w w:val="120"/>
                <w:sz w:val="16"/>
              </w:rPr>
              <w:t>$</w:t>
              <w:tab/>
            </w:r>
            <w:r>
              <w:rPr>
                <w:spacing w:val="-6"/>
                <w:w w:val="120"/>
                <w:sz w:val="16"/>
              </w:rPr>
              <w:t>.84</w:t>
            </w:r>
          </w:p>
        </w:tc>
      </w:tr>
      <w:tr>
        <w:trPr>
          <w:trHeight w:val="290" w:hRule="exact"/>
        </w:trPr>
        <w:tc>
          <w:tcPr>
            <w:tcW w:w="5073" w:type="dxa"/>
          </w:tcPr>
          <w:p>
            <w:pPr>
              <w:pStyle w:val="TableParagraph"/>
              <w:spacing w:before="48"/>
              <w:ind w:left="32"/>
              <w:rPr>
                <w:rFonts w:ascii="Franklin Gothic Medium"/>
                <w:sz w:val="16"/>
              </w:rPr>
            </w:pPr>
            <w:r>
              <w:rPr>
                <w:rFonts w:ascii="Franklin Gothic Medium"/>
                <w:sz w:val="16"/>
              </w:rPr>
              <w:t>CUMULATIVE  EFFECT  OF   CHANGE  IN   ACCOUNTING  PRINCIPLE</w:t>
            </w:r>
          </w:p>
        </w:tc>
        <w:tc>
          <w:tcPr>
            <w:tcW w:w="1605" w:type="dxa"/>
          </w:tcPr>
          <w:p>
            <w:pPr>
              <w:pStyle w:val="TableParagraph"/>
              <w:tabs>
                <w:tab w:pos="9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42"/>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1184" w:val="left" w:leader="none"/>
                <w:tab w:pos="1719" w:val="left" w:leader="none"/>
              </w:tabs>
              <w:spacing w:before="42"/>
              <w:ind w:left="175"/>
              <w:rPr>
                <w:sz w:val="16"/>
              </w:rPr>
            </w:pPr>
            <w:r>
              <w:rPr>
                <w:w w:val="132"/>
                <w:sz w:val="16"/>
                <w:u w:val="single"/>
              </w:rPr>
              <w:t> </w:t>
            </w:r>
            <w:r>
              <w:rPr>
                <w:sz w:val="16"/>
                <w:u w:val="single"/>
              </w:rPr>
              <w:tab/>
            </w:r>
            <w:r>
              <w:rPr>
                <w:w w:val="110"/>
                <w:sz w:val="16"/>
                <w:u w:val="single"/>
              </w:rPr>
              <w:t>(.03)</w:t>
            </w:r>
            <w:r>
              <w:rPr>
                <w:sz w:val="16"/>
                <w:u w:val="single"/>
              </w:rPr>
              <w:tab/>
            </w:r>
          </w:p>
        </w:tc>
      </w:tr>
      <w:tr>
        <w:trPr>
          <w:trHeight w:val="309" w:hRule="exact"/>
        </w:trPr>
        <w:tc>
          <w:tcPr>
            <w:tcW w:w="5073" w:type="dxa"/>
          </w:tcPr>
          <w:p>
            <w:pPr>
              <w:pStyle w:val="TableParagraph"/>
              <w:spacing w:before="58"/>
              <w:ind w:left="32"/>
              <w:rPr>
                <w:rFonts w:ascii="Franklin Gothic Medium"/>
                <w:sz w:val="16"/>
              </w:rPr>
            </w:pPr>
            <w:r>
              <w:rPr>
                <w:rFonts w:ascii="Franklin Gothic Medium"/>
                <w:sz w:val="16"/>
              </w:rPr>
              <w:t>NET  INCOME  PER  SHARE,  BASIC</w:t>
            </w:r>
          </w:p>
        </w:tc>
        <w:tc>
          <w:tcPr>
            <w:tcW w:w="1605" w:type="dxa"/>
          </w:tcPr>
          <w:p>
            <w:pPr>
              <w:pStyle w:val="TableParagraph"/>
              <w:tabs>
                <w:tab w:pos="519" w:val="left" w:leader="none"/>
                <w:tab w:pos="109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t>$</w:t>
              <w:tab/>
              <w:t>.31</w:t>
              <w:tab/>
            </w:r>
          </w:p>
        </w:tc>
        <w:tc>
          <w:tcPr>
            <w:tcW w:w="1580" w:type="dxa"/>
            <w:gridSpan w:val="2"/>
          </w:tcPr>
          <w:p>
            <w:pPr>
              <w:pStyle w:val="TableParagraph"/>
              <w:tabs>
                <w:tab w:pos="635" w:val="left" w:leader="none"/>
                <w:tab w:pos="1060"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t>.67</w:t>
            </w:r>
            <w:r>
              <w:rPr>
                <w:sz w:val="16"/>
                <w:u w:val="single"/>
              </w:rPr>
              <w:tab/>
            </w:r>
          </w:p>
        </w:tc>
        <w:tc>
          <w:tcPr>
            <w:tcW w:w="1753" w:type="dxa"/>
            <w:gridSpan w:val="2"/>
          </w:tcPr>
          <w:p>
            <w:pPr>
              <w:pStyle w:val="TableParagraph"/>
              <w:tabs>
                <w:tab w:pos="718" w:val="left" w:leader="none"/>
                <w:tab w:pos="1237"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t>.81</w:t>
            </w:r>
            <w:r>
              <w:rPr>
                <w:sz w:val="16"/>
                <w:u w:val="single"/>
              </w:rPr>
              <w:tab/>
            </w:r>
          </w:p>
        </w:tc>
      </w:tr>
      <w:tr>
        <w:trPr>
          <w:trHeight w:val="541" w:hRule="exact"/>
        </w:trPr>
        <w:tc>
          <w:tcPr>
            <w:tcW w:w="5073" w:type="dxa"/>
          </w:tcPr>
          <w:p>
            <w:pPr>
              <w:pStyle w:val="TableParagraph"/>
              <w:spacing w:line="343" w:lineRule="auto" w:before="49"/>
              <w:ind w:left="212" w:right="664" w:hanging="180"/>
              <w:rPr>
                <w:rFonts w:ascii="Franklin Gothic Medium"/>
                <w:sz w:val="16"/>
              </w:rPr>
            </w:pPr>
            <w:r>
              <w:rPr>
                <w:rFonts w:ascii="Franklin Gothic Medium"/>
                <w:sz w:val="16"/>
              </w:rPr>
              <w:t>NET INCOME PER SHARE, DILUTED BEFORE CUMULATIVE EFFECT  OF  CHANGE  IN  ACCOUNTING   PRINCIPLE</w:t>
            </w:r>
          </w:p>
        </w:tc>
        <w:tc>
          <w:tcPr>
            <w:tcW w:w="1605" w:type="dxa"/>
          </w:tcPr>
          <w:p>
            <w:pPr>
              <w:pStyle w:val="TableParagraph"/>
              <w:spacing w:before="10"/>
              <w:rPr>
                <w:sz w:val="23"/>
              </w:rPr>
            </w:pPr>
          </w:p>
          <w:p>
            <w:pPr>
              <w:pStyle w:val="TableParagraph"/>
              <w:tabs>
                <w:tab w:pos="1099" w:val="left" w:leader="none"/>
              </w:tabs>
              <w:ind w:left="520"/>
              <w:rPr>
                <w:rFonts w:ascii="Franklin Gothic Medium"/>
                <w:sz w:val="18"/>
              </w:rPr>
            </w:pPr>
            <w:r>
              <w:rPr>
                <w:rFonts w:ascii="Franklin Gothic Medium"/>
                <w:sz w:val="18"/>
              </w:rPr>
              <w:t>$</w:t>
              <w:tab/>
              <w:t>.30</w:t>
            </w:r>
          </w:p>
        </w:tc>
        <w:tc>
          <w:tcPr>
            <w:tcW w:w="1580" w:type="dxa"/>
            <w:gridSpan w:val="2"/>
          </w:tcPr>
          <w:p>
            <w:pPr>
              <w:pStyle w:val="TableParagraph"/>
              <w:spacing w:before="10"/>
              <w:rPr>
                <w:sz w:val="24"/>
              </w:rPr>
            </w:pPr>
          </w:p>
          <w:p>
            <w:pPr>
              <w:pStyle w:val="TableParagraph"/>
              <w:tabs>
                <w:tab w:pos="1060" w:val="left" w:leader="none"/>
              </w:tabs>
              <w:spacing w:before="1"/>
              <w:ind w:left="635"/>
              <w:rPr>
                <w:sz w:val="16"/>
              </w:rPr>
            </w:pPr>
            <w:r>
              <w:rPr>
                <w:w w:val="120"/>
                <w:sz w:val="16"/>
              </w:rPr>
              <w:t>$</w:t>
              <w:tab/>
              <w:t>.63</w:t>
            </w:r>
          </w:p>
        </w:tc>
        <w:tc>
          <w:tcPr>
            <w:tcW w:w="1753" w:type="dxa"/>
            <w:gridSpan w:val="2"/>
          </w:tcPr>
          <w:p>
            <w:pPr>
              <w:pStyle w:val="TableParagraph"/>
              <w:spacing w:before="10"/>
              <w:rPr>
                <w:sz w:val="24"/>
              </w:rPr>
            </w:pPr>
          </w:p>
          <w:p>
            <w:pPr>
              <w:pStyle w:val="TableParagraph"/>
              <w:tabs>
                <w:tab w:pos="1237" w:val="left" w:leader="none"/>
              </w:tabs>
              <w:spacing w:before="1"/>
              <w:ind w:left="718"/>
              <w:rPr>
                <w:sz w:val="16"/>
              </w:rPr>
            </w:pPr>
            <w:r>
              <w:rPr>
                <w:w w:val="120"/>
                <w:sz w:val="16"/>
              </w:rPr>
              <w:t>$</w:t>
              <w:tab/>
              <w:t>.79</w:t>
            </w:r>
          </w:p>
        </w:tc>
      </w:tr>
      <w:tr>
        <w:trPr>
          <w:trHeight w:val="290" w:hRule="exact"/>
        </w:trPr>
        <w:tc>
          <w:tcPr>
            <w:tcW w:w="5073" w:type="dxa"/>
          </w:tcPr>
          <w:p>
            <w:pPr>
              <w:pStyle w:val="TableParagraph"/>
              <w:spacing w:before="48"/>
              <w:ind w:left="32"/>
              <w:rPr>
                <w:rFonts w:ascii="Franklin Gothic Medium"/>
                <w:sz w:val="16"/>
              </w:rPr>
            </w:pPr>
            <w:r>
              <w:rPr>
                <w:rFonts w:ascii="Franklin Gothic Medium"/>
                <w:sz w:val="16"/>
              </w:rPr>
              <w:t>CUMULATIVE  EFFECT  OF   CHANGE  IN   ACCOUNTING  PRINCIPLE</w:t>
            </w:r>
          </w:p>
        </w:tc>
        <w:tc>
          <w:tcPr>
            <w:tcW w:w="1605" w:type="dxa"/>
          </w:tcPr>
          <w:p>
            <w:pPr>
              <w:pStyle w:val="TableParagraph"/>
              <w:tabs>
                <w:tab w:pos="939" w:val="left" w:leader="none"/>
                <w:tab w:pos="1604" w:val="left" w:leader="none"/>
              </w:tabs>
              <w:spacing w:before="30"/>
              <w:rPr>
                <w:rFonts w:ascii="Franklin Gothic Medium"/>
                <w:sz w:val="18"/>
              </w:rPr>
            </w:pPr>
            <w:r>
              <w:rPr>
                <w:rFonts w:ascii="Franklin Gothic Medium"/>
                <w:w w:val="116"/>
                <w:sz w:val="18"/>
                <w:u w:val="single"/>
              </w:rPr>
              <w:t> </w:t>
            </w:r>
            <w:r>
              <w:rPr>
                <w:rFonts w:ascii="Franklin Gothic Medium"/>
                <w:sz w:val="18"/>
                <w:u w:val="single"/>
              </w:rPr>
              <w:tab/>
              <w:t>-</w:t>
              <w:tab/>
            </w:r>
          </w:p>
        </w:tc>
        <w:tc>
          <w:tcPr>
            <w:tcW w:w="1580" w:type="dxa"/>
            <w:gridSpan w:val="2"/>
          </w:tcPr>
          <w:p>
            <w:pPr>
              <w:pStyle w:val="TableParagraph"/>
              <w:tabs>
                <w:tab w:pos="955" w:val="left" w:leader="none"/>
                <w:tab w:pos="1579" w:val="left" w:leader="none"/>
              </w:tabs>
              <w:spacing w:before="42"/>
              <w:ind w:left="155"/>
              <w:rPr>
                <w:sz w:val="16"/>
              </w:rPr>
            </w:pPr>
            <w:r>
              <w:rPr>
                <w:w w:val="132"/>
                <w:sz w:val="16"/>
                <w:u w:val="single"/>
              </w:rPr>
              <w:t> </w:t>
            </w:r>
            <w:r>
              <w:rPr>
                <w:sz w:val="16"/>
                <w:u w:val="single"/>
              </w:rPr>
              <w:tab/>
            </w:r>
            <w:r>
              <w:rPr>
                <w:w w:val="80"/>
                <w:sz w:val="16"/>
                <w:u w:val="single"/>
              </w:rPr>
              <w:t>-</w:t>
            </w:r>
            <w:r>
              <w:rPr>
                <w:sz w:val="16"/>
                <w:u w:val="single"/>
              </w:rPr>
              <w:tab/>
            </w:r>
          </w:p>
        </w:tc>
        <w:tc>
          <w:tcPr>
            <w:tcW w:w="1753" w:type="dxa"/>
            <w:gridSpan w:val="2"/>
          </w:tcPr>
          <w:p>
            <w:pPr>
              <w:pStyle w:val="TableParagraph"/>
              <w:tabs>
                <w:tab w:pos="1184" w:val="left" w:leader="none"/>
                <w:tab w:pos="1719" w:val="left" w:leader="none"/>
              </w:tabs>
              <w:spacing w:before="42"/>
              <w:ind w:left="175"/>
              <w:rPr>
                <w:sz w:val="16"/>
              </w:rPr>
            </w:pPr>
            <w:r>
              <w:rPr>
                <w:w w:val="132"/>
                <w:sz w:val="16"/>
                <w:u w:val="single"/>
              </w:rPr>
              <w:t> </w:t>
            </w:r>
            <w:r>
              <w:rPr>
                <w:sz w:val="16"/>
                <w:u w:val="single"/>
              </w:rPr>
              <w:tab/>
            </w:r>
            <w:r>
              <w:rPr>
                <w:w w:val="110"/>
                <w:sz w:val="16"/>
                <w:u w:val="single"/>
              </w:rPr>
              <w:t>(.03)</w:t>
            </w:r>
            <w:r>
              <w:rPr>
                <w:sz w:val="16"/>
                <w:u w:val="single"/>
              </w:rPr>
              <w:tab/>
            </w:r>
          </w:p>
        </w:tc>
      </w:tr>
      <w:tr>
        <w:trPr>
          <w:trHeight w:val="297" w:hRule="exact"/>
        </w:trPr>
        <w:tc>
          <w:tcPr>
            <w:tcW w:w="5073" w:type="dxa"/>
          </w:tcPr>
          <w:p>
            <w:pPr>
              <w:pStyle w:val="TableParagraph"/>
              <w:spacing w:before="58"/>
              <w:ind w:left="32"/>
              <w:rPr>
                <w:rFonts w:ascii="Franklin Gothic Medium"/>
                <w:sz w:val="16"/>
              </w:rPr>
            </w:pPr>
            <w:r>
              <w:rPr>
                <w:rFonts w:ascii="Franklin Gothic Medium"/>
                <w:sz w:val="16"/>
              </w:rPr>
              <w:t>NET  INCOME  PER  SHARE,  DILUTED</w:t>
            </w:r>
          </w:p>
        </w:tc>
        <w:tc>
          <w:tcPr>
            <w:tcW w:w="1605" w:type="dxa"/>
          </w:tcPr>
          <w:p>
            <w:pPr>
              <w:pStyle w:val="TableParagraph"/>
              <w:tabs>
                <w:tab w:pos="519" w:val="left" w:leader="none"/>
                <w:tab w:pos="1099" w:val="left" w:leader="none"/>
                <w:tab w:pos="1599" w:val="left" w:leader="none"/>
              </w:tabs>
              <w:spacing w:before="40"/>
              <w:rPr>
                <w:rFonts w:ascii="Franklin Gothic Medium"/>
                <w:sz w:val="18"/>
              </w:rPr>
            </w:pPr>
            <w:r>
              <w:rPr>
                <w:rFonts w:ascii="Franklin Gothic Medium"/>
                <w:w w:val="116"/>
                <w:sz w:val="18"/>
                <w:u w:val="single"/>
              </w:rPr>
              <w:t> </w:t>
            </w:r>
            <w:r>
              <w:rPr>
                <w:rFonts w:ascii="Franklin Gothic Medium"/>
                <w:sz w:val="18"/>
                <w:u w:val="single"/>
              </w:rPr>
              <w:tab/>
              <w:t>$</w:t>
              <w:tab/>
              <w:t>.30</w:t>
              <w:tab/>
            </w:r>
          </w:p>
        </w:tc>
        <w:tc>
          <w:tcPr>
            <w:tcW w:w="1580" w:type="dxa"/>
            <w:gridSpan w:val="2"/>
          </w:tcPr>
          <w:p>
            <w:pPr>
              <w:pStyle w:val="TableParagraph"/>
              <w:tabs>
                <w:tab w:pos="635" w:val="left" w:leader="none"/>
                <w:tab w:pos="1060" w:val="left" w:leader="none"/>
                <w:tab w:pos="1575" w:val="left" w:leader="none"/>
              </w:tabs>
              <w:spacing w:before="52"/>
              <w:ind w:left="155"/>
              <w:rPr>
                <w:sz w:val="16"/>
              </w:rPr>
            </w:pPr>
            <w:r>
              <w:rPr>
                <w:w w:val="132"/>
                <w:sz w:val="16"/>
                <w:u w:val="single"/>
              </w:rPr>
              <w:t> </w:t>
            </w:r>
            <w:r>
              <w:rPr>
                <w:sz w:val="16"/>
                <w:u w:val="single"/>
              </w:rPr>
              <w:tab/>
            </w:r>
            <w:r>
              <w:rPr>
                <w:w w:val="120"/>
                <w:sz w:val="16"/>
                <w:u w:val="single"/>
              </w:rPr>
              <w:t>$</w:t>
              <w:tab/>
              <w:t>.63</w:t>
            </w:r>
            <w:r>
              <w:rPr>
                <w:sz w:val="16"/>
                <w:u w:val="single"/>
              </w:rPr>
              <w:tab/>
            </w:r>
          </w:p>
        </w:tc>
        <w:tc>
          <w:tcPr>
            <w:tcW w:w="1753" w:type="dxa"/>
            <w:gridSpan w:val="2"/>
          </w:tcPr>
          <w:p>
            <w:pPr>
              <w:pStyle w:val="TableParagraph"/>
              <w:tabs>
                <w:tab w:pos="718" w:val="left" w:leader="none"/>
                <w:tab w:pos="1237" w:val="left" w:leader="none"/>
                <w:tab w:pos="1715" w:val="left" w:leader="none"/>
              </w:tabs>
              <w:spacing w:before="52"/>
              <w:ind w:left="175"/>
              <w:rPr>
                <w:sz w:val="16"/>
              </w:rPr>
            </w:pPr>
            <w:r>
              <w:rPr>
                <w:w w:val="132"/>
                <w:sz w:val="16"/>
                <w:u w:val="single"/>
              </w:rPr>
              <w:t> </w:t>
            </w:r>
            <w:r>
              <w:rPr>
                <w:sz w:val="16"/>
                <w:u w:val="single"/>
              </w:rPr>
              <w:tab/>
            </w:r>
            <w:r>
              <w:rPr>
                <w:w w:val="120"/>
                <w:sz w:val="16"/>
                <w:u w:val="single"/>
              </w:rPr>
              <w:t>$</w:t>
              <w:tab/>
              <w:t>.76</w:t>
            </w:r>
            <w:r>
              <w:rPr>
                <w:sz w:val="16"/>
                <w:u w:val="single"/>
              </w:rPr>
              <w:tab/>
            </w:r>
          </w:p>
        </w:tc>
      </w:tr>
      <w:tr>
        <w:trPr>
          <w:trHeight w:val="231" w:hRule="exact"/>
        </w:trPr>
        <w:tc>
          <w:tcPr>
            <w:tcW w:w="5073" w:type="dxa"/>
          </w:tcPr>
          <w:p>
            <w:pPr>
              <w:pStyle w:val="TableParagraph"/>
              <w:spacing w:before="35"/>
              <w:ind w:left="32"/>
              <w:rPr>
                <w:sz w:val="16"/>
              </w:rPr>
            </w:pPr>
            <w:r>
              <w:rPr>
                <w:w w:val="110"/>
                <w:sz w:val="16"/>
              </w:rPr>
              <w:t>See  accompanying notes.</w:t>
            </w:r>
          </w:p>
        </w:tc>
        <w:tc>
          <w:tcPr>
            <w:tcW w:w="1605" w:type="dxa"/>
          </w:tcPr>
          <w:p>
            <w:pPr/>
          </w:p>
        </w:tc>
        <w:tc>
          <w:tcPr>
            <w:tcW w:w="1580" w:type="dxa"/>
            <w:gridSpan w:val="2"/>
          </w:tcPr>
          <w:p>
            <w:pPr/>
          </w:p>
        </w:tc>
        <w:tc>
          <w:tcPr>
            <w:tcW w:w="1753" w:type="dxa"/>
            <w:gridSpan w:val="2"/>
          </w:tcPr>
          <w:p>
            <w:pPr/>
          </w:p>
        </w:tc>
      </w:tr>
    </w:tbl>
    <w:p>
      <w:pPr>
        <w:spacing w:after="0"/>
        <w:sectPr>
          <w:headerReference w:type="default" r:id="rId110"/>
          <w:pgSz w:w="11520" w:h="14400"/>
          <w:pgMar w:header="0" w:footer="706" w:top="1060" w:bottom="900" w:left="660" w:right="640"/>
        </w:sectPr>
      </w:pPr>
    </w:p>
    <w:p>
      <w:pPr>
        <w:spacing w:before="75"/>
        <w:ind w:left="100" w:right="0" w:firstLine="0"/>
        <w:jc w:val="left"/>
        <w:rPr>
          <w:rFonts w:ascii="Franklin Gothic Medium"/>
          <w:sz w:val="18"/>
        </w:rPr>
      </w:pPr>
      <w:bookmarkStart w:name="Shareholders' Equity" w:id="37"/>
      <w:bookmarkEnd w:id="37"/>
      <w:r>
        <w:rPr/>
      </w:r>
      <w:r>
        <w:rPr>
          <w:rFonts w:ascii="Franklin Gothic Medium"/>
          <w:sz w:val="18"/>
        </w:rPr>
        <w:t>SOUTHWEST  AIRLINES  CO.</w:t>
      </w:r>
    </w:p>
    <w:p>
      <w:pPr>
        <w:spacing w:before="56"/>
        <w:ind w:left="100" w:right="0" w:firstLine="0"/>
        <w:jc w:val="left"/>
        <w:rPr>
          <w:rFonts w:ascii="Franklin Gothic Medium" w:hAnsi="Franklin Gothic Medium"/>
          <w:sz w:val="18"/>
        </w:rPr>
      </w:pPr>
      <w:r>
        <w:rPr>
          <w:rFonts w:ascii="Franklin Gothic Medium" w:hAnsi="Franklin Gothic Medium"/>
          <w:sz w:val="18"/>
        </w:rPr>
        <w:t>CONSOLIDATED  STATEMENT  OF   STOCKHOLDERS’  EQUITY</w:t>
      </w:r>
    </w:p>
    <w:p>
      <w:pPr>
        <w:spacing w:before="94"/>
        <w:ind w:left="4260" w:right="0" w:firstLine="0"/>
        <w:jc w:val="left"/>
        <w:rPr>
          <w:rFonts w:ascii="Franklin Gothic Medium"/>
          <w:sz w:val="16"/>
        </w:rPr>
      </w:pPr>
      <w:r>
        <w:rPr>
          <w:rFonts w:ascii="Franklin Gothic Medium"/>
          <w:sz w:val="16"/>
        </w:rPr>
        <w:t>YEARS  ENDED  DECEMBER  31,  2002,  2001,  AND  2000</w:t>
      </w:r>
    </w:p>
    <w:p>
      <w:pPr>
        <w:spacing w:before="38"/>
        <w:ind w:left="6460" w:right="0" w:firstLine="0"/>
        <w:jc w:val="left"/>
        <w:rPr>
          <w:rFonts w:ascii="Franklin Gothic Medium"/>
          <w:sz w:val="16"/>
        </w:rPr>
      </w:pPr>
      <w:r>
        <w:rPr>
          <w:rFonts w:ascii="Franklin Gothic Medium"/>
          <w:sz w:val="16"/>
        </w:rPr>
        <w:t>ACCUMULATED</w:t>
      </w:r>
    </w:p>
    <w:p>
      <w:pPr>
        <w:spacing w:after="0"/>
        <w:jc w:val="left"/>
        <w:rPr>
          <w:rFonts w:ascii="Franklin Gothic Medium"/>
          <w:sz w:val="16"/>
        </w:rPr>
        <w:sectPr>
          <w:headerReference w:type="default" r:id="rId111"/>
          <w:footerReference w:type="default" r:id="rId112"/>
          <w:footerReference w:type="even" r:id="rId113"/>
          <w:pgSz w:w="11520" w:h="14400"/>
          <w:pgMar w:header="0" w:footer="706" w:top="980" w:bottom="900" w:left="700" w:right="760"/>
          <w:pgNumType w:start="31"/>
        </w:sectPr>
      </w:pPr>
    </w:p>
    <w:p>
      <w:pPr>
        <w:pStyle w:val="BodyText"/>
        <w:spacing w:before="5"/>
        <w:rPr>
          <w:rFonts w:ascii="Franklin Gothic Medium"/>
          <w:sz w:val="19"/>
        </w:rPr>
      </w:pPr>
    </w:p>
    <w:p>
      <w:pPr>
        <w:spacing w:line="180" w:lineRule="exact" w:before="0"/>
        <w:ind w:left="260" w:right="0" w:firstLine="0"/>
        <w:jc w:val="left"/>
        <w:rPr>
          <w:i/>
          <w:sz w:val="16"/>
        </w:rPr>
      </w:pPr>
      <w:r>
        <w:rPr>
          <w:w w:val="105"/>
          <w:sz w:val="16"/>
        </w:rPr>
        <w:t>(</w:t>
      </w:r>
      <w:r>
        <w:rPr>
          <w:i/>
          <w:w w:val="105"/>
          <w:sz w:val="16"/>
        </w:rPr>
        <w:t>In thousands, except </w:t>
      </w:r>
      <w:r>
        <w:rPr>
          <w:i/>
          <w:w w:val="105"/>
          <w:sz w:val="16"/>
        </w:rPr>
        <w:t>per  share  amounts)</w:t>
      </w:r>
    </w:p>
    <w:p>
      <w:pPr>
        <w:pStyle w:val="BodyText"/>
        <w:spacing w:before="7"/>
        <w:rPr>
          <w:i/>
          <w:sz w:val="14"/>
        </w:rPr>
      </w:pPr>
      <w:r>
        <w:rPr/>
        <w:br w:type="column"/>
      </w:r>
      <w:r>
        <w:rPr>
          <w:i/>
          <w:sz w:val="14"/>
        </w:rPr>
      </w:r>
    </w:p>
    <w:p>
      <w:pPr>
        <w:spacing w:before="0"/>
        <w:ind w:left="380" w:right="0" w:hanging="120"/>
        <w:jc w:val="left"/>
        <w:rPr>
          <w:rFonts w:ascii="Franklin Gothic Medium"/>
          <w:sz w:val="16"/>
        </w:rPr>
      </w:pPr>
      <w:r>
        <w:rPr>
          <w:rFonts w:ascii="Franklin Gothic Medium"/>
          <w:sz w:val="16"/>
        </w:rPr>
        <w:t>COMMON STOCK</w:t>
      </w:r>
    </w:p>
    <w:p>
      <w:pPr>
        <w:spacing w:before="0"/>
        <w:ind w:left="260" w:right="0" w:firstLine="0"/>
        <w:jc w:val="both"/>
        <w:rPr>
          <w:rFonts w:ascii="Franklin Gothic Medium"/>
          <w:sz w:val="16"/>
        </w:rPr>
      </w:pPr>
      <w:r>
        <w:rPr/>
        <w:br w:type="column"/>
      </w:r>
      <w:r>
        <w:rPr>
          <w:rFonts w:ascii="Franklin Gothic Medium"/>
          <w:sz w:val="16"/>
        </w:rPr>
        <w:t>CAPITAL IN EXCESS OF PAR  VALUE</w:t>
      </w:r>
    </w:p>
    <w:p>
      <w:pPr>
        <w:pStyle w:val="BodyText"/>
        <w:spacing w:before="8"/>
        <w:rPr>
          <w:rFonts w:ascii="Franklin Gothic Medium"/>
          <w:sz w:val="15"/>
        </w:rPr>
      </w:pPr>
      <w:r>
        <w:rPr/>
        <w:br w:type="column"/>
      </w:r>
      <w:r>
        <w:rPr>
          <w:rFonts w:ascii="Franklin Gothic Medium"/>
          <w:sz w:val="15"/>
        </w:rPr>
      </w:r>
    </w:p>
    <w:p>
      <w:pPr>
        <w:spacing w:before="0"/>
        <w:ind w:left="260" w:right="0" w:firstLine="20"/>
        <w:jc w:val="left"/>
        <w:rPr>
          <w:rFonts w:ascii="Franklin Gothic Medium"/>
          <w:sz w:val="16"/>
        </w:rPr>
      </w:pPr>
      <w:r>
        <w:rPr>
          <w:rFonts w:ascii="Franklin Gothic Medium"/>
          <w:sz w:val="16"/>
        </w:rPr>
        <w:t>RETAINED EARNINGS</w:t>
      </w:r>
    </w:p>
    <w:p>
      <w:pPr>
        <w:spacing w:line="179" w:lineRule="exact" w:before="0"/>
        <w:ind w:left="278" w:right="41" w:firstLine="0"/>
        <w:jc w:val="center"/>
        <w:rPr>
          <w:rFonts w:ascii="Franklin Gothic Medium"/>
          <w:sz w:val="16"/>
        </w:rPr>
      </w:pPr>
      <w:r>
        <w:rPr/>
        <w:br w:type="column"/>
      </w:r>
      <w:r>
        <w:rPr>
          <w:rFonts w:ascii="Franklin Gothic Medium"/>
          <w:sz w:val="16"/>
        </w:rPr>
        <w:t>OTHER</w:t>
      </w:r>
    </w:p>
    <w:p>
      <w:pPr>
        <w:spacing w:before="0"/>
        <w:ind w:left="301" w:right="41" w:firstLine="0"/>
        <w:jc w:val="center"/>
        <w:rPr>
          <w:rFonts w:ascii="Franklin Gothic Medium"/>
          <w:sz w:val="16"/>
        </w:rPr>
      </w:pPr>
      <w:r>
        <w:rPr>
          <w:rFonts w:ascii="Franklin Gothic Medium"/>
          <w:sz w:val="16"/>
        </w:rPr>
        <w:t>COMPREHENSIVE INCOME  (LOSS)</w:t>
      </w:r>
    </w:p>
    <w:p>
      <w:pPr>
        <w:pStyle w:val="BodyText"/>
        <w:spacing w:before="8"/>
        <w:rPr>
          <w:rFonts w:ascii="Franklin Gothic Medium"/>
          <w:sz w:val="15"/>
        </w:rPr>
      </w:pPr>
      <w:r>
        <w:rPr/>
        <w:br w:type="column"/>
      </w:r>
      <w:r>
        <w:rPr>
          <w:rFonts w:ascii="Franklin Gothic Medium"/>
          <w:sz w:val="15"/>
        </w:rPr>
      </w:r>
    </w:p>
    <w:p>
      <w:pPr>
        <w:spacing w:line="181" w:lineRule="exact" w:before="0"/>
        <w:ind w:left="130" w:right="0" w:firstLine="0"/>
        <w:jc w:val="left"/>
        <w:rPr>
          <w:rFonts w:ascii="Franklin Gothic Medium"/>
          <w:sz w:val="16"/>
        </w:rPr>
      </w:pPr>
      <w:r>
        <w:rPr>
          <w:rFonts w:ascii="Franklin Gothic Medium"/>
          <w:sz w:val="16"/>
        </w:rPr>
        <w:t>TREASURY</w:t>
      </w:r>
    </w:p>
    <w:p>
      <w:pPr>
        <w:tabs>
          <w:tab w:pos="1430" w:val="left" w:leader="none"/>
        </w:tabs>
        <w:spacing w:line="181" w:lineRule="exact" w:before="0"/>
        <w:ind w:left="270" w:right="0" w:firstLine="0"/>
        <w:jc w:val="left"/>
        <w:rPr>
          <w:rFonts w:ascii="Franklin Gothic Medium"/>
          <w:sz w:val="16"/>
        </w:rPr>
      </w:pPr>
      <w:r>
        <w:rPr>
          <w:rFonts w:ascii="Franklin Gothic Medium"/>
          <w:spacing w:val="7"/>
          <w:sz w:val="16"/>
        </w:rPr>
        <w:t>STOCK</w:t>
        <w:tab/>
      </w:r>
      <w:r>
        <w:rPr>
          <w:rFonts w:ascii="Franklin Gothic Medium"/>
          <w:spacing w:val="6"/>
          <w:sz w:val="16"/>
        </w:rPr>
        <w:t>TOTAL</w:t>
      </w:r>
    </w:p>
    <w:p>
      <w:pPr>
        <w:spacing w:after="0" w:line="181" w:lineRule="exact"/>
        <w:jc w:val="left"/>
        <w:rPr>
          <w:rFonts w:ascii="Franklin Gothic Medium"/>
          <w:sz w:val="16"/>
        </w:rPr>
        <w:sectPr>
          <w:type w:val="continuous"/>
          <w:pgSz w:w="11520" w:h="14400"/>
          <w:pgMar w:top="0" w:bottom="280" w:left="700" w:right="760"/>
          <w:cols w:num="6" w:equalWidth="0">
            <w:col w:w="1864" w:space="736"/>
            <w:col w:w="993" w:space="127"/>
            <w:col w:w="1125" w:space="155"/>
            <w:col w:w="1071" w:space="49"/>
            <w:col w:w="1590" w:space="40"/>
            <w:col w:w="2310"/>
          </w:cols>
        </w:sectPr>
      </w:pPr>
    </w:p>
    <w:p>
      <w:pPr>
        <w:tabs>
          <w:tab w:pos="6337" w:val="left" w:leader="none"/>
        </w:tabs>
        <w:spacing w:line="20" w:lineRule="exact"/>
        <w:ind w:left="2757" w:right="0" w:firstLine="0"/>
        <w:rPr>
          <w:rFonts w:ascii="Franklin Gothic Medium"/>
          <w:sz w:val="2"/>
        </w:rPr>
      </w:pPr>
      <w:r>
        <w:rPr>
          <w:rFonts w:ascii="Franklin Gothic Medium"/>
          <w:sz w:val="2"/>
        </w:rPr>
        <w:pict>
          <v:group style="width:48.5pt;height:.25pt;mso-position-horizontal-relative:char;mso-position-vertical-relative:line" coordorigin="0,0" coordsize="970,5">
            <v:line style="position:absolute" from="3,3" to="967,3" stroked="true" strokeweight=".24pt" strokecolor="#000000">
              <v:stroke dashstyle="solid"/>
            </v:line>
          </v:group>
        </w:pict>
      </w:r>
      <w:r>
        <w:rPr>
          <w:rFonts w:ascii="Franklin Gothic Medium"/>
          <w:sz w:val="2"/>
        </w:rPr>
      </w:r>
      <w:r>
        <w:rPr>
          <w:rFonts w:ascii="Times New Roman"/>
          <w:spacing w:val="69"/>
          <w:sz w:val="2"/>
        </w:rPr>
        <w:t> </w:t>
      </w:r>
      <w:r>
        <w:rPr>
          <w:rFonts w:ascii="Franklin Gothic Medium"/>
          <w:spacing w:val="69"/>
          <w:sz w:val="2"/>
        </w:rPr>
        <w:pict>
          <v:group style="width:59.5pt;height:.25pt;mso-position-horizontal-relative:char;mso-position-vertical-relative:line" coordorigin="0,0" coordsize="1190,5">
            <v:line style="position:absolute" from="3,3" to="1187,3" stroked="true" strokeweight=".24pt" strokecolor="#000000">
              <v:stroke dashstyle="solid"/>
            </v:line>
          </v:group>
        </w:pict>
      </w:r>
      <w:r>
        <w:rPr>
          <w:rFonts w:ascii="Franklin Gothic Medium"/>
          <w:spacing w:val="69"/>
          <w:sz w:val="2"/>
        </w:rPr>
      </w:r>
      <w:r>
        <w:rPr>
          <w:rFonts w:ascii="Franklin Gothic Medium"/>
          <w:spacing w:val="69"/>
          <w:sz w:val="2"/>
        </w:rPr>
        <w:tab/>
      </w:r>
      <w:r>
        <w:rPr>
          <w:rFonts w:ascii="Franklin Gothic Medium"/>
          <w:spacing w:val="69"/>
          <w:sz w:val="2"/>
        </w:rPr>
        <w:pict>
          <v:group style="width:70.5pt;height:.25pt;mso-position-horizontal-relative:char;mso-position-vertical-relative:line" coordorigin="0,0" coordsize="1410,5">
            <v:line style="position:absolute" from="3,3" to="1407,3" stroked="true" strokeweight=".24pt" strokecolor="#000000">
              <v:stroke dashstyle="solid"/>
            </v:line>
          </v:group>
        </w:pict>
      </w:r>
      <w:r>
        <w:rPr>
          <w:rFonts w:ascii="Franklin Gothic Medium"/>
          <w:spacing w:val="69"/>
          <w:sz w:val="2"/>
        </w:rPr>
      </w:r>
    </w:p>
    <w:p>
      <w:pPr>
        <w:tabs>
          <w:tab w:pos="2839" w:val="left" w:leader="none"/>
          <w:tab w:pos="4198" w:val="left" w:leader="none"/>
        </w:tabs>
        <w:spacing w:line="271" w:lineRule="auto" w:before="51"/>
        <w:ind w:left="280" w:right="5197" w:hanging="20"/>
        <w:jc w:val="left"/>
        <w:rPr>
          <w:sz w:val="16"/>
        </w:rPr>
      </w:pPr>
      <w:r>
        <w:rPr/>
        <w:pict>
          <v:shape style="position:absolute;margin-left:289pt;margin-top:-1.712813pt;width:244pt;height:35.9pt;mso-position-horizontal-relative:page;mso-position-vertical-relative:paragraph;z-index:6760"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185"/>
                    <w:gridCol w:w="75"/>
                    <w:gridCol w:w="2385"/>
                    <w:gridCol w:w="115"/>
                    <w:gridCol w:w="1120"/>
                  </w:tblGrid>
                  <w:tr>
                    <w:trPr>
                      <w:trHeight w:val="404" w:hRule="exact"/>
                    </w:trPr>
                    <w:tc>
                      <w:tcPr>
                        <w:tcW w:w="1185" w:type="dxa"/>
                        <w:tcBorders>
                          <w:top w:val="single" w:sz="2" w:space="0" w:color="000000"/>
                        </w:tcBorders>
                      </w:tcPr>
                      <w:p>
                        <w:pPr>
                          <w:pStyle w:val="TableParagraph"/>
                          <w:spacing w:before="83"/>
                          <w:ind w:left="141"/>
                          <w:rPr>
                            <w:sz w:val="16"/>
                          </w:rPr>
                        </w:pPr>
                        <w:r>
                          <w:rPr>
                            <w:w w:val="120"/>
                            <w:sz w:val="16"/>
                          </w:rPr>
                          <w:t>$ 2,385,854</w:t>
                        </w:r>
                      </w:p>
                    </w:tc>
                    <w:tc>
                      <w:tcPr>
                        <w:tcW w:w="75" w:type="dxa"/>
                      </w:tcPr>
                      <w:p>
                        <w:pPr/>
                      </w:p>
                    </w:tc>
                    <w:tc>
                      <w:tcPr>
                        <w:tcW w:w="2385" w:type="dxa"/>
                        <w:tcBorders>
                          <w:top w:val="single" w:sz="2" w:space="0" w:color="000000"/>
                        </w:tcBorders>
                      </w:tcPr>
                      <w:p>
                        <w:pPr>
                          <w:pStyle w:val="TableParagraph"/>
                          <w:tabs>
                            <w:tab w:pos="415" w:val="left" w:leader="none"/>
                            <w:tab w:pos="1435" w:val="left" w:leader="none"/>
                          </w:tabs>
                          <w:spacing w:before="83"/>
                          <w:ind w:right="5"/>
                          <w:jc w:val="right"/>
                          <w:rPr>
                            <w:sz w:val="16"/>
                          </w:rPr>
                        </w:pPr>
                        <w:r>
                          <w:rPr>
                            <w:w w:val="105"/>
                            <w:sz w:val="16"/>
                          </w:rPr>
                          <w:t>$</w:t>
                          <w:tab/>
                        </w:r>
                        <w:r>
                          <w:rPr>
                            <w:sz w:val="16"/>
                          </w:rPr>
                          <w:t>-</w:t>
                          <w:tab/>
                        </w:r>
                        <w:r>
                          <w:rPr>
                            <w:w w:val="105"/>
                            <w:sz w:val="16"/>
                          </w:rPr>
                          <w:t>$ </w:t>
                        </w:r>
                        <w:r>
                          <w:rPr>
                            <w:spacing w:val="18"/>
                            <w:w w:val="105"/>
                            <w:sz w:val="16"/>
                          </w:rPr>
                          <w:t> </w:t>
                        </w:r>
                        <w:r>
                          <w:rPr>
                            <w:w w:val="105"/>
                            <w:sz w:val="16"/>
                          </w:rPr>
                          <w:t>(90,507)</w:t>
                        </w:r>
                      </w:p>
                    </w:tc>
                    <w:tc>
                      <w:tcPr>
                        <w:tcW w:w="115" w:type="dxa"/>
                      </w:tcPr>
                      <w:p>
                        <w:pPr/>
                      </w:p>
                    </w:tc>
                    <w:tc>
                      <w:tcPr>
                        <w:tcW w:w="1120" w:type="dxa"/>
                        <w:tcBorders>
                          <w:top w:val="single" w:sz="2" w:space="0" w:color="000000"/>
                        </w:tcBorders>
                      </w:tcPr>
                      <w:p>
                        <w:pPr>
                          <w:pStyle w:val="TableParagraph"/>
                          <w:spacing w:before="83"/>
                          <w:ind w:right="121"/>
                          <w:jc w:val="right"/>
                          <w:rPr>
                            <w:sz w:val="16"/>
                          </w:rPr>
                        </w:pPr>
                        <w:r>
                          <w:rPr>
                            <w:w w:val="120"/>
                            <w:sz w:val="16"/>
                          </w:rPr>
                          <w:t>$ 2,835,788</w:t>
                        </w:r>
                      </w:p>
                    </w:tc>
                  </w:tr>
                  <w:tr>
                    <w:trPr>
                      <w:trHeight w:val="313" w:hRule="exact"/>
                    </w:trPr>
                    <w:tc>
                      <w:tcPr>
                        <w:tcW w:w="1185" w:type="dxa"/>
                      </w:tcPr>
                      <w:p>
                        <w:pPr>
                          <w:pStyle w:val="TableParagraph"/>
                          <w:spacing w:before="120"/>
                          <w:ind w:right="147"/>
                          <w:jc w:val="center"/>
                          <w:rPr>
                            <w:sz w:val="16"/>
                          </w:rPr>
                        </w:pPr>
                        <w:r>
                          <w:rPr>
                            <w:w w:val="71"/>
                            <w:sz w:val="16"/>
                          </w:rPr>
                          <w:t>-</w:t>
                        </w:r>
                      </w:p>
                    </w:tc>
                    <w:tc>
                      <w:tcPr>
                        <w:tcW w:w="75" w:type="dxa"/>
                      </w:tcPr>
                      <w:p>
                        <w:pPr/>
                      </w:p>
                    </w:tc>
                    <w:tc>
                      <w:tcPr>
                        <w:tcW w:w="2385" w:type="dxa"/>
                      </w:tcPr>
                      <w:p>
                        <w:pPr>
                          <w:pStyle w:val="TableParagraph"/>
                          <w:tabs>
                            <w:tab w:pos="1067" w:val="left" w:leader="none"/>
                          </w:tabs>
                          <w:spacing w:before="120"/>
                          <w:ind w:right="5"/>
                          <w:jc w:val="right"/>
                          <w:rPr>
                            <w:sz w:val="16"/>
                          </w:rPr>
                        </w:pPr>
                        <w:r>
                          <w:rPr>
                            <w:sz w:val="16"/>
                          </w:rPr>
                          <w:t>-</w:t>
                          <w:tab/>
                        </w:r>
                        <w:r>
                          <w:rPr>
                            <w:spacing w:val="-2"/>
                            <w:sz w:val="16"/>
                          </w:rPr>
                          <w:t>(108,674)</w:t>
                        </w:r>
                      </w:p>
                    </w:tc>
                    <w:tc>
                      <w:tcPr>
                        <w:tcW w:w="115" w:type="dxa"/>
                      </w:tcPr>
                      <w:p>
                        <w:pPr/>
                      </w:p>
                    </w:tc>
                    <w:tc>
                      <w:tcPr>
                        <w:tcW w:w="1120" w:type="dxa"/>
                      </w:tcPr>
                      <w:p>
                        <w:pPr>
                          <w:pStyle w:val="TableParagraph"/>
                          <w:spacing w:before="120"/>
                          <w:ind w:right="79"/>
                          <w:jc w:val="right"/>
                          <w:rPr>
                            <w:sz w:val="16"/>
                          </w:rPr>
                        </w:pPr>
                        <w:r>
                          <w:rPr>
                            <w:w w:val="115"/>
                            <w:sz w:val="16"/>
                          </w:rPr>
                          <w:t>(108,674)</w:t>
                        </w:r>
                      </w:p>
                    </w:tc>
                  </w:tr>
                </w:tbl>
                <w:p>
                  <w:pPr>
                    <w:pStyle w:val="BodyText"/>
                  </w:pPr>
                </w:p>
              </w:txbxContent>
            </v:textbox>
            <w10:wrap type="none"/>
          </v:shape>
        </w:pict>
      </w:r>
      <w:r>
        <w:rPr>
          <w:w w:val="110"/>
          <w:sz w:val="16"/>
        </w:rPr>
        <w:t>Balance  at  December 31,</w:t>
      </w:r>
      <w:r>
        <w:rPr>
          <w:spacing w:val="26"/>
          <w:w w:val="110"/>
          <w:sz w:val="16"/>
        </w:rPr>
        <w:t> </w:t>
      </w:r>
      <w:r>
        <w:rPr>
          <w:w w:val="110"/>
          <w:sz w:val="16"/>
        </w:rPr>
        <w:t>1999</w:t>
        <w:tab/>
        <w:t>$</w:t>
      </w:r>
      <w:r>
        <w:rPr>
          <w:spacing w:val="17"/>
          <w:w w:val="110"/>
          <w:sz w:val="16"/>
        </w:rPr>
        <w:t> </w:t>
      </w:r>
      <w:r>
        <w:rPr>
          <w:w w:val="110"/>
          <w:sz w:val="16"/>
        </w:rPr>
        <w:t>505,005</w:t>
        <w:tab/>
        <w:t>$ </w:t>
      </w:r>
      <w:r>
        <w:rPr>
          <w:spacing w:val="9"/>
          <w:w w:val="110"/>
          <w:sz w:val="16"/>
        </w:rPr>
        <w:t> </w:t>
      </w:r>
      <w:r>
        <w:rPr>
          <w:spacing w:val="-2"/>
          <w:w w:val="110"/>
          <w:sz w:val="16"/>
        </w:rPr>
        <w:t>35,436</w:t>
      </w:r>
      <w:r>
        <w:rPr>
          <w:spacing w:val="-2"/>
          <w:w w:val="118"/>
          <w:sz w:val="16"/>
        </w:rPr>
        <w:t> </w:t>
      </w:r>
      <w:r>
        <w:rPr>
          <w:w w:val="110"/>
          <w:sz w:val="16"/>
        </w:rPr>
        <w:t>Purchase of shares of  </w:t>
      </w:r>
      <w:r>
        <w:rPr>
          <w:spacing w:val="16"/>
          <w:w w:val="110"/>
          <w:sz w:val="16"/>
        </w:rPr>
        <w:t> </w:t>
      </w:r>
      <w:r>
        <w:rPr>
          <w:w w:val="110"/>
          <w:sz w:val="16"/>
        </w:rPr>
        <w:t>treasury</w:t>
      </w:r>
    </w:p>
    <w:p>
      <w:pPr>
        <w:tabs>
          <w:tab w:pos="3159" w:val="left" w:leader="none"/>
          <w:tab w:pos="4299" w:val="left" w:leader="none"/>
        </w:tabs>
        <w:spacing w:line="195" w:lineRule="exact" w:before="0"/>
        <w:ind w:left="460" w:right="0" w:firstLine="0"/>
        <w:jc w:val="left"/>
        <w:rPr>
          <w:sz w:val="16"/>
        </w:rPr>
      </w:pPr>
      <w:r>
        <w:rPr>
          <w:spacing w:val="4"/>
          <w:sz w:val="16"/>
        </w:rPr>
        <w:t>stock</w:t>
        <w:tab/>
      </w:r>
      <w:r>
        <w:rPr>
          <w:sz w:val="16"/>
        </w:rPr>
        <w:t>-</w:t>
        <w:tab/>
        <w:t>-</w:t>
      </w:r>
    </w:p>
    <w:p>
      <w:pPr>
        <w:spacing w:line="295" w:lineRule="auto" w:before="44" w:after="5"/>
        <w:ind w:left="420" w:right="7633" w:hanging="140"/>
        <w:jc w:val="left"/>
        <w:rPr>
          <w:sz w:val="16"/>
        </w:rPr>
      </w:pPr>
      <w:r>
        <w:rPr/>
        <w:pict>
          <v:line style="position:absolute;mso-position-horizontal-relative:page;mso-position-vertical-relative:paragraph;z-index:-276832" from="351pt,75.937187pt" to="415.24pt,75.937187pt" stroked="true" strokeweight=".24pt" strokecolor="#000000">
            <v:stroke dashstyle="solid"/>
            <w10:wrap type="none"/>
          </v:line>
        </w:pict>
      </w:r>
      <w:r>
        <w:rPr>
          <w:w w:val="105"/>
          <w:sz w:val="16"/>
        </w:rPr>
        <w:t>Issuance of common and treasury  stock  pursuant   to</w:t>
      </w:r>
    </w:p>
    <w:tbl>
      <w:tblPr>
        <w:tblW w:w="0" w:type="auto"/>
        <w:jc w:val="left"/>
        <w:tblInd w:w="2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394"/>
        <w:gridCol w:w="337"/>
        <w:gridCol w:w="801"/>
        <w:gridCol w:w="1125"/>
        <w:gridCol w:w="155"/>
        <w:gridCol w:w="1140"/>
        <w:gridCol w:w="140"/>
        <w:gridCol w:w="1372"/>
        <w:gridCol w:w="1128"/>
        <w:gridCol w:w="1095"/>
      </w:tblGrid>
      <w:tr>
        <w:trPr>
          <w:trHeight w:val="223" w:hRule="exact"/>
        </w:trPr>
        <w:tc>
          <w:tcPr>
            <w:tcW w:w="3533" w:type="dxa"/>
            <w:gridSpan w:val="3"/>
          </w:tcPr>
          <w:p>
            <w:pPr>
              <w:pStyle w:val="TableParagraph"/>
              <w:tabs>
                <w:tab w:pos="2942" w:val="left" w:leader="none"/>
              </w:tabs>
              <w:spacing w:line="189" w:lineRule="exact"/>
              <w:ind w:left="192"/>
              <w:rPr>
                <w:sz w:val="16"/>
              </w:rPr>
            </w:pPr>
            <w:r>
              <w:rPr>
                <w:w w:val="115"/>
                <w:sz w:val="16"/>
              </w:rPr>
              <w:t>Employee</w:t>
            </w:r>
            <w:r>
              <w:rPr>
                <w:spacing w:val="14"/>
                <w:w w:val="115"/>
                <w:sz w:val="16"/>
              </w:rPr>
              <w:t> </w:t>
            </w:r>
            <w:r>
              <w:rPr>
                <w:w w:val="115"/>
                <w:sz w:val="16"/>
              </w:rPr>
              <w:t>stock</w:t>
            </w:r>
            <w:r>
              <w:rPr>
                <w:spacing w:val="14"/>
                <w:w w:val="115"/>
                <w:sz w:val="16"/>
              </w:rPr>
              <w:t> </w:t>
            </w:r>
            <w:r>
              <w:rPr>
                <w:w w:val="115"/>
                <w:sz w:val="16"/>
              </w:rPr>
              <w:t>plans</w:t>
              <w:tab/>
            </w:r>
            <w:r>
              <w:rPr>
                <w:spacing w:val="-6"/>
                <w:w w:val="115"/>
                <w:sz w:val="16"/>
              </w:rPr>
              <w:t>2,892</w:t>
            </w:r>
          </w:p>
        </w:tc>
        <w:tc>
          <w:tcPr>
            <w:tcW w:w="1125" w:type="dxa"/>
          </w:tcPr>
          <w:p>
            <w:pPr>
              <w:pStyle w:val="TableParagraph"/>
              <w:spacing w:line="189" w:lineRule="exact"/>
              <w:ind w:right="47"/>
              <w:jc w:val="right"/>
              <w:rPr>
                <w:sz w:val="16"/>
              </w:rPr>
            </w:pPr>
            <w:r>
              <w:rPr>
                <w:w w:val="115"/>
                <w:sz w:val="16"/>
              </w:rPr>
              <w:t>6,667</w:t>
            </w:r>
          </w:p>
        </w:tc>
        <w:tc>
          <w:tcPr>
            <w:tcW w:w="1295" w:type="dxa"/>
            <w:gridSpan w:val="2"/>
          </w:tcPr>
          <w:p>
            <w:pPr>
              <w:pStyle w:val="TableParagraph"/>
              <w:spacing w:line="189" w:lineRule="exact"/>
              <w:ind w:left="676"/>
              <w:rPr>
                <w:sz w:val="16"/>
              </w:rPr>
            </w:pPr>
            <w:r>
              <w:rPr>
                <w:spacing w:val="-1"/>
                <w:w w:val="115"/>
                <w:sz w:val="16"/>
              </w:rPr>
              <w:t>(75,952)</w:t>
            </w:r>
          </w:p>
        </w:tc>
        <w:tc>
          <w:tcPr>
            <w:tcW w:w="3735" w:type="dxa"/>
            <w:gridSpan w:val="4"/>
          </w:tcPr>
          <w:p>
            <w:pPr>
              <w:pStyle w:val="TableParagraph"/>
              <w:tabs>
                <w:tab w:pos="1891" w:val="left" w:leader="none"/>
                <w:tab w:pos="3154" w:val="left" w:leader="none"/>
              </w:tabs>
              <w:spacing w:line="189" w:lineRule="exact"/>
              <w:ind w:left="760"/>
              <w:rPr>
                <w:sz w:val="16"/>
              </w:rPr>
            </w:pPr>
            <w:r>
              <w:rPr>
                <w:sz w:val="16"/>
              </w:rPr>
              <w:t>-</w:t>
              <w:tab/>
            </w:r>
            <w:r>
              <w:rPr>
                <w:spacing w:val="-3"/>
                <w:w w:val="105"/>
                <w:sz w:val="16"/>
              </w:rPr>
              <w:t>136,817</w:t>
              <w:tab/>
            </w:r>
            <w:r>
              <w:rPr>
                <w:spacing w:val="-5"/>
                <w:w w:val="105"/>
                <w:sz w:val="16"/>
              </w:rPr>
              <w:t>70,424</w:t>
            </w:r>
          </w:p>
        </w:tc>
      </w:tr>
      <w:tr>
        <w:trPr>
          <w:trHeight w:val="260" w:hRule="exact"/>
        </w:trPr>
        <w:tc>
          <w:tcPr>
            <w:tcW w:w="3533" w:type="dxa"/>
            <w:gridSpan w:val="3"/>
          </w:tcPr>
          <w:p>
            <w:pPr>
              <w:pStyle w:val="TableParagraph"/>
              <w:tabs>
                <w:tab w:pos="2932" w:val="left" w:leader="none"/>
              </w:tabs>
              <w:spacing w:before="30"/>
              <w:ind w:left="32"/>
              <w:rPr>
                <w:sz w:val="16"/>
              </w:rPr>
            </w:pPr>
            <w:r>
              <w:rPr>
                <w:sz w:val="16"/>
              </w:rPr>
              <w:t>Tax   benefit   of</w:t>
            </w:r>
            <w:r>
              <w:rPr>
                <w:spacing w:val="28"/>
                <w:sz w:val="16"/>
              </w:rPr>
              <w:t> </w:t>
            </w:r>
            <w:r>
              <w:rPr>
                <w:sz w:val="16"/>
              </w:rPr>
              <w:t>options </w:t>
            </w:r>
            <w:r>
              <w:rPr>
                <w:spacing w:val="21"/>
                <w:sz w:val="16"/>
              </w:rPr>
              <w:t> </w:t>
            </w:r>
            <w:r>
              <w:rPr>
                <w:sz w:val="16"/>
              </w:rPr>
              <w:t>exercised</w:t>
              <w:tab/>
              <w:t>-</w:t>
            </w:r>
          </w:p>
        </w:tc>
        <w:tc>
          <w:tcPr>
            <w:tcW w:w="1125" w:type="dxa"/>
          </w:tcPr>
          <w:p>
            <w:pPr>
              <w:pStyle w:val="TableParagraph"/>
              <w:spacing w:before="30"/>
              <w:ind w:right="26"/>
              <w:jc w:val="right"/>
              <w:rPr>
                <w:sz w:val="16"/>
              </w:rPr>
            </w:pPr>
            <w:r>
              <w:rPr>
                <w:w w:val="115"/>
                <w:sz w:val="16"/>
              </w:rPr>
              <w:t>61,677</w:t>
            </w:r>
          </w:p>
        </w:tc>
        <w:tc>
          <w:tcPr>
            <w:tcW w:w="1295" w:type="dxa"/>
            <w:gridSpan w:val="2"/>
          </w:tcPr>
          <w:p>
            <w:pPr>
              <w:pStyle w:val="TableParagraph"/>
              <w:spacing w:before="30"/>
              <w:ind w:left="129"/>
              <w:jc w:val="center"/>
              <w:rPr>
                <w:sz w:val="16"/>
              </w:rPr>
            </w:pPr>
            <w:r>
              <w:rPr>
                <w:w w:val="71"/>
                <w:sz w:val="16"/>
              </w:rPr>
              <w:t>-</w:t>
            </w:r>
          </w:p>
        </w:tc>
        <w:tc>
          <w:tcPr>
            <w:tcW w:w="3735" w:type="dxa"/>
            <w:gridSpan w:val="4"/>
          </w:tcPr>
          <w:p>
            <w:pPr>
              <w:pStyle w:val="TableParagraph"/>
              <w:tabs>
                <w:tab w:pos="1999" w:val="left" w:leader="none"/>
                <w:tab w:pos="3154" w:val="left" w:leader="none"/>
              </w:tabs>
              <w:spacing w:before="30"/>
              <w:ind w:left="759"/>
              <w:rPr>
                <w:sz w:val="16"/>
              </w:rPr>
            </w:pPr>
            <w:r>
              <w:rPr>
                <w:sz w:val="16"/>
              </w:rPr>
              <w:t>-</w:t>
              <w:tab/>
              <w:t>-</w:t>
              <w:tab/>
            </w:r>
            <w:r>
              <w:rPr>
                <w:spacing w:val="-5"/>
                <w:sz w:val="16"/>
              </w:rPr>
              <w:t>61,677</w:t>
            </w:r>
          </w:p>
        </w:tc>
      </w:tr>
      <w:tr>
        <w:trPr>
          <w:trHeight w:val="260" w:hRule="exact"/>
        </w:trPr>
        <w:tc>
          <w:tcPr>
            <w:tcW w:w="4657" w:type="dxa"/>
            <w:gridSpan w:val="4"/>
          </w:tcPr>
          <w:p>
            <w:pPr>
              <w:pStyle w:val="TableParagraph"/>
              <w:tabs>
                <w:tab w:pos="2932" w:val="left" w:leader="none"/>
                <w:tab w:pos="4072" w:val="left" w:leader="none"/>
              </w:tabs>
              <w:spacing w:before="30"/>
              <w:ind w:left="32"/>
              <w:rPr>
                <w:sz w:val="16"/>
              </w:rPr>
            </w:pPr>
            <w:r>
              <w:rPr>
                <w:sz w:val="16"/>
              </w:rPr>
              <w:t>Cash   dividends,   $.015 </w:t>
            </w:r>
            <w:r>
              <w:rPr>
                <w:spacing w:val="20"/>
                <w:sz w:val="16"/>
              </w:rPr>
              <w:t> </w:t>
            </w:r>
            <w:r>
              <w:rPr>
                <w:sz w:val="16"/>
              </w:rPr>
              <w:t>per </w:t>
            </w:r>
            <w:r>
              <w:rPr>
                <w:spacing w:val="31"/>
                <w:sz w:val="16"/>
              </w:rPr>
              <w:t> </w:t>
            </w:r>
            <w:r>
              <w:rPr>
                <w:sz w:val="16"/>
              </w:rPr>
              <w:t>share</w:t>
              <w:tab/>
              <w:t>-</w:t>
              <w:tab/>
              <w:t>-</w:t>
            </w:r>
          </w:p>
        </w:tc>
        <w:tc>
          <w:tcPr>
            <w:tcW w:w="155" w:type="dxa"/>
          </w:tcPr>
          <w:p>
            <w:pPr/>
          </w:p>
        </w:tc>
        <w:tc>
          <w:tcPr>
            <w:tcW w:w="1140" w:type="dxa"/>
          </w:tcPr>
          <w:p>
            <w:pPr>
              <w:pStyle w:val="TableParagraph"/>
              <w:spacing w:before="30"/>
              <w:jc w:val="right"/>
              <w:rPr>
                <w:sz w:val="16"/>
              </w:rPr>
            </w:pPr>
            <w:r>
              <w:rPr>
                <w:w w:val="115"/>
                <w:sz w:val="16"/>
              </w:rPr>
              <w:t>(10,988)</w:t>
            </w:r>
          </w:p>
        </w:tc>
        <w:tc>
          <w:tcPr>
            <w:tcW w:w="140" w:type="dxa"/>
          </w:tcPr>
          <w:p>
            <w:pPr/>
          </w:p>
        </w:tc>
        <w:tc>
          <w:tcPr>
            <w:tcW w:w="2500" w:type="dxa"/>
            <w:gridSpan w:val="2"/>
          </w:tcPr>
          <w:p>
            <w:pPr>
              <w:pStyle w:val="TableParagraph"/>
              <w:tabs>
                <w:tab w:pos="1859" w:val="left" w:leader="none"/>
              </w:tabs>
              <w:spacing w:before="30"/>
              <w:ind w:left="619"/>
              <w:rPr>
                <w:sz w:val="16"/>
              </w:rPr>
            </w:pPr>
            <w:r>
              <w:rPr>
                <w:w w:val="80"/>
                <w:sz w:val="16"/>
              </w:rPr>
              <w:t>-</w:t>
              <w:tab/>
              <w:t>-</w:t>
            </w:r>
          </w:p>
        </w:tc>
        <w:tc>
          <w:tcPr>
            <w:tcW w:w="1095" w:type="dxa"/>
          </w:tcPr>
          <w:p>
            <w:pPr>
              <w:pStyle w:val="TableParagraph"/>
              <w:spacing w:before="30"/>
              <w:ind w:right="35"/>
              <w:jc w:val="right"/>
              <w:rPr>
                <w:sz w:val="16"/>
              </w:rPr>
            </w:pPr>
            <w:r>
              <w:rPr>
                <w:w w:val="115"/>
                <w:sz w:val="16"/>
              </w:rPr>
              <w:t>(10,988)</w:t>
            </w:r>
          </w:p>
        </w:tc>
      </w:tr>
      <w:tr>
        <w:trPr>
          <w:trHeight w:val="246" w:hRule="exact"/>
        </w:trPr>
        <w:tc>
          <w:tcPr>
            <w:tcW w:w="4657" w:type="dxa"/>
            <w:gridSpan w:val="4"/>
          </w:tcPr>
          <w:p>
            <w:pPr>
              <w:pStyle w:val="TableParagraph"/>
              <w:tabs>
                <w:tab w:pos="2932" w:val="left" w:leader="none"/>
                <w:tab w:pos="4072" w:val="left" w:leader="none"/>
              </w:tabs>
              <w:spacing w:before="30"/>
              <w:ind w:left="32"/>
              <w:rPr>
                <w:sz w:val="16"/>
              </w:rPr>
            </w:pPr>
            <w:r>
              <w:rPr>
                <w:sz w:val="16"/>
              </w:rPr>
              <w:t>Net </w:t>
            </w:r>
            <w:r>
              <w:rPr>
                <w:spacing w:val="3"/>
                <w:sz w:val="16"/>
              </w:rPr>
              <w:t> </w:t>
            </w:r>
            <w:r>
              <w:rPr>
                <w:sz w:val="16"/>
              </w:rPr>
              <w:t>income</w:t>
              <w:tab/>
            </w:r>
            <w:r>
              <w:rPr>
                <w:position w:val="4"/>
                <w:sz w:val="16"/>
              </w:rPr>
              <w:t>-</w:t>
              <w:tab/>
              <w:t>-</w:t>
            </w:r>
          </w:p>
        </w:tc>
        <w:tc>
          <w:tcPr>
            <w:tcW w:w="155" w:type="dxa"/>
          </w:tcPr>
          <w:p>
            <w:pPr/>
          </w:p>
        </w:tc>
        <w:tc>
          <w:tcPr>
            <w:tcW w:w="1140" w:type="dxa"/>
            <w:tcBorders>
              <w:bottom w:val="single" w:sz="2" w:space="0" w:color="000000"/>
            </w:tcBorders>
          </w:tcPr>
          <w:p>
            <w:pPr>
              <w:pStyle w:val="TableParagraph"/>
              <w:spacing w:before="30"/>
              <w:ind w:right="38"/>
              <w:jc w:val="right"/>
              <w:rPr>
                <w:sz w:val="16"/>
              </w:rPr>
            </w:pPr>
            <w:r>
              <w:rPr>
                <w:w w:val="115"/>
                <w:sz w:val="16"/>
              </w:rPr>
              <w:t>603,093</w:t>
            </w:r>
          </w:p>
        </w:tc>
        <w:tc>
          <w:tcPr>
            <w:tcW w:w="140" w:type="dxa"/>
          </w:tcPr>
          <w:p>
            <w:pPr/>
          </w:p>
        </w:tc>
        <w:tc>
          <w:tcPr>
            <w:tcW w:w="2500" w:type="dxa"/>
            <w:gridSpan w:val="2"/>
          </w:tcPr>
          <w:p>
            <w:pPr>
              <w:pStyle w:val="TableParagraph"/>
              <w:tabs>
                <w:tab w:pos="1859" w:val="left" w:leader="none"/>
              </w:tabs>
              <w:spacing w:before="30"/>
              <w:ind w:left="620"/>
              <w:rPr>
                <w:sz w:val="16"/>
              </w:rPr>
            </w:pPr>
            <w:r>
              <w:rPr>
                <w:w w:val="80"/>
                <w:sz w:val="16"/>
              </w:rPr>
              <w:t>-</w:t>
              <w:tab/>
              <w:t>-</w:t>
            </w:r>
          </w:p>
        </w:tc>
        <w:tc>
          <w:tcPr>
            <w:tcW w:w="1095" w:type="dxa"/>
            <w:tcBorders>
              <w:bottom w:val="single" w:sz="2" w:space="0" w:color="000000"/>
            </w:tcBorders>
          </w:tcPr>
          <w:p>
            <w:pPr>
              <w:pStyle w:val="TableParagraph"/>
              <w:spacing w:before="30"/>
              <w:ind w:right="75"/>
              <w:jc w:val="right"/>
              <w:rPr>
                <w:sz w:val="16"/>
              </w:rPr>
            </w:pPr>
            <w:r>
              <w:rPr>
                <w:w w:val="115"/>
                <w:sz w:val="16"/>
              </w:rPr>
              <w:t>603,093</w:t>
            </w:r>
          </w:p>
        </w:tc>
      </w:tr>
      <w:tr>
        <w:trPr>
          <w:trHeight w:val="524" w:hRule="exact"/>
        </w:trPr>
        <w:tc>
          <w:tcPr>
            <w:tcW w:w="4657" w:type="dxa"/>
            <w:gridSpan w:val="4"/>
          </w:tcPr>
          <w:p>
            <w:pPr>
              <w:pStyle w:val="TableParagraph"/>
              <w:spacing w:line="20" w:lineRule="exact"/>
              <w:ind w:left="2530"/>
              <w:rPr>
                <w:sz w:val="2"/>
              </w:rPr>
            </w:pPr>
            <w:r>
              <w:rPr>
                <w:sz w:val="2"/>
              </w:rPr>
              <w:pict>
                <v:group style="width:42.5pt;height:.25pt;mso-position-horizontal-relative:char;mso-position-vertical-relative:line" coordorigin="0,0" coordsize="850,5">
                  <v:line style="position:absolute" from="3,3" to="847,3" stroked="true" strokeweight=".24pt" strokecolor="#000000">
                    <v:stroke dashstyle="solid"/>
                  </v:line>
                </v:group>
              </w:pict>
            </w:r>
            <w:r>
              <w:rPr>
                <w:sz w:val="2"/>
              </w:rPr>
            </w:r>
          </w:p>
          <w:p>
            <w:pPr>
              <w:pStyle w:val="TableParagraph"/>
              <w:spacing w:before="9"/>
              <w:rPr>
                <w:sz w:val="16"/>
              </w:rPr>
            </w:pPr>
          </w:p>
          <w:p>
            <w:pPr>
              <w:pStyle w:val="TableParagraph"/>
              <w:tabs>
                <w:tab w:pos="2763" w:val="left" w:leader="none"/>
                <w:tab w:pos="4021" w:val="left" w:leader="none"/>
              </w:tabs>
              <w:spacing w:before="1"/>
              <w:ind w:left="32"/>
              <w:rPr>
                <w:sz w:val="16"/>
              </w:rPr>
            </w:pPr>
            <w:r>
              <w:rPr>
                <w:w w:val="115"/>
                <w:sz w:val="16"/>
              </w:rPr>
              <w:t>Balance at December</w:t>
            </w:r>
            <w:r>
              <w:rPr>
                <w:spacing w:val="25"/>
                <w:w w:val="115"/>
                <w:sz w:val="16"/>
              </w:rPr>
              <w:t> </w:t>
            </w:r>
            <w:r>
              <w:rPr>
                <w:w w:val="115"/>
                <w:sz w:val="16"/>
              </w:rPr>
              <w:t>31,</w:t>
            </w:r>
            <w:r>
              <w:rPr>
                <w:spacing w:val="8"/>
                <w:w w:val="115"/>
                <w:sz w:val="16"/>
              </w:rPr>
              <w:t> </w:t>
            </w:r>
            <w:r>
              <w:rPr>
                <w:w w:val="115"/>
                <w:sz w:val="16"/>
              </w:rPr>
              <w:t>2000</w:t>
              <w:tab/>
            </w:r>
            <w:r>
              <w:rPr>
                <w:spacing w:val="-3"/>
                <w:w w:val="115"/>
                <w:sz w:val="16"/>
              </w:rPr>
              <w:t>507,897</w:t>
              <w:tab/>
              <w:t>103,780</w:t>
            </w:r>
          </w:p>
        </w:tc>
        <w:tc>
          <w:tcPr>
            <w:tcW w:w="155" w:type="dxa"/>
          </w:tcPr>
          <w:p>
            <w:pPr/>
          </w:p>
        </w:tc>
        <w:tc>
          <w:tcPr>
            <w:tcW w:w="1140" w:type="dxa"/>
            <w:tcBorders>
              <w:top w:val="single" w:sz="2" w:space="0" w:color="000000"/>
            </w:tcBorders>
          </w:tcPr>
          <w:p>
            <w:pPr>
              <w:pStyle w:val="TableParagraph"/>
              <w:spacing w:before="3"/>
              <w:rPr>
                <w:sz w:val="18"/>
              </w:rPr>
            </w:pPr>
          </w:p>
          <w:p>
            <w:pPr>
              <w:pStyle w:val="TableParagraph"/>
              <w:ind w:right="57"/>
              <w:jc w:val="right"/>
              <w:rPr>
                <w:sz w:val="16"/>
              </w:rPr>
            </w:pPr>
            <w:r>
              <w:rPr>
                <w:w w:val="115"/>
                <w:sz w:val="16"/>
              </w:rPr>
              <w:t>2,902,007</w:t>
            </w:r>
          </w:p>
        </w:tc>
        <w:tc>
          <w:tcPr>
            <w:tcW w:w="140" w:type="dxa"/>
          </w:tcPr>
          <w:p>
            <w:pPr/>
          </w:p>
        </w:tc>
        <w:tc>
          <w:tcPr>
            <w:tcW w:w="2500" w:type="dxa"/>
            <w:gridSpan w:val="2"/>
          </w:tcPr>
          <w:p>
            <w:pPr>
              <w:pStyle w:val="TableParagraph"/>
              <w:spacing w:before="5"/>
              <w:rPr>
                <w:sz w:val="18"/>
              </w:rPr>
            </w:pPr>
          </w:p>
          <w:p>
            <w:pPr>
              <w:pStyle w:val="TableParagraph"/>
              <w:tabs>
                <w:tab w:pos="1787" w:val="left" w:leader="none"/>
              </w:tabs>
              <w:ind w:left="620"/>
              <w:rPr>
                <w:sz w:val="16"/>
              </w:rPr>
            </w:pPr>
            <w:r>
              <w:rPr>
                <w:sz w:val="16"/>
              </w:rPr>
              <w:t>-</w:t>
              <w:tab/>
              <w:t>(62,364)</w:t>
            </w:r>
          </w:p>
        </w:tc>
        <w:tc>
          <w:tcPr>
            <w:tcW w:w="1095" w:type="dxa"/>
            <w:tcBorders>
              <w:top w:val="single" w:sz="2" w:space="0" w:color="000000"/>
            </w:tcBorders>
          </w:tcPr>
          <w:p>
            <w:pPr>
              <w:pStyle w:val="TableParagraph"/>
              <w:spacing w:before="3"/>
              <w:rPr>
                <w:sz w:val="18"/>
              </w:rPr>
            </w:pPr>
          </w:p>
          <w:p>
            <w:pPr>
              <w:pStyle w:val="TableParagraph"/>
              <w:ind w:right="74"/>
              <w:jc w:val="right"/>
              <w:rPr>
                <w:sz w:val="16"/>
              </w:rPr>
            </w:pPr>
            <w:r>
              <w:rPr>
                <w:w w:val="115"/>
                <w:sz w:val="16"/>
              </w:rPr>
              <w:t>3,451,320</w:t>
            </w:r>
          </w:p>
        </w:tc>
      </w:tr>
      <w:tr>
        <w:trPr>
          <w:trHeight w:val="560" w:hRule="exact"/>
        </w:trPr>
        <w:tc>
          <w:tcPr>
            <w:tcW w:w="3533" w:type="dxa"/>
            <w:gridSpan w:val="3"/>
          </w:tcPr>
          <w:p>
            <w:pPr>
              <w:pStyle w:val="TableParagraph"/>
              <w:tabs>
                <w:tab w:pos="2763" w:val="left" w:leader="none"/>
              </w:tabs>
              <w:spacing w:line="295" w:lineRule="auto" w:before="100"/>
              <w:ind w:left="52" w:right="160" w:hanging="20"/>
              <w:rPr>
                <w:sz w:val="16"/>
              </w:rPr>
            </w:pPr>
            <w:r>
              <w:rPr>
                <w:spacing w:val="2"/>
                <w:w w:val="105"/>
                <w:sz w:val="16"/>
              </w:rPr>
              <w:t>Three-for-two</w:t>
            </w:r>
            <w:r>
              <w:rPr>
                <w:spacing w:val="38"/>
                <w:w w:val="105"/>
                <w:sz w:val="16"/>
              </w:rPr>
              <w:t> </w:t>
            </w:r>
            <w:r>
              <w:rPr>
                <w:spacing w:val="2"/>
                <w:w w:val="105"/>
                <w:sz w:val="16"/>
              </w:rPr>
              <w:t>stock</w:t>
            </w:r>
            <w:r>
              <w:rPr>
                <w:spacing w:val="38"/>
                <w:w w:val="105"/>
                <w:sz w:val="16"/>
              </w:rPr>
              <w:t> </w:t>
            </w:r>
            <w:r>
              <w:rPr>
                <w:spacing w:val="2"/>
                <w:w w:val="105"/>
                <w:sz w:val="16"/>
              </w:rPr>
              <w:t>split</w:t>
              <w:tab/>
            </w:r>
            <w:r>
              <w:rPr>
                <w:spacing w:val="-3"/>
                <w:w w:val="105"/>
                <w:sz w:val="16"/>
              </w:rPr>
              <w:t>253,929 </w:t>
            </w:r>
            <w:r>
              <w:rPr>
                <w:w w:val="105"/>
                <w:sz w:val="16"/>
              </w:rPr>
              <w:t>Issuance  of  common </w:t>
            </w:r>
            <w:r>
              <w:rPr>
                <w:spacing w:val="19"/>
                <w:w w:val="105"/>
                <w:sz w:val="16"/>
              </w:rPr>
              <w:t> </w:t>
            </w:r>
            <w:r>
              <w:rPr>
                <w:w w:val="105"/>
                <w:sz w:val="16"/>
              </w:rPr>
              <w:t>and</w:t>
            </w:r>
          </w:p>
        </w:tc>
        <w:tc>
          <w:tcPr>
            <w:tcW w:w="1125" w:type="dxa"/>
          </w:tcPr>
          <w:p>
            <w:pPr>
              <w:pStyle w:val="TableParagraph"/>
              <w:spacing w:before="100"/>
              <w:ind w:right="-14"/>
              <w:jc w:val="right"/>
              <w:rPr>
                <w:sz w:val="16"/>
              </w:rPr>
            </w:pPr>
            <w:r>
              <w:rPr>
                <w:w w:val="115"/>
                <w:sz w:val="16"/>
              </w:rPr>
              <w:t>(136,044)</w:t>
            </w:r>
          </w:p>
        </w:tc>
        <w:tc>
          <w:tcPr>
            <w:tcW w:w="1295" w:type="dxa"/>
            <w:gridSpan w:val="2"/>
          </w:tcPr>
          <w:p>
            <w:pPr>
              <w:pStyle w:val="TableParagraph"/>
              <w:spacing w:before="100"/>
              <w:ind w:left="588"/>
              <w:rPr>
                <w:sz w:val="16"/>
              </w:rPr>
            </w:pPr>
            <w:r>
              <w:rPr>
                <w:spacing w:val="-2"/>
                <w:w w:val="115"/>
                <w:sz w:val="16"/>
              </w:rPr>
              <w:t>(117,885)</w:t>
            </w:r>
          </w:p>
        </w:tc>
        <w:tc>
          <w:tcPr>
            <w:tcW w:w="2640" w:type="dxa"/>
            <w:gridSpan w:val="3"/>
          </w:tcPr>
          <w:p>
            <w:pPr>
              <w:pStyle w:val="TableParagraph"/>
              <w:tabs>
                <w:tab w:pos="2000" w:val="left" w:leader="none"/>
              </w:tabs>
              <w:spacing w:before="100"/>
              <w:ind w:left="760"/>
              <w:rPr>
                <w:sz w:val="16"/>
              </w:rPr>
            </w:pPr>
            <w:r>
              <w:rPr>
                <w:w w:val="80"/>
                <w:sz w:val="16"/>
              </w:rPr>
              <w:t>-</w:t>
              <w:tab/>
              <w:t>-</w:t>
            </w:r>
          </w:p>
        </w:tc>
        <w:tc>
          <w:tcPr>
            <w:tcW w:w="1095" w:type="dxa"/>
          </w:tcPr>
          <w:p>
            <w:pPr>
              <w:pStyle w:val="TableParagraph"/>
              <w:spacing w:before="100"/>
              <w:ind w:right="97"/>
              <w:jc w:val="center"/>
              <w:rPr>
                <w:sz w:val="16"/>
              </w:rPr>
            </w:pPr>
            <w:r>
              <w:rPr>
                <w:w w:val="71"/>
                <w:sz w:val="16"/>
              </w:rPr>
              <w:t>-</w:t>
            </w:r>
          </w:p>
        </w:tc>
      </w:tr>
      <w:tr>
        <w:trPr>
          <w:trHeight w:val="490" w:hRule="exact"/>
        </w:trPr>
        <w:tc>
          <w:tcPr>
            <w:tcW w:w="3533" w:type="dxa"/>
            <w:gridSpan w:val="3"/>
          </w:tcPr>
          <w:p>
            <w:pPr>
              <w:pStyle w:val="TableParagraph"/>
              <w:spacing w:before="20"/>
              <w:ind w:left="192"/>
              <w:rPr>
                <w:sz w:val="16"/>
              </w:rPr>
            </w:pPr>
            <w:r>
              <w:rPr>
                <w:w w:val="105"/>
                <w:sz w:val="16"/>
              </w:rPr>
              <w:t>treasury  stock  pursuant   to</w:t>
            </w:r>
          </w:p>
          <w:p>
            <w:pPr>
              <w:pStyle w:val="TableParagraph"/>
              <w:tabs>
                <w:tab w:pos="2942" w:val="left" w:leader="none"/>
              </w:tabs>
              <w:spacing w:before="44"/>
              <w:ind w:left="192"/>
              <w:rPr>
                <w:sz w:val="16"/>
              </w:rPr>
            </w:pPr>
            <w:r>
              <w:rPr>
                <w:w w:val="115"/>
                <w:sz w:val="16"/>
              </w:rPr>
              <w:t>Employee</w:t>
            </w:r>
            <w:r>
              <w:rPr>
                <w:spacing w:val="14"/>
                <w:w w:val="115"/>
                <w:sz w:val="16"/>
              </w:rPr>
              <w:t> </w:t>
            </w:r>
            <w:r>
              <w:rPr>
                <w:w w:val="115"/>
                <w:sz w:val="16"/>
              </w:rPr>
              <w:t>stock</w:t>
            </w:r>
            <w:r>
              <w:rPr>
                <w:spacing w:val="14"/>
                <w:w w:val="115"/>
                <w:sz w:val="16"/>
              </w:rPr>
              <w:t> </w:t>
            </w:r>
            <w:r>
              <w:rPr>
                <w:w w:val="115"/>
                <w:sz w:val="16"/>
              </w:rPr>
              <w:t>plans</w:t>
              <w:tab/>
            </w:r>
            <w:r>
              <w:rPr>
                <w:spacing w:val="-6"/>
                <w:w w:val="115"/>
                <w:sz w:val="16"/>
              </w:rPr>
              <w:t>4,948</w:t>
            </w:r>
          </w:p>
        </w:tc>
        <w:tc>
          <w:tcPr>
            <w:tcW w:w="1125" w:type="dxa"/>
          </w:tcPr>
          <w:p>
            <w:pPr>
              <w:pStyle w:val="TableParagraph"/>
              <w:spacing w:before="4"/>
              <w:rPr>
                <w:sz w:val="21"/>
              </w:rPr>
            </w:pPr>
          </w:p>
          <w:p>
            <w:pPr>
              <w:pStyle w:val="TableParagraph"/>
              <w:ind w:right="26"/>
              <w:jc w:val="right"/>
              <w:rPr>
                <w:sz w:val="16"/>
              </w:rPr>
            </w:pPr>
            <w:r>
              <w:rPr>
                <w:w w:val="115"/>
                <w:sz w:val="16"/>
              </w:rPr>
              <w:t>28,982</w:t>
            </w:r>
          </w:p>
        </w:tc>
        <w:tc>
          <w:tcPr>
            <w:tcW w:w="1295" w:type="dxa"/>
            <w:gridSpan w:val="2"/>
          </w:tcPr>
          <w:p>
            <w:pPr>
              <w:pStyle w:val="TableParagraph"/>
              <w:spacing w:before="4"/>
              <w:rPr>
                <w:sz w:val="21"/>
              </w:rPr>
            </w:pPr>
          </w:p>
          <w:p>
            <w:pPr>
              <w:pStyle w:val="TableParagraph"/>
              <w:ind w:left="676"/>
              <w:rPr>
                <w:sz w:val="16"/>
              </w:rPr>
            </w:pPr>
            <w:r>
              <w:rPr>
                <w:spacing w:val="-1"/>
                <w:w w:val="115"/>
                <w:sz w:val="16"/>
              </w:rPr>
              <w:t>(52,753)</w:t>
            </w:r>
          </w:p>
        </w:tc>
        <w:tc>
          <w:tcPr>
            <w:tcW w:w="2640" w:type="dxa"/>
            <w:gridSpan w:val="3"/>
          </w:tcPr>
          <w:p>
            <w:pPr>
              <w:pStyle w:val="TableParagraph"/>
              <w:spacing w:before="4"/>
              <w:rPr>
                <w:sz w:val="21"/>
              </w:rPr>
            </w:pPr>
          </w:p>
          <w:p>
            <w:pPr>
              <w:pStyle w:val="TableParagraph"/>
              <w:tabs>
                <w:tab w:pos="1989" w:val="left" w:leader="none"/>
              </w:tabs>
              <w:ind w:left="760"/>
              <w:rPr>
                <w:sz w:val="16"/>
              </w:rPr>
            </w:pPr>
            <w:r>
              <w:rPr>
                <w:sz w:val="16"/>
              </w:rPr>
              <w:t>-</w:t>
              <w:tab/>
            </w:r>
            <w:r>
              <w:rPr>
                <w:spacing w:val="-4"/>
                <w:sz w:val="16"/>
              </w:rPr>
              <w:t>62,364</w:t>
            </w:r>
          </w:p>
        </w:tc>
        <w:tc>
          <w:tcPr>
            <w:tcW w:w="1095" w:type="dxa"/>
          </w:tcPr>
          <w:p>
            <w:pPr>
              <w:pStyle w:val="TableParagraph"/>
              <w:spacing w:before="4"/>
              <w:rPr>
                <w:sz w:val="21"/>
              </w:rPr>
            </w:pPr>
          </w:p>
          <w:p>
            <w:pPr>
              <w:pStyle w:val="TableParagraph"/>
              <w:ind w:right="76"/>
              <w:jc w:val="right"/>
              <w:rPr>
                <w:sz w:val="16"/>
              </w:rPr>
            </w:pPr>
            <w:r>
              <w:rPr>
                <w:w w:val="115"/>
                <w:sz w:val="16"/>
              </w:rPr>
              <w:t>43,541</w:t>
            </w:r>
          </w:p>
        </w:tc>
      </w:tr>
      <w:tr>
        <w:trPr>
          <w:trHeight w:val="260" w:hRule="exact"/>
        </w:trPr>
        <w:tc>
          <w:tcPr>
            <w:tcW w:w="2731" w:type="dxa"/>
            <w:gridSpan w:val="2"/>
          </w:tcPr>
          <w:p>
            <w:pPr>
              <w:pStyle w:val="TableParagraph"/>
              <w:spacing w:before="30"/>
              <w:ind w:left="32"/>
              <w:rPr>
                <w:sz w:val="16"/>
              </w:rPr>
            </w:pPr>
            <w:r>
              <w:rPr>
                <w:w w:val="105"/>
                <w:sz w:val="16"/>
              </w:rPr>
              <w:t>Tax  benefit  of  options  exercised</w:t>
            </w:r>
          </w:p>
        </w:tc>
        <w:tc>
          <w:tcPr>
            <w:tcW w:w="1926" w:type="dxa"/>
            <w:gridSpan w:val="2"/>
          </w:tcPr>
          <w:p>
            <w:pPr>
              <w:pStyle w:val="TableParagraph"/>
              <w:tabs>
                <w:tab w:pos="1390" w:val="left" w:leader="none"/>
              </w:tabs>
              <w:spacing w:before="30"/>
              <w:ind w:left="201"/>
              <w:rPr>
                <w:sz w:val="16"/>
              </w:rPr>
            </w:pPr>
            <w:r>
              <w:rPr>
                <w:sz w:val="16"/>
              </w:rPr>
              <w:t>-</w:t>
              <w:tab/>
            </w:r>
            <w:r>
              <w:rPr>
                <w:spacing w:val="-4"/>
                <w:sz w:val="16"/>
              </w:rPr>
              <w:t>53,691</w:t>
            </w:r>
          </w:p>
        </w:tc>
        <w:tc>
          <w:tcPr>
            <w:tcW w:w="1295" w:type="dxa"/>
            <w:gridSpan w:val="2"/>
          </w:tcPr>
          <w:p>
            <w:pPr>
              <w:pStyle w:val="TableParagraph"/>
              <w:spacing w:before="30"/>
              <w:ind w:left="129"/>
              <w:jc w:val="center"/>
              <w:rPr>
                <w:sz w:val="16"/>
              </w:rPr>
            </w:pPr>
            <w:r>
              <w:rPr>
                <w:w w:val="71"/>
                <w:sz w:val="16"/>
              </w:rPr>
              <w:t>-</w:t>
            </w:r>
          </w:p>
        </w:tc>
        <w:tc>
          <w:tcPr>
            <w:tcW w:w="3735" w:type="dxa"/>
            <w:gridSpan w:val="4"/>
          </w:tcPr>
          <w:p>
            <w:pPr>
              <w:pStyle w:val="TableParagraph"/>
              <w:tabs>
                <w:tab w:pos="1999" w:val="left" w:leader="none"/>
                <w:tab w:pos="3154" w:val="left" w:leader="none"/>
              </w:tabs>
              <w:spacing w:before="30"/>
              <w:ind w:left="759"/>
              <w:rPr>
                <w:sz w:val="16"/>
              </w:rPr>
            </w:pPr>
            <w:r>
              <w:rPr>
                <w:sz w:val="16"/>
              </w:rPr>
              <w:t>-</w:t>
              <w:tab/>
              <w:t>-</w:t>
              <w:tab/>
            </w:r>
            <w:r>
              <w:rPr>
                <w:spacing w:val="-5"/>
                <w:sz w:val="16"/>
              </w:rPr>
              <w:t>53,691</w:t>
            </w:r>
          </w:p>
        </w:tc>
      </w:tr>
      <w:tr>
        <w:trPr>
          <w:trHeight w:val="260" w:hRule="exact"/>
        </w:trPr>
        <w:tc>
          <w:tcPr>
            <w:tcW w:w="2731" w:type="dxa"/>
            <w:gridSpan w:val="2"/>
          </w:tcPr>
          <w:p>
            <w:pPr>
              <w:pStyle w:val="TableParagraph"/>
              <w:spacing w:before="30"/>
              <w:ind w:left="32"/>
              <w:rPr>
                <w:sz w:val="16"/>
              </w:rPr>
            </w:pPr>
            <w:r>
              <w:rPr>
                <w:w w:val="110"/>
                <w:sz w:val="16"/>
              </w:rPr>
              <w:t>Cash  dividends,  $.018  per share</w:t>
            </w:r>
          </w:p>
        </w:tc>
        <w:tc>
          <w:tcPr>
            <w:tcW w:w="1926" w:type="dxa"/>
            <w:gridSpan w:val="2"/>
          </w:tcPr>
          <w:p>
            <w:pPr>
              <w:pStyle w:val="TableParagraph"/>
              <w:tabs>
                <w:tab w:pos="1341" w:val="left" w:leader="none"/>
              </w:tabs>
              <w:spacing w:before="30"/>
              <w:ind w:left="201"/>
              <w:rPr>
                <w:sz w:val="16"/>
              </w:rPr>
            </w:pPr>
            <w:r>
              <w:rPr>
                <w:w w:val="80"/>
                <w:sz w:val="16"/>
              </w:rPr>
              <w:t>-</w:t>
              <w:tab/>
              <w:t>-</w:t>
            </w:r>
          </w:p>
        </w:tc>
        <w:tc>
          <w:tcPr>
            <w:tcW w:w="1295" w:type="dxa"/>
            <w:gridSpan w:val="2"/>
          </w:tcPr>
          <w:p>
            <w:pPr>
              <w:pStyle w:val="TableParagraph"/>
              <w:spacing w:before="30"/>
              <w:ind w:left="676"/>
              <w:rPr>
                <w:sz w:val="16"/>
              </w:rPr>
            </w:pPr>
            <w:r>
              <w:rPr>
                <w:spacing w:val="-1"/>
                <w:w w:val="115"/>
                <w:sz w:val="16"/>
              </w:rPr>
              <w:t>(14,108)</w:t>
            </w:r>
          </w:p>
        </w:tc>
        <w:tc>
          <w:tcPr>
            <w:tcW w:w="3735" w:type="dxa"/>
            <w:gridSpan w:val="4"/>
          </w:tcPr>
          <w:p>
            <w:pPr>
              <w:pStyle w:val="TableParagraph"/>
              <w:tabs>
                <w:tab w:pos="2000" w:val="left" w:leader="none"/>
                <w:tab w:pos="3099" w:val="left" w:leader="none"/>
              </w:tabs>
              <w:spacing w:before="30"/>
              <w:ind w:left="760"/>
              <w:rPr>
                <w:sz w:val="16"/>
              </w:rPr>
            </w:pPr>
            <w:r>
              <w:rPr>
                <w:sz w:val="16"/>
              </w:rPr>
              <w:t>-</w:t>
              <w:tab/>
              <w:t>-</w:t>
              <w:tab/>
            </w:r>
            <w:r>
              <w:rPr>
                <w:spacing w:val="-4"/>
                <w:sz w:val="16"/>
              </w:rPr>
              <w:t>(14,108)</w:t>
            </w:r>
          </w:p>
        </w:tc>
      </w:tr>
      <w:tr>
        <w:trPr>
          <w:trHeight w:val="260" w:hRule="exact"/>
        </w:trPr>
        <w:tc>
          <w:tcPr>
            <w:tcW w:w="2731" w:type="dxa"/>
            <w:gridSpan w:val="2"/>
          </w:tcPr>
          <w:p>
            <w:pPr>
              <w:pStyle w:val="TableParagraph"/>
              <w:spacing w:before="30"/>
              <w:ind w:left="32"/>
              <w:rPr>
                <w:sz w:val="16"/>
              </w:rPr>
            </w:pPr>
            <w:r>
              <w:rPr>
                <w:w w:val="110"/>
                <w:sz w:val="16"/>
              </w:rPr>
              <w:t>Comprehensive income (loss)</w:t>
            </w:r>
          </w:p>
        </w:tc>
        <w:tc>
          <w:tcPr>
            <w:tcW w:w="1926" w:type="dxa"/>
            <w:gridSpan w:val="2"/>
          </w:tcPr>
          <w:p>
            <w:pPr/>
          </w:p>
        </w:tc>
        <w:tc>
          <w:tcPr>
            <w:tcW w:w="1295" w:type="dxa"/>
            <w:gridSpan w:val="2"/>
          </w:tcPr>
          <w:p>
            <w:pPr/>
          </w:p>
        </w:tc>
        <w:tc>
          <w:tcPr>
            <w:tcW w:w="3735" w:type="dxa"/>
            <w:gridSpan w:val="4"/>
          </w:tcPr>
          <w:p>
            <w:pPr/>
          </w:p>
        </w:tc>
      </w:tr>
      <w:tr>
        <w:trPr>
          <w:trHeight w:val="260" w:hRule="exact"/>
        </w:trPr>
        <w:tc>
          <w:tcPr>
            <w:tcW w:w="2731" w:type="dxa"/>
            <w:gridSpan w:val="2"/>
          </w:tcPr>
          <w:p>
            <w:pPr>
              <w:pStyle w:val="TableParagraph"/>
              <w:spacing w:before="30"/>
              <w:ind w:left="112"/>
              <w:rPr>
                <w:sz w:val="16"/>
              </w:rPr>
            </w:pPr>
            <w:r>
              <w:rPr>
                <w:w w:val="105"/>
                <w:sz w:val="16"/>
              </w:rPr>
              <w:t>Net income</w:t>
            </w:r>
          </w:p>
        </w:tc>
        <w:tc>
          <w:tcPr>
            <w:tcW w:w="1926" w:type="dxa"/>
            <w:gridSpan w:val="2"/>
          </w:tcPr>
          <w:p>
            <w:pPr>
              <w:pStyle w:val="TableParagraph"/>
              <w:tabs>
                <w:tab w:pos="1339" w:val="left" w:leader="none"/>
              </w:tabs>
              <w:spacing w:before="30"/>
              <w:ind w:left="199"/>
              <w:rPr>
                <w:sz w:val="16"/>
              </w:rPr>
            </w:pPr>
            <w:r>
              <w:rPr>
                <w:w w:val="80"/>
                <w:sz w:val="16"/>
              </w:rPr>
              <w:t>-</w:t>
              <w:tab/>
              <w:t>-</w:t>
            </w:r>
          </w:p>
        </w:tc>
        <w:tc>
          <w:tcPr>
            <w:tcW w:w="1295" w:type="dxa"/>
            <w:gridSpan w:val="2"/>
          </w:tcPr>
          <w:p>
            <w:pPr>
              <w:pStyle w:val="TableParagraph"/>
              <w:spacing w:before="30"/>
              <w:ind w:left="631"/>
              <w:rPr>
                <w:sz w:val="16"/>
              </w:rPr>
            </w:pPr>
            <w:r>
              <w:rPr>
                <w:w w:val="120"/>
                <w:sz w:val="16"/>
              </w:rPr>
              <w:t>511,147</w:t>
            </w:r>
          </w:p>
        </w:tc>
        <w:tc>
          <w:tcPr>
            <w:tcW w:w="3735" w:type="dxa"/>
            <w:gridSpan w:val="4"/>
          </w:tcPr>
          <w:p>
            <w:pPr>
              <w:pStyle w:val="TableParagraph"/>
              <w:tabs>
                <w:tab w:pos="2000" w:val="left" w:leader="none"/>
                <w:tab w:pos="3075" w:val="left" w:leader="none"/>
              </w:tabs>
              <w:spacing w:before="30"/>
              <w:ind w:left="760"/>
              <w:rPr>
                <w:sz w:val="16"/>
              </w:rPr>
            </w:pPr>
            <w:r>
              <w:rPr>
                <w:sz w:val="16"/>
              </w:rPr>
              <w:t>-</w:t>
              <w:tab/>
              <w:t>-</w:t>
              <w:tab/>
            </w:r>
            <w:r>
              <w:rPr>
                <w:spacing w:val="-4"/>
                <w:sz w:val="16"/>
              </w:rPr>
              <w:t>511,147</w:t>
            </w:r>
          </w:p>
        </w:tc>
      </w:tr>
      <w:tr>
        <w:trPr>
          <w:trHeight w:val="223" w:hRule="exact"/>
        </w:trPr>
        <w:tc>
          <w:tcPr>
            <w:tcW w:w="2731" w:type="dxa"/>
            <w:gridSpan w:val="2"/>
          </w:tcPr>
          <w:p>
            <w:pPr>
              <w:pStyle w:val="TableParagraph"/>
              <w:spacing w:before="30"/>
              <w:ind w:left="132"/>
              <w:rPr>
                <w:sz w:val="16"/>
              </w:rPr>
            </w:pPr>
            <w:r>
              <w:rPr>
                <w:w w:val="105"/>
                <w:sz w:val="16"/>
              </w:rPr>
              <w:t>Unrealized   loss   on derivative</w:t>
            </w:r>
          </w:p>
        </w:tc>
        <w:tc>
          <w:tcPr>
            <w:tcW w:w="1926" w:type="dxa"/>
            <w:gridSpan w:val="2"/>
          </w:tcPr>
          <w:p>
            <w:pPr/>
          </w:p>
        </w:tc>
        <w:tc>
          <w:tcPr>
            <w:tcW w:w="1295" w:type="dxa"/>
            <w:gridSpan w:val="2"/>
          </w:tcPr>
          <w:p>
            <w:pPr/>
          </w:p>
        </w:tc>
        <w:tc>
          <w:tcPr>
            <w:tcW w:w="3735" w:type="dxa"/>
            <w:gridSpan w:val="4"/>
          </w:tcPr>
          <w:p>
            <w:pPr/>
          </w:p>
        </w:tc>
      </w:tr>
      <w:tr>
        <w:trPr>
          <w:trHeight w:val="287" w:hRule="exact"/>
        </w:trPr>
        <w:tc>
          <w:tcPr>
            <w:tcW w:w="2731" w:type="dxa"/>
            <w:gridSpan w:val="2"/>
          </w:tcPr>
          <w:p>
            <w:pPr>
              <w:pStyle w:val="TableParagraph"/>
              <w:spacing w:before="47"/>
              <w:ind w:left="323"/>
              <w:rPr>
                <w:sz w:val="16"/>
              </w:rPr>
            </w:pPr>
            <w:r>
              <w:rPr>
                <w:w w:val="105"/>
                <w:sz w:val="16"/>
              </w:rPr>
              <w:t>instruments</w:t>
            </w:r>
          </w:p>
        </w:tc>
        <w:tc>
          <w:tcPr>
            <w:tcW w:w="801" w:type="dxa"/>
          </w:tcPr>
          <w:p>
            <w:pPr>
              <w:pStyle w:val="TableParagraph"/>
              <w:spacing w:before="47"/>
              <w:ind w:left="221"/>
              <w:rPr>
                <w:sz w:val="16"/>
              </w:rPr>
            </w:pPr>
            <w:r>
              <w:rPr>
                <w:w w:val="71"/>
                <w:sz w:val="16"/>
              </w:rPr>
              <w:t>-</w:t>
            </w:r>
          </w:p>
        </w:tc>
        <w:tc>
          <w:tcPr>
            <w:tcW w:w="1125" w:type="dxa"/>
          </w:tcPr>
          <w:p>
            <w:pPr>
              <w:pStyle w:val="TableParagraph"/>
              <w:spacing w:before="47"/>
              <w:ind w:left="30"/>
              <w:jc w:val="center"/>
              <w:rPr>
                <w:sz w:val="16"/>
              </w:rPr>
            </w:pPr>
            <w:r>
              <w:rPr>
                <w:w w:val="71"/>
                <w:sz w:val="16"/>
              </w:rPr>
              <w:t>-</w:t>
            </w:r>
          </w:p>
        </w:tc>
        <w:tc>
          <w:tcPr>
            <w:tcW w:w="155" w:type="dxa"/>
          </w:tcPr>
          <w:p>
            <w:pPr/>
          </w:p>
        </w:tc>
        <w:tc>
          <w:tcPr>
            <w:tcW w:w="1140" w:type="dxa"/>
          </w:tcPr>
          <w:p>
            <w:pPr>
              <w:pStyle w:val="TableParagraph"/>
              <w:spacing w:before="47"/>
              <w:ind w:left="15"/>
              <w:jc w:val="center"/>
              <w:rPr>
                <w:sz w:val="16"/>
              </w:rPr>
            </w:pPr>
            <w:r>
              <w:rPr>
                <w:w w:val="71"/>
                <w:sz w:val="16"/>
              </w:rPr>
              <w:t>-</w:t>
            </w:r>
          </w:p>
        </w:tc>
        <w:tc>
          <w:tcPr>
            <w:tcW w:w="140" w:type="dxa"/>
          </w:tcPr>
          <w:p>
            <w:pPr/>
          </w:p>
        </w:tc>
        <w:tc>
          <w:tcPr>
            <w:tcW w:w="2500" w:type="dxa"/>
            <w:gridSpan w:val="2"/>
          </w:tcPr>
          <w:p>
            <w:pPr>
              <w:pStyle w:val="TableParagraph"/>
              <w:tabs>
                <w:tab w:pos="1878" w:val="left" w:leader="none"/>
              </w:tabs>
              <w:spacing w:before="47"/>
              <w:ind w:left="618"/>
              <w:rPr>
                <w:sz w:val="16"/>
              </w:rPr>
            </w:pPr>
            <w:r>
              <w:rPr>
                <w:sz w:val="16"/>
              </w:rPr>
              <w:t>(31,063)</w:t>
              <w:tab/>
              <w:t>-</w:t>
            </w:r>
          </w:p>
        </w:tc>
        <w:tc>
          <w:tcPr>
            <w:tcW w:w="1095" w:type="dxa"/>
          </w:tcPr>
          <w:p>
            <w:pPr>
              <w:pStyle w:val="TableParagraph"/>
              <w:spacing w:before="47"/>
              <w:ind w:right="12"/>
              <w:jc w:val="right"/>
              <w:rPr>
                <w:sz w:val="16"/>
              </w:rPr>
            </w:pPr>
            <w:r>
              <w:rPr>
                <w:w w:val="115"/>
                <w:sz w:val="16"/>
              </w:rPr>
              <w:t>(31,063)</w:t>
            </w:r>
          </w:p>
        </w:tc>
      </w:tr>
      <w:tr>
        <w:trPr>
          <w:trHeight w:val="320" w:hRule="exact"/>
        </w:trPr>
        <w:tc>
          <w:tcPr>
            <w:tcW w:w="2394" w:type="dxa"/>
          </w:tcPr>
          <w:p>
            <w:pPr>
              <w:pStyle w:val="TableParagraph"/>
              <w:spacing w:before="80"/>
              <w:ind w:left="132"/>
              <w:rPr>
                <w:sz w:val="16"/>
              </w:rPr>
            </w:pPr>
            <w:r>
              <w:rPr>
                <w:sz w:val="16"/>
              </w:rPr>
              <w:t>Other</w:t>
            </w:r>
          </w:p>
        </w:tc>
        <w:tc>
          <w:tcPr>
            <w:tcW w:w="1139" w:type="dxa"/>
            <w:gridSpan w:val="2"/>
          </w:tcPr>
          <w:p>
            <w:pPr>
              <w:pStyle w:val="TableParagraph"/>
              <w:spacing w:before="80"/>
              <w:ind w:left="13"/>
              <w:jc w:val="center"/>
              <w:rPr>
                <w:sz w:val="16"/>
              </w:rPr>
            </w:pPr>
            <w:r>
              <w:rPr>
                <w:w w:val="71"/>
                <w:sz w:val="16"/>
              </w:rPr>
              <w:t>-</w:t>
            </w:r>
          </w:p>
        </w:tc>
        <w:tc>
          <w:tcPr>
            <w:tcW w:w="1125" w:type="dxa"/>
          </w:tcPr>
          <w:p>
            <w:pPr>
              <w:pStyle w:val="TableParagraph"/>
              <w:spacing w:before="80"/>
              <w:ind w:left="30"/>
              <w:jc w:val="center"/>
              <w:rPr>
                <w:sz w:val="16"/>
              </w:rPr>
            </w:pPr>
            <w:r>
              <w:rPr>
                <w:w w:val="71"/>
                <w:sz w:val="16"/>
              </w:rPr>
              <w:t>-</w:t>
            </w:r>
          </w:p>
        </w:tc>
        <w:tc>
          <w:tcPr>
            <w:tcW w:w="1295" w:type="dxa"/>
            <w:gridSpan w:val="2"/>
          </w:tcPr>
          <w:p>
            <w:pPr>
              <w:pStyle w:val="TableParagraph"/>
              <w:spacing w:before="80"/>
              <w:ind w:left="170"/>
              <w:jc w:val="center"/>
              <w:rPr>
                <w:sz w:val="16"/>
              </w:rPr>
            </w:pPr>
            <w:r>
              <w:rPr>
                <w:w w:val="71"/>
                <w:sz w:val="16"/>
              </w:rPr>
              <w:t>-</w:t>
            </w:r>
          </w:p>
        </w:tc>
        <w:tc>
          <w:tcPr>
            <w:tcW w:w="1513" w:type="dxa"/>
            <w:gridSpan w:val="2"/>
          </w:tcPr>
          <w:p>
            <w:pPr>
              <w:pStyle w:val="TableParagraph"/>
              <w:spacing w:before="80"/>
              <w:ind w:left="996"/>
              <w:rPr>
                <w:sz w:val="16"/>
              </w:rPr>
            </w:pPr>
            <w:r>
              <w:rPr>
                <w:w w:val="115"/>
                <w:sz w:val="16"/>
              </w:rPr>
              <w:t>(475)</w:t>
            </w:r>
          </w:p>
        </w:tc>
        <w:tc>
          <w:tcPr>
            <w:tcW w:w="1128" w:type="dxa"/>
          </w:tcPr>
          <w:p>
            <w:pPr>
              <w:pStyle w:val="TableParagraph"/>
              <w:spacing w:before="80"/>
              <w:ind w:right="75"/>
              <w:jc w:val="center"/>
              <w:rPr>
                <w:sz w:val="16"/>
              </w:rPr>
            </w:pPr>
            <w:r>
              <w:rPr>
                <w:w w:val="71"/>
                <w:sz w:val="16"/>
              </w:rPr>
              <w:t>-</w:t>
            </w:r>
          </w:p>
        </w:tc>
        <w:tc>
          <w:tcPr>
            <w:tcW w:w="1095" w:type="dxa"/>
          </w:tcPr>
          <w:p>
            <w:pPr>
              <w:pStyle w:val="TableParagraph"/>
              <w:spacing w:before="40"/>
              <w:ind w:right="33"/>
              <w:jc w:val="right"/>
              <w:rPr>
                <w:sz w:val="16"/>
              </w:rPr>
            </w:pPr>
            <w:r>
              <w:rPr>
                <w:w w:val="110"/>
                <w:sz w:val="16"/>
              </w:rPr>
              <w:t>(475)</w:t>
            </w:r>
          </w:p>
        </w:tc>
      </w:tr>
      <w:tr>
        <w:trPr>
          <w:trHeight w:val="273" w:hRule="exact"/>
        </w:trPr>
        <w:tc>
          <w:tcPr>
            <w:tcW w:w="2394" w:type="dxa"/>
          </w:tcPr>
          <w:p>
            <w:pPr>
              <w:pStyle w:val="TableParagraph"/>
              <w:spacing w:before="80"/>
              <w:ind w:left="132"/>
              <w:rPr>
                <w:sz w:val="16"/>
              </w:rPr>
            </w:pPr>
            <w:r>
              <w:rPr>
                <w:w w:val="105"/>
                <w:sz w:val="16"/>
              </w:rPr>
              <w:t>Total  comprehensive  income</w:t>
            </w:r>
          </w:p>
        </w:tc>
        <w:tc>
          <w:tcPr>
            <w:tcW w:w="1139" w:type="dxa"/>
            <w:gridSpan w:val="2"/>
          </w:tcPr>
          <w:p>
            <w:pPr>
              <w:pStyle w:val="TableParagraph"/>
              <w:tabs>
                <w:tab w:pos="983" w:val="left" w:leader="none"/>
              </w:tabs>
              <w:spacing w:before="80"/>
              <w:ind w:left="158"/>
              <w:rPr>
                <w:sz w:val="16"/>
              </w:rPr>
            </w:pPr>
            <w:r>
              <w:rPr>
                <w:w w:val="132"/>
                <w:sz w:val="16"/>
                <w:u w:val="single"/>
              </w:rPr>
              <w:t> </w:t>
            </w:r>
            <w:r>
              <w:rPr>
                <w:sz w:val="16"/>
                <w:u w:val="single"/>
              </w:rPr>
              <w:tab/>
            </w:r>
          </w:p>
        </w:tc>
        <w:tc>
          <w:tcPr>
            <w:tcW w:w="1125" w:type="dxa"/>
          </w:tcPr>
          <w:p>
            <w:pPr>
              <w:pStyle w:val="TableParagraph"/>
              <w:tabs>
                <w:tab w:pos="1104" w:val="left" w:leader="none"/>
              </w:tabs>
              <w:spacing w:before="80"/>
              <w:jc w:val="right"/>
              <w:rPr>
                <w:sz w:val="16"/>
              </w:rPr>
            </w:pPr>
            <w:r>
              <w:rPr>
                <w:w w:val="132"/>
                <w:sz w:val="16"/>
                <w:u w:val="single"/>
              </w:rPr>
              <w:t> </w:t>
            </w:r>
            <w:r>
              <w:rPr>
                <w:sz w:val="16"/>
                <w:u w:val="single"/>
              </w:rPr>
              <w:tab/>
            </w:r>
          </w:p>
        </w:tc>
        <w:tc>
          <w:tcPr>
            <w:tcW w:w="1295" w:type="dxa"/>
            <w:gridSpan w:val="2"/>
          </w:tcPr>
          <w:p>
            <w:pPr>
              <w:pStyle w:val="TableParagraph"/>
              <w:tabs>
                <w:tab w:pos="1279" w:val="left" w:leader="none"/>
              </w:tabs>
              <w:spacing w:before="80"/>
              <w:ind w:left="175"/>
              <w:rPr>
                <w:sz w:val="16"/>
              </w:rPr>
            </w:pPr>
            <w:r>
              <w:rPr>
                <w:w w:val="132"/>
                <w:sz w:val="16"/>
                <w:u w:val="single"/>
              </w:rPr>
              <w:t> </w:t>
            </w:r>
            <w:r>
              <w:rPr>
                <w:sz w:val="16"/>
                <w:u w:val="single"/>
              </w:rPr>
              <w:tab/>
            </w:r>
          </w:p>
        </w:tc>
        <w:tc>
          <w:tcPr>
            <w:tcW w:w="1513" w:type="dxa"/>
            <w:gridSpan w:val="2"/>
          </w:tcPr>
          <w:p>
            <w:pPr>
              <w:pStyle w:val="TableParagraph"/>
              <w:tabs>
                <w:tab w:pos="1425" w:val="left" w:leader="none"/>
              </w:tabs>
              <w:spacing w:before="80"/>
              <w:ind w:left="160"/>
              <w:rPr>
                <w:sz w:val="16"/>
              </w:rPr>
            </w:pPr>
            <w:r>
              <w:rPr>
                <w:w w:val="132"/>
                <w:sz w:val="16"/>
                <w:u w:val="single"/>
              </w:rPr>
              <w:t> </w:t>
            </w:r>
            <w:r>
              <w:rPr>
                <w:sz w:val="16"/>
                <w:u w:val="single"/>
              </w:rPr>
              <w:tab/>
            </w:r>
          </w:p>
        </w:tc>
        <w:tc>
          <w:tcPr>
            <w:tcW w:w="1128" w:type="dxa"/>
          </w:tcPr>
          <w:p>
            <w:pPr>
              <w:pStyle w:val="TableParagraph"/>
              <w:tabs>
                <w:tab w:pos="864" w:val="left" w:leader="none"/>
              </w:tabs>
              <w:spacing w:before="80"/>
              <w:ind w:right="85"/>
              <w:jc w:val="center"/>
              <w:rPr>
                <w:sz w:val="16"/>
              </w:rPr>
            </w:pPr>
            <w:r>
              <w:rPr>
                <w:w w:val="132"/>
                <w:sz w:val="16"/>
                <w:u w:val="single"/>
              </w:rPr>
              <w:t> </w:t>
            </w:r>
            <w:r>
              <w:rPr>
                <w:sz w:val="16"/>
                <w:u w:val="single"/>
              </w:rPr>
              <w:tab/>
            </w:r>
          </w:p>
        </w:tc>
        <w:tc>
          <w:tcPr>
            <w:tcW w:w="1095" w:type="dxa"/>
          </w:tcPr>
          <w:p>
            <w:pPr>
              <w:pStyle w:val="TableParagraph"/>
              <w:spacing w:before="40"/>
              <w:ind w:right="74"/>
              <w:jc w:val="right"/>
              <w:rPr>
                <w:sz w:val="16"/>
              </w:rPr>
            </w:pPr>
            <w:r>
              <w:rPr>
                <w:w w:val="115"/>
                <w:sz w:val="16"/>
              </w:rPr>
              <w:t>479,609</w:t>
            </w:r>
          </w:p>
        </w:tc>
      </w:tr>
    </w:tbl>
    <w:p>
      <w:pPr>
        <w:pStyle w:val="BodyText"/>
        <w:spacing w:before="7"/>
        <w:rPr>
          <w:sz w:val="18"/>
        </w:rPr>
      </w:pPr>
    </w:p>
    <w:p>
      <w:pPr>
        <w:tabs>
          <w:tab w:pos="2979" w:val="left" w:leader="none"/>
          <w:tab w:pos="4357" w:val="left" w:leader="none"/>
          <w:tab w:pos="5360" w:val="left" w:leader="none"/>
          <w:tab w:pos="6945" w:val="left" w:leader="none"/>
          <w:tab w:pos="9081" w:val="left" w:leader="none"/>
        </w:tabs>
        <w:spacing w:before="1"/>
        <w:ind w:left="280" w:right="0" w:firstLine="0"/>
        <w:jc w:val="left"/>
        <w:rPr>
          <w:sz w:val="16"/>
        </w:rPr>
      </w:pPr>
      <w:r>
        <w:rPr/>
        <w:pict>
          <v:line style="position:absolute;mso-position-horizontal-relative:page;mso-position-vertical-relative:paragraph;z-index:-276808" from="477pt,-28.212721pt" to="529.24pt,-28.212721pt" stroked="true" strokeweight=".24pt" strokecolor="#000000">
            <v:stroke dashstyle="solid"/>
            <w10:wrap type="none"/>
          </v:line>
        </w:pict>
      </w:r>
      <w:r>
        <w:rPr/>
        <w:pict>
          <v:line style="position:absolute;mso-position-horizontal-relative:page;mso-position-vertical-relative:paragraph;z-index:-276784" from="477pt,-12.212721pt" to="528.24pt,-12.212721pt" stroked="true" strokeweight=".24pt" strokecolor="#000000">
            <v:stroke dashstyle="solid"/>
            <w10:wrap type="none"/>
          </v:line>
        </w:pict>
      </w:r>
      <w:r>
        <w:rPr>
          <w:w w:val="115"/>
          <w:sz w:val="16"/>
        </w:rPr>
        <w:t>Balance at December</w:t>
      </w:r>
      <w:r>
        <w:rPr>
          <w:spacing w:val="25"/>
          <w:w w:val="115"/>
          <w:sz w:val="16"/>
        </w:rPr>
        <w:t> </w:t>
      </w:r>
      <w:r>
        <w:rPr>
          <w:w w:val="115"/>
          <w:sz w:val="16"/>
        </w:rPr>
        <w:t>31,</w:t>
      </w:r>
      <w:r>
        <w:rPr>
          <w:spacing w:val="8"/>
          <w:w w:val="115"/>
          <w:sz w:val="16"/>
        </w:rPr>
        <w:t> </w:t>
      </w:r>
      <w:r>
        <w:rPr>
          <w:w w:val="115"/>
          <w:sz w:val="16"/>
        </w:rPr>
        <w:t>2001</w:t>
        <w:tab/>
        <w:t>766,774</w:t>
        <w:tab/>
        <w:t>50,409</w:t>
        <w:tab/>
        <w:t>3,228,408</w:t>
        <w:tab/>
        <w:t>(31,538)</w:t>
        <w:tab/>
        <w:t>4,014,053</w:t>
      </w:r>
    </w:p>
    <w:p>
      <w:pPr>
        <w:pStyle w:val="BodyText"/>
        <w:spacing w:before="2"/>
        <w:rPr>
          <w:sz w:val="17"/>
        </w:rPr>
      </w:pPr>
    </w:p>
    <w:p>
      <w:pPr>
        <w:spacing w:line="290" w:lineRule="auto" w:before="1"/>
        <w:ind w:left="499" w:right="7633" w:hanging="220"/>
        <w:jc w:val="left"/>
        <w:rPr>
          <w:rFonts w:ascii="Franklin Gothic Medium"/>
          <w:sz w:val="16"/>
        </w:rPr>
      </w:pPr>
      <w:r>
        <w:rPr/>
        <w:pict>
          <v:shape style="position:absolute;margin-left:191.374451pt;margin-top:22.070038pt;width:340.35pt;height:55.35pt;mso-position-horizontal-relative:page;mso-position-vertical-relative:paragraph;z-index:6784" type="#_x0000_t202" filled="false" stroked="false">
            <v:textbox inset="0,0,0,0">
              <w:txbxContent>
                <w:tbl>
                  <w:tblPr>
                    <w:tblW w:w="0" w:type="auto"/>
                    <w:jc w:val="left"/>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824"/>
                    <w:gridCol w:w="1271"/>
                    <w:gridCol w:w="1348"/>
                    <w:gridCol w:w="3364"/>
                  </w:tblGrid>
                  <w:tr>
                    <w:trPr>
                      <w:trHeight w:val="323" w:hRule="exact"/>
                    </w:trPr>
                    <w:tc>
                      <w:tcPr>
                        <w:tcW w:w="824" w:type="dxa"/>
                      </w:tcPr>
                      <w:p>
                        <w:pPr>
                          <w:pStyle w:val="TableParagraph"/>
                          <w:spacing w:line="181" w:lineRule="exact"/>
                          <w:ind w:left="32"/>
                          <w:rPr>
                            <w:rFonts w:ascii="Franklin Gothic Medium"/>
                            <w:sz w:val="16"/>
                          </w:rPr>
                        </w:pPr>
                        <w:r>
                          <w:rPr>
                            <w:rFonts w:ascii="Franklin Gothic Medium"/>
                            <w:sz w:val="16"/>
                          </w:rPr>
                          <w:t>9,889</w:t>
                        </w:r>
                      </w:p>
                    </w:tc>
                    <w:tc>
                      <w:tcPr>
                        <w:tcW w:w="1271" w:type="dxa"/>
                      </w:tcPr>
                      <w:p>
                        <w:pPr>
                          <w:pStyle w:val="TableParagraph"/>
                          <w:spacing w:line="181" w:lineRule="exact"/>
                          <w:ind w:left="410"/>
                          <w:rPr>
                            <w:rFonts w:ascii="Franklin Gothic Medium"/>
                            <w:sz w:val="16"/>
                          </w:rPr>
                        </w:pPr>
                        <w:r>
                          <w:rPr>
                            <w:rFonts w:ascii="Franklin Gothic Medium"/>
                            <w:sz w:val="16"/>
                          </w:rPr>
                          <w:t>46,868</w:t>
                        </w:r>
                      </w:p>
                    </w:tc>
                    <w:tc>
                      <w:tcPr>
                        <w:tcW w:w="1348" w:type="dxa"/>
                      </w:tcPr>
                      <w:p>
                        <w:pPr>
                          <w:pStyle w:val="TableParagraph"/>
                          <w:spacing w:line="189" w:lineRule="exact"/>
                          <w:ind w:left="377"/>
                          <w:rPr>
                            <w:sz w:val="16"/>
                          </w:rPr>
                        </w:pPr>
                        <w:r>
                          <w:rPr>
                            <w:w w:val="71"/>
                            <w:sz w:val="16"/>
                          </w:rPr>
                          <w:t>-</w:t>
                        </w:r>
                      </w:p>
                    </w:tc>
                    <w:tc>
                      <w:tcPr>
                        <w:tcW w:w="3364" w:type="dxa"/>
                      </w:tcPr>
                      <w:p>
                        <w:pPr>
                          <w:pStyle w:val="TableParagraph"/>
                          <w:tabs>
                            <w:tab w:pos="1239" w:val="left" w:leader="none"/>
                            <w:tab w:pos="2359" w:val="left" w:leader="none"/>
                          </w:tabs>
                          <w:spacing w:line="189" w:lineRule="exact"/>
                          <w:ind w:right="90"/>
                          <w:jc w:val="right"/>
                          <w:rPr>
                            <w:rFonts w:ascii="Franklin Gothic Medium"/>
                            <w:sz w:val="16"/>
                          </w:rPr>
                        </w:pPr>
                        <w:r>
                          <w:rPr>
                            <w:w w:val="95"/>
                            <w:sz w:val="16"/>
                          </w:rPr>
                          <w:t>-</w:t>
                          <w:tab/>
                          <w:t>-</w:t>
                          <w:tab/>
                        </w:r>
                        <w:r>
                          <w:rPr>
                            <w:rFonts w:ascii="Franklin Gothic Medium"/>
                            <w:spacing w:val="1"/>
                            <w:w w:val="95"/>
                            <w:sz w:val="16"/>
                          </w:rPr>
                          <w:t>56,757</w:t>
                        </w:r>
                      </w:p>
                    </w:tc>
                  </w:tr>
                  <w:tr>
                    <w:trPr>
                      <w:trHeight w:val="460" w:hRule="exact"/>
                    </w:trPr>
                    <w:tc>
                      <w:tcPr>
                        <w:tcW w:w="824" w:type="dxa"/>
                      </w:tcPr>
                      <w:p>
                        <w:pPr>
                          <w:pStyle w:val="TableParagraph"/>
                          <w:spacing w:before="130"/>
                          <w:ind w:left="52"/>
                          <w:rPr>
                            <w:sz w:val="16"/>
                          </w:rPr>
                        </w:pPr>
                        <w:r>
                          <w:rPr>
                            <w:w w:val="71"/>
                            <w:sz w:val="16"/>
                          </w:rPr>
                          <w:t>-</w:t>
                        </w:r>
                      </w:p>
                    </w:tc>
                    <w:tc>
                      <w:tcPr>
                        <w:tcW w:w="1271" w:type="dxa"/>
                      </w:tcPr>
                      <w:p>
                        <w:pPr>
                          <w:pStyle w:val="TableParagraph"/>
                          <w:spacing w:before="136"/>
                          <w:ind w:left="408"/>
                          <w:rPr>
                            <w:rFonts w:ascii="Franklin Gothic Medium"/>
                            <w:sz w:val="16"/>
                          </w:rPr>
                        </w:pPr>
                        <w:r>
                          <w:rPr>
                            <w:rFonts w:ascii="Franklin Gothic Medium"/>
                            <w:sz w:val="16"/>
                          </w:rPr>
                          <w:t>38,571</w:t>
                        </w:r>
                      </w:p>
                    </w:tc>
                    <w:tc>
                      <w:tcPr>
                        <w:tcW w:w="1348" w:type="dxa"/>
                      </w:tcPr>
                      <w:p>
                        <w:pPr>
                          <w:pStyle w:val="TableParagraph"/>
                          <w:spacing w:before="130"/>
                          <w:ind w:left="377"/>
                          <w:rPr>
                            <w:sz w:val="16"/>
                          </w:rPr>
                        </w:pPr>
                        <w:r>
                          <w:rPr>
                            <w:w w:val="71"/>
                            <w:sz w:val="16"/>
                          </w:rPr>
                          <w:t>-</w:t>
                        </w:r>
                      </w:p>
                    </w:tc>
                    <w:tc>
                      <w:tcPr>
                        <w:tcW w:w="3364" w:type="dxa"/>
                      </w:tcPr>
                      <w:p>
                        <w:pPr>
                          <w:pStyle w:val="TableParagraph"/>
                          <w:tabs>
                            <w:tab w:pos="1239" w:val="left" w:leader="none"/>
                            <w:tab w:pos="2359" w:val="left" w:leader="none"/>
                          </w:tabs>
                          <w:spacing w:before="130"/>
                          <w:ind w:right="90"/>
                          <w:jc w:val="right"/>
                          <w:rPr>
                            <w:rFonts w:ascii="Franklin Gothic Medium"/>
                            <w:sz w:val="16"/>
                          </w:rPr>
                        </w:pPr>
                        <w:r>
                          <w:rPr>
                            <w:w w:val="95"/>
                            <w:sz w:val="16"/>
                          </w:rPr>
                          <w:t>-</w:t>
                          <w:tab/>
                          <w:t>-</w:t>
                          <w:tab/>
                        </w:r>
                        <w:r>
                          <w:rPr>
                            <w:rFonts w:ascii="Franklin Gothic Medium"/>
                            <w:spacing w:val="1"/>
                            <w:w w:val="95"/>
                            <w:sz w:val="16"/>
                          </w:rPr>
                          <w:t>38,571</w:t>
                        </w:r>
                      </w:p>
                    </w:tc>
                  </w:tr>
                  <w:tr>
                    <w:trPr>
                      <w:trHeight w:val="323" w:hRule="exact"/>
                    </w:trPr>
                    <w:tc>
                      <w:tcPr>
                        <w:tcW w:w="824" w:type="dxa"/>
                      </w:tcPr>
                      <w:p>
                        <w:pPr>
                          <w:pStyle w:val="TableParagraph"/>
                          <w:spacing w:before="130"/>
                          <w:ind w:left="52"/>
                          <w:rPr>
                            <w:sz w:val="16"/>
                          </w:rPr>
                        </w:pPr>
                        <w:r>
                          <w:rPr>
                            <w:w w:val="71"/>
                            <w:sz w:val="16"/>
                          </w:rPr>
                          <w:t>-</w:t>
                        </w:r>
                      </w:p>
                    </w:tc>
                    <w:tc>
                      <w:tcPr>
                        <w:tcW w:w="1271" w:type="dxa"/>
                      </w:tcPr>
                      <w:p>
                        <w:pPr>
                          <w:pStyle w:val="TableParagraph"/>
                          <w:spacing w:before="130"/>
                          <w:ind w:left="368"/>
                          <w:rPr>
                            <w:sz w:val="16"/>
                          </w:rPr>
                        </w:pPr>
                        <w:r>
                          <w:rPr>
                            <w:w w:val="71"/>
                            <w:sz w:val="16"/>
                          </w:rPr>
                          <w:t>-</w:t>
                        </w:r>
                      </w:p>
                    </w:tc>
                    <w:tc>
                      <w:tcPr>
                        <w:tcW w:w="1348" w:type="dxa"/>
                      </w:tcPr>
                      <w:p>
                        <w:pPr>
                          <w:pStyle w:val="TableParagraph"/>
                          <w:spacing w:before="136"/>
                          <w:ind w:left="340"/>
                          <w:rPr>
                            <w:rFonts w:ascii="Franklin Gothic Medium"/>
                            <w:sz w:val="16"/>
                          </w:rPr>
                        </w:pPr>
                        <w:r>
                          <w:rPr>
                            <w:rFonts w:ascii="Franklin Gothic Medium"/>
                            <w:sz w:val="16"/>
                          </w:rPr>
                          <w:t>(13,929)</w:t>
                        </w:r>
                      </w:p>
                    </w:tc>
                    <w:tc>
                      <w:tcPr>
                        <w:tcW w:w="3364" w:type="dxa"/>
                      </w:tcPr>
                      <w:p>
                        <w:pPr>
                          <w:pStyle w:val="TableParagraph"/>
                          <w:tabs>
                            <w:tab w:pos="1239" w:val="left" w:leader="none"/>
                            <w:tab w:pos="2319" w:val="left" w:leader="none"/>
                          </w:tabs>
                          <w:spacing w:before="130"/>
                          <w:ind w:right="30"/>
                          <w:jc w:val="right"/>
                          <w:rPr>
                            <w:rFonts w:ascii="Franklin Gothic Medium"/>
                            <w:sz w:val="16"/>
                          </w:rPr>
                        </w:pPr>
                        <w:r>
                          <w:rPr>
                            <w:w w:val="95"/>
                            <w:sz w:val="16"/>
                          </w:rPr>
                          <w:t>-</w:t>
                          <w:tab/>
                          <w:t>-</w:t>
                          <w:tab/>
                        </w:r>
                        <w:r>
                          <w:rPr>
                            <w:rFonts w:ascii="Franklin Gothic Medium"/>
                            <w:w w:val="95"/>
                            <w:sz w:val="16"/>
                          </w:rPr>
                          <w:t>(13,929)</w:t>
                        </w:r>
                      </w:p>
                    </w:tc>
                  </w:tr>
                </w:tbl>
                <w:p>
                  <w:pPr>
                    <w:pStyle w:val="BodyText"/>
                  </w:pPr>
                </w:p>
              </w:txbxContent>
            </v:textbox>
            <w10:wrap type="none"/>
          </v:shape>
        </w:pict>
      </w:r>
      <w:r>
        <w:rPr>
          <w:rFonts w:ascii="Franklin Gothic Medium"/>
          <w:sz w:val="16"/>
        </w:rPr>
        <w:t>Issuance of common and treasury stock pursuant to Employee  stock  plans</w:t>
      </w:r>
    </w:p>
    <w:p>
      <w:pPr>
        <w:spacing w:line="290" w:lineRule="auto" w:before="20"/>
        <w:ind w:left="494" w:right="7676" w:hanging="215"/>
        <w:jc w:val="left"/>
        <w:rPr>
          <w:rFonts w:ascii="Franklin Gothic Medium"/>
          <w:sz w:val="16"/>
        </w:rPr>
      </w:pPr>
      <w:r>
        <w:rPr>
          <w:rFonts w:ascii="Franklin Gothic Medium"/>
          <w:sz w:val="16"/>
        </w:rPr>
        <w:t>Tax benefit of options exercised</w:t>
      </w:r>
    </w:p>
    <w:p>
      <w:pPr>
        <w:spacing w:line="290" w:lineRule="auto" w:before="20"/>
        <w:ind w:left="453" w:right="7633" w:hanging="174"/>
        <w:jc w:val="left"/>
        <w:rPr>
          <w:rFonts w:ascii="Franklin Gothic Medium"/>
          <w:sz w:val="16"/>
        </w:rPr>
      </w:pPr>
      <w:r>
        <w:rPr>
          <w:rFonts w:ascii="Franklin Gothic Medium"/>
          <w:sz w:val="16"/>
        </w:rPr>
        <w:t>Cash dividends, $.018 per share</w:t>
      </w:r>
    </w:p>
    <w:p>
      <w:pPr>
        <w:spacing w:before="60"/>
        <w:ind w:left="279" w:right="0" w:firstLine="0"/>
        <w:jc w:val="left"/>
        <w:rPr>
          <w:rFonts w:ascii="Franklin Gothic Medium"/>
          <w:sz w:val="16"/>
        </w:rPr>
      </w:pPr>
      <w:r>
        <w:rPr>
          <w:rFonts w:ascii="Franklin Gothic Medium"/>
          <w:sz w:val="16"/>
        </w:rPr>
        <w:t>Comprehensive   income  (loss)</w:t>
      </w:r>
    </w:p>
    <w:p>
      <w:pPr>
        <w:tabs>
          <w:tab w:pos="3179" w:val="left" w:leader="none"/>
          <w:tab w:pos="4319" w:val="left" w:leader="none"/>
          <w:tab w:pos="5519" w:val="left" w:leader="none"/>
          <w:tab w:pos="6959" w:val="left" w:leader="none"/>
          <w:tab w:pos="8199" w:val="left" w:leader="none"/>
          <w:tab w:pos="9219" w:val="left" w:leader="none"/>
        </w:tabs>
        <w:spacing w:before="92"/>
        <w:ind w:left="359" w:right="0" w:firstLine="0"/>
        <w:jc w:val="left"/>
        <w:rPr>
          <w:rFonts w:ascii="Franklin Gothic Medium"/>
          <w:sz w:val="16"/>
        </w:rPr>
      </w:pPr>
      <w:r>
        <w:rPr>
          <w:rFonts w:ascii="Franklin Gothic Medium"/>
          <w:spacing w:val="2"/>
          <w:sz w:val="16"/>
        </w:rPr>
        <w:t>Net </w:t>
      </w:r>
      <w:r>
        <w:rPr>
          <w:rFonts w:ascii="Franklin Gothic Medium"/>
          <w:spacing w:val="20"/>
          <w:sz w:val="16"/>
        </w:rPr>
        <w:t> </w:t>
      </w:r>
      <w:r>
        <w:rPr>
          <w:rFonts w:ascii="Franklin Gothic Medium"/>
          <w:spacing w:val="3"/>
          <w:sz w:val="16"/>
        </w:rPr>
        <w:t>income</w:t>
        <w:tab/>
      </w:r>
      <w:r>
        <w:rPr>
          <w:sz w:val="16"/>
        </w:rPr>
        <w:t>-</w:t>
        <w:tab/>
        <w:t>-</w:t>
        <w:tab/>
      </w:r>
      <w:r>
        <w:rPr>
          <w:rFonts w:ascii="Franklin Gothic Medium"/>
          <w:sz w:val="16"/>
        </w:rPr>
        <w:t>240,969</w:t>
        <w:tab/>
      </w:r>
      <w:r>
        <w:rPr>
          <w:sz w:val="16"/>
        </w:rPr>
        <w:t>-</w:t>
        <w:tab/>
        <w:t>-</w:t>
        <w:tab/>
      </w:r>
      <w:r>
        <w:rPr>
          <w:rFonts w:ascii="Franklin Gothic Medium"/>
          <w:sz w:val="16"/>
        </w:rPr>
        <w:t>240,969</w:t>
      </w:r>
    </w:p>
    <w:p>
      <w:pPr>
        <w:spacing w:before="70"/>
        <w:ind w:left="359" w:right="0" w:firstLine="0"/>
        <w:jc w:val="left"/>
        <w:rPr>
          <w:rFonts w:ascii="Franklin Gothic Medium"/>
          <w:sz w:val="16"/>
        </w:rPr>
      </w:pPr>
      <w:r>
        <w:rPr>
          <w:rFonts w:ascii="Franklin Gothic Medium"/>
          <w:sz w:val="16"/>
        </w:rPr>
        <w:t>Unrealized  gain  on   derivative</w:t>
      </w:r>
    </w:p>
    <w:p>
      <w:pPr>
        <w:tabs>
          <w:tab w:pos="3179" w:val="left" w:leader="none"/>
          <w:tab w:pos="4319" w:val="left" w:leader="none"/>
          <w:tab w:pos="5599" w:val="left" w:leader="none"/>
          <w:tab w:pos="7003" w:val="left" w:leader="none"/>
          <w:tab w:pos="8199" w:val="left" w:leader="none"/>
          <w:tab w:pos="9319" w:val="left" w:leader="none"/>
        </w:tabs>
        <w:spacing w:before="53"/>
        <w:ind w:left="519" w:right="0" w:firstLine="0"/>
        <w:jc w:val="left"/>
        <w:rPr>
          <w:rFonts w:ascii="Franklin Gothic Medium"/>
          <w:sz w:val="16"/>
        </w:rPr>
      </w:pPr>
      <w:r>
        <w:rPr/>
        <w:pict>
          <v:line style="position:absolute;mso-position-horizontal-relative:page;mso-position-vertical-relative:paragraph;z-index:-276760" from="477pt,27.387295pt" to="527.24pt,27.387295pt" stroked="true" strokeweight=".24pt" strokecolor="#000000">
            <v:stroke dashstyle="solid"/>
            <w10:wrap type="none"/>
          </v:line>
        </w:pict>
      </w:r>
      <w:r>
        <w:rPr/>
        <w:pict>
          <v:line style="position:absolute;mso-position-horizontal-relative:page;mso-position-vertical-relative:paragraph;z-index:-276736" from="477pt,43.387295pt" to="528.24pt,43.387295pt" stroked="true" strokeweight=".24pt" strokecolor="#000000">
            <v:stroke dashstyle="solid"/>
            <w10:wrap type="none"/>
          </v:line>
        </w:pict>
      </w:r>
      <w:r>
        <w:rPr>
          <w:rFonts w:ascii="Franklin Gothic Medium"/>
          <w:spacing w:val="8"/>
          <w:w w:val="95"/>
          <w:sz w:val="16"/>
        </w:rPr>
        <w:t>instruments</w:t>
        <w:tab/>
      </w:r>
      <w:r>
        <w:rPr>
          <w:w w:val="95"/>
          <w:sz w:val="16"/>
        </w:rPr>
        <w:t>-</w:t>
        <w:tab/>
        <w:t>-</w:t>
        <w:tab/>
        <w:t>-</w:t>
        <w:tab/>
      </w:r>
      <w:r>
        <w:rPr>
          <w:rFonts w:ascii="Franklin Gothic Medium"/>
          <w:w w:val="95"/>
          <w:sz w:val="16"/>
        </w:rPr>
        <w:t>87,213</w:t>
        <w:tab/>
      </w:r>
      <w:r>
        <w:rPr>
          <w:w w:val="95"/>
          <w:sz w:val="16"/>
        </w:rPr>
        <w:t>-</w:t>
        <w:tab/>
      </w:r>
      <w:r>
        <w:rPr>
          <w:rFonts w:ascii="Franklin Gothic Medium"/>
          <w:spacing w:val="2"/>
          <w:w w:val="95"/>
          <w:sz w:val="16"/>
        </w:rPr>
        <w:t>87,213</w:t>
      </w:r>
    </w:p>
    <w:p>
      <w:pPr>
        <w:pStyle w:val="BodyText"/>
        <w:spacing w:before="3"/>
        <w:rPr>
          <w:rFonts w:ascii="Franklin Gothic Medium"/>
          <w:sz w:val="8"/>
        </w:rPr>
      </w:pPr>
    </w:p>
    <w:tbl>
      <w:tblPr>
        <w:tblW w:w="0" w:type="auto"/>
        <w:jc w:val="left"/>
        <w:tblInd w:w="24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533"/>
        <w:gridCol w:w="841"/>
        <w:gridCol w:w="159"/>
        <w:gridCol w:w="1100"/>
        <w:gridCol w:w="180"/>
        <w:gridCol w:w="1134"/>
        <w:gridCol w:w="1498"/>
        <w:gridCol w:w="1240"/>
        <w:gridCol w:w="1001"/>
      </w:tblGrid>
      <w:tr>
        <w:trPr>
          <w:trHeight w:val="271" w:hRule="exact"/>
        </w:trPr>
        <w:tc>
          <w:tcPr>
            <w:tcW w:w="2533" w:type="dxa"/>
          </w:tcPr>
          <w:p>
            <w:pPr>
              <w:pStyle w:val="TableParagraph"/>
              <w:spacing w:before="36"/>
              <w:ind w:left="112"/>
              <w:rPr>
                <w:rFonts w:ascii="Franklin Gothic Medium"/>
                <w:sz w:val="16"/>
              </w:rPr>
            </w:pPr>
            <w:r>
              <w:rPr>
                <w:rFonts w:ascii="Franklin Gothic Medium"/>
                <w:sz w:val="16"/>
              </w:rPr>
              <w:t>Other</w:t>
            </w:r>
          </w:p>
        </w:tc>
        <w:tc>
          <w:tcPr>
            <w:tcW w:w="841" w:type="dxa"/>
          </w:tcPr>
          <w:p>
            <w:pPr>
              <w:pStyle w:val="TableParagraph"/>
              <w:spacing w:before="30"/>
              <w:ind w:right="4"/>
              <w:jc w:val="center"/>
              <w:rPr>
                <w:sz w:val="16"/>
              </w:rPr>
            </w:pPr>
            <w:r>
              <w:rPr>
                <w:w w:val="71"/>
                <w:sz w:val="16"/>
              </w:rPr>
              <w:t>-</w:t>
            </w:r>
          </w:p>
        </w:tc>
        <w:tc>
          <w:tcPr>
            <w:tcW w:w="1259" w:type="dxa"/>
            <w:gridSpan w:val="2"/>
          </w:tcPr>
          <w:p>
            <w:pPr>
              <w:pStyle w:val="TableParagraph"/>
              <w:spacing w:before="30"/>
              <w:ind w:left="173"/>
              <w:jc w:val="center"/>
              <w:rPr>
                <w:sz w:val="16"/>
              </w:rPr>
            </w:pPr>
            <w:r>
              <w:rPr>
                <w:w w:val="71"/>
                <w:sz w:val="16"/>
              </w:rPr>
              <w:t>-</w:t>
            </w:r>
          </w:p>
        </w:tc>
        <w:tc>
          <w:tcPr>
            <w:tcW w:w="1314" w:type="dxa"/>
            <w:gridSpan w:val="2"/>
          </w:tcPr>
          <w:p>
            <w:pPr>
              <w:pStyle w:val="TableParagraph"/>
              <w:spacing w:before="30"/>
              <w:ind w:left="161"/>
              <w:jc w:val="center"/>
              <w:rPr>
                <w:sz w:val="16"/>
              </w:rPr>
            </w:pPr>
            <w:r>
              <w:rPr>
                <w:w w:val="71"/>
                <w:sz w:val="16"/>
              </w:rPr>
              <w:t>-</w:t>
            </w:r>
          </w:p>
        </w:tc>
        <w:tc>
          <w:tcPr>
            <w:tcW w:w="1498" w:type="dxa"/>
          </w:tcPr>
          <w:p>
            <w:pPr>
              <w:pStyle w:val="TableParagraph"/>
              <w:spacing w:before="36"/>
              <w:ind w:right="129"/>
              <w:jc w:val="right"/>
              <w:rPr>
                <w:rFonts w:ascii="Franklin Gothic Medium"/>
                <w:sz w:val="16"/>
              </w:rPr>
            </w:pPr>
            <w:r>
              <w:rPr>
                <w:rFonts w:ascii="Franklin Gothic Medium"/>
                <w:sz w:val="16"/>
              </w:rPr>
              <w:t>(2,017)</w:t>
            </w:r>
          </w:p>
        </w:tc>
        <w:tc>
          <w:tcPr>
            <w:tcW w:w="1240" w:type="dxa"/>
          </w:tcPr>
          <w:p>
            <w:pPr>
              <w:pStyle w:val="TableParagraph"/>
              <w:spacing w:before="30"/>
              <w:ind w:right="187"/>
              <w:jc w:val="center"/>
              <w:rPr>
                <w:sz w:val="16"/>
              </w:rPr>
            </w:pPr>
            <w:r>
              <w:rPr>
                <w:w w:val="71"/>
                <w:sz w:val="16"/>
              </w:rPr>
              <w:t>-</w:t>
            </w:r>
          </w:p>
        </w:tc>
        <w:tc>
          <w:tcPr>
            <w:tcW w:w="1001" w:type="dxa"/>
          </w:tcPr>
          <w:p>
            <w:pPr>
              <w:pStyle w:val="TableParagraph"/>
              <w:spacing w:line="177" w:lineRule="exact"/>
              <w:ind w:left="447"/>
              <w:rPr>
                <w:rFonts w:ascii="Franklin Gothic Medium"/>
                <w:sz w:val="16"/>
              </w:rPr>
            </w:pPr>
            <w:r>
              <w:rPr>
                <w:rFonts w:ascii="Franklin Gothic Medium"/>
                <w:sz w:val="16"/>
              </w:rPr>
              <w:t>(2,017)</w:t>
            </w:r>
          </w:p>
        </w:tc>
      </w:tr>
      <w:tr>
        <w:trPr>
          <w:trHeight w:val="390" w:hRule="exact"/>
        </w:trPr>
        <w:tc>
          <w:tcPr>
            <w:tcW w:w="2533" w:type="dxa"/>
          </w:tcPr>
          <w:p>
            <w:pPr>
              <w:pStyle w:val="TableParagraph"/>
              <w:spacing w:before="84"/>
              <w:ind w:left="112"/>
              <w:rPr>
                <w:rFonts w:ascii="Franklin Gothic Medium"/>
                <w:sz w:val="16"/>
              </w:rPr>
            </w:pPr>
            <w:r>
              <w:rPr>
                <w:rFonts w:ascii="Franklin Gothic Medium"/>
                <w:sz w:val="16"/>
              </w:rPr>
              <w:t>Total   comprehensive  income</w:t>
            </w:r>
          </w:p>
        </w:tc>
        <w:tc>
          <w:tcPr>
            <w:tcW w:w="841" w:type="dxa"/>
          </w:tcPr>
          <w:p>
            <w:pPr>
              <w:pStyle w:val="TableParagraph"/>
              <w:tabs>
                <w:tab w:pos="824" w:val="left" w:leader="none"/>
              </w:tabs>
              <w:spacing w:before="84"/>
              <w:ind w:right="14"/>
              <w:jc w:val="center"/>
              <w:rPr>
                <w:rFonts w:ascii="Franklin Gothic Medium"/>
                <w:sz w:val="16"/>
              </w:rPr>
            </w:pPr>
            <w:r>
              <w:rPr>
                <w:rFonts w:ascii="Franklin Gothic Medium"/>
                <w:w w:val="116"/>
                <w:sz w:val="16"/>
                <w:u w:val="single"/>
              </w:rPr>
              <w:t> </w:t>
            </w:r>
            <w:r>
              <w:rPr>
                <w:rFonts w:ascii="Franklin Gothic Medium"/>
                <w:sz w:val="16"/>
                <w:u w:val="single"/>
              </w:rPr>
              <w:tab/>
            </w:r>
          </w:p>
        </w:tc>
        <w:tc>
          <w:tcPr>
            <w:tcW w:w="1259" w:type="dxa"/>
            <w:gridSpan w:val="2"/>
          </w:tcPr>
          <w:p>
            <w:pPr>
              <w:pStyle w:val="TableParagraph"/>
              <w:tabs>
                <w:tab w:pos="1263" w:val="left" w:leader="none"/>
              </w:tabs>
              <w:spacing w:before="84"/>
              <w:ind w:left="158" w:right="-5"/>
              <w:rPr>
                <w:rFonts w:ascii="Franklin Gothic Medium"/>
                <w:sz w:val="16"/>
              </w:rPr>
            </w:pPr>
            <w:r>
              <w:rPr>
                <w:rFonts w:ascii="Franklin Gothic Medium"/>
                <w:w w:val="116"/>
                <w:sz w:val="16"/>
                <w:u w:val="single"/>
              </w:rPr>
              <w:t> </w:t>
            </w:r>
            <w:r>
              <w:rPr>
                <w:rFonts w:ascii="Franklin Gothic Medium"/>
                <w:sz w:val="16"/>
                <w:u w:val="single"/>
              </w:rPr>
              <w:tab/>
            </w:r>
          </w:p>
        </w:tc>
        <w:tc>
          <w:tcPr>
            <w:tcW w:w="1314" w:type="dxa"/>
            <w:gridSpan w:val="2"/>
          </w:tcPr>
          <w:p>
            <w:pPr>
              <w:pStyle w:val="TableParagraph"/>
              <w:tabs>
                <w:tab w:pos="1284" w:val="left" w:leader="none"/>
              </w:tabs>
              <w:spacing w:before="84"/>
              <w:ind w:left="180"/>
              <w:rPr>
                <w:rFonts w:ascii="Franklin Gothic Medium"/>
                <w:sz w:val="16"/>
              </w:rPr>
            </w:pPr>
            <w:r>
              <w:rPr>
                <w:rFonts w:ascii="Franklin Gothic Medium"/>
                <w:w w:val="116"/>
                <w:sz w:val="16"/>
                <w:u w:val="single"/>
              </w:rPr>
              <w:t> </w:t>
            </w:r>
            <w:r>
              <w:rPr>
                <w:rFonts w:ascii="Franklin Gothic Medium"/>
                <w:sz w:val="16"/>
                <w:u w:val="single"/>
              </w:rPr>
              <w:tab/>
            </w:r>
          </w:p>
        </w:tc>
        <w:tc>
          <w:tcPr>
            <w:tcW w:w="1498" w:type="dxa"/>
          </w:tcPr>
          <w:p>
            <w:pPr>
              <w:pStyle w:val="TableParagraph"/>
              <w:tabs>
                <w:tab w:pos="1264" w:val="left" w:leader="none"/>
              </w:tabs>
              <w:spacing w:before="84"/>
              <w:ind w:right="85"/>
              <w:jc w:val="right"/>
              <w:rPr>
                <w:rFonts w:ascii="Franklin Gothic Medium"/>
                <w:sz w:val="16"/>
              </w:rPr>
            </w:pPr>
            <w:r>
              <w:rPr>
                <w:rFonts w:ascii="Franklin Gothic Medium"/>
                <w:w w:val="116"/>
                <w:sz w:val="16"/>
                <w:u w:val="single"/>
              </w:rPr>
              <w:t> </w:t>
            </w:r>
            <w:r>
              <w:rPr>
                <w:rFonts w:ascii="Franklin Gothic Medium"/>
                <w:sz w:val="16"/>
                <w:u w:val="single"/>
              </w:rPr>
              <w:tab/>
            </w:r>
          </w:p>
        </w:tc>
        <w:tc>
          <w:tcPr>
            <w:tcW w:w="1240" w:type="dxa"/>
          </w:tcPr>
          <w:p>
            <w:pPr>
              <w:pStyle w:val="TableParagraph"/>
              <w:tabs>
                <w:tab w:pos="864" w:val="left" w:leader="none"/>
              </w:tabs>
              <w:spacing w:before="84"/>
              <w:ind w:right="198"/>
              <w:jc w:val="center"/>
              <w:rPr>
                <w:rFonts w:ascii="Franklin Gothic Medium"/>
                <w:sz w:val="16"/>
              </w:rPr>
            </w:pPr>
            <w:r>
              <w:rPr>
                <w:rFonts w:ascii="Franklin Gothic Medium"/>
                <w:w w:val="116"/>
                <w:sz w:val="16"/>
                <w:u w:val="single"/>
              </w:rPr>
              <w:t> </w:t>
            </w:r>
            <w:r>
              <w:rPr>
                <w:rFonts w:ascii="Franklin Gothic Medium"/>
                <w:sz w:val="16"/>
                <w:u w:val="single"/>
              </w:rPr>
              <w:tab/>
            </w:r>
          </w:p>
        </w:tc>
        <w:tc>
          <w:tcPr>
            <w:tcW w:w="1001" w:type="dxa"/>
          </w:tcPr>
          <w:p>
            <w:pPr>
              <w:pStyle w:val="TableParagraph"/>
              <w:spacing w:before="44"/>
              <w:ind w:left="287"/>
              <w:rPr>
                <w:rFonts w:ascii="Franklin Gothic Medium"/>
                <w:sz w:val="16"/>
              </w:rPr>
            </w:pPr>
            <w:r>
              <w:rPr>
                <w:rFonts w:ascii="Franklin Gothic Medium"/>
                <w:sz w:val="16"/>
              </w:rPr>
              <w:t>326,165</w:t>
            </w:r>
          </w:p>
        </w:tc>
      </w:tr>
      <w:tr>
        <w:trPr>
          <w:trHeight w:val="331" w:hRule="exact"/>
        </w:trPr>
        <w:tc>
          <w:tcPr>
            <w:tcW w:w="2533" w:type="dxa"/>
          </w:tcPr>
          <w:p>
            <w:pPr>
              <w:pStyle w:val="TableParagraph"/>
              <w:spacing w:before="154"/>
              <w:ind w:left="32"/>
              <w:rPr>
                <w:rFonts w:ascii="Franklin Gothic Medium"/>
                <w:sz w:val="16"/>
              </w:rPr>
            </w:pPr>
            <w:r>
              <w:rPr>
                <w:rFonts w:ascii="Franklin Gothic Medium"/>
                <w:sz w:val="16"/>
              </w:rPr>
              <w:t>Balance  at  December  31,   2002</w:t>
            </w:r>
          </w:p>
        </w:tc>
        <w:tc>
          <w:tcPr>
            <w:tcW w:w="841" w:type="dxa"/>
            <w:tcBorders>
              <w:bottom w:val="single" w:sz="8" w:space="0" w:color="000000"/>
            </w:tcBorders>
          </w:tcPr>
          <w:p>
            <w:pPr>
              <w:pStyle w:val="TableParagraph"/>
              <w:spacing w:before="114"/>
              <w:ind w:left="80"/>
              <w:jc w:val="center"/>
              <w:rPr>
                <w:rFonts w:ascii="Franklin Gothic Medium"/>
                <w:sz w:val="16"/>
              </w:rPr>
            </w:pPr>
            <w:r>
              <w:rPr>
                <w:rFonts w:ascii="Franklin Gothic Medium"/>
                <w:sz w:val="16"/>
              </w:rPr>
              <w:t>$ 776,663</w:t>
            </w:r>
          </w:p>
        </w:tc>
        <w:tc>
          <w:tcPr>
            <w:tcW w:w="159" w:type="dxa"/>
          </w:tcPr>
          <w:p>
            <w:pPr/>
          </w:p>
        </w:tc>
        <w:tc>
          <w:tcPr>
            <w:tcW w:w="1100" w:type="dxa"/>
            <w:tcBorders>
              <w:bottom w:val="single" w:sz="8" w:space="0" w:color="000000"/>
            </w:tcBorders>
          </w:tcPr>
          <w:p>
            <w:pPr>
              <w:pStyle w:val="TableParagraph"/>
              <w:spacing w:before="114"/>
              <w:ind w:left="320"/>
              <w:rPr>
                <w:rFonts w:ascii="Franklin Gothic Medium"/>
                <w:sz w:val="16"/>
              </w:rPr>
            </w:pPr>
            <w:r>
              <w:rPr>
                <w:rFonts w:ascii="Franklin Gothic Medium"/>
                <w:sz w:val="16"/>
              </w:rPr>
              <w:t>$ 135,848</w:t>
            </w:r>
          </w:p>
        </w:tc>
        <w:tc>
          <w:tcPr>
            <w:tcW w:w="180" w:type="dxa"/>
          </w:tcPr>
          <w:p>
            <w:pPr/>
          </w:p>
        </w:tc>
        <w:tc>
          <w:tcPr>
            <w:tcW w:w="1134" w:type="dxa"/>
            <w:tcBorders>
              <w:bottom w:val="single" w:sz="8" w:space="0" w:color="000000"/>
            </w:tcBorders>
          </w:tcPr>
          <w:p>
            <w:pPr>
              <w:pStyle w:val="TableParagraph"/>
              <w:spacing w:before="114"/>
              <w:ind w:left="140"/>
              <w:rPr>
                <w:rFonts w:ascii="Franklin Gothic Medium"/>
                <w:sz w:val="16"/>
              </w:rPr>
            </w:pPr>
            <w:r>
              <w:rPr>
                <w:rFonts w:ascii="Franklin Gothic Medium"/>
                <w:sz w:val="16"/>
              </w:rPr>
              <w:t>$   3,455,448</w:t>
            </w:r>
          </w:p>
        </w:tc>
        <w:tc>
          <w:tcPr>
            <w:tcW w:w="3740" w:type="dxa"/>
            <w:gridSpan w:val="3"/>
          </w:tcPr>
          <w:p>
            <w:pPr>
              <w:pStyle w:val="TableParagraph"/>
              <w:tabs>
                <w:tab w:pos="815" w:val="left" w:leader="none"/>
                <w:tab w:pos="1605" w:val="left" w:leader="none"/>
                <w:tab w:pos="2026" w:val="left" w:leader="none"/>
                <w:tab w:pos="2745" w:val="left" w:leader="none"/>
              </w:tabs>
              <w:spacing w:before="114"/>
              <w:ind w:left="366"/>
              <w:rPr>
                <w:rFonts w:ascii="Franklin Gothic Medium"/>
                <w:sz w:val="16"/>
              </w:rPr>
            </w:pPr>
            <w:r>
              <w:rPr>
                <w:rFonts w:ascii="Franklin Gothic Medium"/>
                <w:sz w:val="16"/>
              </w:rPr>
              <w:t>$</w:t>
              <w:tab/>
              <w:t>53,658</w:t>
              <w:tab/>
              <w:t>$</w:t>
              <w:tab/>
              <w:t>-</w:t>
              <w:tab/>
              <w:t>$</w:t>
            </w:r>
            <w:r>
              <w:rPr>
                <w:rFonts w:ascii="Franklin Gothic Medium"/>
                <w:spacing w:val="31"/>
                <w:sz w:val="16"/>
              </w:rPr>
              <w:t> </w:t>
            </w:r>
            <w:r>
              <w:rPr>
                <w:rFonts w:ascii="Franklin Gothic Medium"/>
                <w:sz w:val="16"/>
              </w:rPr>
              <w:t>4,421,617</w:t>
            </w:r>
          </w:p>
        </w:tc>
      </w:tr>
    </w:tbl>
    <w:p>
      <w:pPr>
        <w:spacing w:before="158"/>
        <w:ind w:left="300" w:right="0" w:firstLine="0"/>
        <w:jc w:val="left"/>
        <w:rPr>
          <w:sz w:val="16"/>
        </w:rPr>
      </w:pPr>
      <w:r>
        <w:rPr/>
        <w:pict>
          <v:line style="position:absolute;mso-position-horizontal-relative:page;mso-position-vertical-relative:paragraph;z-index:-276712" from="352pt,-.982813pt" to="411pt,-.982813pt" stroked="true" strokeweight="1pt" strokecolor="#000000">
            <v:stroke dashstyle="solid"/>
            <w10:wrap type="none"/>
          </v:line>
        </w:pict>
      </w:r>
      <w:r>
        <w:rPr/>
        <w:pict>
          <v:line style="position:absolute;mso-position-horizontal-relative:page;mso-position-vertical-relative:paragraph;z-index:-276688" from="424pt,-.982813pt" to="467pt,-.982813pt" stroked="true" strokeweight="1pt" strokecolor="#000000">
            <v:stroke dashstyle="solid"/>
            <w10:wrap type="none"/>
          </v:line>
        </w:pict>
      </w:r>
      <w:r>
        <w:rPr/>
        <w:pict>
          <v:line style="position:absolute;mso-position-horizontal-relative:page;mso-position-vertical-relative:paragraph;z-index:-276664" from="477pt,-.982813pt" to="528pt,-.982813pt" stroked="true" strokeweight="1pt" strokecolor="#000000">
            <v:stroke dashstyle="solid"/>
            <w10:wrap type="none"/>
          </v:line>
        </w:pict>
      </w:r>
      <w:r>
        <w:rPr>
          <w:w w:val="110"/>
          <w:sz w:val="16"/>
        </w:rPr>
        <w:t>See  accompanying notes.</w:t>
      </w:r>
    </w:p>
    <w:p>
      <w:pPr>
        <w:spacing w:after="0"/>
        <w:jc w:val="left"/>
        <w:rPr>
          <w:sz w:val="16"/>
        </w:rPr>
        <w:sectPr>
          <w:type w:val="continuous"/>
          <w:pgSz w:w="11520" w:h="14400"/>
          <w:pgMar w:top="0" w:bottom="280" w:left="700" w:right="760"/>
        </w:sectPr>
      </w:pPr>
    </w:p>
    <w:p>
      <w:pPr>
        <w:spacing w:before="73"/>
        <w:ind w:left="300" w:right="0" w:firstLine="0"/>
        <w:jc w:val="left"/>
        <w:rPr>
          <w:rFonts w:ascii="Franklin Gothic Medium"/>
          <w:sz w:val="16"/>
        </w:rPr>
      </w:pPr>
      <w:bookmarkStart w:name="Cash Flows Statement" w:id="38"/>
      <w:bookmarkEnd w:id="38"/>
      <w:r>
        <w:rPr/>
      </w:r>
      <w:r>
        <w:rPr>
          <w:rFonts w:ascii="Franklin Gothic Medium"/>
          <w:sz w:val="16"/>
        </w:rPr>
        <w:t>SOUTHWEST   AIRLINES  CO.</w:t>
      </w:r>
    </w:p>
    <w:p>
      <w:pPr>
        <w:spacing w:before="78"/>
        <w:ind w:left="300" w:right="0" w:firstLine="0"/>
        <w:jc w:val="left"/>
        <w:rPr>
          <w:rFonts w:ascii="Franklin Gothic Medium"/>
          <w:sz w:val="16"/>
        </w:rPr>
      </w:pPr>
      <w:r>
        <w:rPr>
          <w:rFonts w:ascii="Franklin Gothic Medium"/>
          <w:sz w:val="16"/>
        </w:rPr>
        <w:t>CONSOLIDATED   STATEMENTS  OF   CASH FLOWS</w:t>
      </w:r>
    </w:p>
    <w:p>
      <w:pPr>
        <w:spacing w:before="98"/>
        <w:ind w:left="6640" w:right="0" w:firstLine="0"/>
        <w:jc w:val="left"/>
        <w:rPr>
          <w:rFonts w:ascii="Franklin Gothic Medium"/>
          <w:sz w:val="16"/>
        </w:rPr>
      </w:pPr>
      <w:r>
        <w:rPr>
          <w:rFonts w:ascii="Franklin Gothic Medium"/>
          <w:sz w:val="16"/>
        </w:rPr>
        <w:t>YEARS  ENDED  DECEMBER  31,</w:t>
      </w:r>
    </w:p>
    <w:p>
      <w:pPr>
        <w:tabs>
          <w:tab w:pos="5759" w:val="left" w:leader="none"/>
          <w:tab w:pos="6256" w:val="left" w:leader="none"/>
          <w:tab w:pos="7104" w:val="left" w:leader="none"/>
          <w:tab w:pos="7782" w:val="left" w:leader="none"/>
          <w:tab w:pos="8604" w:val="left" w:leader="none"/>
          <w:tab w:pos="9201" w:val="left" w:leader="none"/>
          <w:tab w:pos="9984" w:val="left" w:leader="none"/>
        </w:tabs>
        <w:spacing w:before="80"/>
        <w:ind w:left="300" w:right="0" w:firstLine="0"/>
        <w:jc w:val="left"/>
        <w:rPr>
          <w:sz w:val="16"/>
        </w:rPr>
      </w:pPr>
      <w:r>
        <w:rPr>
          <w:i/>
          <w:spacing w:val="2"/>
          <w:w w:val="105"/>
          <w:sz w:val="16"/>
        </w:rPr>
        <w:t>(In </w:t>
      </w:r>
      <w:r>
        <w:rPr>
          <w:i/>
          <w:spacing w:val="23"/>
          <w:w w:val="105"/>
          <w:sz w:val="16"/>
        </w:rPr>
        <w:t> </w:t>
      </w:r>
      <w:r>
        <w:rPr>
          <w:i/>
          <w:spacing w:val="3"/>
          <w:w w:val="105"/>
          <w:sz w:val="16"/>
        </w:rPr>
        <w:t>thousands)</w:t>
        <w:tab/>
      </w:r>
      <w:r>
        <w:rPr>
          <w:rFonts w:ascii="Franklin Gothic Medium"/>
          <w:spacing w:val="3"/>
          <w:w w:val="105"/>
          <w:sz w:val="18"/>
          <w:u w:val="single"/>
        </w:rPr>
        <w:t> </w:t>
        <w:tab/>
      </w:r>
      <w:r>
        <w:rPr>
          <w:rFonts w:ascii="Franklin Gothic Medium"/>
          <w:w w:val="105"/>
          <w:sz w:val="18"/>
          <w:u w:val="single"/>
        </w:rPr>
        <w:t>2002</w:t>
        <w:tab/>
      </w:r>
      <w:r>
        <w:rPr>
          <w:w w:val="105"/>
          <w:sz w:val="16"/>
          <w:u w:val="single"/>
        </w:rPr>
        <w:t> </w:t>
        <w:tab/>
        <w:t>2001</w:t>
        <w:tab/>
        <w:t> </w:t>
        <w:tab/>
        <w:t>2000</w:t>
      </w:r>
      <w:r>
        <w:rPr>
          <w:sz w:val="16"/>
          <w:u w:val="single"/>
        </w:rPr>
        <w:tab/>
      </w:r>
    </w:p>
    <w:p>
      <w:pPr>
        <w:spacing w:before="110"/>
        <w:ind w:left="300" w:right="0" w:firstLine="0"/>
        <w:jc w:val="left"/>
        <w:rPr>
          <w:rFonts w:ascii="Franklin Gothic Medium"/>
          <w:sz w:val="16"/>
        </w:rPr>
      </w:pPr>
      <w:r>
        <w:rPr>
          <w:rFonts w:ascii="Franklin Gothic Medium"/>
          <w:sz w:val="16"/>
        </w:rPr>
        <w:t>CASH  FLOWS  FROM   OPERATING  ACTIVITIES:</w:t>
      </w:r>
    </w:p>
    <w:p>
      <w:pPr>
        <w:tabs>
          <w:tab w:pos="5919" w:val="left" w:leader="none"/>
          <w:tab w:pos="7559" w:val="left" w:leader="none"/>
          <w:tab w:pos="8999" w:val="left" w:leader="none"/>
        </w:tabs>
        <w:spacing w:line="360" w:lineRule="auto" w:before="79"/>
        <w:ind w:left="480" w:right="319" w:firstLine="0"/>
        <w:jc w:val="left"/>
        <w:rPr>
          <w:sz w:val="16"/>
        </w:rPr>
      </w:pPr>
      <w:r>
        <w:rPr>
          <w:w w:val="110"/>
          <w:sz w:val="16"/>
        </w:rPr>
        <w:t>Net</w:t>
      </w:r>
      <w:r>
        <w:rPr>
          <w:spacing w:val="10"/>
          <w:w w:val="110"/>
          <w:sz w:val="16"/>
        </w:rPr>
        <w:t> </w:t>
      </w:r>
      <w:r>
        <w:rPr>
          <w:w w:val="110"/>
          <w:sz w:val="16"/>
        </w:rPr>
        <w:t>income</w:t>
        <w:tab/>
      </w:r>
      <w:r>
        <w:rPr>
          <w:rFonts w:ascii="Franklin Gothic Medium"/>
          <w:w w:val="110"/>
          <w:sz w:val="18"/>
        </w:rPr>
        <w:t>$</w:t>
      </w:r>
      <w:r>
        <w:rPr>
          <w:rFonts w:ascii="Franklin Gothic Medium"/>
          <w:spacing w:val="23"/>
          <w:w w:val="110"/>
          <w:sz w:val="18"/>
        </w:rPr>
        <w:t> </w:t>
      </w:r>
      <w:r>
        <w:rPr>
          <w:rFonts w:ascii="Franklin Gothic Medium"/>
          <w:w w:val="110"/>
          <w:sz w:val="18"/>
        </w:rPr>
        <w:t>240,969</w:t>
        <w:tab/>
      </w:r>
      <w:r>
        <w:rPr>
          <w:w w:val="110"/>
          <w:sz w:val="16"/>
        </w:rPr>
        <w:t>$ </w:t>
      </w:r>
      <w:r>
        <w:rPr>
          <w:spacing w:val="29"/>
          <w:w w:val="110"/>
          <w:sz w:val="16"/>
        </w:rPr>
        <w:t> </w:t>
      </w:r>
      <w:r>
        <w:rPr>
          <w:w w:val="110"/>
          <w:sz w:val="16"/>
        </w:rPr>
        <w:t>511,147</w:t>
        <w:tab/>
        <w:t>$  </w:t>
      </w:r>
      <w:r>
        <w:rPr>
          <w:spacing w:val="8"/>
          <w:w w:val="110"/>
          <w:sz w:val="16"/>
        </w:rPr>
        <w:t> </w:t>
      </w:r>
      <w:r>
        <w:rPr>
          <w:w w:val="110"/>
          <w:sz w:val="16"/>
        </w:rPr>
        <w:t>603,093</w:t>
      </w:r>
      <w:r>
        <w:rPr>
          <w:spacing w:val="-2"/>
          <w:w w:val="118"/>
          <w:sz w:val="16"/>
        </w:rPr>
        <w:t> </w:t>
      </w:r>
      <w:r>
        <w:rPr>
          <w:w w:val="110"/>
          <w:sz w:val="16"/>
        </w:rPr>
        <w:t>Adjustments</w:t>
      </w:r>
      <w:r>
        <w:rPr>
          <w:spacing w:val="20"/>
          <w:w w:val="110"/>
          <w:sz w:val="16"/>
        </w:rPr>
        <w:t> </w:t>
      </w:r>
      <w:r>
        <w:rPr>
          <w:w w:val="110"/>
          <w:sz w:val="16"/>
        </w:rPr>
        <w:t>to</w:t>
      </w:r>
      <w:r>
        <w:rPr>
          <w:spacing w:val="20"/>
          <w:w w:val="110"/>
          <w:sz w:val="16"/>
        </w:rPr>
        <w:t> </w:t>
      </w:r>
      <w:r>
        <w:rPr>
          <w:w w:val="110"/>
          <w:sz w:val="16"/>
        </w:rPr>
        <w:t>reconcile</w:t>
      </w:r>
      <w:r>
        <w:rPr>
          <w:spacing w:val="20"/>
          <w:w w:val="110"/>
          <w:sz w:val="16"/>
        </w:rPr>
        <w:t> </w:t>
      </w:r>
      <w:r>
        <w:rPr>
          <w:w w:val="110"/>
          <w:sz w:val="16"/>
        </w:rPr>
        <w:t>net</w:t>
      </w:r>
      <w:r>
        <w:rPr>
          <w:spacing w:val="20"/>
          <w:w w:val="110"/>
          <w:sz w:val="16"/>
        </w:rPr>
        <w:t> </w:t>
      </w:r>
      <w:r>
        <w:rPr>
          <w:w w:val="110"/>
          <w:sz w:val="16"/>
        </w:rPr>
        <w:t>income</w:t>
      </w:r>
      <w:r>
        <w:rPr>
          <w:spacing w:val="20"/>
          <w:w w:val="110"/>
          <w:sz w:val="16"/>
        </w:rPr>
        <w:t> </w:t>
      </w:r>
      <w:r>
        <w:rPr>
          <w:w w:val="110"/>
          <w:sz w:val="16"/>
        </w:rPr>
        <w:t>to</w:t>
      </w:r>
      <w:r>
        <w:rPr>
          <w:spacing w:val="20"/>
          <w:w w:val="110"/>
          <w:sz w:val="16"/>
        </w:rPr>
        <w:t> </w:t>
      </w:r>
      <w:r>
        <w:rPr>
          <w:w w:val="110"/>
          <w:sz w:val="16"/>
        </w:rPr>
        <w:t>net</w:t>
      </w:r>
      <w:r>
        <w:rPr>
          <w:spacing w:val="20"/>
          <w:w w:val="110"/>
          <w:sz w:val="16"/>
        </w:rPr>
        <w:t> </w:t>
      </w:r>
      <w:r>
        <w:rPr>
          <w:w w:val="110"/>
          <w:sz w:val="16"/>
        </w:rPr>
        <w:t>cash</w:t>
      </w:r>
      <w:r>
        <w:rPr>
          <w:spacing w:val="20"/>
          <w:w w:val="110"/>
          <w:sz w:val="16"/>
        </w:rPr>
        <w:t> </w:t>
      </w:r>
      <w:r>
        <w:rPr>
          <w:w w:val="110"/>
          <w:sz w:val="16"/>
        </w:rPr>
        <w:t>provided</w:t>
      </w:r>
      <w:r>
        <w:rPr>
          <w:spacing w:val="20"/>
          <w:w w:val="110"/>
          <w:sz w:val="16"/>
        </w:rPr>
        <w:t> </w:t>
      </w:r>
      <w:r>
        <w:rPr>
          <w:w w:val="110"/>
          <w:sz w:val="16"/>
        </w:rPr>
        <w:t>by</w:t>
      </w:r>
    </w:p>
    <w:p>
      <w:pPr>
        <w:spacing w:line="162" w:lineRule="exact" w:before="0"/>
        <w:ind w:left="300" w:right="0" w:firstLine="360"/>
        <w:jc w:val="left"/>
        <w:rPr>
          <w:sz w:val="16"/>
        </w:rPr>
      </w:pPr>
      <w:r>
        <w:rPr>
          <w:w w:val="105"/>
          <w:sz w:val="16"/>
        </w:rPr>
        <w:t>operating  activities:</w:t>
      </w:r>
    </w:p>
    <w:p>
      <w:pPr>
        <w:pStyle w:val="BodyText"/>
        <w:spacing w:before="4"/>
        <w:rPr>
          <w:sz w:val="6"/>
        </w:rPr>
      </w:pPr>
    </w:p>
    <w:tbl>
      <w:tblPr>
        <w:tblW w:w="0" w:type="auto"/>
        <w:jc w:val="left"/>
        <w:tblInd w:w="26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254"/>
        <w:gridCol w:w="1671"/>
        <w:gridCol w:w="1500"/>
        <w:gridCol w:w="1325"/>
      </w:tblGrid>
      <w:tr>
        <w:trPr>
          <w:trHeight w:val="243" w:hRule="exact"/>
        </w:trPr>
        <w:tc>
          <w:tcPr>
            <w:tcW w:w="5254" w:type="dxa"/>
          </w:tcPr>
          <w:p>
            <w:pPr>
              <w:pStyle w:val="TableParagraph"/>
              <w:spacing w:before="8"/>
              <w:ind w:left="572"/>
              <w:rPr>
                <w:sz w:val="16"/>
              </w:rPr>
            </w:pPr>
            <w:r>
              <w:rPr>
                <w:w w:val="105"/>
                <w:sz w:val="16"/>
              </w:rPr>
              <w:t>Depreciation</w:t>
            </w:r>
          </w:p>
        </w:tc>
        <w:tc>
          <w:tcPr>
            <w:tcW w:w="1671" w:type="dxa"/>
          </w:tcPr>
          <w:p>
            <w:pPr>
              <w:pStyle w:val="TableParagraph"/>
              <w:spacing w:line="199" w:lineRule="exact"/>
              <w:ind w:left="618"/>
              <w:rPr>
                <w:rFonts w:ascii="Franklin Gothic Medium"/>
                <w:sz w:val="18"/>
              </w:rPr>
            </w:pPr>
            <w:r>
              <w:rPr>
                <w:rFonts w:ascii="Franklin Gothic Medium"/>
                <w:sz w:val="18"/>
              </w:rPr>
              <w:t>356,304</w:t>
            </w:r>
          </w:p>
        </w:tc>
        <w:tc>
          <w:tcPr>
            <w:tcW w:w="1500" w:type="dxa"/>
          </w:tcPr>
          <w:p>
            <w:pPr>
              <w:pStyle w:val="TableParagraph"/>
              <w:spacing w:before="8"/>
              <w:ind w:left="569"/>
              <w:rPr>
                <w:sz w:val="16"/>
              </w:rPr>
            </w:pPr>
            <w:r>
              <w:rPr>
                <w:w w:val="120"/>
                <w:sz w:val="16"/>
              </w:rPr>
              <w:t>317,831</w:t>
            </w:r>
          </w:p>
        </w:tc>
        <w:tc>
          <w:tcPr>
            <w:tcW w:w="1325" w:type="dxa"/>
          </w:tcPr>
          <w:p>
            <w:pPr>
              <w:pStyle w:val="TableParagraph"/>
              <w:spacing w:before="8"/>
              <w:ind w:left="509"/>
              <w:rPr>
                <w:sz w:val="16"/>
              </w:rPr>
            </w:pPr>
            <w:r>
              <w:rPr>
                <w:w w:val="120"/>
                <w:sz w:val="16"/>
              </w:rPr>
              <w:t>281,276</w:t>
            </w:r>
          </w:p>
        </w:tc>
      </w:tr>
      <w:tr>
        <w:trPr>
          <w:trHeight w:val="287" w:hRule="exact"/>
        </w:trPr>
        <w:tc>
          <w:tcPr>
            <w:tcW w:w="5254" w:type="dxa"/>
          </w:tcPr>
          <w:p>
            <w:pPr>
              <w:pStyle w:val="TableParagraph"/>
              <w:spacing w:before="45"/>
              <w:ind w:left="572"/>
              <w:rPr>
                <w:sz w:val="16"/>
              </w:rPr>
            </w:pPr>
            <w:r>
              <w:rPr>
                <w:w w:val="105"/>
                <w:sz w:val="16"/>
              </w:rPr>
              <w:t>Deferred  income  taxes</w:t>
            </w:r>
          </w:p>
        </w:tc>
        <w:tc>
          <w:tcPr>
            <w:tcW w:w="1671" w:type="dxa"/>
          </w:tcPr>
          <w:p>
            <w:pPr>
              <w:pStyle w:val="TableParagraph"/>
              <w:spacing w:before="32"/>
              <w:ind w:left="618"/>
              <w:rPr>
                <w:rFonts w:ascii="Franklin Gothic Medium"/>
                <w:sz w:val="18"/>
              </w:rPr>
            </w:pPr>
            <w:r>
              <w:rPr>
                <w:rFonts w:ascii="Franklin Gothic Medium"/>
                <w:sz w:val="18"/>
              </w:rPr>
              <w:t>169,629</w:t>
            </w:r>
          </w:p>
        </w:tc>
        <w:tc>
          <w:tcPr>
            <w:tcW w:w="1500" w:type="dxa"/>
          </w:tcPr>
          <w:p>
            <w:pPr>
              <w:pStyle w:val="TableParagraph"/>
              <w:spacing w:before="45"/>
              <w:ind w:left="569"/>
              <w:rPr>
                <w:sz w:val="16"/>
              </w:rPr>
            </w:pPr>
            <w:r>
              <w:rPr>
                <w:w w:val="120"/>
                <w:sz w:val="16"/>
              </w:rPr>
              <w:t>207,922</w:t>
            </w:r>
          </w:p>
        </w:tc>
        <w:tc>
          <w:tcPr>
            <w:tcW w:w="1325" w:type="dxa"/>
          </w:tcPr>
          <w:p>
            <w:pPr>
              <w:pStyle w:val="TableParagraph"/>
              <w:spacing w:before="45"/>
              <w:ind w:left="509"/>
              <w:rPr>
                <w:sz w:val="16"/>
              </w:rPr>
            </w:pPr>
            <w:r>
              <w:rPr>
                <w:w w:val="120"/>
                <w:sz w:val="16"/>
              </w:rPr>
              <w:t>153,447</w:t>
            </w:r>
          </w:p>
        </w:tc>
      </w:tr>
      <w:tr>
        <w:trPr>
          <w:trHeight w:val="533" w:hRule="exact"/>
        </w:trPr>
        <w:tc>
          <w:tcPr>
            <w:tcW w:w="5254" w:type="dxa"/>
          </w:tcPr>
          <w:p>
            <w:pPr>
              <w:pStyle w:val="TableParagraph"/>
              <w:spacing w:line="319" w:lineRule="auto" w:before="38"/>
              <w:ind w:left="778" w:right="414" w:hanging="207"/>
              <w:rPr>
                <w:sz w:val="16"/>
              </w:rPr>
            </w:pPr>
            <w:r>
              <w:rPr>
                <w:w w:val="105"/>
                <w:sz w:val="16"/>
              </w:rPr>
              <w:t>Amortization of deferred gains on sale and leaseback of aircraft</w:t>
            </w:r>
          </w:p>
        </w:tc>
        <w:tc>
          <w:tcPr>
            <w:tcW w:w="1671" w:type="dxa"/>
          </w:tcPr>
          <w:p>
            <w:pPr>
              <w:pStyle w:val="TableParagraph"/>
              <w:spacing w:before="4"/>
              <w:rPr>
                <w:sz w:val="23"/>
              </w:rPr>
            </w:pPr>
          </w:p>
          <w:p>
            <w:pPr>
              <w:pStyle w:val="TableParagraph"/>
              <w:spacing w:before="1"/>
              <w:ind w:left="691"/>
              <w:rPr>
                <w:rFonts w:ascii="Franklin Gothic Medium"/>
                <w:sz w:val="18"/>
              </w:rPr>
            </w:pPr>
            <w:r>
              <w:rPr>
                <w:rFonts w:ascii="Franklin Gothic Medium"/>
                <w:sz w:val="18"/>
              </w:rPr>
              <w:t>(15,181)</w:t>
            </w:r>
          </w:p>
        </w:tc>
        <w:tc>
          <w:tcPr>
            <w:tcW w:w="1500" w:type="dxa"/>
          </w:tcPr>
          <w:p>
            <w:pPr>
              <w:pStyle w:val="TableParagraph"/>
              <w:spacing w:before="5"/>
              <w:rPr>
                <w:sz w:val="24"/>
              </w:rPr>
            </w:pPr>
          </w:p>
          <w:p>
            <w:pPr>
              <w:pStyle w:val="TableParagraph"/>
              <w:ind w:left="613"/>
              <w:rPr>
                <w:sz w:val="16"/>
              </w:rPr>
            </w:pPr>
            <w:r>
              <w:rPr>
                <w:w w:val="115"/>
                <w:sz w:val="16"/>
              </w:rPr>
              <w:t>(15,180)</w:t>
            </w:r>
          </w:p>
        </w:tc>
        <w:tc>
          <w:tcPr>
            <w:tcW w:w="1325" w:type="dxa"/>
          </w:tcPr>
          <w:p>
            <w:pPr>
              <w:pStyle w:val="TableParagraph"/>
              <w:spacing w:before="5"/>
              <w:rPr>
                <w:sz w:val="24"/>
              </w:rPr>
            </w:pPr>
          </w:p>
          <w:p>
            <w:pPr>
              <w:pStyle w:val="TableParagraph"/>
              <w:ind w:left="553"/>
              <w:rPr>
                <w:sz w:val="16"/>
              </w:rPr>
            </w:pPr>
            <w:r>
              <w:rPr>
                <w:w w:val="115"/>
                <w:sz w:val="16"/>
              </w:rPr>
              <w:t>(15,178)</w:t>
            </w:r>
          </w:p>
        </w:tc>
      </w:tr>
      <w:tr>
        <w:trPr>
          <w:trHeight w:val="290" w:hRule="exact"/>
        </w:trPr>
        <w:tc>
          <w:tcPr>
            <w:tcW w:w="5254" w:type="dxa"/>
          </w:tcPr>
          <w:p>
            <w:pPr>
              <w:pStyle w:val="TableParagraph"/>
              <w:spacing w:before="45"/>
              <w:ind w:left="572"/>
              <w:rPr>
                <w:sz w:val="16"/>
              </w:rPr>
            </w:pPr>
            <w:r>
              <w:rPr>
                <w:w w:val="105"/>
                <w:sz w:val="16"/>
              </w:rPr>
              <w:t>Amortization  of  scheduled  airframe  inspections  and     repairs</w:t>
            </w:r>
          </w:p>
        </w:tc>
        <w:tc>
          <w:tcPr>
            <w:tcW w:w="1671" w:type="dxa"/>
          </w:tcPr>
          <w:p>
            <w:pPr>
              <w:pStyle w:val="TableParagraph"/>
              <w:spacing w:before="32"/>
              <w:ind w:left="743"/>
              <w:rPr>
                <w:rFonts w:ascii="Franklin Gothic Medium"/>
                <w:sz w:val="18"/>
              </w:rPr>
            </w:pPr>
            <w:r>
              <w:rPr>
                <w:rFonts w:ascii="Franklin Gothic Medium"/>
                <w:sz w:val="18"/>
              </w:rPr>
              <w:t>46,311</w:t>
            </w:r>
          </w:p>
        </w:tc>
        <w:tc>
          <w:tcPr>
            <w:tcW w:w="1500" w:type="dxa"/>
          </w:tcPr>
          <w:p>
            <w:pPr>
              <w:pStyle w:val="TableParagraph"/>
              <w:spacing w:before="45"/>
              <w:ind w:left="659"/>
              <w:rPr>
                <w:sz w:val="16"/>
              </w:rPr>
            </w:pPr>
            <w:r>
              <w:rPr>
                <w:w w:val="120"/>
                <w:sz w:val="16"/>
              </w:rPr>
              <w:t>43,121</w:t>
            </w:r>
          </w:p>
        </w:tc>
        <w:tc>
          <w:tcPr>
            <w:tcW w:w="1325" w:type="dxa"/>
          </w:tcPr>
          <w:p>
            <w:pPr>
              <w:pStyle w:val="TableParagraph"/>
              <w:spacing w:before="45"/>
              <w:ind w:left="599"/>
              <w:rPr>
                <w:sz w:val="16"/>
              </w:rPr>
            </w:pPr>
            <w:r>
              <w:rPr>
                <w:w w:val="120"/>
                <w:sz w:val="16"/>
              </w:rPr>
              <w:t>36,328</w:t>
            </w:r>
          </w:p>
        </w:tc>
      </w:tr>
      <w:tr>
        <w:trPr>
          <w:trHeight w:val="297" w:hRule="exact"/>
        </w:trPr>
        <w:tc>
          <w:tcPr>
            <w:tcW w:w="5254" w:type="dxa"/>
          </w:tcPr>
          <w:p>
            <w:pPr>
              <w:pStyle w:val="TableParagraph"/>
              <w:spacing w:before="55"/>
              <w:ind w:left="212"/>
              <w:rPr>
                <w:sz w:val="16"/>
              </w:rPr>
            </w:pPr>
            <w:r>
              <w:rPr>
                <w:w w:val="105"/>
                <w:sz w:val="16"/>
              </w:rPr>
              <w:t>Income  tax  benefit  from  Employee  stock  option  exercises</w:t>
            </w:r>
          </w:p>
        </w:tc>
        <w:tc>
          <w:tcPr>
            <w:tcW w:w="1671" w:type="dxa"/>
          </w:tcPr>
          <w:p>
            <w:pPr>
              <w:pStyle w:val="TableParagraph"/>
              <w:spacing w:before="42"/>
              <w:ind w:left="743"/>
              <w:rPr>
                <w:rFonts w:ascii="Franklin Gothic Medium"/>
                <w:sz w:val="18"/>
              </w:rPr>
            </w:pPr>
            <w:r>
              <w:rPr>
                <w:rFonts w:ascii="Franklin Gothic Medium"/>
                <w:sz w:val="18"/>
              </w:rPr>
              <w:t>38,571</w:t>
            </w:r>
          </w:p>
        </w:tc>
        <w:tc>
          <w:tcPr>
            <w:tcW w:w="1500" w:type="dxa"/>
          </w:tcPr>
          <w:p>
            <w:pPr>
              <w:pStyle w:val="TableParagraph"/>
              <w:spacing w:before="55"/>
              <w:ind w:left="659"/>
              <w:rPr>
                <w:sz w:val="16"/>
              </w:rPr>
            </w:pPr>
            <w:r>
              <w:rPr>
                <w:w w:val="120"/>
                <w:sz w:val="16"/>
              </w:rPr>
              <w:t>53,691</w:t>
            </w:r>
          </w:p>
        </w:tc>
        <w:tc>
          <w:tcPr>
            <w:tcW w:w="1325" w:type="dxa"/>
          </w:tcPr>
          <w:p>
            <w:pPr>
              <w:pStyle w:val="TableParagraph"/>
              <w:spacing w:before="55"/>
              <w:ind w:left="599"/>
              <w:rPr>
                <w:sz w:val="16"/>
              </w:rPr>
            </w:pPr>
            <w:r>
              <w:rPr>
                <w:w w:val="120"/>
                <w:sz w:val="16"/>
              </w:rPr>
              <w:t>61,677</w:t>
            </w:r>
          </w:p>
        </w:tc>
      </w:tr>
      <w:tr>
        <w:trPr>
          <w:trHeight w:val="270" w:hRule="exact"/>
        </w:trPr>
        <w:tc>
          <w:tcPr>
            <w:tcW w:w="5254" w:type="dxa"/>
          </w:tcPr>
          <w:p>
            <w:pPr>
              <w:pStyle w:val="TableParagraph"/>
              <w:spacing w:before="38"/>
              <w:ind w:left="212"/>
              <w:rPr>
                <w:sz w:val="16"/>
              </w:rPr>
            </w:pPr>
            <w:r>
              <w:rPr>
                <w:w w:val="110"/>
                <w:sz w:val="16"/>
              </w:rPr>
              <w:t>Changes  in  certain  assets and  liabilities:</w:t>
            </w:r>
          </w:p>
        </w:tc>
        <w:tc>
          <w:tcPr>
            <w:tcW w:w="1671" w:type="dxa"/>
          </w:tcPr>
          <w:p>
            <w:pPr/>
          </w:p>
        </w:tc>
        <w:tc>
          <w:tcPr>
            <w:tcW w:w="1500" w:type="dxa"/>
          </w:tcPr>
          <w:p>
            <w:pPr/>
          </w:p>
        </w:tc>
        <w:tc>
          <w:tcPr>
            <w:tcW w:w="1325" w:type="dxa"/>
          </w:tcPr>
          <w:p>
            <w:pPr/>
          </w:p>
        </w:tc>
      </w:tr>
      <w:tr>
        <w:trPr>
          <w:trHeight w:val="283" w:hRule="exact"/>
        </w:trPr>
        <w:tc>
          <w:tcPr>
            <w:tcW w:w="5254" w:type="dxa"/>
          </w:tcPr>
          <w:p>
            <w:pPr>
              <w:pStyle w:val="TableParagraph"/>
              <w:spacing w:before="48"/>
              <w:ind w:left="392"/>
              <w:rPr>
                <w:sz w:val="16"/>
              </w:rPr>
            </w:pPr>
            <w:r>
              <w:rPr>
                <w:w w:val="105"/>
                <w:sz w:val="16"/>
              </w:rPr>
              <w:t>Accounts   and   other receivables</w:t>
            </w:r>
          </w:p>
        </w:tc>
        <w:tc>
          <w:tcPr>
            <w:tcW w:w="1671" w:type="dxa"/>
          </w:tcPr>
          <w:p>
            <w:pPr>
              <w:pStyle w:val="TableParagraph"/>
              <w:spacing w:before="35"/>
              <w:ind w:left="558"/>
              <w:rPr>
                <w:rFonts w:ascii="Franklin Gothic Medium"/>
                <w:sz w:val="18"/>
              </w:rPr>
            </w:pPr>
            <w:r>
              <w:rPr>
                <w:rFonts w:ascii="Franklin Gothic Medium"/>
                <w:sz w:val="18"/>
              </w:rPr>
              <w:t>(103,110)</w:t>
            </w:r>
          </w:p>
        </w:tc>
        <w:tc>
          <w:tcPr>
            <w:tcW w:w="1500" w:type="dxa"/>
          </w:tcPr>
          <w:p>
            <w:pPr>
              <w:pStyle w:val="TableParagraph"/>
              <w:spacing w:before="48"/>
              <w:ind w:left="658"/>
              <w:rPr>
                <w:sz w:val="16"/>
              </w:rPr>
            </w:pPr>
            <w:r>
              <w:rPr>
                <w:w w:val="120"/>
                <w:sz w:val="16"/>
              </w:rPr>
              <w:t>66,787</w:t>
            </w:r>
          </w:p>
        </w:tc>
        <w:tc>
          <w:tcPr>
            <w:tcW w:w="1325" w:type="dxa"/>
          </w:tcPr>
          <w:p>
            <w:pPr>
              <w:pStyle w:val="TableParagraph"/>
              <w:spacing w:before="48"/>
              <w:ind w:left="547"/>
              <w:rPr>
                <w:sz w:val="16"/>
              </w:rPr>
            </w:pPr>
            <w:r>
              <w:rPr>
                <w:w w:val="115"/>
                <w:sz w:val="16"/>
              </w:rPr>
              <w:t>(63,032)</w:t>
            </w:r>
          </w:p>
        </w:tc>
      </w:tr>
      <w:tr>
        <w:trPr>
          <w:trHeight w:val="280" w:hRule="exact"/>
        </w:trPr>
        <w:tc>
          <w:tcPr>
            <w:tcW w:w="5254" w:type="dxa"/>
          </w:tcPr>
          <w:p>
            <w:pPr>
              <w:pStyle w:val="TableParagraph"/>
              <w:spacing w:before="45"/>
              <w:ind w:left="392"/>
              <w:rPr>
                <w:sz w:val="16"/>
              </w:rPr>
            </w:pPr>
            <w:r>
              <w:rPr>
                <w:w w:val="110"/>
                <w:sz w:val="16"/>
              </w:rPr>
              <w:t>Other  current assets</w:t>
            </w:r>
          </w:p>
        </w:tc>
        <w:tc>
          <w:tcPr>
            <w:tcW w:w="1671" w:type="dxa"/>
          </w:tcPr>
          <w:p>
            <w:pPr>
              <w:pStyle w:val="TableParagraph"/>
              <w:spacing w:before="32"/>
              <w:ind w:left="678"/>
              <w:rPr>
                <w:rFonts w:ascii="Franklin Gothic Medium"/>
                <w:sz w:val="18"/>
              </w:rPr>
            </w:pPr>
            <w:r>
              <w:rPr>
                <w:rFonts w:ascii="Franklin Gothic Medium"/>
                <w:sz w:val="18"/>
              </w:rPr>
              <w:t>(10,159)</w:t>
            </w:r>
          </w:p>
        </w:tc>
        <w:tc>
          <w:tcPr>
            <w:tcW w:w="1500" w:type="dxa"/>
          </w:tcPr>
          <w:p>
            <w:pPr>
              <w:pStyle w:val="TableParagraph"/>
              <w:spacing w:before="45"/>
              <w:ind w:left="704"/>
              <w:rPr>
                <w:sz w:val="16"/>
              </w:rPr>
            </w:pPr>
            <w:r>
              <w:rPr>
                <w:w w:val="115"/>
                <w:sz w:val="16"/>
              </w:rPr>
              <w:t>(9,027)</w:t>
            </w:r>
          </w:p>
        </w:tc>
        <w:tc>
          <w:tcPr>
            <w:tcW w:w="1325" w:type="dxa"/>
          </w:tcPr>
          <w:p>
            <w:pPr>
              <w:pStyle w:val="TableParagraph"/>
              <w:spacing w:before="45"/>
              <w:ind w:left="549"/>
              <w:rPr>
                <w:sz w:val="16"/>
              </w:rPr>
            </w:pPr>
            <w:r>
              <w:rPr>
                <w:w w:val="115"/>
                <w:sz w:val="16"/>
              </w:rPr>
              <w:t>(24,657)</w:t>
            </w:r>
          </w:p>
        </w:tc>
      </w:tr>
      <w:tr>
        <w:trPr>
          <w:trHeight w:val="280" w:hRule="exact"/>
        </w:trPr>
        <w:tc>
          <w:tcPr>
            <w:tcW w:w="5254" w:type="dxa"/>
          </w:tcPr>
          <w:p>
            <w:pPr>
              <w:pStyle w:val="TableParagraph"/>
              <w:spacing w:before="45"/>
              <w:ind w:left="392"/>
              <w:rPr>
                <w:sz w:val="16"/>
              </w:rPr>
            </w:pPr>
            <w:r>
              <w:rPr>
                <w:w w:val="105"/>
                <w:sz w:val="16"/>
              </w:rPr>
              <w:t>Accounts   payable  and   accrued  liabilities</w:t>
            </w:r>
          </w:p>
        </w:tc>
        <w:tc>
          <w:tcPr>
            <w:tcW w:w="1671" w:type="dxa"/>
          </w:tcPr>
          <w:p>
            <w:pPr>
              <w:pStyle w:val="TableParagraph"/>
              <w:spacing w:before="32"/>
              <w:ind w:left="558"/>
              <w:rPr>
                <w:rFonts w:ascii="Franklin Gothic Medium"/>
                <w:sz w:val="18"/>
              </w:rPr>
            </w:pPr>
            <w:r>
              <w:rPr>
                <w:rFonts w:ascii="Franklin Gothic Medium"/>
                <w:sz w:val="18"/>
              </w:rPr>
              <w:t>(148,850)</w:t>
            </w:r>
          </w:p>
        </w:tc>
        <w:tc>
          <w:tcPr>
            <w:tcW w:w="1500" w:type="dxa"/>
          </w:tcPr>
          <w:p>
            <w:pPr>
              <w:pStyle w:val="TableParagraph"/>
              <w:spacing w:before="45"/>
              <w:ind w:left="569"/>
              <w:rPr>
                <w:sz w:val="16"/>
              </w:rPr>
            </w:pPr>
            <w:r>
              <w:rPr>
                <w:w w:val="120"/>
                <w:sz w:val="16"/>
              </w:rPr>
              <w:t>202,506</w:t>
            </w:r>
          </w:p>
        </w:tc>
        <w:tc>
          <w:tcPr>
            <w:tcW w:w="1325" w:type="dxa"/>
          </w:tcPr>
          <w:p>
            <w:pPr>
              <w:pStyle w:val="TableParagraph"/>
              <w:spacing w:before="45"/>
              <w:ind w:left="509"/>
              <w:rPr>
                <w:sz w:val="16"/>
              </w:rPr>
            </w:pPr>
            <w:r>
              <w:rPr>
                <w:w w:val="120"/>
                <w:sz w:val="16"/>
              </w:rPr>
              <w:t>129,438</w:t>
            </w:r>
          </w:p>
        </w:tc>
      </w:tr>
      <w:tr>
        <w:trPr>
          <w:trHeight w:val="280" w:hRule="exact"/>
        </w:trPr>
        <w:tc>
          <w:tcPr>
            <w:tcW w:w="5254" w:type="dxa"/>
          </w:tcPr>
          <w:p>
            <w:pPr>
              <w:pStyle w:val="TableParagraph"/>
              <w:spacing w:before="45"/>
              <w:ind w:left="392"/>
              <w:rPr>
                <w:sz w:val="16"/>
              </w:rPr>
            </w:pPr>
            <w:r>
              <w:rPr>
                <w:sz w:val="16"/>
              </w:rPr>
              <w:t>Air   traffic  liability</w:t>
            </w:r>
          </w:p>
        </w:tc>
        <w:tc>
          <w:tcPr>
            <w:tcW w:w="1671" w:type="dxa"/>
          </w:tcPr>
          <w:p>
            <w:pPr>
              <w:pStyle w:val="TableParagraph"/>
              <w:spacing w:before="32"/>
              <w:ind w:left="691"/>
              <w:rPr>
                <w:rFonts w:ascii="Franklin Gothic Medium"/>
                <w:sz w:val="18"/>
              </w:rPr>
            </w:pPr>
            <w:r>
              <w:rPr>
                <w:rFonts w:ascii="Franklin Gothic Medium"/>
                <w:sz w:val="18"/>
              </w:rPr>
              <w:t>(38,169)</w:t>
            </w:r>
          </w:p>
        </w:tc>
        <w:tc>
          <w:tcPr>
            <w:tcW w:w="1500" w:type="dxa"/>
          </w:tcPr>
          <w:p>
            <w:pPr>
              <w:pStyle w:val="TableParagraph"/>
              <w:spacing w:before="45"/>
              <w:ind w:left="659"/>
              <w:rPr>
                <w:sz w:val="16"/>
              </w:rPr>
            </w:pPr>
            <w:r>
              <w:rPr>
                <w:w w:val="120"/>
                <w:sz w:val="16"/>
              </w:rPr>
              <w:t>73,346</w:t>
            </w:r>
          </w:p>
        </w:tc>
        <w:tc>
          <w:tcPr>
            <w:tcW w:w="1325" w:type="dxa"/>
          </w:tcPr>
          <w:p>
            <w:pPr>
              <w:pStyle w:val="TableParagraph"/>
              <w:spacing w:before="45"/>
              <w:ind w:left="507"/>
              <w:rPr>
                <w:sz w:val="16"/>
              </w:rPr>
            </w:pPr>
            <w:r>
              <w:rPr>
                <w:w w:val="120"/>
                <w:sz w:val="16"/>
              </w:rPr>
              <w:t>120,119</w:t>
            </w:r>
          </w:p>
        </w:tc>
      </w:tr>
      <w:tr>
        <w:trPr>
          <w:trHeight w:val="290" w:hRule="exact"/>
        </w:trPr>
        <w:tc>
          <w:tcPr>
            <w:tcW w:w="5254" w:type="dxa"/>
          </w:tcPr>
          <w:p>
            <w:pPr>
              <w:pStyle w:val="TableParagraph"/>
              <w:spacing w:before="45"/>
              <w:ind w:left="212"/>
              <w:rPr>
                <w:sz w:val="16"/>
              </w:rPr>
            </w:pPr>
            <w:r>
              <w:rPr>
                <w:sz w:val="16"/>
              </w:rPr>
              <w:t>Other</w:t>
            </w:r>
          </w:p>
        </w:tc>
        <w:tc>
          <w:tcPr>
            <w:tcW w:w="1671" w:type="dxa"/>
          </w:tcPr>
          <w:p>
            <w:pPr>
              <w:pStyle w:val="TableParagraph"/>
              <w:tabs>
                <w:tab w:pos="453" w:val="left" w:leader="none"/>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(16,106)</w:t>
              <w:tab/>
            </w:r>
          </w:p>
        </w:tc>
        <w:tc>
          <w:tcPr>
            <w:tcW w:w="1500" w:type="dxa"/>
          </w:tcPr>
          <w:p>
            <w:pPr>
              <w:pStyle w:val="TableParagraph"/>
              <w:tabs>
                <w:tab w:pos="659" w:val="left" w:leader="none"/>
                <w:tab w:pos="1412" w:val="left" w:leader="none"/>
              </w:tabs>
              <w:spacing w:before="45"/>
              <w:ind w:left="87"/>
              <w:rPr>
                <w:sz w:val="16"/>
              </w:rPr>
            </w:pPr>
            <w:r>
              <w:rPr>
                <w:w w:val="132"/>
                <w:sz w:val="16"/>
                <w:u w:val="single"/>
              </w:rPr>
              <w:t> </w:t>
            </w:r>
            <w:r>
              <w:rPr>
                <w:sz w:val="16"/>
                <w:u w:val="single"/>
              </w:rPr>
              <w:tab/>
            </w:r>
            <w:r>
              <w:rPr>
                <w:w w:val="120"/>
                <w:sz w:val="16"/>
                <w:u w:val="single"/>
              </w:rPr>
              <w:t>32,464</w:t>
            </w:r>
            <w:r>
              <w:rPr>
                <w:sz w:val="16"/>
                <w:u w:val="single"/>
              </w:rPr>
              <w:tab/>
            </w:r>
          </w:p>
        </w:tc>
        <w:tc>
          <w:tcPr>
            <w:tcW w:w="1325" w:type="dxa"/>
          </w:tcPr>
          <w:p>
            <w:pPr>
              <w:pStyle w:val="TableParagraph"/>
              <w:tabs>
                <w:tab w:pos="511" w:val="left" w:leader="none"/>
              </w:tabs>
              <w:spacing w:before="45"/>
              <w:ind w:right="30"/>
              <w:jc w:val="right"/>
              <w:rPr>
                <w:sz w:val="16"/>
              </w:rPr>
            </w:pPr>
            <w:r>
              <w:rPr>
                <w:w w:val="132"/>
                <w:sz w:val="16"/>
                <w:u w:val="single"/>
              </w:rPr>
              <w:t> </w:t>
            </w:r>
            <w:r>
              <w:rPr>
                <w:sz w:val="16"/>
                <w:u w:val="single"/>
              </w:rPr>
              <w:tab/>
            </w:r>
            <w:r>
              <w:rPr>
                <w:spacing w:val="-1"/>
                <w:w w:val="115"/>
                <w:sz w:val="16"/>
                <w:u w:val="single"/>
              </w:rPr>
              <w:t>15,775</w:t>
            </w:r>
            <w:r>
              <w:rPr>
                <w:spacing w:val="-17"/>
                <w:sz w:val="16"/>
                <w:u w:val="single"/>
              </w:rPr>
              <w:t> </w:t>
            </w:r>
          </w:p>
        </w:tc>
      </w:tr>
      <w:tr>
        <w:trPr>
          <w:trHeight w:val="299" w:hRule="exact"/>
        </w:trPr>
        <w:tc>
          <w:tcPr>
            <w:tcW w:w="5254" w:type="dxa"/>
          </w:tcPr>
          <w:p>
            <w:pPr>
              <w:pStyle w:val="TableParagraph"/>
              <w:spacing w:before="55"/>
              <w:ind w:left="392"/>
              <w:rPr>
                <w:sz w:val="16"/>
              </w:rPr>
            </w:pPr>
            <w:r>
              <w:rPr>
                <w:w w:val="105"/>
                <w:sz w:val="16"/>
              </w:rPr>
              <w:t>Net  cash  provided  by  operating   activities</w:t>
            </w:r>
          </w:p>
        </w:tc>
        <w:tc>
          <w:tcPr>
            <w:tcW w:w="1671" w:type="dxa"/>
          </w:tcPr>
          <w:p>
            <w:pPr>
              <w:pStyle w:val="TableParagraph"/>
              <w:spacing w:before="42"/>
              <w:ind w:left="635"/>
              <w:rPr>
                <w:rFonts w:ascii="Franklin Gothic Medium"/>
                <w:sz w:val="18"/>
              </w:rPr>
            </w:pPr>
            <w:r>
              <w:rPr>
                <w:rFonts w:ascii="Franklin Gothic Medium"/>
                <w:sz w:val="18"/>
              </w:rPr>
              <w:t>520,209</w:t>
            </w:r>
          </w:p>
        </w:tc>
        <w:tc>
          <w:tcPr>
            <w:tcW w:w="1500" w:type="dxa"/>
          </w:tcPr>
          <w:p>
            <w:pPr>
              <w:pStyle w:val="TableParagraph"/>
              <w:spacing w:before="55"/>
              <w:ind w:left="422"/>
              <w:rPr>
                <w:sz w:val="16"/>
              </w:rPr>
            </w:pPr>
            <w:r>
              <w:rPr>
                <w:w w:val="120"/>
                <w:sz w:val="16"/>
              </w:rPr>
              <w:t>1,484,608</w:t>
            </w:r>
          </w:p>
        </w:tc>
        <w:tc>
          <w:tcPr>
            <w:tcW w:w="1325" w:type="dxa"/>
          </w:tcPr>
          <w:p>
            <w:pPr>
              <w:pStyle w:val="TableParagraph"/>
              <w:spacing w:before="55"/>
              <w:ind w:left="353"/>
              <w:rPr>
                <w:sz w:val="16"/>
              </w:rPr>
            </w:pPr>
            <w:r>
              <w:rPr>
                <w:w w:val="120"/>
                <w:sz w:val="16"/>
              </w:rPr>
              <w:t>1,298,286</w:t>
            </w:r>
          </w:p>
        </w:tc>
      </w:tr>
      <w:tr>
        <w:trPr>
          <w:trHeight w:val="269" w:hRule="exact"/>
        </w:trPr>
        <w:tc>
          <w:tcPr>
            <w:tcW w:w="5254" w:type="dxa"/>
          </w:tcPr>
          <w:p>
            <w:pPr>
              <w:pStyle w:val="TableParagraph"/>
              <w:spacing w:before="42"/>
              <w:ind w:left="32"/>
              <w:rPr>
                <w:rFonts w:ascii="Franklin Gothic Medium"/>
                <w:sz w:val="16"/>
              </w:rPr>
            </w:pPr>
            <w:r>
              <w:rPr>
                <w:rFonts w:ascii="Franklin Gothic Medium"/>
                <w:sz w:val="16"/>
              </w:rPr>
              <w:t>CASH  FLOWS  FROM   INVESTING  ACTIVITIES:</w:t>
            </w:r>
          </w:p>
        </w:tc>
        <w:tc>
          <w:tcPr>
            <w:tcW w:w="1671" w:type="dxa"/>
          </w:tcPr>
          <w:p>
            <w:pPr/>
          </w:p>
        </w:tc>
        <w:tc>
          <w:tcPr>
            <w:tcW w:w="1500" w:type="dxa"/>
          </w:tcPr>
          <w:p>
            <w:pPr/>
          </w:p>
        </w:tc>
        <w:tc>
          <w:tcPr>
            <w:tcW w:w="1325" w:type="dxa"/>
          </w:tcPr>
          <w:p>
            <w:pPr/>
          </w:p>
        </w:tc>
      </w:tr>
      <w:tr>
        <w:trPr>
          <w:trHeight w:val="292" w:hRule="exact"/>
        </w:trPr>
        <w:tc>
          <w:tcPr>
            <w:tcW w:w="5254" w:type="dxa"/>
          </w:tcPr>
          <w:p>
            <w:pPr>
              <w:pStyle w:val="TableParagraph"/>
              <w:spacing w:before="48"/>
              <w:ind w:left="212"/>
              <w:rPr>
                <w:sz w:val="16"/>
              </w:rPr>
            </w:pPr>
            <w:r>
              <w:rPr>
                <w:w w:val="105"/>
                <w:sz w:val="16"/>
              </w:rPr>
              <w:t>Purchases  of  property  and  equipment</w:t>
            </w:r>
          </w:p>
        </w:tc>
        <w:tc>
          <w:tcPr>
            <w:tcW w:w="1671" w:type="dxa"/>
          </w:tcPr>
          <w:p>
            <w:pPr>
              <w:pStyle w:val="TableParagraph"/>
              <w:tabs>
                <w:tab w:pos="329" w:val="left" w:leader="none"/>
                <w:tab w:pos="1344" w:val="left" w:leader="none"/>
              </w:tabs>
              <w:spacing w:before="35"/>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(603,060)</w:t>
              <w:tab/>
            </w:r>
          </w:p>
        </w:tc>
        <w:tc>
          <w:tcPr>
            <w:tcW w:w="1500" w:type="dxa"/>
          </w:tcPr>
          <w:p>
            <w:pPr>
              <w:pStyle w:val="TableParagraph"/>
              <w:tabs>
                <w:tab w:pos="510" w:val="left" w:leader="none"/>
              </w:tabs>
              <w:spacing w:before="48"/>
              <w:ind w:left="87"/>
              <w:rPr>
                <w:sz w:val="16"/>
              </w:rPr>
            </w:pPr>
            <w:r>
              <w:rPr>
                <w:w w:val="132"/>
                <w:sz w:val="16"/>
                <w:u w:val="single"/>
              </w:rPr>
              <w:t> </w:t>
            </w:r>
            <w:r>
              <w:rPr>
                <w:sz w:val="16"/>
                <w:u w:val="single"/>
              </w:rPr>
              <w:tab/>
            </w:r>
            <w:r>
              <w:rPr>
                <w:w w:val="115"/>
                <w:sz w:val="16"/>
                <w:u w:val="single"/>
              </w:rPr>
              <w:t>(997,843)</w:t>
            </w:r>
            <w:r>
              <w:rPr>
                <w:spacing w:val="4"/>
                <w:sz w:val="16"/>
                <w:u w:val="single"/>
              </w:rPr>
              <w:t> </w:t>
            </w:r>
          </w:p>
        </w:tc>
        <w:tc>
          <w:tcPr>
            <w:tcW w:w="1325" w:type="dxa"/>
          </w:tcPr>
          <w:p>
            <w:pPr>
              <w:pStyle w:val="TableParagraph"/>
              <w:spacing w:before="48"/>
              <w:ind w:right="30"/>
              <w:jc w:val="right"/>
              <w:rPr>
                <w:sz w:val="16"/>
              </w:rPr>
            </w:pPr>
            <w:r>
              <w:rPr>
                <w:w w:val="132"/>
                <w:sz w:val="16"/>
                <w:u w:val="single"/>
              </w:rPr>
              <w:t> </w:t>
            </w:r>
            <w:r>
              <w:rPr>
                <w:sz w:val="16"/>
                <w:u w:val="single"/>
              </w:rPr>
              <w:t>     </w:t>
            </w:r>
            <w:r>
              <w:rPr>
                <w:w w:val="115"/>
                <w:sz w:val="16"/>
                <w:u w:val="single"/>
              </w:rPr>
              <w:t>(1,134,644)</w:t>
            </w:r>
            <w:r>
              <w:rPr>
                <w:sz w:val="16"/>
                <w:u w:val="single"/>
              </w:rPr>
              <w:t> </w:t>
            </w:r>
          </w:p>
        </w:tc>
      </w:tr>
      <w:tr>
        <w:trPr>
          <w:trHeight w:val="299" w:hRule="exact"/>
        </w:trPr>
        <w:tc>
          <w:tcPr>
            <w:tcW w:w="5254" w:type="dxa"/>
          </w:tcPr>
          <w:p>
            <w:pPr>
              <w:pStyle w:val="TableParagraph"/>
              <w:spacing w:before="55"/>
              <w:ind w:left="392"/>
              <w:rPr>
                <w:sz w:val="16"/>
              </w:rPr>
            </w:pPr>
            <w:r>
              <w:rPr>
                <w:w w:val="110"/>
                <w:sz w:val="16"/>
              </w:rPr>
              <w:t>Net cash used in  investing  activities</w:t>
            </w:r>
          </w:p>
        </w:tc>
        <w:tc>
          <w:tcPr>
            <w:tcW w:w="1671" w:type="dxa"/>
          </w:tcPr>
          <w:p>
            <w:pPr>
              <w:pStyle w:val="TableParagraph"/>
              <w:spacing w:before="42"/>
              <w:ind w:left="567"/>
              <w:rPr>
                <w:rFonts w:ascii="Franklin Gothic Medium"/>
                <w:sz w:val="18"/>
              </w:rPr>
            </w:pPr>
            <w:r>
              <w:rPr>
                <w:rFonts w:ascii="Franklin Gothic Medium"/>
                <w:sz w:val="18"/>
              </w:rPr>
              <w:t>(603,060)</w:t>
            </w:r>
          </w:p>
        </w:tc>
        <w:tc>
          <w:tcPr>
            <w:tcW w:w="1500" w:type="dxa"/>
          </w:tcPr>
          <w:p>
            <w:pPr>
              <w:pStyle w:val="TableParagraph"/>
              <w:spacing w:before="55"/>
              <w:ind w:left="510"/>
              <w:rPr>
                <w:sz w:val="16"/>
              </w:rPr>
            </w:pPr>
            <w:r>
              <w:rPr>
                <w:w w:val="115"/>
                <w:sz w:val="16"/>
              </w:rPr>
              <w:t>(997,843)</w:t>
            </w:r>
          </w:p>
        </w:tc>
        <w:tc>
          <w:tcPr>
            <w:tcW w:w="1325" w:type="dxa"/>
          </w:tcPr>
          <w:p>
            <w:pPr>
              <w:pStyle w:val="TableParagraph"/>
              <w:spacing w:before="55"/>
              <w:ind w:left="314"/>
              <w:rPr>
                <w:sz w:val="16"/>
              </w:rPr>
            </w:pPr>
            <w:r>
              <w:rPr>
                <w:w w:val="115"/>
                <w:sz w:val="16"/>
              </w:rPr>
              <w:t>(1,134,644)</w:t>
            </w:r>
          </w:p>
        </w:tc>
      </w:tr>
      <w:tr>
        <w:trPr>
          <w:trHeight w:val="269" w:hRule="exact"/>
        </w:trPr>
        <w:tc>
          <w:tcPr>
            <w:tcW w:w="5254" w:type="dxa"/>
          </w:tcPr>
          <w:p>
            <w:pPr>
              <w:pStyle w:val="TableParagraph"/>
              <w:spacing w:before="42"/>
              <w:ind w:left="32"/>
              <w:rPr>
                <w:rFonts w:ascii="Franklin Gothic Medium"/>
                <w:sz w:val="16"/>
              </w:rPr>
            </w:pPr>
            <w:r>
              <w:rPr>
                <w:rFonts w:ascii="Franklin Gothic Medium"/>
                <w:sz w:val="16"/>
              </w:rPr>
              <w:t>CASH  FLOWS  FROM   FINANCING  ACTIVITIES:</w:t>
            </w:r>
          </w:p>
        </w:tc>
        <w:tc>
          <w:tcPr>
            <w:tcW w:w="1671" w:type="dxa"/>
          </w:tcPr>
          <w:p>
            <w:pPr/>
          </w:p>
        </w:tc>
        <w:tc>
          <w:tcPr>
            <w:tcW w:w="1500" w:type="dxa"/>
          </w:tcPr>
          <w:p>
            <w:pPr/>
          </w:p>
        </w:tc>
        <w:tc>
          <w:tcPr>
            <w:tcW w:w="1325" w:type="dxa"/>
          </w:tcPr>
          <w:p>
            <w:pPr/>
          </w:p>
        </w:tc>
      </w:tr>
      <w:tr>
        <w:trPr>
          <w:trHeight w:val="282" w:hRule="exact"/>
        </w:trPr>
        <w:tc>
          <w:tcPr>
            <w:tcW w:w="5254" w:type="dxa"/>
          </w:tcPr>
          <w:p>
            <w:pPr>
              <w:pStyle w:val="TableParagraph"/>
              <w:spacing w:before="48"/>
              <w:ind w:left="212"/>
              <w:rPr>
                <w:sz w:val="16"/>
              </w:rPr>
            </w:pPr>
            <w:r>
              <w:rPr>
                <w:w w:val="105"/>
                <w:sz w:val="16"/>
              </w:rPr>
              <w:t>Issuance  of  long-term debt</w:t>
            </w:r>
          </w:p>
        </w:tc>
        <w:tc>
          <w:tcPr>
            <w:tcW w:w="1671" w:type="dxa"/>
          </w:tcPr>
          <w:p>
            <w:pPr>
              <w:pStyle w:val="TableParagraph"/>
              <w:spacing w:before="35"/>
              <w:ind w:left="635"/>
              <w:rPr>
                <w:rFonts w:ascii="Franklin Gothic Medium"/>
                <w:sz w:val="18"/>
              </w:rPr>
            </w:pPr>
            <w:r>
              <w:rPr>
                <w:rFonts w:ascii="Franklin Gothic Medium"/>
                <w:sz w:val="18"/>
              </w:rPr>
              <w:t>385,000</w:t>
            </w:r>
          </w:p>
        </w:tc>
        <w:tc>
          <w:tcPr>
            <w:tcW w:w="1500" w:type="dxa"/>
          </w:tcPr>
          <w:p>
            <w:pPr>
              <w:pStyle w:val="TableParagraph"/>
              <w:spacing w:before="48"/>
              <w:ind w:left="569"/>
              <w:rPr>
                <w:sz w:val="16"/>
              </w:rPr>
            </w:pPr>
            <w:r>
              <w:rPr>
                <w:w w:val="120"/>
                <w:sz w:val="16"/>
              </w:rPr>
              <w:t>614,250</w:t>
            </w:r>
          </w:p>
        </w:tc>
        <w:tc>
          <w:tcPr>
            <w:tcW w:w="1325" w:type="dxa"/>
          </w:tcPr>
          <w:p>
            <w:pPr>
              <w:pStyle w:val="TableParagraph"/>
              <w:spacing w:before="48"/>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Proceeds  from  revolving  credit   facility</w:t>
            </w:r>
          </w:p>
        </w:tc>
        <w:tc>
          <w:tcPr>
            <w:tcW w:w="1671" w:type="dxa"/>
          </w:tcPr>
          <w:p>
            <w:pPr>
              <w:pStyle w:val="TableParagraph"/>
              <w:spacing w:before="32"/>
              <w:ind w:left="369"/>
              <w:jc w:val="center"/>
              <w:rPr>
                <w:rFonts w:ascii="Franklin Gothic Medium"/>
                <w:sz w:val="18"/>
              </w:rPr>
            </w:pPr>
            <w:r>
              <w:rPr>
                <w:rFonts w:ascii="Franklin Gothic Medium"/>
                <w:w w:val="101"/>
                <w:sz w:val="18"/>
              </w:rPr>
              <w:t>-</w:t>
            </w:r>
          </w:p>
        </w:tc>
        <w:tc>
          <w:tcPr>
            <w:tcW w:w="1500" w:type="dxa"/>
          </w:tcPr>
          <w:p>
            <w:pPr>
              <w:pStyle w:val="TableParagraph"/>
              <w:spacing w:before="45"/>
              <w:ind w:left="569"/>
              <w:rPr>
                <w:sz w:val="16"/>
              </w:rPr>
            </w:pPr>
            <w:r>
              <w:rPr>
                <w:w w:val="120"/>
                <w:sz w:val="16"/>
              </w:rPr>
              <w:t>475,000</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Proceeds  from  trust arrangement</w:t>
            </w:r>
          </w:p>
        </w:tc>
        <w:tc>
          <w:tcPr>
            <w:tcW w:w="1671" w:type="dxa"/>
          </w:tcPr>
          <w:p>
            <w:pPr>
              <w:pStyle w:val="TableParagraph"/>
              <w:spacing w:before="32"/>
              <w:ind w:left="635"/>
              <w:rPr>
                <w:rFonts w:ascii="Franklin Gothic Medium"/>
                <w:sz w:val="18"/>
              </w:rPr>
            </w:pPr>
            <w:r>
              <w:rPr>
                <w:rFonts w:ascii="Franklin Gothic Medium"/>
                <w:sz w:val="18"/>
              </w:rPr>
              <w:t>119,142</w:t>
            </w:r>
          </w:p>
        </w:tc>
        <w:tc>
          <w:tcPr>
            <w:tcW w:w="1500" w:type="dxa"/>
          </w:tcPr>
          <w:p>
            <w:pPr>
              <w:pStyle w:val="TableParagraph"/>
              <w:spacing w:before="45"/>
              <w:ind w:left="569"/>
              <w:rPr>
                <w:sz w:val="16"/>
              </w:rPr>
            </w:pPr>
            <w:r>
              <w:rPr>
                <w:w w:val="120"/>
                <w:sz w:val="16"/>
              </w:rPr>
              <w:t>266,053</w:t>
            </w:r>
          </w:p>
        </w:tc>
        <w:tc>
          <w:tcPr>
            <w:tcW w:w="1325" w:type="dxa"/>
          </w:tcPr>
          <w:p>
            <w:pPr>
              <w:pStyle w:val="TableParagraph"/>
              <w:spacing w:before="45"/>
              <w:ind w:left="245"/>
              <w:jc w:val="center"/>
              <w:rPr>
                <w:sz w:val="16"/>
              </w:rPr>
            </w:pPr>
            <w:r>
              <w:rPr>
                <w:w w:val="71"/>
                <w:sz w:val="16"/>
              </w:rPr>
              <w:t>-</w:t>
            </w:r>
          </w:p>
        </w:tc>
      </w:tr>
      <w:tr>
        <w:trPr>
          <w:trHeight w:val="290" w:hRule="exact"/>
        </w:trPr>
        <w:tc>
          <w:tcPr>
            <w:tcW w:w="5254" w:type="dxa"/>
          </w:tcPr>
          <w:p>
            <w:pPr>
              <w:pStyle w:val="TableParagraph"/>
              <w:spacing w:before="45"/>
              <w:ind w:left="212"/>
              <w:rPr>
                <w:sz w:val="16"/>
              </w:rPr>
            </w:pPr>
            <w:r>
              <w:rPr>
                <w:w w:val="110"/>
                <w:sz w:val="16"/>
              </w:rPr>
              <w:t>Proceeds from Employee  stock  plans</w:t>
            </w:r>
          </w:p>
        </w:tc>
        <w:tc>
          <w:tcPr>
            <w:tcW w:w="1671" w:type="dxa"/>
          </w:tcPr>
          <w:p>
            <w:pPr>
              <w:pStyle w:val="TableParagraph"/>
              <w:spacing w:before="32"/>
              <w:ind w:left="743"/>
              <w:rPr>
                <w:rFonts w:ascii="Franklin Gothic Medium"/>
                <w:sz w:val="18"/>
              </w:rPr>
            </w:pPr>
            <w:r>
              <w:rPr>
                <w:rFonts w:ascii="Franklin Gothic Medium"/>
                <w:sz w:val="18"/>
              </w:rPr>
              <w:t>56,757</w:t>
            </w:r>
          </w:p>
        </w:tc>
        <w:tc>
          <w:tcPr>
            <w:tcW w:w="1500" w:type="dxa"/>
          </w:tcPr>
          <w:p>
            <w:pPr>
              <w:pStyle w:val="TableParagraph"/>
              <w:spacing w:before="45"/>
              <w:ind w:left="659"/>
              <w:rPr>
                <w:sz w:val="16"/>
              </w:rPr>
            </w:pPr>
            <w:r>
              <w:rPr>
                <w:w w:val="120"/>
                <w:sz w:val="16"/>
              </w:rPr>
              <w:t>43,541</w:t>
            </w:r>
          </w:p>
        </w:tc>
        <w:tc>
          <w:tcPr>
            <w:tcW w:w="1325" w:type="dxa"/>
          </w:tcPr>
          <w:p>
            <w:pPr>
              <w:pStyle w:val="TableParagraph"/>
              <w:spacing w:before="45"/>
              <w:ind w:left="599"/>
              <w:rPr>
                <w:sz w:val="16"/>
              </w:rPr>
            </w:pPr>
            <w:r>
              <w:rPr>
                <w:w w:val="120"/>
                <w:sz w:val="16"/>
              </w:rPr>
              <w:t>70,424</w:t>
            </w:r>
          </w:p>
        </w:tc>
      </w:tr>
      <w:tr>
        <w:trPr>
          <w:trHeight w:val="290" w:hRule="exact"/>
        </w:trPr>
        <w:tc>
          <w:tcPr>
            <w:tcW w:w="5254" w:type="dxa"/>
          </w:tcPr>
          <w:p>
            <w:pPr>
              <w:pStyle w:val="TableParagraph"/>
              <w:spacing w:before="55"/>
              <w:ind w:left="212"/>
              <w:rPr>
                <w:sz w:val="16"/>
              </w:rPr>
            </w:pPr>
            <w:r>
              <w:rPr>
                <w:w w:val="105"/>
                <w:sz w:val="16"/>
              </w:rPr>
              <w:t>Payments  of  long-term  debt  and  capital   lease obligations</w:t>
            </w:r>
          </w:p>
        </w:tc>
        <w:tc>
          <w:tcPr>
            <w:tcW w:w="1671" w:type="dxa"/>
          </w:tcPr>
          <w:p>
            <w:pPr>
              <w:pStyle w:val="TableParagraph"/>
              <w:spacing w:before="42"/>
              <w:ind w:left="691"/>
              <w:rPr>
                <w:rFonts w:ascii="Franklin Gothic Medium"/>
                <w:sz w:val="18"/>
              </w:rPr>
            </w:pPr>
            <w:r>
              <w:rPr>
                <w:rFonts w:ascii="Franklin Gothic Medium"/>
                <w:sz w:val="18"/>
              </w:rPr>
              <w:t>(64,568)</w:t>
            </w:r>
          </w:p>
        </w:tc>
        <w:tc>
          <w:tcPr>
            <w:tcW w:w="1500" w:type="dxa"/>
          </w:tcPr>
          <w:p>
            <w:pPr>
              <w:pStyle w:val="TableParagraph"/>
              <w:spacing w:before="55"/>
              <w:ind w:left="509"/>
              <w:rPr>
                <w:sz w:val="16"/>
              </w:rPr>
            </w:pPr>
            <w:r>
              <w:rPr>
                <w:w w:val="115"/>
                <w:sz w:val="16"/>
              </w:rPr>
              <w:t>(110,600)</w:t>
            </w:r>
          </w:p>
        </w:tc>
        <w:tc>
          <w:tcPr>
            <w:tcW w:w="1325" w:type="dxa"/>
          </w:tcPr>
          <w:p>
            <w:pPr>
              <w:pStyle w:val="TableParagraph"/>
              <w:spacing w:before="55"/>
              <w:ind w:left="547"/>
              <w:rPr>
                <w:sz w:val="16"/>
              </w:rPr>
            </w:pPr>
            <w:r>
              <w:rPr>
                <w:w w:val="115"/>
                <w:sz w:val="16"/>
              </w:rPr>
              <w:t>(10,238)</w:t>
            </w:r>
          </w:p>
        </w:tc>
      </w:tr>
      <w:tr>
        <w:trPr>
          <w:trHeight w:val="280" w:hRule="exact"/>
        </w:trPr>
        <w:tc>
          <w:tcPr>
            <w:tcW w:w="5254" w:type="dxa"/>
          </w:tcPr>
          <w:p>
            <w:pPr>
              <w:pStyle w:val="TableParagraph"/>
              <w:spacing w:before="45"/>
              <w:ind w:left="212"/>
              <w:rPr>
                <w:sz w:val="16"/>
              </w:rPr>
            </w:pPr>
            <w:r>
              <w:rPr>
                <w:w w:val="105"/>
                <w:sz w:val="16"/>
              </w:rPr>
              <w:t>Payments  of  trust arrangement</w:t>
            </w:r>
          </w:p>
        </w:tc>
        <w:tc>
          <w:tcPr>
            <w:tcW w:w="1671" w:type="dxa"/>
          </w:tcPr>
          <w:p>
            <w:pPr>
              <w:pStyle w:val="TableParagraph"/>
              <w:spacing w:before="32"/>
              <w:ind w:left="567"/>
              <w:rPr>
                <w:rFonts w:ascii="Franklin Gothic Medium"/>
                <w:sz w:val="18"/>
              </w:rPr>
            </w:pPr>
            <w:r>
              <w:rPr>
                <w:rFonts w:ascii="Franklin Gothic Medium"/>
                <w:sz w:val="18"/>
              </w:rPr>
              <w:t>(385,195)</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Payment of  revolving  credit  facility</w:t>
            </w:r>
          </w:p>
        </w:tc>
        <w:tc>
          <w:tcPr>
            <w:tcW w:w="1671" w:type="dxa"/>
          </w:tcPr>
          <w:p>
            <w:pPr>
              <w:pStyle w:val="TableParagraph"/>
              <w:spacing w:before="32"/>
              <w:ind w:left="567"/>
              <w:rPr>
                <w:rFonts w:ascii="Franklin Gothic Medium"/>
                <w:sz w:val="18"/>
              </w:rPr>
            </w:pPr>
            <w:r>
              <w:rPr>
                <w:rFonts w:ascii="Franklin Gothic Medium"/>
                <w:sz w:val="18"/>
              </w:rPr>
              <w:t>(475,000)</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245"/>
              <w:jc w:val="center"/>
              <w:rPr>
                <w:sz w:val="16"/>
              </w:rPr>
            </w:pPr>
            <w:r>
              <w:rPr>
                <w:w w:val="71"/>
                <w:sz w:val="16"/>
              </w:rPr>
              <w:t>-</w:t>
            </w:r>
          </w:p>
        </w:tc>
      </w:tr>
      <w:tr>
        <w:trPr>
          <w:trHeight w:val="280" w:hRule="exact"/>
        </w:trPr>
        <w:tc>
          <w:tcPr>
            <w:tcW w:w="5254" w:type="dxa"/>
          </w:tcPr>
          <w:p>
            <w:pPr>
              <w:pStyle w:val="TableParagraph"/>
              <w:spacing w:before="45"/>
              <w:ind w:left="212"/>
              <w:rPr>
                <w:sz w:val="16"/>
              </w:rPr>
            </w:pPr>
            <w:r>
              <w:rPr>
                <w:w w:val="105"/>
                <w:sz w:val="16"/>
              </w:rPr>
              <w:t>Payment  of  cash  dividends</w:t>
            </w:r>
          </w:p>
        </w:tc>
        <w:tc>
          <w:tcPr>
            <w:tcW w:w="1671" w:type="dxa"/>
          </w:tcPr>
          <w:p>
            <w:pPr>
              <w:pStyle w:val="TableParagraph"/>
              <w:spacing w:before="32"/>
              <w:ind w:left="691"/>
              <w:rPr>
                <w:rFonts w:ascii="Franklin Gothic Medium"/>
                <w:sz w:val="18"/>
              </w:rPr>
            </w:pPr>
            <w:r>
              <w:rPr>
                <w:rFonts w:ascii="Franklin Gothic Medium"/>
                <w:sz w:val="18"/>
              </w:rPr>
              <w:t>(13,872)</w:t>
            </w:r>
          </w:p>
        </w:tc>
        <w:tc>
          <w:tcPr>
            <w:tcW w:w="1500" w:type="dxa"/>
          </w:tcPr>
          <w:p>
            <w:pPr>
              <w:pStyle w:val="TableParagraph"/>
              <w:spacing w:before="45"/>
              <w:ind w:left="658"/>
              <w:rPr>
                <w:sz w:val="16"/>
              </w:rPr>
            </w:pPr>
            <w:r>
              <w:rPr>
                <w:w w:val="120"/>
                <w:sz w:val="16"/>
              </w:rPr>
              <w:t>13,440</w:t>
            </w:r>
          </w:p>
        </w:tc>
        <w:tc>
          <w:tcPr>
            <w:tcW w:w="1325" w:type="dxa"/>
          </w:tcPr>
          <w:p>
            <w:pPr>
              <w:pStyle w:val="TableParagraph"/>
              <w:spacing w:before="45"/>
              <w:ind w:left="547"/>
              <w:rPr>
                <w:sz w:val="16"/>
              </w:rPr>
            </w:pPr>
            <w:r>
              <w:rPr>
                <w:w w:val="115"/>
                <w:sz w:val="16"/>
              </w:rPr>
              <w:t>(10,978)</w:t>
            </w:r>
          </w:p>
        </w:tc>
      </w:tr>
      <w:tr>
        <w:trPr>
          <w:trHeight w:val="280" w:hRule="exact"/>
        </w:trPr>
        <w:tc>
          <w:tcPr>
            <w:tcW w:w="5254" w:type="dxa"/>
          </w:tcPr>
          <w:p>
            <w:pPr>
              <w:pStyle w:val="TableParagraph"/>
              <w:spacing w:before="45"/>
              <w:ind w:left="212"/>
              <w:rPr>
                <w:sz w:val="16"/>
              </w:rPr>
            </w:pPr>
            <w:r>
              <w:rPr>
                <w:w w:val="110"/>
                <w:sz w:val="16"/>
              </w:rPr>
              <w:t>Repurchases of  common stock</w:t>
            </w:r>
          </w:p>
        </w:tc>
        <w:tc>
          <w:tcPr>
            <w:tcW w:w="1671" w:type="dxa"/>
          </w:tcPr>
          <w:p>
            <w:pPr>
              <w:pStyle w:val="TableParagraph"/>
              <w:spacing w:before="32"/>
              <w:ind w:left="369"/>
              <w:jc w:val="center"/>
              <w:rPr>
                <w:rFonts w:ascii="Franklin Gothic Medium"/>
                <w:sz w:val="18"/>
              </w:rPr>
            </w:pPr>
            <w:r>
              <w:rPr>
                <w:rFonts w:ascii="Franklin Gothic Medium"/>
                <w:w w:val="101"/>
                <w:sz w:val="18"/>
              </w:rPr>
              <w:t>-</w:t>
            </w:r>
          </w:p>
        </w:tc>
        <w:tc>
          <w:tcPr>
            <w:tcW w:w="1500" w:type="dxa"/>
          </w:tcPr>
          <w:p>
            <w:pPr>
              <w:pStyle w:val="TableParagraph"/>
              <w:spacing w:before="45"/>
              <w:ind w:left="310"/>
              <w:jc w:val="center"/>
              <w:rPr>
                <w:sz w:val="16"/>
              </w:rPr>
            </w:pPr>
            <w:r>
              <w:rPr>
                <w:w w:val="71"/>
                <w:sz w:val="16"/>
              </w:rPr>
              <w:t>-</w:t>
            </w:r>
          </w:p>
        </w:tc>
        <w:tc>
          <w:tcPr>
            <w:tcW w:w="1325" w:type="dxa"/>
          </w:tcPr>
          <w:p>
            <w:pPr>
              <w:pStyle w:val="TableParagraph"/>
              <w:spacing w:before="45"/>
              <w:ind w:left="460"/>
              <w:rPr>
                <w:sz w:val="16"/>
              </w:rPr>
            </w:pPr>
            <w:r>
              <w:rPr>
                <w:w w:val="115"/>
                <w:sz w:val="16"/>
              </w:rPr>
              <w:t>(108,674)</w:t>
            </w:r>
          </w:p>
        </w:tc>
      </w:tr>
      <w:tr>
        <w:trPr>
          <w:trHeight w:val="290" w:hRule="exact"/>
        </w:trPr>
        <w:tc>
          <w:tcPr>
            <w:tcW w:w="5254" w:type="dxa"/>
          </w:tcPr>
          <w:p>
            <w:pPr>
              <w:pStyle w:val="TableParagraph"/>
              <w:spacing w:before="45"/>
              <w:ind w:left="212"/>
              <w:rPr>
                <w:sz w:val="16"/>
              </w:rPr>
            </w:pPr>
            <w:r>
              <w:rPr>
                <w:sz w:val="16"/>
              </w:rPr>
              <w:t>Other,  net</w:t>
            </w:r>
          </w:p>
        </w:tc>
        <w:tc>
          <w:tcPr>
            <w:tcW w:w="1671" w:type="dxa"/>
          </w:tcPr>
          <w:p>
            <w:pPr>
              <w:pStyle w:val="TableParagraph"/>
              <w:tabs>
                <w:tab w:pos="541" w:val="left" w:leader="none"/>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(3,922)</w:t>
              <w:tab/>
            </w:r>
          </w:p>
        </w:tc>
        <w:tc>
          <w:tcPr>
            <w:tcW w:w="1500" w:type="dxa"/>
          </w:tcPr>
          <w:p>
            <w:pPr>
              <w:pStyle w:val="TableParagraph"/>
              <w:tabs>
                <w:tab w:pos="704" w:val="left" w:leader="none"/>
              </w:tabs>
              <w:spacing w:before="45"/>
              <w:ind w:left="87"/>
              <w:rPr>
                <w:sz w:val="16"/>
              </w:rPr>
            </w:pPr>
            <w:r>
              <w:rPr>
                <w:w w:val="132"/>
                <w:sz w:val="16"/>
                <w:u w:val="single"/>
              </w:rPr>
              <w:t> </w:t>
            </w:r>
            <w:r>
              <w:rPr>
                <w:sz w:val="16"/>
                <w:u w:val="single"/>
              </w:rPr>
              <w:tab/>
            </w:r>
            <w:r>
              <w:rPr>
                <w:w w:val="115"/>
                <w:sz w:val="16"/>
                <w:u w:val="single"/>
              </w:rPr>
              <w:t>(4,703)</w:t>
            </w:r>
            <w:r>
              <w:rPr>
                <w:spacing w:val="3"/>
                <w:sz w:val="16"/>
                <w:u w:val="single"/>
              </w:rPr>
              <w:t> </w:t>
            </w:r>
          </w:p>
        </w:tc>
        <w:tc>
          <w:tcPr>
            <w:tcW w:w="1325" w:type="dxa"/>
          </w:tcPr>
          <w:p>
            <w:pPr>
              <w:pStyle w:val="TableParagraph"/>
              <w:tabs>
                <w:tab w:pos="679" w:val="left" w:leader="none"/>
                <w:tab w:pos="1204" w:val="left" w:leader="none"/>
              </w:tabs>
              <w:spacing w:before="45"/>
              <w:ind w:right="30"/>
              <w:jc w:val="right"/>
              <w:rPr>
                <w:sz w:val="16"/>
              </w:rPr>
            </w:pPr>
            <w:r>
              <w:rPr>
                <w:w w:val="132"/>
                <w:sz w:val="16"/>
                <w:u w:val="single"/>
              </w:rPr>
              <w:t> </w:t>
            </w:r>
            <w:r>
              <w:rPr>
                <w:sz w:val="16"/>
                <w:u w:val="single"/>
              </w:rPr>
              <w:tab/>
            </w:r>
            <w:r>
              <w:rPr>
                <w:w w:val="70"/>
                <w:sz w:val="16"/>
                <w:u w:val="single"/>
              </w:rPr>
              <w:t>-</w:t>
            </w:r>
            <w:r>
              <w:rPr>
                <w:sz w:val="16"/>
                <w:u w:val="single"/>
              </w:rPr>
              <w:tab/>
            </w:r>
          </w:p>
        </w:tc>
      </w:tr>
      <w:tr>
        <w:trPr>
          <w:trHeight w:val="300" w:hRule="exact"/>
        </w:trPr>
        <w:tc>
          <w:tcPr>
            <w:tcW w:w="5254" w:type="dxa"/>
          </w:tcPr>
          <w:p>
            <w:pPr>
              <w:pStyle w:val="TableParagraph"/>
              <w:spacing w:before="55"/>
              <w:ind w:left="392"/>
              <w:rPr>
                <w:sz w:val="16"/>
              </w:rPr>
            </w:pPr>
            <w:r>
              <w:rPr>
                <w:w w:val="105"/>
                <w:sz w:val="16"/>
              </w:rPr>
              <w:t>Net  cash  provided  by  (used  in)  financing activities</w:t>
            </w:r>
          </w:p>
        </w:tc>
        <w:tc>
          <w:tcPr>
            <w:tcW w:w="1671" w:type="dxa"/>
          </w:tcPr>
          <w:p>
            <w:pPr>
              <w:pStyle w:val="TableParagraph"/>
              <w:tabs>
                <w:tab w:pos="329" w:val="left" w:leader="none"/>
                <w:tab w:pos="1344" w:val="left" w:leader="none"/>
              </w:tabs>
              <w:spacing w:before="42"/>
              <w:ind w:right="8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(381,658)</w:t>
              <w:tab/>
            </w:r>
          </w:p>
        </w:tc>
        <w:tc>
          <w:tcPr>
            <w:tcW w:w="1500" w:type="dxa"/>
          </w:tcPr>
          <w:p>
            <w:pPr>
              <w:pStyle w:val="TableParagraph"/>
              <w:tabs>
                <w:tab w:pos="422" w:val="left" w:leader="none"/>
                <w:tab w:pos="1412" w:val="left" w:leader="none"/>
              </w:tabs>
              <w:spacing w:before="55"/>
              <w:ind w:left="87"/>
              <w:rPr>
                <w:sz w:val="16"/>
              </w:rPr>
            </w:pPr>
            <w:r>
              <w:rPr>
                <w:w w:val="132"/>
                <w:sz w:val="16"/>
                <w:u w:val="single"/>
              </w:rPr>
              <w:t> </w:t>
            </w:r>
            <w:r>
              <w:rPr>
                <w:sz w:val="16"/>
                <w:u w:val="single"/>
              </w:rPr>
              <w:tab/>
            </w:r>
            <w:r>
              <w:rPr>
                <w:w w:val="120"/>
                <w:sz w:val="16"/>
                <w:u w:val="single"/>
              </w:rPr>
              <w:t>1,270,101</w:t>
            </w:r>
            <w:r>
              <w:rPr>
                <w:sz w:val="16"/>
                <w:u w:val="single"/>
              </w:rPr>
              <w:tab/>
            </w:r>
          </w:p>
        </w:tc>
        <w:tc>
          <w:tcPr>
            <w:tcW w:w="1325" w:type="dxa"/>
          </w:tcPr>
          <w:p>
            <w:pPr>
              <w:pStyle w:val="TableParagraph"/>
              <w:tabs>
                <w:tab w:pos="460" w:val="left" w:leader="none"/>
              </w:tabs>
              <w:spacing w:before="55"/>
              <w:ind w:right="30"/>
              <w:jc w:val="right"/>
              <w:rPr>
                <w:sz w:val="16"/>
              </w:rPr>
            </w:pPr>
            <w:r>
              <w:rPr>
                <w:w w:val="132"/>
                <w:sz w:val="16"/>
                <w:u w:val="single"/>
              </w:rPr>
              <w:t> </w:t>
            </w:r>
            <w:r>
              <w:rPr>
                <w:sz w:val="16"/>
                <w:u w:val="single"/>
              </w:rPr>
              <w:tab/>
            </w:r>
            <w:r>
              <w:rPr>
                <w:spacing w:val="-1"/>
                <w:w w:val="115"/>
                <w:sz w:val="16"/>
                <w:u w:val="single"/>
              </w:rPr>
              <w:t>(59,466)</w:t>
            </w:r>
            <w:r>
              <w:rPr>
                <w:spacing w:val="16"/>
                <w:sz w:val="16"/>
                <w:u w:val="single"/>
              </w:rPr>
              <w:t> </w:t>
            </w:r>
          </w:p>
        </w:tc>
      </w:tr>
      <w:tr>
        <w:trPr>
          <w:trHeight w:val="290" w:hRule="exact"/>
        </w:trPr>
        <w:tc>
          <w:tcPr>
            <w:tcW w:w="5254" w:type="dxa"/>
          </w:tcPr>
          <w:p>
            <w:pPr>
              <w:pStyle w:val="TableParagraph"/>
              <w:spacing w:before="61"/>
              <w:ind w:left="32"/>
              <w:rPr>
                <w:rFonts w:ascii="Franklin Gothic Medium"/>
                <w:sz w:val="16"/>
              </w:rPr>
            </w:pPr>
            <w:r>
              <w:rPr>
                <w:rFonts w:ascii="Franklin Gothic Medium"/>
                <w:sz w:val="16"/>
              </w:rPr>
              <w:t>NET  INCREASE  (DECREASE)  IN  CASH  AND  CASH   EQUIVALENTS</w:t>
            </w:r>
          </w:p>
        </w:tc>
        <w:tc>
          <w:tcPr>
            <w:tcW w:w="1671" w:type="dxa"/>
          </w:tcPr>
          <w:p>
            <w:pPr>
              <w:pStyle w:val="TableParagraph"/>
              <w:spacing w:before="42"/>
              <w:ind w:left="566"/>
              <w:rPr>
                <w:rFonts w:ascii="Franklin Gothic Medium"/>
                <w:sz w:val="18"/>
              </w:rPr>
            </w:pPr>
            <w:r>
              <w:rPr>
                <w:rFonts w:ascii="Franklin Gothic Medium"/>
                <w:sz w:val="18"/>
              </w:rPr>
              <w:t>(464,509)</w:t>
            </w:r>
          </w:p>
        </w:tc>
        <w:tc>
          <w:tcPr>
            <w:tcW w:w="1500" w:type="dxa"/>
          </w:tcPr>
          <w:p>
            <w:pPr>
              <w:pStyle w:val="TableParagraph"/>
              <w:spacing w:before="55"/>
              <w:ind w:left="427"/>
              <w:rPr>
                <w:sz w:val="16"/>
              </w:rPr>
            </w:pPr>
            <w:r>
              <w:rPr>
                <w:w w:val="120"/>
                <w:sz w:val="16"/>
              </w:rPr>
              <w:t>1,756,866</w:t>
            </w:r>
          </w:p>
        </w:tc>
        <w:tc>
          <w:tcPr>
            <w:tcW w:w="1325" w:type="dxa"/>
          </w:tcPr>
          <w:p>
            <w:pPr>
              <w:pStyle w:val="TableParagraph"/>
              <w:spacing w:before="55"/>
              <w:ind w:left="508"/>
              <w:rPr>
                <w:sz w:val="16"/>
              </w:rPr>
            </w:pPr>
            <w:r>
              <w:rPr>
                <w:w w:val="120"/>
                <w:sz w:val="16"/>
              </w:rPr>
              <w:t>104,176</w:t>
            </w:r>
          </w:p>
        </w:tc>
      </w:tr>
      <w:tr>
        <w:trPr>
          <w:trHeight w:val="290" w:hRule="exact"/>
        </w:trPr>
        <w:tc>
          <w:tcPr>
            <w:tcW w:w="5254" w:type="dxa"/>
          </w:tcPr>
          <w:p>
            <w:pPr>
              <w:pStyle w:val="TableParagraph"/>
              <w:spacing w:before="51"/>
              <w:ind w:left="32"/>
              <w:rPr>
                <w:rFonts w:ascii="Franklin Gothic Medium"/>
                <w:sz w:val="16"/>
              </w:rPr>
            </w:pPr>
            <w:r>
              <w:rPr>
                <w:rFonts w:ascii="Franklin Gothic Medium"/>
                <w:sz w:val="16"/>
              </w:rPr>
              <w:t>CASH  AND  CASH  EQUIVALENTS  AT  BEGINNING  OF   PERIOD</w:t>
            </w:r>
          </w:p>
        </w:tc>
        <w:tc>
          <w:tcPr>
            <w:tcW w:w="1671" w:type="dxa"/>
          </w:tcPr>
          <w:p>
            <w:pPr>
              <w:pStyle w:val="TableParagraph"/>
              <w:tabs>
                <w:tab w:pos="1344" w:val="left" w:leader="none"/>
              </w:tabs>
              <w:spacing w:before="32"/>
              <w:ind w:right="85"/>
              <w:jc w:val="right"/>
              <w:rPr>
                <w:rFonts w:ascii="Franklin Gothic Medium"/>
                <w:sz w:val="18"/>
              </w:rPr>
            </w:pPr>
            <w:r>
              <w:rPr>
                <w:rFonts w:ascii="Franklin Gothic Medium"/>
                <w:w w:val="116"/>
                <w:sz w:val="18"/>
                <w:u w:val="single"/>
              </w:rPr>
              <w:t> </w:t>
            </w:r>
            <w:r>
              <w:rPr>
                <w:rFonts w:ascii="Franklin Gothic Medium"/>
                <w:sz w:val="18"/>
                <w:u w:val="single"/>
              </w:rPr>
              <w:t>   </w:t>
            </w:r>
            <w:r>
              <w:rPr>
                <w:rFonts w:ascii="Franklin Gothic Medium"/>
                <w:spacing w:val="-8"/>
                <w:sz w:val="18"/>
                <w:u w:val="single"/>
              </w:rPr>
              <w:t> </w:t>
            </w:r>
            <w:r>
              <w:rPr>
                <w:rFonts w:ascii="Franklin Gothic Medium"/>
                <w:spacing w:val="-1"/>
                <w:sz w:val="18"/>
                <w:u w:val="single"/>
              </w:rPr>
              <w:t>2,279,861</w:t>
              <w:tab/>
            </w:r>
          </w:p>
        </w:tc>
        <w:tc>
          <w:tcPr>
            <w:tcW w:w="1500" w:type="dxa"/>
          </w:tcPr>
          <w:p>
            <w:pPr>
              <w:pStyle w:val="TableParagraph"/>
              <w:tabs>
                <w:tab w:pos="568" w:val="left" w:leader="none"/>
                <w:tab w:pos="1412" w:val="left" w:leader="none"/>
              </w:tabs>
              <w:spacing w:before="45"/>
              <w:ind w:left="87"/>
              <w:rPr>
                <w:sz w:val="16"/>
              </w:rPr>
            </w:pPr>
            <w:r>
              <w:rPr>
                <w:w w:val="132"/>
                <w:sz w:val="16"/>
                <w:u w:val="single"/>
              </w:rPr>
              <w:t> </w:t>
            </w:r>
            <w:r>
              <w:rPr>
                <w:sz w:val="16"/>
                <w:u w:val="single"/>
              </w:rPr>
              <w:tab/>
            </w:r>
            <w:r>
              <w:rPr>
                <w:w w:val="120"/>
                <w:sz w:val="16"/>
                <w:u w:val="single"/>
              </w:rPr>
              <w:t>522,995</w:t>
            </w:r>
            <w:r>
              <w:rPr>
                <w:sz w:val="16"/>
                <w:u w:val="single"/>
              </w:rPr>
              <w:tab/>
            </w:r>
          </w:p>
        </w:tc>
        <w:tc>
          <w:tcPr>
            <w:tcW w:w="1325" w:type="dxa"/>
          </w:tcPr>
          <w:p>
            <w:pPr>
              <w:pStyle w:val="TableParagraph"/>
              <w:tabs>
                <w:tab w:pos="418" w:val="left" w:leader="none"/>
              </w:tabs>
              <w:spacing w:before="45"/>
              <w:ind w:right="30"/>
              <w:jc w:val="right"/>
              <w:rPr>
                <w:sz w:val="16"/>
              </w:rPr>
            </w:pPr>
            <w:r>
              <w:rPr>
                <w:w w:val="132"/>
                <w:sz w:val="16"/>
                <w:u w:val="single"/>
              </w:rPr>
              <w:t> </w:t>
            </w:r>
            <w:r>
              <w:rPr>
                <w:sz w:val="16"/>
                <w:u w:val="single"/>
              </w:rPr>
              <w:tab/>
            </w:r>
            <w:r>
              <w:rPr>
                <w:spacing w:val="-1"/>
                <w:w w:val="115"/>
                <w:sz w:val="16"/>
                <w:u w:val="single"/>
              </w:rPr>
              <w:t>418,819</w:t>
            </w:r>
            <w:r>
              <w:rPr>
                <w:spacing w:val="-16"/>
                <w:sz w:val="16"/>
                <w:u w:val="single"/>
              </w:rPr>
              <w:t> </w:t>
            </w:r>
          </w:p>
        </w:tc>
      </w:tr>
      <w:tr>
        <w:trPr>
          <w:trHeight w:val="309" w:hRule="exact"/>
        </w:trPr>
        <w:tc>
          <w:tcPr>
            <w:tcW w:w="5254" w:type="dxa"/>
          </w:tcPr>
          <w:p>
            <w:pPr>
              <w:pStyle w:val="TableParagraph"/>
              <w:spacing w:before="61"/>
              <w:ind w:left="32"/>
              <w:rPr>
                <w:rFonts w:ascii="Franklin Gothic Medium"/>
                <w:sz w:val="16"/>
              </w:rPr>
            </w:pPr>
            <w:r>
              <w:rPr>
                <w:rFonts w:ascii="Franklin Gothic Medium"/>
                <w:sz w:val="16"/>
              </w:rPr>
              <w:t>CASH  AND  CASH  EQUIVALENTS  AT  END  OF   PERIOD</w:t>
            </w:r>
          </w:p>
        </w:tc>
        <w:tc>
          <w:tcPr>
            <w:tcW w:w="1671" w:type="dxa"/>
          </w:tcPr>
          <w:p>
            <w:pPr>
              <w:pStyle w:val="TableParagraph"/>
              <w:tabs>
                <w:tab w:pos="1339" w:val="left" w:leader="none"/>
              </w:tabs>
              <w:spacing w:before="42"/>
              <w:ind w:right="90"/>
              <w:jc w:val="right"/>
              <w:rPr>
                <w:rFonts w:ascii="Franklin Gothic Medium"/>
                <w:sz w:val="18"/>
              </w:rPr>
            </w:pPr>
            <w:r>
              <w:rPr>
                <w:rFonts w:ascii="Franklin Gothic Medium"/>
                <w:spacing w:val="7"/>
                <w:w w:val="116"/>
                <w:sz w:val="18"/>
                <w:u w:val="single"/>
              </w:rPr>
              <w:t> </w:t>
            </w:r>
            <w:r>
              <w:rPr>
                <w:rFonts w:ascii="Franklin Gothic Medium"/>
                <w:sz w:val="18"/>
                <w:u w:val="single"/>
              </w:rPr>
              <w:t>$</w:t>
            </w:r>
            <w:r>
              <w:rPr>
                <w:rFonts w:ascii="Franklin Gothic Medium"/>
                <w:spacing w:val="38"/>
                <w:sz w:val="18"/>
                <w:u w:val="single"/>
              </w:rPr>
              <w:t> </w:t>
            </w:r>
            <w:r>
              <w:rPr>
                <w:rFonts w:ascii="Franklin Gothic Medium"/>
                <w:sz w:val="18"/>
                <w:u w:val="single"/>
              </w:rPr>
              <w:t>1,815,352</w:t>
              <w:tab/>
            </w:r>
          </w:p>
        </w:tc>
        <w:tc>
          <w:tcPr>
            <w:tcW w:w="1500" w:type="dxa"/>
          </w:tcPr>
          <w:p>
            <w:pPr>
              <w:pStyle w:val="TableParagraph"/>
              <w:tabs>
                <w:tab w:pos="1407" w:val="left" w:leader="none"/>
              </w:tabs>
              <w:spacing w:before="55"/>
              <w:ind w:left="87"/>
              <w:rPr>
                <w:sz w:val="16"/>
              </w:rPr>
            </w:pPr>
            <w:r>
              <w:rPr>
                <w:w w:val="132"/>
                <w:sz w:val="16"/>
                <w:u w:val="single"/>
              </w:rPr>
              <w:t> </w:t>
            </w:r>
            <w:r>
              <w:rPr>
                <w:sz w:val="16"/>
                <w:u w:val="single"/>
              </w:rPr>
              <w:t>   </w:t>
            </w:r>
            <w:r>
              <w:rPr>
                <w:spacing w:val="-13"/>
                <w:sz w:val="16"/>
                <w:u w:val="single"/>
              </w:rPr>
              <w:t> </w:t>
            </w:r>
            <w:r>
              <w:rPr>
                <w:w w:val="120"/>
                <w:sz w:val="16"/>
                <w:u w:val="single"/>
              </w:rPr>
              <w:t>$</w:t>
            </w:r>
            <w:r>
              <w:rPr>
                <w:spacing w:val="-25"/>
                <w:w w:val="120"/>
                <w:sz w:val="16"/>
                <w:u w:val="single"/>
              </w:rPr>
              <w:t> </w:t>
            </w:r>
            <w:r>
              <w:rPr>
                <w:w w:val="120"/>
                <w:sz w:val="16"/>
                <w:u w:val="single"/>
              </w:rPr>
              <w:t>2,279,861</w:t>
            </w:r>
            <w:r>
              <w:rPr>
                <w:sz w:val="16"/>
                <w:u w:val="single"/>
              </w:rPr>
              <w:tab/>
            </w:r>
          </w:p>
        </w:tc>
        <w:tc>
          <w:tcPr>
            <w:tcW w:w="1325" w:type="dxa"/>
          </w:tcPr>
          <w:p>
            <w:pPr>
              <w:pStyle w:val="TableParagraph"/>
              <w:tabs>
                <w:tab w:pos="280" w:val="left" w:leader="none"/>
              </w:tabs>
              <w:spacing w:before="55"/>
              <w:ind w:right="35"/>
              <w:jc w:val="right"/>
              <w:rPr>
                <w:sz w:val="16"/>
              </w:rPr>
            </w:pPr>
            <w:r>
              <w:rPr>
                <w:w w:val="132"/>
                <w:sz w:val="16"/>
                <w:u w:val="single"/>
              </w:rPr>
              <w:t> </w:t>
            </w:r>
            <w:r>
              <w:rPr>
                <w:sz w:val="16"/>
                <w:u w:val="single"/>
              </w:rPr>
              <w:tab/>
            </w:r>
            <w:r>
              <w:rPr>
                <w:w w:val="120"/>
                <w:sz w:val="16"/>
                <w:u w:val="single"/>
              </w:rPr>
              <w:t>$</w:t>
            </w:r>
            <w:r>
              <w:rPr>
                <w:spacing w:val="-20"/>
                <w:w w:val="120"/>
                <w:sz w:val="16"/>
                <w:u w:val="single"/>
              </w:rPr>
              <w:t> </w:t>
            </w:r>
            <w:r>
              <w:rPr>
                <w:w w:val="120"/>
                <w:sz w:val="16"/>
                <w:u w:val="single"/>
              </w:rPr>
              <w:t>522,995</w:t>
            </w:r>
            <w:r>
              <w:rPr>
                <w:spacing w:val="15"/>
                <w:sz w:val="16"/>
                <w:u w:val="single"/>
              </w:rPr>
              <w:t> </w:t>
            </w:r>
          </w:p>
        </w:tc>
      </w:tr>
      <w:tr>
        <w:trPr>
          <w:trHeight w:val="279" w:hRule="exact"/>
        </w:trPr>
        <w:tc>
          <w:tcPr>
            <w:tcW w:w="5254" w:type="dxa"/>
          </w:tcPr>
          <w:p>
            <w:pPr>
              <w:pStyle w:val="TableParagraph"/>
              <w:spacing w:before="52"/>
              <w:ind w:left="32"/>
              <w:rPr>
                <w:rFonts w:ascii="Franklin Gothic Medium"/>
                <w:sz w:val="16"/>
              </w:rPr>
            </w:pPr>
            <w:r>
              <w:rPr>
                <w:rFonts w:ascii="Franklin Gothic Medium"/>
                <w:sz w:val="16"/>
              </w:rPr>
              <w:t>CASH  PAYMENTS  FOR:</w:t>
            </w:r>
          </w:p>
        </w:tc>
        <w:tc>
          <w:tcPr>
            <w:tcW w:w="1671" w:type="dxa"/>
          </w:tcPr>
          <w:p>
            <w:pPr/>
          </w:p>
        </w:tc>
        <w:tc>
          <w:tcPr>
            <w:tcW w:w="1500" w:type="dxa"/>
          </w:tcPr>
          <w:p>
            <w:pPr/>
          </w:p>
        </w:tc>
        <w:tc>
          <w:tcPr>
            <w:tcW w:w="1325" w:type="dxa"/>
          </w:tcPr>
          <w:p>
            <w:pPr/>
          </w:p>
        </w:tc>
      </w:tr>
      <w:tr>
        <w:trPr>
          <w:trHeight w:val="282" w:hRule="exact"/>
        </w:trPr>
        <w:tc>
          <w:tcPr>
            <w:tcW w:w="5254" w:type="dxa"/>
          </w:tcPr>
          <w:p>
            <w:pPr>
              <w:pStyle w:val="TableParagraph"/>
              <w:spacing w:before="48"/>
              <w:ind w:left="212"/>
              <w:rPr>
                <w:sz w:val="16"/>
              </w:rPr>
            </w:pPr>
            <w:r>
              <w:rPr>
                <w:w w:val="105"/>
                <w:sz w:val="16"/>
              </w:rPr>
              <w:t>Interest,  net of amount   capitalized</w:t>
            </w:r>
          </w:p>
        </w:tc>
        <w:tc>
          <w:tcPr>
            <w:tcW w:w="1671" w:type="dxa"/>
          </w:tcPr>
          <w:p>
            <w:pPr>
              <w:pStyle w:val="TableParagraph"/>
              <w:spacing w:before="35"/>
              <w:ind w:left="458"/>
              <w:rPr>
                <w:rFonts w:ascii="Franklin Gothic Medium"/>
                <w:sz w:val="18"/>
              </w:rPr>
            </w:pPr>
            <w:r>
              <w:rPr>
                <w:rFonts w:ascii="Franklin Gothic Medium"/>
                <w:sz w:val="18"/>
              </w:rPr>
              <w:t>$   79,998</w:t>
            </w:r>
          </w:p>
        </w:tc>
        <w:tc>
          <w:tcPr>
            <w:tcW w:w="1500" w:type="dxa"/>
          </w:tcPr>
          <w:p>
            <w:pPr>
              <w:pStyle w:val="TableParagraph"/>
              <w:spacing w:before="48"/>
              <w:ind w:left="427"/>
              <w:rPr>
                <w:sz w:val="16"/>
              </w:rPr>
            </w:pPr>
            <w:r>
              <w:rPr>
                <w:w w:val="120"/>
                <w:sz w:val="16"/>
              </w:rPr>
              <w:t>$  47,682</w:t>
            </w:r>
          </w:p>
        </w:tc>
        <w:tc>
          <w:tcPr>
            <w:tcW w:w="1325" w:type="dxa"/>
          </w:tcPr>
          <w:p>
            <w:pPr>
              <w:pStyle w:val="TableParagraph"/>
              <w:spacing w:before="48"/>
              <w:ind w:left="367"/>
              <w:rPr>
                <w:sz w:val="16"/>
              </w:rPr>
            </w:pPr>
            <w:r>
              <w:rPr>
                <w:w w:val="120"/>
                <w:sz w:val="16"/>
              </w:rPr>
              <w:t>$  36,946</w:t>
            </w:r>
          </w:p>
        </w:tc>
      </w:tr>
      <w:tr>
        <w:trPr>
          <w:trHeight w:val="243" w:hRule="exact"/>
        </w:trPr>
        <w:tc>
          <w:tcPr>
            <w:tcW w:w="5254" w:type="dxa"/>
          </w:tcPr>
          <w:p>
            <w:pPr>
              <w:pStyle w:val="TableParagraph"/>
              <w:spacing w:before="45"/>
              <w:ind w:left="212"/>
              <w:rPr>
                <w:sz w:val="16"/>
              </w:rPr>
            </w:pPr>
            <w:r>
              <w:rPr>
                <w:w w:val="110"/>
                <w:sz w:val="16"/>
              </w:rPr>
              <w:t>Income taxes</w:t>
            </w:r>
          </w:p>
        </w:tc>
        <w:tc>
          <w:tcPr>
            <w:tcW w:w="1671" w:type="dxa"/>
          </w:tcPr>
          <w:p>
            <w:pPr>
              <w:pStyle w:val="TableParagraph"/>
              <w:tabs>
                <w:tab w:pos="849" w:val="left" w:leader="none"/>
              </w:tabs>
              <w:spacing w:before="32"/>
              <w:ind w:left="458"/>
              <w:rPr>
                <w:rFonts w:ascii="Franklin Gothic Medium"/>
                <w:sz w:val="18"/>
              </w:rPr>
            </w:pPr>
            <w:r>
              <w:rPr>
                <w:rFonts w:ascii="Franklin Gothic Medium"/>
                <w:sz w:val="18"/>
              </w:rPr>
              <w:t>$</w:t>
              <w:tab/>
              <w:t>2,693</w:t>
            </w:r>
          </w:p>
        </w:tc>
        <w:tc>
          <w:tcPr>
            <w:tcW w:w="1500" w:type="dxa"/>
          </w:tcPr>
          <w:p>
            <w:pPr>
              <w:pStyle w:val="TableParagraph"/>
              <w:spacing w:before="45"/>
              <w:ind w:left="427"/>
              <w:rPr>
                <w:sz w:val="16"/>
              </w:rPr>
            </w:pPr>
            <w:r>
              <w:rPr>
                <w:w w:val="120"/>
                <w:sz w:val="16"/>
              </w:rPr>
              <w:t>$  65,905</w:t>
            </w:r>
          </w:p>
        </w:tc>
        <w:tc>
          <w:tcPr>
            <w:tcW w:w="1325" w:type="dxa"/>
          </w:tcPr>
          <w:p>
            <w:pPr>
              <w:pStyle w:val="TableParagraph"/>
              <w:spacing w:before="45"/>
              <w:ind w:left="367"/>
              <w:rPr>
                <w:sz w:val="16"/>
              </w:rPr>
            </w:pPr>
            <w:r>
              <w:rPr>
                <w:w w:val="120"/>
                <w:sz w:val="16"/>
              </w:rPr>
              <w:t>$ 150,000</w:t>
            </w:r>
          </w:p>
        </w:tc>
      </w:tr>
    </w:tbl>
    <w:p>
      <w:pPr>
        <w:spacing w:before="83"/>
        <w:ind w:left="300" w:right="0" w:firstLine="0"/>
        <w:jc w:val="left"/>
        <w:rPr>
          <w:sz w:val="16"/>
        </w:rPr>
      </w:pPr>
      <w:r>
        <w:rPr>
          <w:w w:val="110"/>
          <w:sz w:val="16"/>
        </w:rPr>
        <w:t>See  accompanying notes.</w:t>
      </w:r>
    </w:p>
    <w:p>
      <w:pPr>
        <w:spacing w:after="0"/>
        <w:jc w:val="left"/>
        <w:rPr>
          <w:sz w:val="16"/>
        </w:rPr>
        <w:sectPr>
          <w:headerReference w:type="default" r:id="rId114"/>
          <w:pgSz w:w="11520" w:h="14400"/>
          <w:pgMar w:header="0" w:footer="706" w:top="1020" w:bottom="900" w:left="700" w:right="700"/>
        </w:sectPr>
      </w:pPr>
    </w:p>
    <w:p>
      <w:pPr>
        <w:pStyle w:val="BodyText"/>
        <w:spacing w:line="276" w:lineRule="auto" w:before="76"/>
        <w:ind w:left="100" w:right="278"/>
        <w:rPr>
          <w:rFonts w:ascii="Franklin Gothic Medium"/>
        </w:rPr>
      </w:pPr>
      <w:bookmarkStart w:name="Notes to the Financial Statements" w:id="39"/>
      <w:bookmarkEnd w:id="39"/>
      <w:r>
        <w:rPr/>
      </w:r>
      <w:bookmarkStart w:name="Significant Accounting Policies" w:id="40"/>
      <w:bookmarkEnd w:id="40"/>
      <w:r>
        <w:rPr/>
      </w:r>
      <w:r>
        <w:rPr>
          <w:rFonts w:ascii="Franklin Gothic Medium"/>
        </w:rPr>
        <w:t>NOTES TO CONSOLIDATED FINANCIAL STATEMENTS</w:t>
      </w:r>
    </w:p>
    <w:p>
      <w:pPr>
        <w:pStyle w:val="BodyText"/>
        <w:spacing w:line="226" w:lineRule="exact"/>
        <w:ind w:left="100"/>
        <w:rPr>
          <w:rFonts w:ascii="Franklin Gothic Medium"/>
        </w:rPr>
      </w:pPr>
      <w:r>
        <w:rPr>
          <w:rFonts w:ascii="Franklin Gothic Medium"/>
        </w:rPr>
        <w:t>DECEMBER 31,  2002</w:t>
      </w:r>
    </w:p>
    <w:p>
      <w:pPr>
        <w:pStyle w:val="BodyText"/>
        <w:spacing w:before="10"/>
        <w:rPr>
          <w:rFonts w:ascii="Franklin Gothic Medium"/>
          <w:sz w:val="25"/>
        </w:rPr>
      </w:pPr>
    </w:p>
    <w:p>
      <w:pPr>
        <w:pStyle w:val="BodyText"/>
        <w:ind w:left="100"/>
        <w:rPr>
          <w:rFonts w:ascii="Franklin Gothic Medium"/>
        </w:rPr>
      </w:pPr>
      <w:r>
        <w:rPr>
          <w:rFonts w:ascii="Franklin Gothic Medium"/>
        </w:rPr>
        <w:t>1. Summary of Significant Accounting Policies</w:t>
      </w:r>
    </w:p>
    <w:p>
      <w:pPr>
        <w:pStyle w:val="BodyText"/>
        <w:spacing w:before="2"/>
        <w:rPr>
          <w:rFonts w:ascii="Franklin Gothic Medium"/>
          <w:sz w:val="25"/>
        </w:rPr>
      </w:pPr>
    </w:p>
    <w:p>
      <w:pPr>
        <w:pStyle w:val="BodyText"/>
        <w:spacing w:line="254" w:lineRule="auto"/>
        <w:ind w:left="380" w:firstLine="280"/>
        <w:jc w:val="both"/>
      </w:pPr>
      <w:r>
        <w:rPr>
          <w:i/>
          <w:w w:val="105"/>
        </w:rPr>
        <w:t>Basis  of  </w:t>
      </w:r>
      <w:r>
        <w:rPr>
          <w:i/>
          <w:spacing w:val="2"/>
          <w:w w:val="105"/>
        </w:rPr>
        <w:t>Presentation</w:t>
      </w:r>
      <w:r>
        <w:rPr>
          <w:spacing w:val="2"/>
          <w:w w:val="105"/>
        </w:rPr>
        <w:t>.  </w:t>
      </w:r>
      <w:r>
        <w:rPr>
          <w:spacing w:val="4"/>
          <w:w w:val="105"/>
        </w:rPr>
        <w:t>Southwest  </w:t>
      </w:r>
      <w:r>
        <w:rPr>
          <w:spacing w:val="7"/>
          <w:w w:val="105"/>
        </w:rPr>
        <w:t>Airlines </w:t>
      </w:r>
      <w:r>
        <w:rPr>
          <w:spacing w:val="2"/>
          <w:w w:val="105"/>
        </w:rPr>
        <w:t>Co. </w:t>
      </w:r>
      <w:r>
        <w:rPr>
          <w:spacing w:val="3"/>
          <w:w w:val="105"/>
        </w:rPr>
        <w:t>(Southwest) </w:t>
      </w:r>
      <w:r>
        <w:rPr>
          <w:spacing w:val="6"/>
          <w:w w:val="105"/>
        </w:rPr>
        <w:t>is </w:t>
      </w:r>
      <w:r>
        <w:rPr>
          <w:w w:val="105"/>
        </w:rPr>
        <w:t>a  </w:t>
      </w:r>
      <w:r>
        <w:rPr>
          <w:spacing w:val="7"/>
          <w:w w:val="105"/>
        </w:rPr>
        <w:t>major  domestic  </w:t>
      </w:r>
      <w:r>
        <w:rPr>
          <w:spacing w:val="6"/>
          <w:w w:val="105"/>
        </w:rPr>
        <w:t>airline </w:t>
      </w:r>
      <w:r>
        <w:rPr>
          <w:spacing w:val="5"/>
          <w:w w:val="105"/>
        </w:rPr>
        <w:t>that </w:t>
      </w:r>
      <w:r>
        <w:rPr>
          <w:spacing w:val="8"/>
          <w:w w:val="105"/>
        </w:rPr>
        <w:t>provides </w:t>
      </w:r>
      <w:r>
        <w:rPr>
          <w:spacing w:val="7"/>
          <w:w w:val="105"/>
        </w:rPr>
        <w:t>predominantly </w:t>
      </w:r>
      <w:r>
        <w:rPr>
          <w:spacing w:val="4"/>
          <w:w w:val="105"/>
        </w:rPr>
        <w:t>shorthaul, </w:t>
      </w:r>
      <w:r>
        <w:rPr>
          <w:spacing w:val="9"/>
          <w:w w:val="105"/>
        </w:rPr>
        <w:t>high- </w:t>
      </w:r>
      <w:r>
        <w:rPr>
          <w:spacing w:val="5"/>
          <w:w w:val="105"/>
        </w:rPr>
        <w:t>frequency, point-to-point, </w:t>
      </w:r>
      <w:r>
        <w:rPr>
          <w:w w:val="105"/>
        </w:rPr>
        <w:t>low-fare </w:t>
      </w:r>
      <w:r>
        <w:rPr>
          <w:spacing w:val="5"/>
          <w:w w:val="105"/>
        </w:rPr>
        <w:t>service. </w:t>
      </w:r>
      <w:r>
        <w:rPr>
          <w:spacing w:val="8"/>
          <w:w w:val="105"/>
        </w:rPr>
        <w:t>The </w:t>
      </w:r>
      <w:r>
        <w:rPr>
          <w:spacing w:val="5"/>
          <w:w w:val="105"/>
        </w:rPr>
        <w:t>Consolidated  </w:t>
      </w:r>
      <w:r>
        <w:rPr>
          <w:spacing w:val="8"/>
          <w:w w:val="105"/>
        </w:rPr>
        <w:t>Financial   </w:t>
      </w:r>
      <w:r>
        <w:rPr>
          <w:spacing w:val="4"/>
          <w:w w:val="105"/>
        </w:rPr>
        <w:t>Statements   </w:t>
      </w:r>
      <w:r>
        <w:rPr>
          <w:spacing w:val="8"/>
          <w:w w:val="105"/>
        </w:rPr>
        <w:t>include </w:t>
      </w:r>
      <w:r>
        <w:rPr>
          <w:spacing w:val="2"/>
          <w:w w:val="105"/>
        </w:rPr>
        <w:t>the </w:t>
      </w:r>
      <w:r>
        <w:rPr>
          <w:spacing w:val="6"/>
          <w:w w:val="105"/>
        </w:rPr>
        <w:t>accounts</w:t>
      </w:r>
      <w:r>
        <w:rPr>
          <w:spacing w:val="59"/>
          <w:w w:val="105"/>
        </w:rPr>
        <w:t> </w:t>
      </w:r>
      <w:r>
        <w:rPr>
          <w:spacing w:val="6"/>
          <w:w w:val="105"/>
        </w:rPr>
        <w:t>of</w:t>
      </w:r>
      <w:r>
        <w:rPr>
          <w:spacing w:val="59"/>
          <w:w w:val="105"/>
        </w:rPr>
        <w:t> </w:t>
      </w:r>
      <w:r>
        <w:rPr>
          <w:spacing w:val="4"/>
          <w:w w:val="105"/>
        </w:rPr>
        <w:t>Southwest </w:t>
      </w:r>
      <w:r>
        <w:rPr>
          <w:spacing w:val="8"/>
          <w:w w:val="105"/>
        </w:rPr>
        <w:t>and </w:t>
      </w:r>
      <w:r>
        <w:rPr>
          <w:spacing w:val="2"/>
          <w:w w:val="105"/>
        </w:rPr>
        <w:t>its wholly </w:t>
      </w:r>
      <w:r>
        <w:rPr>
          <w:spacing w:val="8"/>
          <w:w w:val="105"/>
        </w:rPr>
        <w:t>owned </w:t>
      </w:r>
      <w:r>
        <w:rPr>
          <w:spacing w:val="7"/>
          <w:w w:val="105"/>
        </w:rPr>
        <w:t>subsidiaries </w:t>
      </w:r>
      <w:r>
        <w:rPr>
          <w:w w:val="105"/>
        </w:rPr>
        <w:t>(the </w:t>
      </w:r>
      <w:r>
        <w:rPr>
          <w:spacing w:val="6"/>
          <w:w w:val="105"/>
        </w:rPr>
        <w:t>Company). </w:t>
      </w:r>
      <w:r>
        <w:rPr>
          <w:w w:val="105"/>
        </w:rPr>
        <w:t>All </w:t>
      </w:r>
      <w:r>
        <w:rPr>
          <w:spacing w:val="4"/>
          <w:w w:val="105"/>
        </w:rPr>
        <w:t>signif- </w:t>
      </w:r>
      <w:r>
        <w:rPr>
          <w:spacing w:val="8"/>
          <w:w w:val="105"/>
        </w:rPr>
        <w:t>icant intercompany </w:t>
      </w:r>
      <w:r>
        <w:rPr>
          <w:spacing w:val="7"/>
          <w:w w:val="105"/>
        </w:rPr>
        <w:t>balances </w:t>
      </w:r>
      <w:r>
        <w:rPr>
          <w:spacing w:val="8"/>
          <w:w w:val="105"/>
        </w:rPr>
        <w:t>and </w:t>
      </w:r>
      <w:r>
        <w:rPr>
          <w:spacing w:val="6"/>
          <w:w w:val="105"/>
        </w:rPr>
        <w:t>transactions </w:t>
      </w:r>
      <w:r>
        <w:rPr>
          <w:spacing w:val="9"/>
          <w:w w:val="105"/>
        </w:rPr>
        <w:t>have been </w:t>
      </w:r>
      <w:r>
        <w:rPr>
          <w:spacing w:val="8"/>
          <w:w w:val="105"/>
        </w:rPr>
        <w:t>eliminated. </w:t>
      </w:r>
      <w:r>
        <w:rPr>
          <w:spacing w:val="4"/>
          <w:w w:val="105"/>
        </w:rPr>
        <w:t>The </w:t>
      </w:r>
      <w:r>
        <w:rPr>
          <w:spacing w:val="6"/>
          <w:w w:val="105"/>
        </w:rPr>
        <w:t>preparation</w:t>
      </w:r>
      <w:r>
        <w:rPr>
          <w:spacing w:val="59"/>
          <w:w w:val="105"/>
        </w:rPr>
        <w:t> </w:t>
      </w:r>
      <w:r>
        <w:rPr>
          <w:spacing w:val="12"/>
          <w:w w:val="105"/>
        </w:rPr>
        <w:t>of </w:t>
      </w:r>
      <w:r>
        <w:rPr>
          <w:spacing w:val="8"/>
          <w:w w:val="105"/>
        </w:rPr>
        <w:t>financial </w:t>
      </w:r>
      <w:r>
        <w:rPr>
          <w:spacing w:val="4"/>
          <w:w w:val="105"/>
        </w:rPr>
        <w:t>statements </w:t>
      </w:r>
      <w:r>
        <w:rPr>
          <w:spacing w:val="6"/>
          <w:w w:val="105"/>
        </w:rPr>
        <w:t>in conformity </w:t>
      </w:r>
      <w:r>
        <w:rPr>
          <w:spacing w:val="4"/>
          <w:w w:val="105"/>
        </w:rPr>
        <w:t>with </w:t>
      </w:r>
      <w:r>
        <w:rPr>
          <w:spacing w:val="7"/>
          <w:w w:val="105"/>
        </w:rPr>
        <w:t>accounting </w:t>
      </w:r>
      <w:r>
        <w:rPr>
          <w:spacing w:val="6"/>
          <w:w w:val="105"/>
        </w:rPr>
        <w:t>principles</w:t>
      </w:r>
      <w:r>
        <w:rPr>
          <w:spacing w:val="59"/>
          <w:w w:val="105"/>
        </w:rPr>
        <w:t> </w:t>
      </w:r>
      <w:r>
        <w:rPr>
          <w:spacing w:val="3"/>
          <w:w w:val="105"/>
        </w:rPr>
        <w:t>generally </w:t>
      </w:r>
      <w:r>
        <w:rPr>
          <w:spacing w:val="6"/>
          <w:w w:val="105"/>
        </w:rPr>
        <w:t>accepted </w:t>
      </w:r>
      <w:r>
        <w:rPr>
          <w:spacing w:val="59"/>
          <w:w w:val="105"/>
        </w:rPr>
        <w:t> </w:t>
      </w:r>
      <w:r>
        <w:rPr>
          <w:spacing w:val="12"/>
          <w:w w:val="105"/>
        </w:rPr>
        <w:t>in </w:t>
      </w:r>
      <w:r>
        <w:rPr>
          <w:spacing w:val="2"/>
          <w:w w:val="105"/>
        </w:rPr>
        <w:t>the  </w:t>
      </w:r>
      <w:r>
        <w:rPr>
          <w:spacing w:val="7"/>
          <w:w w:val="105"/>
        </w:rPr>
        <w:t>United</w:t>
      </w:r>
      <w:r>
        <w:rPr>
          <w:spacing w:val="61"/>
          <w:w w:val="105"/>
        </w:rPr>
        <w:t> </w:t>
      </w:r>
      <w:r>
        <w:rPr>
          <w:w w:val="105"/>
        </w:rPr>
        <w:t>States </w:t>
      </w:r>
      <w:r>
        <w:rPr>
          <w:spacing w:val="5"/>
          <w:w w:val="105"/>
        </w:rPr>
        <w:t>(GAAP) </w:t>
      </w:r>
      <w:r>
        <w:rPr>
          <w:spacing w:val="8"/>
          <w:w w:val="105"/>
        </w:rPr>
        <w:t>requires </w:t>
      </w:r>
      <w:r>
        <w:rPr>
          <w:spacing w:val="10"/>
          <w:w w:val="105"/>
        </w:rPr>
        <w:t>management </w:t>
      </w:r>
      <w:r>
        <w:rPr>
          <w:w w:val="105"/>
        </w:rPr>
        <w:t>to </w:t>
      </w:r>
      <w:r>
        <w:rPr>
          <w:spacing w:val="7"/>
          <w:w w:val="105"/>
        </w:rPr>
        <w:t>make </w:t>
      </w:r>
      <w:r>
        <w:rPr>
          <w:spacing w:val="5"/>
          <w:w w:val="105"/>
        </w:rPr>
        <w:t>estimates </w:t>
      </w:r>
      <w:r>
        <w:rPr>
          <w:spacing w:val="12"/>
          <w:w w:val="105"/>
        </w:rPr>
        <w:t>and </w:t>
      </w:r>
      <w:r>
        <w:rPr>
          <w:spacing w:val="6"/>
          <w:w w:val="105"/>
        </w:rPr>
        <w:t>assumptions </w:t>
      </w:r>
      <w:r>
        <w:rPr>
          <w:spacing w:val="5"/>
          <w:w w:val="105"/>
        </w:rPr>
        <w:t>that </w:t>
      </w:r>
      <w:r>
        <w:rPr>
          <w:spacing w:val="4"/>
          <w:w w:val="105"/>
        </w:rPr>
        <w:t>affect </w:t>
      </w:r>
      <w:r>
        <w:rPr>
          <w:spacing w:val="2"/>
          <w:w w:val="105"/>
        </w:rPr>
        <w:t>the </w:t>
      </w:r>
      <w:r>
        <w:rPr>
          <w:spacing w:val="8"/>
          <w:w w:val="105"/>
        </w:rPr>
        <w:t>amounts  </w:t>
      </w:r>
      <w:r>
        <w:rPr>
          <w:spacing w:val="6"/>
          <w:w w:val="105"/>
        </w:rPr>
        <w:t>reported in </w:t>
      </w:r>
      <w:r>
        <w:rPr>
          <w:spacing w:val="2"/>
          <w:w w:val="105"/>
        </w:rPr>
        <w:t>the </w:t>
      </w:r>
      <w:r>
        <w:rPr>
          <w:spacing w:val="8"/>
          <w:w w:val="105"/>
        </w:rPr>
        <w:t>financial </w:t>
      </w:r>
      <w:r>
        <w:rPr>
          <w:spacing w:val="4"/>
          <w:w w:val="105"/>
        </w:rPr>
        <w:t>statements </w:t>
      </w:r>
      <w:r>
        <w:rPr>
          <w:spacing w:val="8"/>
          <w:w w:val="105"/>
        </w:rPr>
        <w:t>and </w:t>
      </w:r>
      <w:r>
        <w:rPr>
          <w:spacing w:val="9"/>
          <w:w w:val="105"/>
        </w:rPr>
        <w:t>accompanying </w:t>
      </w:r>
      <w:r>
        <w:rPr>
          <w:spacing w:val="4"/>
          <w:w w:val="105"/>
        </w:rPr>
        <w:t>notes. </w:t>
      </w:r>
      <w:r>
        <w:rPr>
          <w:spacing w:val="5"/>
          <w:w w:val="105"/>
        </w:rPr>
        <w:t>Actual </w:t>
      </w:r>
      <w:r>
        <w:rPr>
          <w:w w:val="105"/>
        </w:rPr>
        <w:t>results </w:t>
      </w:r>
      <w:r>
        <w:rPr>
          <w:spacing w:val="4"/>
          <w:w w:val="105"/>
        </w:rPr>
        <w:t>could </w:t>
      </w:r>
      <w:r>
        <w:rPr>
          <w:spacing w:val="6"/>
          <w:w w:val="105"/>
        </w:rPr>
        <w:t>differ </w:t>
      </w:r>
      <w:r>
        <w:rPr>
          <w:w w:val="105"/>
        </w:rPr>
        <w:t>from </w:t>
      </w:r>
      <w:r>
        <w:rPr>
          <w:spacing w:val="3"/>
          <w:w w:val="105"/>
        </w:rPr>
        <w:t>these </w:t>
      </w:r>
      <w:r>
        <w:rPr>
          <w:spacing w:val="4"/>
          <w:w w:val="105"/>
        </w:rPr>
        <w:t>estimates.</w:t>
      </w:r>
    </w:p>
    <w:p>
      <w:pPr>
        <w:pStyle w:val="BodyText"/>
        <w:spacing w:before="4"/>
        <w:rPr>
          <w:sz w:val="21"/>
        </w:rPr>
      </w:pPr>
    </w:p>
    <w:p>
      <w:pPr>
        <w:pStyle w:val="BodyText"/>
        <w:spacing w:line="254" w:lineRule="auto"/>
        <w:ind w:left="380" w:firstLine="280"/>
        <w:jc w:val="both"/>
      </w:pPr>
      <w:r>
        <w:rPr>
          <w:i/>
          <w:spacing w:val="6"/>
          <w:w w:val="105"/>
        </w:rPr>
        <w:t>Cash</w:t>
      </w:r>
      <w:r>
        <w:rPr>
          <w:i/>
          <w:spacing w:val="59"/>
          <w:w w:val="105"/>
        </w:rPr>
        <w:t> </w:t>
      </w:r>
      <w:r>
        <w:rPr>
          <w:i/>
          <w:spacing w:val="7"/>
          <w:w w:val="105"/>
        </w:rPr>
        <w:t>and </w:t>
      </w:r>
      <w:r>
        <w:rPr>
          <w:i/>
          <w:spacing w:val="6"/>
          <w:w w:val="105"/>
        </w:rPr>
        <w:t>Cash</w:t>
      </w:r>
      <w:r>
        <w:rPr>
          <w:i/>
          <w:spacing w:val="59"/>
          <w:w w:val="105"/>
        </w:rPr>
        <w:t> </w:t>
      </w:r>
      <w:r>
        <w:rPr>
          <w:i/>
          <w:spacing w:val="4"/>
          <w:w w:val="105"/>
        </w:rPr>
        <w:t>Equivalents. </w:t>
      </w:r>
      <w:r>
        <w:rPr>
          <w:w w:val="105"/>
        </w:rPr>
        <w:t>Cash </w:t>
      </w:r>
      <w:r>
        <w:rPr>
          <w:spacing w:val="7"/>
          <w:w w:val="105"/>
        </w:rPr>
        <w:t>equivalents </w:t>
      </w:r>
      <w:r>
        <w:rPr>
          <w:spacing w:val="4"/>
          <w:w w:val="105"/>
        </w:rPr>
        <w:t>consist </w:t>
      </w:r>
      <w:r>
        <w:rPr>
          <w:spacing w:val="6"/>
          <w:w w:val="105"/>
        </w:rPr>
        <w:t>of </w:t>
      </w:r>
      <w:r>
        <w:rPr>
          <w:spacing w:val="4"/>
          <w:w w:val="105"/>
        </w:rPr>
        <w:t>certificates </w:t>
      </w:r>
      <w:r>
        <w:rPr>
          <w:spacing w:val="6"/>
          <w:w w:val="105"/>
        </w:rPr>
        <w:t>of deposit, </w:t>
      </w:r>
      <w:r>
        <w:rPr>
          <w:spacing w:val="10"/>
          <w:w w:val="105"/>
        </w:rPr>
        <w:t>money </w:t>
      </w:r>
      <w:r>
        <w:rPr>
          <w:spacing w:val="6"/>
          <w:w w:val="105"/>
        </w:rPr>
        <w:t>market </w:t>
      </w:r>
      <w:r>
        <w:rPr>
          <w:spacing w:val="5"/>
          <w:w w:val="105"/>
        </w:rPr>
        <w:t>funds, </w:t>
      </w:r>
      <w:r>
        <w:rPr>
          <w:spacing w:val="8"/>
          <w:w w:val="105"/>
        </w:rPr>
        <w:t>and investment </w:t>
      </w:r>
      <w:r>
        <w:rPr>
          <w:spacing w:val="6"/>
          <w:w w:val="105"/>
        </w:rPr>
        <w:t>grade </w:t>
      </w:r>
      <w:r>
        <w:rPr>
          <w:spacing w:val="8"/>
          <w:w w:val="105"/>
        </w:rPr>
        <w:t>commercial </w:t>
      </w:r>
      <w:r>
        <w:rPr>
          <w:spacing w:val="9"/>
          <w:w w:val="105"/>
        </w:rPr>
        <w:t>paper </w:t>
      </w:r>
      <w:r>
        <w:rPr>
          <w:spacing w:val="4"/>
          <w:w w:val="105"/>
        </w:rPr>
        <w:t>issued </w:t>
      </w:r>
      <w:r>
        <w:rPr>
          <w:spacing w:val="6"/>
          <w:w w:val="105"/>
        </w:rPr>
        <w:t>by</w:t>
      </w:r>
      <w:r>
        <w:rPr>
          <w:spacing w:val="59"/>
          <w:w w:val="105"/>
        </w:rPr>
        <w:t> </w:t>
      </w:r>
      <w:r>
        <w:rPr>
          <w:spacing w:val="7"/>
          <w:w w:val="105"/>
        </w:rPr>
        <w:t>major </w:t>
      </w:r>
      <w:r>
        <w:rPr>
          <w:spacing w:val="4"/>
          <w:w w:val="105"/>
        </w:rPr>
        <w:t>corpor- </w:t>
      </w:r>
      <w:r>
        <w:rPr>
          <w:spacing w:val="7"/>
          <w:w w:val="105"/>
        </w:rPr>
        <w:t>ations </w:t>
      </w:r>
      <w:r>
        <w:rPr>
          <w:spacing w:val="8"/>
          <w:w w:val="105"/>
        </w:rPr>
        <w:t>and financial</w:t>
      </w:r>
      <w:r>
        <w:rPr>
          <w:spacing w:val="63"/>
          <w:w w:val="105"/>
        </w:rPr>
        <w:t> </w:t>
      </w:r>
      <w:r>
        <w:rPr>
          <w:spacing w:val="4"/>
          <w:w w:val="105"/>
        </w:rPr>
        <w:t>institutions.  </w:t>
      </w:r>
      <w:r>
        <w:rPr>
          <w:w w:val="105"/>
        </w:rPr>
        <w:t>Cash  </w:t>
      </w:r>
      <w:r>
        <w:rPr>
          <w:spacing w:val="12"/>
          <w:w w:val="105"/>
        </w:rPr>
        <w:t>and </w:t>
      </w:r>
      <w:r>
        <w:rPr>
          <w:spacing w:val="3"/>
          <w:w w:val="105"/>
        </w:rPr>
        <w:t>cash </w:t>
      </w:r>
      <w:r>
        <w:rPr>
          <w:spacing w:val="7"/>
          <w:w w:val="105"/>
        </w:rPr>
        <w:t>equivalents </w:t>
      </w:r>
      <w:r>
        <w:rPr>
          <w:spacing w:val="2"/>
          <w:w w:val="105"/>
        </w:rPr>
        <w:t>are  </w:t>
      </w:r>
      <w:r>
        <w:rPr>
          <w:spacing w:val="4"/>
          <w:w w:val="105"/>
        </w:rPr>
        <w:t>highly  </w:t>
      </w:r>
      <w:r>
        <w:rPr>
          <w:spacing w:val="6"/>
          <w:w w:val="105"/>
        </w:rPr>
        <w:t>liquid</w:t>
      </w:r>
      <w:r>
        <w:rPr>
          <w:spacing w:val="59"/>
          <w:w w:val="105"/>
        </w:rPr>
        <w:t> </w:t>
      </w:r>
      <w:r>
        <w:rPr>
          <w:spacing w:val="12"/>
          <w:w w:val="105"/>
        </w:rPr>
        <w:t>and </w:t>
      </w:r>
      <w:r>
        <w:rPr>
          <w:spacing w:val="3"/>
          <w:w w:val="105"/>
        </w:rPr>
        <w:t>generally </w:t>
      </w:r>
      <w:r>
        <w:rPr>
          <w:spacing w:val="9"/>
          <w:w w:val="105"/>
        </w:rPr>
        <w:t>have </w:t>
      </w:r>
      <w:r>
        <w:rPr>
          <w:spacing w:val="7"/>
          <w:w w:val="105"/>
        </w:rPr>
        <w:t>original </w:t>
      </w:r>
      <w:r>
        <w:rPr>
          <w:spacing w:val="6"/>
          <w:w w:val="105"/>
        </w:rPr>
        <w:t>maturities</w:t>
      </w:r>
      <w:r>
        <w:rPr>
          <w:spacing w:val="59"/>
          <w:w w:val="105"/>
        </w:rPr>
        <w:t> </w:t>
      </w:r>
      <w:r>
        <w:rPr>
          <w:spacing w:val="6"/>
          <w:w w:val="105"/>
        </w:rPr>
        <w:t>of</w:t>
      </w:r>
      <w:r>
        <w:rPr>
          <w:spacing w:val="59"/>
          <w:w w:val="105"/>
        </w:rPr>
        <w:t> </w:t>
      </w:r>
      <w:r>
        <w:rPr>
          <w:spacing w:val="5"/>
          <w:w w:val="105"/>
        </w:rPr>
        <w:t>three </w:t>
      </w:r>
      <w:r>
        <w:rPr>
          <w:spacing w:val="8"/>
          <w:w w:val="105"/>
        </w:rPr>
        <w:t>months </w:t>
      </w:r>
      <w:r>
        <w:rPr>
          <w:spacing w:val="6"/>
          <w:w w:val="105"/>
        </w:rPr>
        <w:t>or </w:t>
      </w:r>
      <w:r>
        <w:rPr>
          <w:spacing w:val="59"/>
          <w:w w:val="105"/>
        </w:rPr>
        <w:t> </w:t>
      </w:r>
      <w:r>
        <w:rPr>
          <w:w w:val="105"/>
        </w:rPr>
        <w:t>less.  Cash  </w:t>
      </w:r>
      <w:r>
        <w:rPr>
          <w:spacing w:val="8"/>
          <w:w w:val="105"/>
        </w:rPr>
        <w:t>and</w:t>
      </w:r>
      <w:r>
        <w:rPr>
          <w:spacing w:val="63"/>
          <w:w w:val="105"/>
        </w:rPr>
        <w:t> </w:t>
      </w:r>
      <w:r>
        <w:rPr>
          <w:spacing w:val="3"/>
          <w:w w:val="105"/>
        </w:rPr>
        <w:t>cash</w:t>
      </w:r>
      <w:r>
        <w:rPr>
          <w:spacing w:val="53"/>
          <w:w w:val="105"/>
        </w:rPr>
        <w:t> </w:t>
      </w:r>
      <w:r>
        <w:rPr>
          <w:spacing w:val="7"/>
          <w:w w:val="105"/>
        </w:rPr>
        <w:t>equivalents </w:t>
      </w:r>
      <w:r>
        <w:rPr>
          <w:spacing w:val="2"/>
          <w:w w:val="105"/>
        </w:rPr>
        <w:t>are </w:t>
      </w:r>
      <w:r>
        <w:rPr>
          <w:spacing w:val="4"/>
          <w:w w:val="105"/>
        </w:rPr>
        <w:t>carried </w:t>
      </w:r>
      <w:r>
        <w:rPr>
          <w:spacing w:val="6"/>
          <w:w w:val="105"/>
        </w:rPr>
        <w:t>at</w:t>
      </w:r>
      <w:r>
        <w:rPr>
          <w:spacing w:val="59"/>
          <w:w w:val="105"/>
        </w:rPr>
        <w:t> </w:t>
      </w:r>
      <w:r>
        <w:rPr>
          <w:w w:val="105"/>
        </w:rPr>
        <w:t>cost,  </w:t>
      </w:r>
      <w:r>
        <w:rPr>
          <w:spacing w:val="7"/>
          <w:w w:val="105"/>
        </w:rPr>
        <w:t>which  </w:t>
      </w:r>
      <w:r>
        <w:rPr>
          <w:spacing w:val="9"/>
          <w:w w:val="105"/>
        </w:rPr>
        <w:t>approximates </w:t>
      </w:r>
      <w:r>
        <w:rPr>
          <w:spacing w:val="6"/>
          <w:w w:val="105"/>
        </w:rPr>
        <w:t>market</w:t>
      </w:r>
      <w:r>
        <w:rPr>
          <w:spacing w:val="16"/>
          <w:w w:val="105"/>
        </w:rPr>
        <w:t> </w:t>
      </w:r>
      <w:r>
        <w:rPr>
          <w:spacing w:val="8"/>
          <w:w w:val="105"/>
        </w:rPr>
        <w:t>value.</w:t>
      </w:r>
    </w:p>
    <w:p>
      <w:pPr>
        <w:pStyle w:val="BodyText"/>
        <w:spacing w:before="4"/>
        <w:rPr>
          <w:sz w:val="21"/>
        </w:rPr>
      </w:pPr>
    </w:p>
    <w:p>
      <w:pPr>
        <w:pStyle w:val="BodyText"/>
        <w:spacing w:line="254" w:lineRule="auto"/>
        <w:ind w:left="380" w:firstLine="280"/>
        <w:jc w:val="both"/>
      </w:pPr>
      <w:r>
        <w:rPr>
          <w:i/>
          <w:spacing w:val="3"/>
          <w:w w:val="105"/>
        </w:rPr>
        <w:t>Inventories. </w:t>
      </w:r>
      <w:r>
        <w:rPr>
          <w:spacing w:val="7"/>
          <w:w w:val="105"/>
        </w:rPr>
        <w:t>Inventories </w:t>
      </w:r>
      <w:r>
        <w:rPr>
          <w:spacing w:val="6"/>
          <w:w w:val="105"/>
        </w:rPr>
        <w:t>of </w:t>
      </w:r>
      <w:r>
        <w:rPr>
          <w:spacing w:val="2"/>
          <w:w w:val="105"/>
        </w:rPr>
        <w:t>flight </w:t>
      </w:r>
      <w:r>
        <w:rPr>
          <w:spacing w:val="12"/>
          <w:w w:val="105"/>
        </w:rPr>
        <w:t>equipment </w:t>
      </w:r>
      <w:r>
        <w:rPr>
          <w:spacing w:val="8"/>
          <w:w w:val="105"/>
        </w:rPr>
        <w:t>expendable </w:t>
      </w:r>
      <w:r>
        <w:rPr>
          <w:w w:val="105"/>
        </w:rPr>
        <w:t>parts, </w:t>
      </w:r>
      <w:r>
        <w:rPr>
          <w:spacing w:val="4"/>
          <w:w w:val="105"/>
        </w:rPr>
        <w:t>materials, </w:t>
      </w:r>
      <w:r>
        <w:rPr>
          <w:spacing w:val="8"/>
          <w:w w:val="105"/>
        </w:rPr>
        <w:t>and </w:t>
      </w:r>
      <w:r>
        <w:rPr>
          <w:spacing w:val="6"/>
          <w:w w:val="105"/>
        </w:rPr>
        <w:t>supplies </w:t>
      </w:r>
      <w:r>
        <w:rPr>
          <w:spacing w:val="2"/>
          <w:w w:val="105"/>
        </w:rPr>
        <w:t>are </w:t>
      </w:r>
      <w:r>
        <w:rPr>
          <w:spacing w:val="4"/>
          <w:w w:val="105"/>
        </w:rPr>
        <w:t>carried </w:t>
      </w:r>
      <w:r>
        <w:rPr>
          <w:spacing w:val="6"/>
          <w:w w:val="105"/>
        </w:rPr>
        <w:t>at</w:t>
      </w:r>
      <w:r>
        <w:rPr>
          <w:spacing w:val="59"/>
          <w:w w:val="105"/>
        </w:rPr>
        <w:t> </w:t>
      </w:r>
      <w:r>
        <w:rPr>
          <w:spacing w:val="6"/>
          <w:w w:val="105"/>
        </w:rPr>
        <w:t>average</w:t>
      </w:r>
      <w:r>
        <w:rPr>
          <w:spacing w:val="59"/>
          <w:w w:val="105"/>
        </w:rPr>
        <w:t> </w:t>
      </w:r>
      <w:r>
        <w:rPr>
          <w:w w:val="105"/>
        </w:rPr>
        <w:t>cost. </w:t>
      </w:r>
      <w:r>
        <w:rPr>
          <w:spacing w:val="4"/>
          <w:w w:val="105"/>
        </w:rPr>
        <w:t>These </w:t>
      </w:r>
      <w:r>
        <w:rPr>
          <w:spacing w:val="7"/>
          <w:w w:val="105"/>
        </w:rPr>
        <w:t>items </w:t>
      </w:r>
      <w:r>
        <w:rPr>
          <w:spacing w:val="2"/>
          <w:w w:val="105"/>
        </w:rPr>
        <w:t>are </w:t>
      </w:r>
      <w:r>
        <w:rPr>
          <w:spacing w:val="3"/>
          <w:w w:val="105"/>
        </w:rPr>
        <w:t>generally </w:t>
      </w:r>
      <w:r>
        <w:rPr>
          <w:spacing w:val="5"/>
          <w:w w:val="105"/>
        </w:rPr>
        <w:t>charged </w:t>
      </w:r>
      <w:r>
        <w:rPr>
          <w:w w:val="105"/>
        </w:rPr>
        <w:t>to </w:t>
      </w:r>
      <w:r>
        <w:rPr>
          <w:spacing w:val="8"/>
          <w:w w:val="105"/>
        </w:rPr>
        <w:t>expense when </w:t>
      </w:r>
      <w:r>
        <w:rPr>
          <w:spacing w:val="4"/>
          <w:w w:val="105"/>
        </w:rPr>
        <w:t>issued </w:t>
      </w:r>
      <w:r>
        <w:rPr>
          <w:spacing w:val="8"/>
          <w:w w:val="105"/>
        </w:rPr>
        <w:t>for use.</w:t>
      </w:r>
    </w:p>
    <w:p>
      <w:pPr>
        <w:pStyle w:val="BodyText"/>
        <w:spacing w:before="4"/>
        <w:rPr>
          <w:sz w:val="21"/>
        </w:rPr>
      </w:pPr>
    </w:p>
    <w:p>
      <w:pPr>
        <w:pStyle w:val="BodyText"/>
        <w:spacing w:line="254" w:lineRule="auto"/>
        <w:ind w:left="380" w:firstLine="280"/>
        <w:jc w:val="both"/>
      </w:pPr>
      <w:r>
        <w:rPr>
          <w:i/>
          <w:w w:val="105"/>
        </w:rPr>
        <w:t>Property and Equipment. </w:t>
      </w:r>
      <w:r>
        <w:rPr>
          <w:w w:val="105"/>
        </w:rPr>
        <w:t>Depreciation is provided by the straight-line method to esti- mated residual values over periods ranging from  20  to  25  years  for  flight  equipment and</w:t>
      </w:r>
    </w:p>
    <w:p>
      <w:pPr>
        <w:pStyle w:val="BodyText"/>
        <w:tabs>
          <w:tab w:pos="3419" w:val="left" w:leader="none"/>
          <w:tab w:pos="4539" w:val="left" w:leader="none"/>
        </w:tabs>
        <w:spacing w:line="254" w:lineRule="auto"/>
        <w:ind w:left="380" w:right="14"/>
      </w:pPr>
      <w:r>
        <w:rPr>
          <w:w w:val="105"/>
        </w:rPr>
        <w:t>3    to    30    </w:t>
      </w:r>
      <w:r>
        <w:rPr>
          <w:spacing w:val="3"/>
          <w:w w:val="105"/>
        </w:rPr>
        <w:t>years  </w:t>
      </w:r>
      <w:r>
        <w:rPr>
          <w:spacing w:val="35"/>
          <w:w w:val="105"/>
        </w:rPr>
        <w:t> </w:t>
      </w:r>
      <w:r>
        <w:rPr>
          <w:spacing w:val="4"/>
          <w:w w:val="105"/>
        </w:rPr>
        <w:t>for  </w:t>
      </w:r>
      <w:r>
        <w:rPr>
          <w:spacing w:val="47"/>
          <w:w w:val="105"/>
        </w:rPr>
        <w:t> </w:t>
      </w:r>
      <w:r>
        <w:rPr>
          <w:spacing w:val="5"/>
          <w:w w:val="105"/>
        </w:rPr>
        <w:t>ground</w:t>
        <w:tab/>
      </w:r>
      <w:r>
        <w:rPr>
          <w:spacing w:val="4"/>
          <w:w w:val="105"/>
        </w:rPr>
        <w:t>property  </w:t>
      </w:r>
      <w:r>
        <w:rPr>
          <w:spacing w:val="12"/>
          <w:w w:val="105"/>
        </w:rPr>
        <w:t> </w:t>
      </w:r>
      <w:r>
        <w:rPr>
          <w:spacing w:val="8"/>
          <w:w w:val="105"/>
        </w:rPr>
        <w:t>and</w:t>
      </w:r>
      <w:r>
        <w:rPr>
          <w:w w:val="102"/>
        </w:rPr>
        <w:t> </w:t>
      </w:r>
      <w:r>
        <w:rPr>
          <w:spacing w:val="11"/>
          <w:w w:val="105"/>
        </w:rPr>
        <w:t>equipment </w:t>
      </w:r>
      <w:r>
        <w:rPr>
          <w:spacing w:val="69"/>
          <w:w w:val="105"/>
        </w:rPr>
        <w:t> </w:t>
      </w:r>
      <w:r>
        <w:rPr>
          <w:spacing w:val="7"/>
          <w:w w:val="105"/>
        </w:rPr>
        <w:t>once    </w:t>
      </w:r>
      <w:r>
        <w:rPr>
          <w:spacing w:val="2"/>
          <w:w w:val="105"/>
        </w:rPr>
        <w:t>the    </w:t>
      </w:r>
      <w:r>
        <w:rPr>
          <w:spacing w:val="3"/>
          <w:w w:val="105"/>
        </w:rPr>
        <w:t>asset   </w:t>
      </w:r>
      <w:r>
        <w:rPr>
          <w:spacing w:val="6"/>
          <w:w w:val="105"/>
        </w:rPr>
        <w:t> is  </w:t>
      </w:r>
      <w:r>
        <w:rPr>
          <w:spacing w:val="36"/>
          <w:w w:val="105"/>
        </w:rPr>
        <w:t> </w:t>
      </w:r>
      <w:r>
        <w:rPr>
          <w:spacing w:val="5"/>
          <w:w w:val="105"/>
        </w:rPr>
        <w:t>placed</w:t>
        <w:tab/>
      </w:r>
      <w:r>
        <w:rPr>
          <w:spacing w:val="12"/>
          <w:w w:val="105"/>
        </w:rPr>
        <w:t>in</w:t>
      </w:r>
    </w:p>
    <w:p>
      <w:pPr>
        <w:pStyle w:val="BodyText"/>
        <w:spacing w:line="254" w:lineRule="auto" w:before="69"/>
        <w:ind w:left="100" w:right="119"/>
        <w:jc w:val="both"/>
      </w:pPr>
      <w:r>
        <w:rPr/>
        <w:br w:type="column"/>
      </w:r>
      <w:r>
        <w:rPr>
          <w:spacing w:val="5"/>
          <w:w w:val="105"/>
        </w:rPr>
        <w:t>service. </w:t>
      </w:r>
      <w:r>
        <w:rPr>
          <w:spacing w:val="4"/>
          <w:w w:val="105"/>
        </w:rPr>
        <w:t>Property </w:t>
      </w:r>
      <w:r>
        <w:rPr>
          <w:spacing w:val="9"/>
          <w:w w:val="105"/>
        </w:rPr>
        <w:t>under </w:t>
      </w:r>
      <w:r>
        <w:rPr>
          <w:spacing w:val="6"/>
          <w:w w:val="105"/>
        </w:rPr>
        <w:t>capital</w:t>
      </w:r>
      <w:r>
        <w:rPr>
          <w:spacing w:val="59"/>
          <w:w w:val="105"/>
        </w:rPr>
        <w:t> </w:t>
      </w:r>
      <w:r>
        <w:rPr>
          <w:spacing w:val="4"/>
          <w:w w:val="105"/>
        </w:rPr>
        <w:t>leases </w:t>
      </w:r>
      <w:r>
        <w:rPr>
          <w:spacing w:val="12"/>
          <w:w w:val="105"/>
        </w:rPr>
        <w:t>and </w:t>
      </w:r>
      <w:r>
        <w:rPr>
          <w:spacing w:val="2"/>
          <w:w w:val="105"/>
        </w:rPr>
        <w:t>related </w:t>
      </w:r>
      <w:r>
        <w:rPr>
          <w:spacing w:val="6"/>
          <w:w w:val="105"/>
        </w:rPr>
        <w:t>obligations </w:t>
      </w:r>
      <w:r>
        <w:rPr>
          <w:spacing w:val="2"/>
          <w:w w:val="105"/>
        </w:rPr>
        <w:t>are </w:t>
      </w:r>
      <w:r>
        <w:rPr>
          <w:spacing w:val="5"/>
          <w:w w:val="105"/>
        </w:rPr>
        <w:t>recorded </w:t>
      </w:r>
      <w:r>
        <w:rPr>
          <w:spacing w:val="6"/>
          <w:w w:val="105"/>
        </w:rPr>
        <w:t>at an </w:t>
      </w:r>
      <w:r>
        <w:rPr>
          <w:spacing w:val="12"/>
          <w:w w:val="105"/>
        </w:rPr>
        <w:t>amount </w:t>
      </w:r>
      <w:r>
        <w:rPr>
          <w:spacing w:val="9"/>
          <w:w w:val="105"/>
        </w:rPr>
        <w:t>equal </w:t>
      </w:r>
      <w:r>
        <w:rPr>
          <w:w w:val="105"/>
        </w:rPr>
        <w:t>to </w:t>
      </w:r>
      <w:r>
        <w:rPr>
          <w:spacing w:val="2"/>
          <w:w w:val="105"/>
        </w:rPr>
        <w:t>the </w:t>
      </w:r>
      <w:r>
        <w:rPr>
          <w:spacing w:val="5"/>
          <w:w w:val="105"/>
        </w:rPr>
        <w:t>present value </w:t>
      </w:r>
      <w:r>
        <w:rPr>
          <w:spacing w:val="6"/>
          <w:w w:val="105"/>
        </w:rPr>
        <w:t>of </w:t>
      </w:r>
      <w:r>
        <w:rPr>
          <w:spacing w:val="2"/>
          <w:w w:val="105"/>
        </w:rPr>
        <w:t>future </w:t>
      </w:r>
      <w:r>
        <w:rPr>
          <w:spacing w:val="13"/>
          <w:w w:val="105"/>
        </w:rPr>
        <w:t>minimum </w:t>
      </w:r>
      <w:r>
        <w:rPr>
          <w:spacing w:val="2"/>
          <w:w w:val="105"/>
        </w:rPr>
        <w:t>lease </w:t>
      </w:r>
      <w:r>
        <w:rPr>
          <w:spacing w:val="7"/>
          <w:w w:val="105"/>
        </w:rPr>
        <w:t>payments </w:t>
      </w:r>
      <w:r>
        <w:rPr>
          <w:spacing w:val="8"/>
          <w:w w:val="105"/>
        </w:rPr>
        <w:t>computed </w:t>
      </w:r>
      <w:r>
        <w:rPr>
          <w:spacing w:val="6"/>
          <w:w w:val="105"/>
        </w:rPr>
        <w:t>on </w:t>
      </w:r>
      <w:r>
        <w:rPr>
          <w:spacing w:val="2"/>
          <w:w w:val="105"/>
        </w:rPr>
        <w:t>the </w:t>
      </w:r>
      <w:r>
        <w:rPr>
          <w:spacing w:val="6"/>
          <w:w w:val="105"/>
        </w:rPr>
        <w:t>basis of the Company’s</w:t>
      </w:r>
      <w:r>
        <w:rPr>
          <w:spacing w:val="59"/>
          <w:w w:val="105"/>
        </w:rPr>
        <w:t> </w:t>
      </w:r>
      <w:r>
        <w:rPr>
          <w:spacing w:val="7"/>
          <w:w w:val="105"/>
        </w:rPr>
        <w:t>incremental </w:t>
      </w:r>
      <w:r>
        <w:rPr>
          <w:spacing w:val="6"/>
          <w:w w:val="105"/>
        </w:rPr>
        <w:t>borrowing</w:t>
      </w:r>
      <w:r>
        <w:rPr>
          <w:spacing w:val="59"/>
          <w:w w:val="105"/>
        </w:rPr>
        <w:t> </w:t>
      </w:r>
      <w:r>
        <w:rPr>
          <w:w w:val="105"/>
        </w:rPr>
        <w:t>rate </w:t>
      </w:r>
      <w:r>
        <w:rPr>
          <w:spacing w:val="2"/>
          <w:w w:val="105"/>
        </w:rPr>
        <w:t>or, </w:t>
      </w:r>
      <w:r>
        <w:rPr>
          <w:spacing w:val="8"/>
          <w:w w:val="105"/>
        </w:rPr>
        <w:t>when </w:t>
      </w:r>
      <w:r>
        <w:rPr>
          <w:spacing w:val="7"/>
          <w:w w:val="105"/>
        </w:rPr>
        <w:t>known, </w:t>
      </w:r>
      <w:r>
        <w:rPr>
          <w:spacing w:val="2"/>
          <w:w w:val="105"/>
        </w:rPr>
        <w:t>the </w:t>
      </w:r>
      <w:r>
        <w:rPr>
          <w:spacing w:val="4"/>
          <w:w w:val="105"/>
        </w:rPr>
        <w:t>interest </w:t>
      </w:r>
      <w:r>
        <w:rPr>
          <w:w w:val="105"/>
        </w:rPr>
        <w:t>rate </w:t>
      </w:r>
      <w:r>
        <w:rPr>
          <w:spacing w:val="7"/>
          <w:w w:val="105"/>
        </w:rPr>
        <w:t>implicit </w:t>
      </w:r>
      <w:r>
        <w:rPr>
          <w:spacing w:val="6"/>
          <w:w w:val="105"/>
        </w:rPr>
        <w:t>in the </w:t>
      </w:r>
      <w:r>
        <w:rPr>
          <w:spacing w:val="4"/>
          <w:w w:val="105"/>
        </w:rPr>
        <w:t>lease. </w:t>
      </w:r>
      <w:r>
        <w:rPr>
          <w:spacing w:val="5"/>
          <w:w w:val="105"/>
        </w:rPr>
        <w:t>Amortization </w:t>
      </w:r>
      <w:r>
        <w:rPr>
          <w:spacing w:val="6"/>
          <w:w w:val="105"/>
        </w:rPr>
        <w:t>of </w:t>
      </w:r>
      <w:r>
        <w:rPr>
          <w:spacing w:val="4"/>
          <w:w w:val="105"/>
        </w:rPr>
        <w:t>property </w:t>
      </w:r>
      <w:r>
        <w:rPr>
          <w:spacing w:val="9"/>
          <w:w w:val="105"/>
        </w:rPr>
        <w:t>under </w:t>
      </w:r>
      <w:r>
        <w:rPr>
          <w:spacing w:val="8"/>
          <w:w w:val="105"/>
        </w:rPr>
        <w:t>capital </w:t>
      </w:r>
      <w:r>
        <w:rPr>
          <w:spacing w:val="4"/>
          <w:w w:val="105"/>
        </w:rPr>
        <w:t>leases </w:t>
      </w:r>
      <w:r>
        <w:rPr>
          <w:spacing w:val="6"/>
          <w:w w:val="105"/>
        </w:rPr>
        <w:t>is</w:t>
      </w:r>
      <w:r>
        <w:rPr>
          <w:spacing w:val="59"/>
          <w:w w:val="105"/>
        </w:rPr>
        <w:t> </w:t>
      </w:r>
      <w:r>
        <w:rPr>
          <w:spacing w:val="6"/>
          <w:w w:val="105"/>
        </w:rPr>
        <w:t>on</w:t>
      </w:r>
      <w:r>
        <w:rPr>
          <w:spacing w:val="59"/>
          <w:w w:val="105"/>
        </w:rPr>
        <w:t> </w:t>
      </w:r>
      <w:r>
        <w:rPr>
          <w:w w:val="105"/>
        </w:rPr>
        <w:t>a </w:t>
      </w:r>
      <w:r>
        <w:rPr>
          <w:spacing w:val="2"/>
          <w:w w:val="105"/>
        </w:rPr>
        <w:t>straight-line  </w:t>
      </w:r>
      <w:r>
        <w:rPr>
          <w:spacing w:val="6"/>
          <w:w w:val="105"/>
        </w:rPr>
        <w:t>basis </w:t>
      </w:r>
      <w:r>
        <w:rPr>
          <w:spacing w:val="59"/>
          <w:w w:val="105"/>
        </w:rPr>
        <w:t> </w:t>
      </w:r>
      <w:r>
        <w:rPr>
          <w:spacing w:val="9"/>
          <w:w w:val="105"/>
        </w:rPr>
        <w:t>over  </w:t>
      </w:r>
      <w:r>
        <w:rPr>
          <w:spacing w:val="6"/>
          <w:w w:val="105"/>
        </w:rPr>
        <w:t>the </w:t>
      </w:r>
      <w:r>
        <w:rPr>
          <w:spacing w:val="2"/>
          <w:w w:val="105"/>
        </w:rPr>
        <w:t>lease </w:t>
      </w:r>
      <w:r>
        <w:rPr>
          <w:w w:val="105"/>
        </w:rPr>
        <w:t>term </w:t>
      </w:r>
      <w:r>
        <w:rPr>
          <w:spacing w:val="8"/>
          <w:w w:val="105"/>
        </w:rPr>
        <w:t>and </w:t>
      </w:r>
      <w:r>
        <w:rPr>
          <w:spacing w:val="6"/>
          <w:w w:val="105"/>
        </w:rPr>
        <w:t>is </w:t>
      </w:r>
      <w:r>
        <w:rPr>
          <w:spacing w:val="7"/>
          <w:w w:val="105"/>
        </w:rPr>
        <w:t>included </w:t>
      </w:r>
      <w:r>
        <w:rPr>
          <w:spacing w:val="6"/>
          <w:w w:val="105"/>
        </w:rPr>
        <w:t>in</w:t>
      </w:r>
      <w:r>
        <w:rPr>
          <w:spacing w:val="59"/>
          <w:w w:val="105"/>
        </w:rPr>
        <w:t> </w:t>
      </w:r>
      <w:r>
        <w:rPr>
          <w:spacing w:val="8"/>
          <w:w w:val="105"/>
        </w:rPr>
        <w:t>depreciation </w:t>
      </w:r>
      <w:r>
        <w:rPr>
          <w:spacing w:val="10"/>
          <w:w w:val="105"/>
        </w:rPr>
        <w:t>expense.</w:t>
      </w:r>
    </w:p>
    <w:p>
      <w:pPr>
        <w:pStyle w:val="BodyText"/>
        <w:spacing w:line="254" w:lineRule="auto"/>
        <w:ind w:left="100" w:right="123" w:firstLine="280"/>
        <w:jc w:val="both"/>
      </w:pPr>
      <w:r>
        <w:rPr>
          <w:w w:val="105"/>
        </w:rPr>
        <w:t>In  estimating  the  lives  and   </w:t>
      </w:r>
      <w:r>
        <w:rPr>
          <w:spacing w:val="10"/>
          <w:w w:val="105"/>
        </w:rPr>
        <w:t>expected </w:t>
      </w:r>
      <w:r>
        <w:rPr>
          <w:w w:val="105"/>
        </w:rPr>
        <w:t>residual  values  of  its  aircraft,   the   </w:t>
      </w:r>
      <w:r>
        <w:rPr>
          <w:spacing w:val="9"/>
          <w:w w:val="105"/>
        </w:rPr>
        <w:t>Company </w:t>
      </w:r>
      <w:r>
        <w:rPr>
          <w:w w:val="105"/>
        </w:rPr>
        <w:t>has  primarily  relied  </w:t>
      </w:r>
      <w:r>
        <w:rPr>
          <w:spacing w:val="2"/>
          <w:w w:val="105"/>
        </w:rPr>
        <w:t>upon  </w:t>
      </w:r>
      <w:r>
        <w:rPr>
          <w:w w:val="105"/>
        </w:rPr>
        <w:t>actual  </w:t>
      </w:r>
      <w:r>
        <w:rPr>
          <w:spacing w:val="10"/>
          <w:w w:val="105"/>
        </w:rPr>
        <w:t>experience </w:t>
      </w:r>
      <w:r>
        <w:rPr>
          <w:w w:val="105"/>
        </w:rPr>
        <w:t>with the same or similar aircraft types </w:t>
      </w:r>
      <w:r>
        <w:rPr>
          <w:spacing w:val="12"/>
          <w:w w:val="105"/>
        </w:rPr>
        <w:t>and </w:t>
      </w:r>
      <w:r>
        <w:rPr>
          <w:spacing w:val="4"/>
          <w:w w:val="105"/>
        </w:rPr>
        <w:t>recommendations </w:t>
      </w:r>
      <w:r>
        <w:rPr>
          <w:w w:val="105"/>
        </w:rPr>
        <w:t>from  Boeing,  </w:t>
      </w:r>
      <w:r>
        <w:rPr>
          <w:spacing w:val="6"/>
          <w:w w:val="105"/>
        </w:rPr>
        <w:t>the </w:t>
      </w:r>
      <w:r>
        <w:rPr>
          <w:spacing w:val="2"/>
          <w:w w:val="105"/>
        </w:rPr>
        <w:t>manufacturer </w:t>
      </w:r>
      <w:r>
        <w:rPr>
          <w:w w:val="105"/>
        </w:rPr>
        <w:t>of the Company’s </w:t>
      </w:r>
      <w:r>
        <w:rPr>
          <w:spacing w:val="3"/>
          <w:w w:val="105"/>
        </w:rPr>
        <w:t>aircraft. </w:t>
      </w:r>
      <w:r>
        <w:rPr>
          <w:spacing w:val="2"/>
          <w:w w:val="105"/>
        </w:rPr>
        <w:t>Subsequent  revisions  </w:t>
      </w:r>
      <w:r>
        <w:rPr>
          <w:w w:val="105"/>
        </w:rPr>
        <w:t>to   these   </w:t>
      </w:r>
      <w:r>
        <w:rPr>
          <w:spacing w:val="5"/>
          <w:w w:val="105"/>
        </w:rPr>
        <w:t>estimates, </w:t>
      </w:r>
      <w:r>
        <w:rPr>
          <w:w w:val="105"/>
        </w:rPr>
        <w:t>which can be significant, could be caused </w:t>
      </w:r>
      <w:r>
        <w:rPr>
          <w:spacing w:val="4"/>
          <w:w w:val="105"/>
        </w:rPr>
        <w:t>by </w:t>
      </w:r>
      <w:r>
        <w:rPr>
          <w:w w:val="105"/>
        </w:rPr>
        <w:t>changes to the  Company’s  </w:t>
      </w:r>
      <w:r>
        <w:rPr>
          <w:spacing w:val="11"/>
          <w:w w:val="105"/>
        </w:rPr>
        <w:t>maintenance </w:t>
      </w:r>
      <w:r>
        <w:rPr>
          <w:w w:val="105"/>
        </w:rPr>
        <w:t>program, changes in </w:t>
      </w:r>
      <w:r>
        <w:rPr>
          <w:spacing w:val="2"/>
          <w:w w:val="105"/>
        </w:rPr>
        <w:t>utilization </w:t>
      </w:r>
      <w:r>
        <w:rPr>
          <w:w w:val="105"/>
        </w:rPr>
        <w:t>of the </w:t>
      </w:r>
      <w:r>
        <w:rPr>
          <w:spacing w:val="4"/>
          <w:w w:val="105"/>
        </w:rPr>
        <w:t>aircraft </w:t>
      </w:r>
      <w:r>
        <w:rPr>
          <w:w w:val="105"/>
        </w:rPr>
        <w:t>(actual flight hours or cycles during  a  </w:t>
      </w:r>
      <w:r>
        <w:rPr>
          <w:spacing w:val="12"/>
          <w:w w:val="105"/>
        </w:rPr>
        <w:t>given </w:t>
      </w:r>
      <w:r>
        <w:rPr>
          <w:spacing w:val="2"/>
          <w:w w:val="105"/>
        </w:rPr>
        <w:t>period </w:t>
      </w:r>
      <w:r>
        <w:rPr>
          <w:w w:val="105"/>
        </w:rPr>
        <w:t>of time), </w:t>
      </w:r>
      <w:r>
        <w:rPr>
          <w:spacing w:val="2"/>
          <w:w w:val="105"/>
        </w:rPr>
        <w:t>governmental </w:t>
      </w:r>
      <w:r>
        <w:rPr>
          <w:w w:val="105"/>
        </w:rPr>
        <w:t>regulations  </w:t>
      </w:r>
      <w:r>
        <w:rPr>
          <w:spacing w:val="12"/>
          <w:w w:val="105"/>
        </w:rPr>
        <w:t>on </w:t>
      </w:r>
      <w:r>
        <w:rPr>
          <w:w w:val="105"/>
        </w:rPr>
        <w:t>aging aircraft, </w:t>
      </w:r>
      <w:r>
        <w:rPr>
          <w:spacing w:val="2"/>
          <w:w w:val="105"/>
        </w:rPr>
        <w:t>changing  </w:t>
      </w:r>
      <w:r>
        <w:rPr>
          <w:w w:val="105"/>
        </w:rPr>
        <w:t>market  prices  of  </w:t>
      </w:r>
      <w:r>
        <w:rPr>
          <w:spacing w:val="10"/>
          <w:w w:val="105"/>
        </w:rPr>
        <w:t>new </w:t>
      </w:r>
      <w:r>
        <w:rPr>
          <w:w w:val="105"/>
        </w:rPr>
        <w:t>and used aircraft of the same or  similar  </w:t>
      </w:r>
      <w:r>
        <w:rPr>
          <w:spacing w:val="2"/>
          <w:w w:val="105"/>
        </w:rPr>
        <w:t>types, </w:t>
      </w:r>
      <w:r>
        <w:rPr>
          <w:w w:val="105"/>
        </w:rPr>
        <w:t>etc. The Company evaluates its estimates </w:t>
      </w:r>
      <w:r>
        <w:rPr>
          <w:spacing w:val="11"/>
          <w:w w:val="105"/>
        </w:rPr>
        <w:t>and </w:t>
      </w:r>
      <w:r>
        <w:rPr>
          <w:w w:val="105"/>
        </w:rPr>
        <w:t>assumptions each reporting period and, </w:t>
      </w:r>
      <w:r>
        <w:rPr>
          <w:spacing w:val="14"/>
          <w:w w:val="105"/>
        </w:rPr>
        <w:t>when </w:t>
      </w:r>
      <w:r>
        <w:rPr>
          <w:w w:val="105"/>
        </w:rPr>
        <w:t>warranted, adjusts these estimates </w:t>
      </w:r>
      <w:r>
        <w:rPr>
          <w:spacing w:val="12"/>
          <w:w w:val="105"/>
        </w:rPr>
        <w:t>and </w:t>
      </w:r>
      <w:r>
        <w:rPr>
          <w:spacing w:val="2"/>
          <w:w w:val="105"/>
        </w:rPr>
        <w:t>assumptions.   </w:t>
      </w:r>
      <w:r>
        <w:rPr>
          <w:w w:val="105"/>
        </w:rPr>
        <w:t>Generally,    these    </w:t>
      </w:r>
      <w:r>
        <w:rPr>
          <w:spacing w:val="5"/>
          <w:w w:val="105"/>
        </w:rPr>
        <w:t>adjustments </w:t>
      </w:r>
      <w:r>
        <w:rPr>
          <w:w w:val="105"/>
        </w:rPr>
        <w:t>are </w:t>
      </w:r>
      <w:r>
        <w:rPr>
          <w:spacing w:val="3"/>
          <w:w w:val="105"/>
        </w:rPr>
        <w:t>accounted </w:t>
      </w:r>
      <w:r>
        <w:rPr>
          <w:w w:val="105"/>
        </w:rPr>
        <w:t>for on  a  </w:t>
      </w:r>
      <w:r>
        <w:rPr>
          <w:spacing w:val="2"/>
          <w:w w:val="105"/>
        </w:rPr>
        <w:t>prospective  </w:t>
      </w:r>
      <w:r>
        <w:rPr>
          <w:spacing w:val="7"/>
          <w:w w:val="105"/>
        </w:rPr>
        <w:t>basis </w:t>
      </w:r>
      <w:r>
        <w:rPr>
          <w:w w:val="105"/>
        </w:rPr>
        <w:t>through </w:t>
      </w:r>
      <w:r>
        <w:rPr>
          <w:spacing w:val="3"/>
          <w:w w:val="105"/>
        </w:rPr>
        <w:t>depreciation </w:t>
      </w:r>
      <w:r>
        <w:rPr>
          <w:spacing w:val="2"/>
          <w:w w:val="105"/>
        </w:rPr>
        <w:t>expense, </w:t>
      </w:r>
      <w:r>
        <w:rPr>
          <w:w w:val="105"/>
        </w:rPr>
        <w:t>as </w:t>
      </w:r>
      <w:r>
        <w:rPr>
          <w:spacing w:val="2"/>
          <w:w w:val="105"/>
        </w:rPr>
        <w:t>required </w:t>
      </w:r>
      <w:r>
        <w:rPr>
          <w:spacing w:val="4"/>
          <w:w w:val="105"/>
        </w:rPr>
        <w:t>by </w:t>
      </w:r>
      <w:r>
        <w:rPr>
          <w:spacing w:val="8"/>
          <w:w w:val="105"/>
        </w:rPr>
        <w:t>GAAP.</w:t>
      </w:r>
    </w:p>
    <w:p>
      <w:pPr>
        <w:pStyle w:val="BodyText"/>
        <w:spacing w:line="254" w:lineRule="auto"/>
        <w:ind w:left="100" w:right="128" w:firstLine="280"/>
        <w:jc w:val="both"/>
      </w:pPr>
      <w:r>
        <w:rPr>
          <w:w w:val="105"/>
        </w:rPr>
        <w:t>The Company periodically evaluates </w:t>
      </w:r>
      <w:r>
        <w:rPr>
          <w:spacing w:val="2"/>
          <w:w w:val="105"/>
        </w:rPr>
        <w:t>its </w:t>
      </w:r>
      <w:r>
        <w:rPr>
          <w:w w:val="105"/>
        </w:rPr>
        <w:t>long-lived assets used in </w:t>
      </w:r>
      <w:r>
        <w:rPr>
          <w:spacing w:val="2"/>
          <w:w w:val="105"/>
        </w:rPr>
        <w:t>operations </w:t>
      </w:r>
      <w:r>
        <w:rPr>
          <w:spacing w:val="3"/>
          <w:w w:val="105"/>
        </w:rPr>
        <w:t>for impairment. Impairment </w:t>
      </w:r>
      <w:r>
        <w:rPr>
          <w:w w:val="105"/>
        </w:rPr>
        <w:t>losses would  </w:t>
      </w:r>
      <w:r>
        <w:rPr>
          <w:spacing w:val="12"/>
          <w:w w:val="105"/>
        </w:rPr>
        <w:t>be </w:t>
      </w:r>
      <w:r>
        <w:rPr>
          <w:w w:val="105"/>
        </w:rPr>
        <w:t>recorded when events  and  </w:t>
      </w:r>
      <w:r>
        <w:rPr>
          <w:spacing w:val="6"/>
          <w:w w:val="105"/>
        </w:rPr>
        <w:t>circumstances </w:t>
      </w:r>
      <w:r>
        <w:rPr>
          <w:w w:val="105"/>
        </w:rPr>
        <w:t>indicate that an asset might  be  </w:t>
      </w:r>
      <w:r>
        <w:rPr>
          <w:spacing w:val="3"/>
          <w:w w:val="105"/>
        </w:rPr>
        <w:t>impaired</w:t>
      </w:r>
      <w:r>
        <w:rPr>
          <w:spacing w:val="53"/>
          <w:w w:val="105"/>
        </w:rPr>
        <w:t> </w:t>
      </w:r>
      <w:r>
        <w:rPr>
          <w:spacing w:val="12"/>
          <w:w w:val="105"/>
        </w:rPr>
        <w:t>and  </w:t>
      </w:r>
      <w:r>
        <w:rPr>
          <w:w w:val="105"/>
        </w:rPr>
        <w:t>the </w:t>
      </w:r>
      <w:r>
        <w:rPr>
          <w:spacing w:val="3"/>
          <w:w w:val="105"/>
        </w:rPr>
        <w:t>undiscounted</w:t>
      </w:r>
      <w:r>
        <w:rPr>
          <w:spacing w:val="53"/>
          <w:w w:val="105"/>
        </w:rPr>
        <w:t> </w:t>
      </w:r>
      <w:r>
        <w:rPr>
          <w:w w:val="105"/>
        </w:rPr>
        <w:t>cash  flows  to  be  </w:t>
      </w:r>
      <w:r>
        <w:rPr>
          <w:spacing w:val="8"/>
          <w:w w:val="105"/>
        </w:rPr>
        <w:t>generated </w:t>
      </w:r>
      <w:r>
        <w:rPr>
          <w:w w:val="105"/>
        </w:rPr>
        <w:t>by that  asset  are  less  than  the  </w:t>
      </w:r>
      <w:r>
        <w:rPr>
          <w:spacing w:val="4"/>
          <w:w w:val="105"/>
        </w:rPr>
        <w:t>carrying </w:t>
      </w:r>
      <w:r>
        <w:rPr>
          <w:spacing w:val="2"/>
          <w:w w:val="105"/>
        </w:rPr>
        <w:t>amounts </w:t>
      </w:r>
      <w:r>
        <w:rPr>
          <w:w w:val="105"/>
        </w:rPr>
        <w:t>of the asset. Factors that  </w:t>
      </w:r>
      <w:r>
        <w:rPr>
          <w:spacing w:val="9"/>
          <w:w w:val="105"/>
        </w:rPr>
        <w:t>would  </w:t>
      </w:r>
      <w:r>
        <w:rPr>
          <w:spacing w:val="2"/>
          <w:w w:val="105"/>
        </w:rPr>
        <w:t>indicate potential impairment include, </w:t>
      </w:r>
      <w:r>
        <w:rPr>
          <w:w w:val="105"/>
        </w:rPr>
        <w:t>but  </w:t>
      </w:r>
      <w:r>
        <w:rPr>
          <w:spacing w:val="6"/>
          <w:w w:val="105"/>
        </w:rPr>
        <w:t>are </w:t>
      </w:r>
      <w:r>
        <w:rPr>
          <w:w w:val="105"/>
        </w:rPr>
        <w:t>not </w:t>
      </w:r>
      <w:r>
        <w:rPr>
          <w:spacing w:val="2"/>
          <w:w w:val="105"/>
        </w:rPr>
        <w:t>limited </w:t>
      </w:r>
      <w:r>
        <w:rPr>
          <w:w w:val="105"/>
        </w:rPr>
        <w:t>to, </w:t>
      </w:r>
      <w:r>
        <w:rPr>
          <w:spacing w:val="2"/>
          <w:w w:val="105"/>
        </w:rPr>
        <w:t>significant decreases  </w:t>
      </w:r>
      <w:r>
        <w:rPr>
          <w:w w:val="105"/>
        </w:rPr>
        <w:t>in  </w:t>
      </w:r>
      <w:r>
        <w:rPr>
          <w:spacing w:val="6"/>
          <w:w w:val="105"/>
        </w:rPr>
        <w:t>the </w:t>
      </w:r>
      <w:r>
        <w:rPr>
          <w:w w:val="105"/>
        </w:rPr>
        <w:t>market value of the long-lived asset(s),  a </w:t>
      </w:r>
      <w:r>
        <w:rPr>
          <w:spacing w:val="2"/>
          <w:w w:val="105"/>
        </w:rPr>
        <w:t>significant change </w:t>
      </w:r>
      <w:r>
        <w:rPr>
          <w:w w:val="105"/>
        </w:rPr>
        <w:t>in the  long-lived  asset’s physical  </w:t>
      </w:r>
      <w:r>
        <w:rPr>
          <w:spacing w:val="3"/>
          <w:w w:val="105"/>
        </w:rPr>
        <w:t>condition,</w:t>
      </w:r>
      <w:r>
        <w:rPr>
          <w:spacing w:val="53"/>
          <w:w w:val="105"/>
        </w:rPr>
        <w:t> </w:t>
      </w:r>
      <w:r>
        <w:rPr>
          <w:spacing w:val="2"/>
          <w:w w:val="105"/>
        </w:rPr>
        <w:t>operating  </w:t>
      </w:r>
      <w:r>
        <w:rPr>
          <w:w w:val="105"/>
        </w:rPr>
        <w:t>or  cash  </w:t>
      </w:r>
      <w:r>
        <w:rPr>
          <w:spacing w:val="4"/>
          <w:w w:val="105"/>
        </w:rPr>
        <w:t>flow </w:t>
      </w:r>
      <w:r>
        <w:rPr>
          <w:w w:val="105"/>
        </w:rPr>
        <w:t>losses </w:t>
      </w:r>
      <w:r>
        <w:rPr>
          <w:spacing w:val="2"/>
          <w:w w:val="105"/>
        </w:rPr>
        <w:t>associated  </w:t>
      </w:r>
      <w:r>
        <w:rPr>
          <w:w w:val="105"/>
        </w:rPr>
        <w:t>with  the  use  of  the  long-  lived asset, etc. While the airline industry as a whole     has     </w:t>
      </w:r>
      <w:r>
        <w:rPr>
          <w:spacing w:val="4"/>
          <w:w w:val="105"/>
        </w:rPr>
        <w:t>experienced      </w:t>
      </w:r>
      <w:r>
        <w:rPr>
          <w:w w:val="105"/>
        </w:rPr>
        <w:t>many     of    </w:t>
      </w:r>
      <w:r>
        <w:rPr>
          <w:spacing w:val="15"/>
          <w:w w:val="105"/>
        </w:rPr>
        <w:t> </w:t>
      </w:r>
      <w:r>
        <w:rPr>
          <w:spacing w:val="7"/>
          <w:w w:val="105"/>
        </w:rPr>
        <w:t>these</w:t>
      </w:r>
    </w:p>
    <w:p>
      <w:pPr>
        <w:spacing w:after="0" w:line="254" w:lineRule="auto"/>
        <w:jc w:val="both"/>
        <w:sectPr>
          <w:headerReference w:type="default" r:id="rId115"/>
          <w:footerReference w:type="default" r:id="rId116"/>
          <w:footerReference w:type="even" r:id="rId117"/>
          <w:pgSz w:w="11520" w:h="14400"/>
          <w:pgMar w:header="0" w:footer="706" w:top="960" w:bottom="900" w:left="700" w:right="820"/>
          <w:pgNumType w:start="33"/>
          <w:cols w:num="2" w:equalWidth="0">
            <w:col w:w="4737" w:space="683"/>
            <w:col w:w="4580"/>
          </w:cols>
        </w:sectPr>
      </w:pPr>
    </w:p>
    <w:p>
      <w:pPr>
        <w:pStyle w:val="BodyText"/>
        <w:spacing w:line="254" w:lineRule="auto" w:before="69"/>
        <w:ind w:left="380" w:right="14"/>
        <w:jc w:val="both"/>
      </w:pPr>
      <w:r>
        <w:rPr>
          <w:spacing w:val="2"/>
          <w:w w:val="105"/>
        </w:rPr>
        <w:t>indicators,  </w:t>
      </w:r>
      <w:r>
        <w:rPr>
          <w:w w:val="105"/>
        </w:rPr>
        <w:t>Southwest  has   </w:t>
      </w:r>
      <w:r>
        <w:rPr>
          <w:spacing w:val="3"/>
          <w:w w:val="105"/>
        </w:rPr>
        <w:t>continued </w:t>
      </w:r>
      <w:r>
        <w:rPr>
          <w:spacing w:val="53"/>
          <w:w w:val="105"/>
        </w:rPr>
        <w:t> </w:t>
      </w:r>
      <w:r>
        <w:rPr>
          <w:spacing w:val="4"/>
          <w:w w:val="105"/>
        </w:rPr>
        <w:t>to </w:t>
      </w:r>
      <w:r>
        <w:rPr>
          <w:spacing w:val="2"/>
          <w:w w:val="105"/>
        </w:rPr>
        <w:t>operate </w:t>
      </w:r>
      <w:r>
        <w:rPr>
          <w:w w:val="105"/>
        </w:rPr>
        <w:t>all of its aircraft and </w:t>
      </w:r>
      <w:r>
        <w:rPr>
          <w:spacing w:val="2"/>
          <w:w w:val="105"/>
        </w:rPr>
        <w:t>continues </w:t>
      </w:r>
      <w:r>
        <w:rPr>
          <w:spacing w:val="4"/>
          <w:w w:val="105"/>
        </w:rPr>
        <w:t>to </w:t>
      </w:r>
      <w:r>
        <w:rPr>
          <w:spacing w:val="2"/>
          <w:w w:val="105"/>
        </w:rPr>
        <w:t>experience  positive  cash  </w:t>
      </w:r>
      <w:r>
        <w:rPr>
          <w:spacing w:val="3"/>
          <w:w w:val="105"/>
        </w:rPr>
        <w:t>flow.</w:t>
      </w:r>
    </w:p>
    <w:p>
      <w:pPr>
        <w:pStyle w:val="BodyText"/>
        <w:spacing w:before="4"/>
        <w:rPr>
          <w:sz w:val="21"/>
        </w:rPr>
      </w:pPr>
    </w:p>
    <w:p>
      <w:pPr>
        <w:pStyle w:val="BodyText"/>
        <w:spacing w:line="254" w:lineRule="auto"/>
        <w:ind w:left="380" w:firstLine="280"/>
        <w:jc w:val="both"/>
      </w:pPr>
      <w:r>
        <w:rPr>
          <w:i/>
          <w:spacing w:val="5"/>
          <w:w w:val="105"/>
        </w:rPr>
        <w:t>Aircraft </w:t>
      </w:r>
      <w:r>
        <w:rPr>
          <w:i/>
          <w:spacing w:val="7"/>
          <w:w w:val="105"/>
        </w:rPr>
        <w:t>and </w:t>
      </w:r>
      <w:r>
        <w:rPr>
          <w:i/>
          <w:spacing w:val="3"/>
          <w:w w:val="105"/>
        </w:rPr>
        <w:t>Engine Maintenance.  </w:t>
      </w:r>
      <w:r>
        <w:rPr>
          <w:spacing w:val="4"/>
          <w:w w:val="105"/>
        </w:rPr>
        <w:t>The  </w:t>
      </w:r>
      <w:r>
        <w:rPr>
          <w:spacing w:val="3"/>
          <w:w w:val="105"/>
        </w:rPr>
        <w:t>cost </w:t>
      </w:r>
      <w:r>
        <w:rPr>
          <w:spacing w:val="6"/>
          <w:w w:val="105"/>
        </w:rPr>
        <w:t>of </w:t>
      </w:r>
      <w:r>
        <w:rPr>
          <w:spacing w:val="5"/>
          <w:w w:val="105"/>
        </w:rPr>
        <w:t>scheduled </w:t>
      </w:r>
      <w:r>
        <w:rPr>
          <w:spacing w:val="8"/>
          <w:w w:val="105"/>
        </w:rPr>
        <w:t>engine </w:t>
      </w:r>
      <w:r>
        <w:rPr>
          <w:spacing w:val="7"/>
          <w:w w:val="105"/>
        </w:rPr>
        <w:t>inspections </w:t>
      </w:r>
      <w:r>
        <w:rPr>
          <w:spacing w:val="8"/>
          <w:w w:val="105"/>
        </w:rPr>
        <w:t>and </w:t>
      </w:r>
      <w:r>
        <w:rPr>
          <w:spacing w:val="5"/>
          <w:w w:val="105"/>
        </w:rPr>
        <w:t>repairs </w:t>
      </w:r>
      <w:r>
        <w:rPr>
          <w:spacing w:val="8"/>
          <w:w w:val="105"/>
        </w:rPr>
        <w:t>and </w:t>
      </w:r>
      <w:r>
        <w:rPr>
          <w:spacing w:val="5"/>
          <w:w w:val="105"/>
        </w:rPr>
        <w:t>routine </w:t>
      </w:r>
      <w:r>
        <w:rPr>
          <w:spacing w:val="9"/>
          <w:w w:val="105"/>
        </w:rPr>
        <w:t>maintenance  </w:t>
      </w:r>
      <w:r>
        <w:rPr>
          <w:w w:val="105"/>
        </w:rPr>
        <w:t>costs  </w:t>
      </w:r>
      <w:r>
        <w:rPr>
          <w:spacing w:val="4"/>
          <w:w w:val="105"/>
        </w:rPr>
        <w:t>for  aircraft </w:t>
      </w:r>
      <w:r>
        <w:rPr>
          <w:spacing w:val="8"/>
          <w:w w:val="105"/>
        </w:rPr>
        <w:t>and engines </w:t>
      </w:r>
      <w:r>
        <w:rPr>
          <w:spacing w:val="2"/>
          <w:w w:val="105"/>
        </w:rPr>
        <w:t>are </w:t>
      </w:r>
      <w:r>
        <w:rPr>
          <w:spacing w:val="5"/>
          <w:w w:val="105"/>
        </w:rPr>
        <w:t>charged </w:t>
      </w:r>
      <w:r>
        <w:rPr>
          <w:w w:val="105"/>
        </w:rPr>
        <w:t>to </w:t>
      </w:r>
      <w:r>
        <w:rPr>
          <w:spacing w:val="9"/>
          <w:w w:val="105"/>
        </w:rPr>
        <w:t>maintenance </w:t>
      </w:r>
      <w:r>
        <w:rPr>
          <w:spacing w:val="8"/>
          <w:w w:val="105"/>
        </w:rPr>
        <w:t>expense </w:t>
      </w:r>
      <w:r>
        <w:rPr>
          <w:spacing w:val="6"/>
          <w:w w:val="105"/>
        </w:rPr>
        <w:t>as incurred. </w:t>
      </w:r>
      <w:r>
        <w:rPr>
          <w:spacing w:val="5"/>
          <w:w w:val="105"/>
        </w:rPr>
        <w:t>Scheduled airframe </w:t>
      </w:r>
      <w:r>
        <w:rPr>
          <w:spacing w:val="7"/>
          <w:w w:val="105"/>
        </w:rPr>
        <w:t>inspections  </w:t>
      </w:r>
      <w:r>
        <w:rPr>
          <w:spacing w:val="8"/>
          <w:w w:val="105"/>
        </w:rPr>
        <w:t>and</w:t>
      </w:r>
      <w:r>
        <w:rPr>
          <w:spacing w:val="63"/>
          <w:w w:val="105"/>
        </w:rPr>
        <w:t> </w:t>
      </w:r>
      <w:r>
        <w:rPr>
          <w:spacing w:val="4"/>
          <w:w w:val="105"/>
        </w:rPr>
        <w:t>repairs,  </w:t>
      </w:r>
      <w:r>
        <w:rPr>
          <w:spacing w:val="6"/>
          <w:w w:val="105"/>
        </w:rPr>
        <w:t>known</w:t>
      </w:r>
      <w:r>
        <w:rPr>
          <w:spacing w:val="59"/>
          <w:w w:val="105"/>
        </w:rPr>
        <w:t> </w:t>
      </w:r>
      <w:r>
        <w:rPr>
          <w:spacing w:val="6"/>
          <w:w w:val="105"/>
        </w:rPr>
        <w:t>as</w:t>
      </w:r>
      <w:r>
        <w:rPr>
          <w:spacing w:val="59"/>
          <w:w w:val="105"/>
        </w:rPr>
        <w:t> </w:t>
      </w:r>
      <w:r>
        <w:rPr>
          <w:spacing w:val="5"/>
          <w:w w:val="105"/>
        </w:rPr>
        <w:t>“D” </w:t>
      </w:r>
      <w:r>
        <w:rPr>
          <w:spacing w:val="4"/>
          <w:w w:val="105"/>
        </w:rPr>
        <w:t>checks, </w:t>
      </w:r>
      <w:r>
        <w:rPr>
          <w:spacing w:val="2"/>
          <w:w w:val="105"/>
        </w:rPr>
        <w:t>are </w:t>
      </w:r>
      <w:r>
        <w:rPr>
          <w:spacing w:val="3"/>
          <w:w w:val="105"/>
        </w:rPr>
        <w:t>generally </w:t>
      </w:r>
      <w:r>
        <w:rPr>
          <w:spacing w:val="6"/>
          <w:w w:val="105"/>
        </w:rPr>
        <w:t>performed</w:t>
      </w:r>
      <w:r>
        <w:rPr>
          <w:spacing w:val="59"/>
          <w:w w:val="105"/>
        </w:rPr>
        <w:t> </w:t>
      </w:r>
      <w:r>
        <w:rPr>
          <w:spacing w:val="6"/>
          <w:w w:val="105"/>
        </w:rPr>
        <w:t>every</w:t>
      </w:r>
      <w:r>
        <w:rPr>
          <w:spacing w:val="59"/>
          <w:w w:val="105"/>
        </w:rPr>
        <w:t> </w:t>
      </w:r>
      <w:r>
        <w:rPr>
          <w:spacing w:val="6"/>
          <w:w w:val="105"/>
        </w:rPr>
        <w:t>ten </w:t>
      </w:r>
      <w:r>
        <w:rPr>
          <w:w w:val="105"/>
        </w:rPr>
        <w:t>years. Costs </w:t>
      </w:r>
      <w:r>
        <w:rPr>
          <w:spacing w:val="2"/>
          <w:w w:val="105"/>
        </w:rPr>
        <w:t>related </w:t>
      </w:r>
      <w:r>
        <w:rPr>
          <w:w w:val="105"/>
        </w:rPr>
        <w:t>to </w:t>
      </w:r>
      <w:r>
        <w:rPr>
          <w:spacing w:val="5"/>
          <w:w w:val="105"/>
        </w:rPr>
        <w:t>“D” checks </w:t>
      </w:r>
      <w:r>
        <w:rPr>
          <w:spacing w:val="2"/>
          <w:w w:val="105"/>
        </w:rPr>
        <w:t>are  </w:t>
      </w:r>
      <w:r>
        <w:rPr>
          <w:spacing w:val="5"/>
          <w:w w:val="105"/>
        </w:rPr>
        <w:t>capital- ized </w:t>
      </w:r>
      <w:r>
        <w:rPr>
          <w:spacing w:val="8"/>
          <w:w w:val="105"/>
        </w:rPr>
        <w:t>and </w:t>
      </w:r>
      <w:r>
        <w:rPr>
          <w:spacing w:val="5"/>
          <w:w w:val="105"/>
        </w:rPr>
        <w:t>amortized </w:t>
      </w:r>
      <w:r>
        <w:rPr>
          <w:spacing w:val="9"/>
          <w:w w:val="105"/>
        </w:rPr>
        <w:t>over </w:t>
      </w:r>
      <w:r>
        <w:rPr>
          <w:spacing w:val="2"/>
          <w:w w:val="105"/>
        </w:rPr>
        <w:t>the </w:t>
      </w:r>
      <w:r>
        <w:rPr>
          <w:spacing w:val="5"/>
          <w:w w:val="105"/>
        </w:rPr>
        <w:t>estimated </w:t>
      </w:r>
      <w:r>
        <w:rPr>
          <w:spacing w:val="9"/>
          <w:w w:val="105"/>
        </w:rPr>
        <w:t>period </w:t>
      </w:r>
      <w:r>
        <w:rPr>
          <w:spacing w:val="8"/>
          <w:w w:val="105"/>
        </w:rPr>
        <w:t>benefited, </w:t>
      </w:r>
      <w:r>
        <w:rPr>
          <w:spacing w:val="3"/>
          <w:w w:val="105"/>
        </w:rPr>
        <w:t>presently </w:t>
      </w:r>
      <w:r>
        <w:rPr>
          <w:spacing w:val="2"/>
          <w:w w:val="105"/>
        </w:rPr>
        <w:t>the least </w:t>
      </w:r>
      <w:r>
        <w:rPr>
          <w:spacing w:val="6"/>
          <w:w w:val="105"/>
        </w:rPr>
        <w:t>of </w:t>
      </w:r>
      <w:r>
        <w:rPr>
          <w:spacing w:val="2"/>
          <w:w w:val="105"/>
        </w:rPr>
        <w:t>ten years, </w:t>
      </w:r>
      <w:r>
        <w:rPr>
          <w:spacing w:val="6"/>
          <w:w w:val="105"/>
        </w:rPr>
        <w:t>the time until </w:t>
      </w:r>
      <w:r>
        <w:rPr>
          <w:spacing w:val="2"/>
          <w:w w:val="105"/>
        </w:rPr>
        <w:t>the </w:t>
      </w:r>
      <w:r>
        <w:rPr>
          <w:spacing w:val="9"/>
          <w:w w:val="105"/>
        </w:rPr>
        <w:t>next </w:t>
      </w:r>
      <w:r>
        <w:rPr>
          <w:spacing w:val="5"/>
          <w:w w:val="105"/>
        </w:rPr>
        <w:t>“D”  check,  </w:t>
      </w:r>
      <w:r>
        <w:rPr>
          <w:spacing w:val="6"/>
          <w:w w:val="105"/>
        </w:rPr>
        <w:t>or</w:t>
      </w:r>
      <w:r>
        <w:rPr>
          <w:spacing w:val="59"/>
          <w:w w:val="105"/>
        </w:rPr>
        <w:t> </w:t>
      </w:r>
      <w:r>
        <w:rPr>
          <w:spacing w:val="2"/>
          <w:w w:val="105"/>
        </w:rPr>
        <w:t>the </w:t>
      </w:r>
      <w:r>
        <w:rPr>
          <w:spacing w:val="9"/>
          <w:w w:val="105"/>
        </w:rPr>
        <w:t>remaining </w:t>
      </w:r>
      <w:r>
        <w:rPr>
          <w:w w:val="105"/>
        </w:rPr>
        <w:t>life </w:t>
      </w:r>
      <w:r>
        <w:rPr>
          <w:spacing w:val="6"/>
          <w:w w:val="105"/>
        </w:rPr>
        <w:t>of </w:t>
      </w:r>
      <w:r>
        <w:rPr>
          <w:spacing w:val="2"/>
          <w:w w:val="105"/>
        </w:rPr>
        <w:t>the </w:t>
      </w:r>
      <w:r>
        <w:rPr>
          <w:spacing w:val="3"/>
          <w:w w:val="105"/>
        </w:rPr>
        <w:t>aircraft.</w:t>
      </w:r>
      <w:r>
        <w:rPr>
          <w:spacing w:val="53"/>
          <w:w w:val="105"/>
        </w:rPr>
        <w:t> </w:t>
      </w:r>
      <w:r>
        <w:rPr>
          <w:spacing w:val="9"/>
          <w:w w:val="105"/>
        </w:rPr>
        <w:t>Modifications </w:t>
      </w:r>
      <w:r>
        <w:rPr>
          <w:spacing w:val="5"/>
          <w:w w:val="105"/>
        </w:rPr>
        <w:t>that </w:t>
      </w:r>
      <w:r>
        <w:rPr>
          <w:spacing w:val="4"/>
          <w:w w:val="105"/>
        </w:rPr>
        <w:t>significantly </w:t>
      </w:r>
      <w:r>
        <w:rPr>
          <w:spacing w:val="9"/>
          <w:w w:val="105"/>
        </w:rPr>
        <w:t>enhance </w:t>
      </w:r>
      <w:r>
        <w:rPr>
          <w:spacing w:val="2"/>
          <w:w w:val="105"/>
        </w:rPr>
        <w:t>the </w:t>
      </w:r>
      <w:r>
        <w:rPr>
          <w:spacing w:val="7"/>
          <w:w w:val="105"/>
        </w:rPr>
        <w:t>operating </w:t>
      </w:r>
      <w:r>
        <w:rPr>
          <w:spacing w:val="4"/>
          <w:w w:val="105"/>
        </w:rPr>
        <w:t>perfor- </w:t>
      </w:r>
      <w:r>
        <w:rPr>
          <w:spacing w:val="8"/>
          <w:w w:val="105"/>
        </w:rPr>
        <w:t>mance </w:t>
      </w:r>
      <w:r>
        <w:rPr>
          <w:spacing w:val="6"/>
          <w:w w:val="105"/>
        </w:rPr>
        <w:t>or </w:t>
      </w:r>
      <w:r>
        <w:rPr>
          <w:spacing w:val="7"/>
          <w:w w:val="105"/>
        </w:rPr>
        <w:t>extend </w:t>
      </w:r>
      <w:r>
        <w:rPr>
          <w:spacing w:val="2"/>
          <w:w w:val="105"/>
        </w:rPr>
        <w:t>the </w:t>
      </w:r>
      <w:r>
        <w:rPr>
          <w:spacing w:val="5"/>
          <w:w w:val="105"/>
        </w:rPr>
        <w:t>useful lives </w:t>
      </w:r>
      <w:r>
        <w:rPr>
          <w:spacing w:val="6"/>
          <w:w w:val="105"/>
        </w:rPr>
        <w:t>of </w:t>
      </w:r>
      <w:r>
        <w:rPr>
          <w:spacing w:val="4"/>
          <w:w w:val="105"/>
        </w:rPr>
        <w:t>aircraft </w:t>
      </w:r>
      <w:r>
        <w:rPr>
          <w:spacing w:val="12"/>
          <w:w w:val="105"/>
        </w:rPr>
        <w:t>or </w:t>
      </w:r>
      <w:r>
        <w:rPr>
          <w:spacing w:val="8"/>
          <w:w w:val="105"/>
        </w:rPr>
        <w:t>engines </w:t>
      </w:r>
      <w:r>
        <w:rPr>
          <w:spacing w:val="2"/>
          <w:w w:val="105"/>
        </w:rPr>
        <w:t>are </w:t>
      </w:r>
      <w:r>
        <w:rPr>
          <w:spacing w:val="5"/>
          <w:w w:val="105"/>
        </w:rPr>
        <w:t>capitalized  </w:t>
      </w:r>
      <w:r>
        <w:rPr>
          <w:spacing w:val="8"/>
          <w:w w:val="105"/>
        </w:rPr>
        <w:t>and  </w:t>
      </w:r>
      <w:r>
        <w:rPr>
          <w:spacing w:val="5"/>
          <w:w w:val="105"/>
        </w:rPr>
        <w:t>amortized  </w:t>
      </w:r>
      <w:r>
        <w:rPr>
          <w:spacing w:val="12"/>
          <w:w w:val="105"/>
        </w:rPr>
        <w:t>over </w:t>
      </w:r>
      <w:r>
        <w:rPr>
          <w:spacing w:val="2"/>
          <w:w w:val="105"/>
        </w:rPr>
        <w:t>the  </w:t>
      </w:r>
      <w:r>
        <w:rPr>
          <w:spacing w:val="9"/>
          <w:w w:val="105"/>
        </w:rPr>
        <w:t>remaining </w:t>
      </w:r>
      <w:r>
        <w:rPr>
          <w:w w:val="105"/>
        </w:rPr>
        <w:t>life  </w:t>
      </w:r>
      <w:r>
        <w:rPr>
          <w:spacing w:val="6"/>
          <w:w w:val="105"/>
        </w:rPr>
        <w:t>of </w:t>
      </w:r>
      <w:r>
        <w:rPr>
          <w:spacing w:val="2"/>
          <w:w w:val="105"/>
        </w:rPr>
        <w:t>the</w:t>
      </w:r>
      <w:r>
        <w:rPr>
          <w:spacing w:val="35"/>
          <w:w w:val="105"/>
        </w:rPr>
        <w:t> </w:t>
      </w:r>
      <w:r>
        <w:rPr>
          <w:w w:val="105"/>
        </w:rPr>
        <w:t>asset.</w:t>
      </w:r>
    </w:p>
    <w:p>
      <w:pPr>
        <w:pStyle w:val="BodyText"/>
        <w:spacing w:line="254" w:lineRule="auto" w:before="1"/>
        <w:ind w:left="380" w:firstLine="280"/>
        <w:jc w:val="both"/>
      </w:pPr>
      <w:r>
        <w:rPr>
          <w:w w:val="105"/>
        </w:rPr>
        <w:t>In 2001, the </w:t>
      </w:r>
      <w:r>
        <w:rPr>
          <w:spacing w:val="3"/>
          <w:w w:val="105"/>
        </w:rPr>
        <w:t>American </w:t>
      </w:r>
      <w:r>
        <w:rPr>
          <w:w w:val="105"/>
        </w:rPr>
        <w:t>Institute of </w:t>
      </w:r>
      <w:r>
        <w:rPr>
          <w:spacing w:val="6"/>
          <w:w w:val="105"/>
        </w:rPr>
        <w:t>Certified</w:t>
      </w:r>
      <w:r>
        <w:rPr>
          <w:spacing w:val="59"/>
          <w:w w:val="105"/>
        </w:rPr>
        <w:t> </w:t>
      </w:r>
      <w:r>
        <w:rPr>
          <w:w w:val="105"/>
        </w:rPr>
        <w:t>Public Accountants (AICPA) issued a </w:t>
      </w:r>
      <w:r>
        <w:rPr>
          <w:spacing w:val="8"/>
          <w:w w:val="105"/>
        </w:rPr>
        <w:t>Proposed </w:t>
      </w:r>
      <w:r>
        <w:rPr>
          <w:w w:val="105"/>
        </w:rPr>
        <w:t>Statement of Position entitled </w:t>
      </w:r>
      <w:r>
        <w:rPr>
          <w:spacing w:val="2"/>
          <w:w w:val="105"/>
        </w:rPr>
        <w:t>“Accounting for </w:t>
      </w:r>
      <w:r>
        <w:rPr>
          <w:w w:val="105"/>
        </w:rPr>
        <w:t>Certain  Costs  and   Activities   Related   </w:t>
      </w:r>
      <w:r>
        <w:rPr>
          <w:spacing w:val="4"/>
          <w:w w:val="105"/>
        </w:rPr>
        <w:t>to </w:t>
      </w:r>
      <w:r>
        <w:rPr>
          <w:w w:val="105"/>
        </w:rPr>
        <w:t>Property, Plant, and </w:t>
      </w:r>
      <w:r>
        <w:rPr>
          <w:spacing w:val="4"/>
          <w:w w:val="105"/>
        </w:rPr>
        <w:t>Equipment”  </w:t>
      </w:r>
      <w:r>
        <w:rPr>
          <w:spacing w:val="7"/>
          <w:w w:val="105"/>
        </w:rPr>
        <w:t>(Proposed </w:t>
      </w:r>
      <w:r>
        <w:rPr>
          <w:w w:val="105"/>
        </w:rPr>
        <w:t>SOP). The </w:t>
      </w:r>
      <w:r>
        <w:rPr>
          <w:spacing w:val="2"/>
          <w:w w:val="105"/>
        </w:rPr>
        <w:t>Proposed </w:t>
      </w:r>
      <w:r>
        <w:rPr>
          <w:w w:val="105"/>
        </w:rPr>
        <w:t>SOP, as originally </w:t>
      </w:r>
      <w:r>
        <w:rPr>
          <w:spacing w:val="4"/>
          <w:w w:val="105"/>
        </w:rPr>
        <w:t>written, </w:t>
      </w:r>
      <w:r>
        <w:rPr>
          <w:w w:val="105"/>
        </w:rPr>
        <w:t>would require that all “D” checks be  </w:t>
      </w:r>
      <w:r>
        <w:rPr>
          <w:spacing w:val="11"/>
          <w:w w:val="105"/>
        </w:rPr>
        <w:t>expensed </w:t>
      </w:r>
      <w:r>
        <w:rPr>
          <w:spacing w:val="69"/>
          <w:w w:val="105"/>
        </w:rPr>
        <w:t> </w:t>
      </w:r>
      <w:r>
        <w:rPr>
          <w:w w:val="105"/>
        </w:rPr>
        <w:t>as incurred. In fourth quarter 2002, the </w:t>
      </w:r>
      <w:r>
        <w:rPr>
          <w:spacing w:val="7"/>
          <w:w w:val="105"/>
        </w:rPr>
        <w:t>AICPA </w:t>
      </w:r>
      <w:r>
        <w:rPr>
          <w:spacing w:val="4"/>
          <w:w w:val="105"/>
        </w:rPr>
        <w:t>announced </w:t>
      </w:r>
      <w:r>
        <w:rPr>
          <w:w w:val="105"/>
        </w:rPr>
        <w:t>it  would  be  </w:t>
      </w:r>
      <w:r>
        <w:rPr>
          <w:spacing w:val="2"/>
          <w:w w:val="105"/>
        </w:rPr>
        <w:t>transitioning  </w:t>
      </w:r>
      <w:r>
        <w:rPr>
          <w:spacing w:val="5"/>
          <w:w w:val="105"/>
        </w:rPr>
        <w:t>this  </w:t>
      </w:r>
      <w:r>
        <w:rPr>
          <w:w w:val="105"/>
        </w:rPr>
        <w:t>project to the </w:t>
      </w:r>
      <w:r>
        <w:rPr>
          <w:spacing w:val="2"/>
          <w:w w:val="105"/>
        </w:rPr>
        <w:t>Financial Accounting </w:t>
      </w:r>
      <w:r>
        <w:rPr>
          <w:spacing w:val="5"/>
          <w:w w:val="105"/>
        </w:rPr>
        <w:t>Standards </w:t>
      </w:r>
      <w:r>
        <w:rPr>
          <w:w w:val="105"/>
        </w:rPr>
        <w:t>Board (FASB), although the AICPA  may  </w:t>
      </w:r>
      <w:r>
        <w:rPr>
          <w:spacing w:val="8"/>
          <w:w w:val="105"/>
        </w:rPr>
        <w:t>retain</w:t>
      </w:r>
      <w:r>
        <w:rPr>
          <w:spacing w:val="63"/>
          <w:w w:val="105"/>
        </w:rPr>
        <w:t> </w:t>
      </w:r>
      <w:r>
        <w:rPr>
          <w:w w:val="105"/>
        </w:rPr>
        <w:t>and address certain  </w:t>
      </w:r>
      <w:r>
        <w:rPr>
          <w:spacing w:val="3"/>
          <w:w w:val="105"/>
        </w:rPr>
        <w:t>components</w:t>
      </w:r>
      <w:r>
        <w:rPr>
          <w:spacing w:val="53"/>
          <w:w w:val="105"/>
        </w:rPr>
        <w:t> </w:t>
      </w:r>
      <w:r>
        <w:rPr>
          <w:w w:val="105"/>
        </w:rPr>
        <w:t>of  </w:t>
      </w:r>
      <w:r>
        <w:rPr>
          <w:spacing w:val="6"/>
          <w:w w:val="105"/>
        </w:rPr>
        <w:t>the </w:t>
      </w:r>
      <w:r>
        <w:rPr>
          <w:spacing w:val="2"/>
          <w:w w:val="105"/>
        </w:rPr>
        <w:t>Proposed </w:t>
      </w:r>
      <w:r>
        <w:rPr>
          <w:w w:val="105"/>
        </w:rPr>
        <w:t>SOP. The FASB  and  the  AICPA  </w:t>
      </w:r>
      <w:r>
        <w:rPr>
          <w:spacing w:val="16"/>
          <w:w w:val="105"/>
        </w:rPr>
        <w:t>have </w:t>
      </w:r>
      <w:r>
        <w:rPr>
          <w:w w:val="105"/>
        </w:rPr>
        <w:t>not </w:t>
      </w:r>
      <w:r>
        <w:rPr>
          <w:spacing w:val="2"/>
          <w:w w:val="105"/>
        </w:rPr>
        <w:t>determined which components,  </w:t>
      </w:r>
      <w:r>
        <w:rPr>
          <w:w w:val="105"/>
        </w:rPr>
        <w:t>if  any,  will be  </w:t>
      </w:r>
      <w:r>
        <w:rPr>
          <w:spacing w:val="2"/>
          <w:w w:val="105"/>
        </w:rPr>
        <w:t>retained  </w:t>
      </w:r>
      <w:r>
        <w:rPr>
          <w:w w:val="105"/>
        </w:rPr>
        <w:t>by  the  AICPA  for   </w:t>
      </w:r>
      <w:r>
        <w:rPr>
          <w:spacing w:val="7"/>
          <w:w w:val="105"/>
        </w:rPr>
        <w:t>potential </w:t>
      </w:r>
      <w:r>
        <w:rPr>
          <w:w w:val="105"/>
        </w:rPr>
        <w:t>issuance  in  a  future  SOP.  In   </w:t>
      </w:r>
      <w:r>
        <w:rPr>
          <w:spacing w:val="3"/>
          <w:w w:val="105"/>
        </w:rPr>
        <w:t>addition,   </w:t>
      </w:r>
      <w:r>
        <w:rPr>
          <w:spacing w:val="6"/>
          <w:w w:val="105"/>
        </w:rPr>
        <w:t>the </w:t>
      </w:r>
      <w:r>
        <w:rPr>
          <w:w w:val="105"/>
        </w:rPr>
        <w:t>FASB has  not  set  a  </w:t>
      </w:r>
      <w:r>
        <w:rPr>
          <w:spacing w:val="2"/>
          <w:w w:val="105"/>
        </w:rPr>
        <w:t>timetable  </w:t>
      </w:r>
      <w:r>
        <w:rPr>
          <w:w w:val="105"/>
        </w:rPr>
        <w:t>for  </w:t>
      </w:r>
      <w:r>
        <w:rPr>
          <w:spacing w:val="6"/>
          <w:w w:val="105"/>
        </w:rPr>
        <w:t>addressing </w:t>
      </w:r>
      <w:r>
        <w:rPr>
          <w:w w:val="105"/>
        </w:rPr>
        <w:t>the  issues  raised  by  the  proposed  </w:t>
      </w:r>
      <w:r>
        <w:rPr>
          <w:spacing w:val="7"/>
          <w:w w:val="105"/>
        </w:rPr>
        <w:t> </w:t>
      </w:r>
      <w:r>
        <w:rPr>
          <w:w w:val="105"/>
        </w:rPr>
        <w:t>SOP.</w:t>
      </w:r>
    </w:p>
    <w:p>
      <w:pPr>
        <w:pStyle w:val="BodyText"/>
        <w:spacing w:before="4"/>
        <w:rPr>
          <w:sz w:val="21"/>
        </w:rPr>
      </w:pPr>
    </w:p>
    <w:p>
      <w:pPr>
        <w:pStyle w:val="BodyText"/>
        <w:spacing w:line="254" w:lineRule="auto" w:before="1"/>
        <w:ind w:left="380" w:right="1" w:firstLine="280"/>
        <w:jc w:val="both"/>
      </w:pPr>
      <w:r>
        <w:rPr>
          <w:i/>
          <w:spacing w:val="5"/>
          <w:w w:val="105"/>
        </w:rPr>
        <w:t>Revenue  </w:t>
      </w:r>
      <w:r>
        <w:rPr>
          <w:i/>
          <w:w w:val="105"/>
        </w:rPr>
        <w:t>Recognition.  </w:t>
      </w:r>
      <w:r>
        <w:rPr>
          <w:w w:val="105"/>
        </w:rPr>
        <w:t>Tickets  sold  </w:t>
      </w:r>
      <w:r>
        <w:rPr>
          <w:spacing w:val="6"/>
          <w:w w:val="105"/>
        </w:rPr>
        <w:t>are  </w:t>
      </w:r>
      <w:r>
        <w:rPr>
          <w:w w:val="105"/>
        </w:rPr>
        <w:t>initially deferred as “Air  traffic  </w:t>
      </w:r>
      <w:r>
        <w:rPr>
          <w:spacing w:val="4"/>
          <w:w w:val="105"/>
        </w:rPr>
        <w:t>liability.” </w:t>
      </w:r>
      <w:r>
        <w:rPr>
          <w:w w:val="105"/>
        </w:rPr>
        <w:t>Passenger </w:t>
      </w:r>
      <w:r>
        <w:rPr>
          <w:spacing w:val="2"/>
          <w:w w:val="105"/>
        </w:rPr>
        <w:t>revenue </w:t>
      </w:r>
      <w:r>
        <w:rPr>
          <w:w w:val="105"/>
        </w:rPr>
        <w:t>is </w:t>
      </w:r>
      <w:r>
        <w:rPr>
          <w:spacing w:val="2"/>
          <w:w w:val="105"/>
        </w:rPr>
        <w:t>recognized </w:t>
      </w:r>
      <w:r>
        <w:rPr>
          <w:spacing w:val="14"/>
          <w:w w:val="105"/>
        </w:rPr>
        <w:t>when </w:t>
      </w:r>
      <w:r>
        <w:rPr>
          <w:spacing w:val="2"/>
          <w:w w:val="105"/>
        </w:rPr>
        <w:t>transportation </w:t>
      </w:r>
      <w:r>
        <w:rPr>
          <w:w w:val="105"/>
        </w:rPr>
        <w:t>is </w:t>
      </w:r>
      <w:r>
        <w:rPr>
          <w:spacing w:val="3"/>
          <w:w w:val="105"/>
        </w:rPr>
        <w:t>provided. </w:t>
      </w:r>
      <w:r>
        <w:rPr>
          <w:w w:val="105"/>
        </w:rPr>
        <w:t>“Air traffic </w:t>
      </w:r>
      <w:r>
        <w:rPr>
          <w:spacing w:val="4"/>
          <w:w w:val="105"/>
        </w:rPr>
        <w:t>liability” </w:t>
      </w:r>
      <w:r>
        <w:rPr>
          <w:w w:val="105"/>
        </w:rPr>
        <w:t>primarily  represents  tickets  sold  for   </w:t>
      </w:r>
      <w:r>
        <w:rPr>
          <w:spacing w:val="5"/>
          <w:w w:val="105"/>
        </w:rPr>
        <w:t>future </w:t>
      </w:r>
      <w:r>
        <w:rPr>
          <w:w w:val="105"/>
        </w:rPr>
        <w:t>travel dates and </w:t>
      </w:r>
      <w:r>
        <w:rPr>
          <w:spacing w:val="2"/>
          <w:w w:val="105"/>
        </w:rPr>
        <w:t>estimated </w:t>
      </w:r>
      <w:r>
        <w:rPr>
          <w:w w:val="105"/>
        </w:rPr>
        <w:t>refunds  </w:t>
      </w:r>
      <w:r>
        <w:rPr>
          <w:spacing w:val="11"/>
          <w:w w:val="105"/>
        </w:rPr>
        <w:t>and </w:t>
      </w:r>
      <w:r>
        <w:rPr>
          <w:w w:val="105"/>
        </w:rPr>
        <w:t>exchanges of tickets sold for past  travel  </w:t>
      </w:r>
      <w:r>
        <w:rPr>
          <w:spacing w:val="5"/>
          <w:w w:val="105"/>
        </w:rPr>
        <w:t>dates. </w:t>
      </w:r>
      <w:r>
        <w:rPr>
          <w:w w:val="105"/>
        </w:rPr>
        <w:t>The  majority  of  the  Company’s   tickets  sold</w:t>
      </w:r>
      <w:r>
        <w:rPr>
          <w:spacing w:val="9"/>
          <w:w w:val="105"/>
        </w:rPr>
        <w:t> </w:t>
      </w:r>
      <w:r>
        <w:rPr>
          <w:spacing w:val="6"/>
          <w:w w:val="105"/>
        </w:rPr>
        <w:t>are</w:t>
      </w:r>
    </w:p>
    <w:p>
      <w:pPr>
        <w:pStyle w:val="BodyText"/>
        <w:spacing w:line="254" w:lineRule="auto" w:before="69"/>
        <w:ind w:left="380" w:right="106"/>
        <w:jc w:val="both"/>
      </w:pPr>
      <w:r>
        <w:rPr/>
        <w:br w:type="column"/>
      </w:r>
      <w:r>
        <w:rPr>
          <w:spacing w:val="3"/>
          <w:w w:val="105"/>
        </w:rPr>
        <w:t>nonrefundable. </w:t>
      </w:r>
      <w:r>
        <w:rPr>
          <w:w w:val="105"/>
        </w:rPr>
        <w:t>Tickets that are sold  but  </w:t>
      </w:r>
      <w:r>
        <w:rPr>
          <w:spacing w:val="6"/>
          <w:w w:val="105"/>
        </w:rPr>
        <w:t>not </w:t>
      </w:r>
      <w:r>
        <w:rPr>
          <w:w w:val="105"/>
        </w:rPr>
        <w:t>flown on the travel date can be  reused  </w:t>
      </w:r>
      <w:r>
        <w:rPr>
          <w:spacing w:val="2"/>
          <w:w w:val="105"/>
        </w:rPr>
        <w:t>for another </w:t>
      </w:r>
      <w:r>
        <w:rPr>
          <w:w w:val="105"/>
        </w:rPr>
        <w:t>flight, up to a year from  the  date  </w:t>
      </w:r>
      <w:r>
        <w:rPr>
          <w:spacing w:val="6"/>
          <w:w w:val="105"/>
        </w:rPr>
        <w:t>of  </w:t>
      </w:r>
      <w:r>
        <w:rPr>
          <w:w w:val="105"/>
        </w:rPr>
        <w:t>sale, or refunded (if the ticket is refundable). A small </w:t>
      </w:r>
      <w:r>
        <w:rPr>
          <w:spacing w:val="2"/>
          <w:w w:val="105"/>
        </w:rPr>
        <w:t>percentage </w:t>
      </w:r>
      <w:r>
        <w:rPr>
          <w:w w:val="105"/>
        </w:rPr>
        <w:t>of tickets (or partial tickets) </w:t>
      </w:r>
      <w:r>
        <w:rPr>
          <w:spacing w:val="2"/>
          <w:w w:val="105"/>
        </w:rPr>
        <w:t>expire unused. </w:t>
      </w:r>
      <w:r>
        <w:rPr>
          <w:w w:val="105"/>
        </w:rPr>
        <w:t>The Company estimates </w:t>
      </w:r>
      <w:r>
        <w:rPr>
          <w:spacing w:val="6"/>
          <w:w w:val="105"/>
        </w:rPr>
        <w:t>the </w:t>
      </w:r>
      <w:r>
        <w:rPr>
          <w:spacing w:val="2"/>
          <w:w w:val="105"/>
        </w:rPr>
        <w:t>amount </w:t>
      </w:r>
      <w:r>
        <w:rPr>
          <w:w w:val="105"/>
        </w:rPr>
        <w:t>of future refunds, </w:t>
      </w:r>
      <w:r>
        <w:rPr>
          <w:spacing w:val="2"/>
          <w:w w:val="105"/>
        </w:rPr>
        <w:t>exchanges, </w:t>
      </w:r>
      <w:r>
        <w:rPr>
          <w:spacing w:val="12"/>
          <w:w w:val="105"/>
        </w:rPr>
        <w:t>and </w:t>
      </w:r>
      <w:r>
        <w:rPr>
          <w:w w:val="105"/>
        </w:rPr>
        <w:t>forfeitures for all unused tickets once the flight date  has  passed.  These  estimates   are   </w:t>
      </w:r>
      <w:r>
        <w:rPr>
          <w:spacing w:val="11"/>
          <w:w w:val="105"/>
        </w:rPr>
        <w:t>based </w:t>
      </w:r>
      <w:r>
        <w:rPr>
          <w:w w:val="105"/>
        </w:rPr>
        <w:t>on historical experience over many years. </w:t>
      </w:r>
      <w:r>
        <w:rPr>
          <w:spacing w:val="7"/>
          <w:w w:val="105"/>
        </w:rPr>
        <w:t>The </w:t>
      </w:r>
      <w:r>
        <w:rPr>
          <w:spacing w:val="2"/>
          <w:w w:val="105"/>
        </w:rPr>
        <w:t>Company </w:t>
      </w:r>
      <w:r>
        <w:rPr>
          <w:w w:val="105"/>
        </w:rPr>
        <w:t>and </w:t>
      </w:r>
      <w:r>
        <w:rPr>
          <w:spacing w:val="2"/>
          <w:w w:val="105"/>
        </w:rPr>
        <w:t>members </w:t>
      </w:r>
      <w:r>
        <w:rPr>
          <w:w w:val="105"/>
        </w:rPr>
        <w:t>of the airline </w:t>
      </w:r>
      <w:r>
        <w:rPr>
          <w:spacing w:val="4"/>
          <w:w w:val="105"/>
        </w:rPr>
        <w:t>industry </w:t>
      </w:r>
      <w:r>
        <w:rPr>
          <w:spacing w:val="2"/>
          <w:w w:val="105"/>
        </w:rPr>
        <w:t>have </w:t>
      </w:r>
      <w:r>
        <w:rPr>
          <w:w w:val="105"/>
        </w:rPr>
        <w:t>consistently </w:t>
      </w:r>
      <w:r>
        <w:rPr>
          <w:spacing w:val="2"/>
          <w:w w:val="105"/>
        </w:rPr>
        <w:t>applied  </w:t>
      </w:r>
      <w:r>
        <w:rPr>
          <w:w w:val="105"/>
        </w:rPr>
        <w:t>this  </w:t>
      </w:r>
      <w:r>
        <w:rPr>
          <w:spacing w:val="8"/>
          <w:w w:val="105"/>
        </w:rPr>
        <w:t>accounting </w:t>
      </w:r>
      <w:r>
        <w:rPr>
          <w:spacing w:val="2"/>
          <w:w w:val="105"/>
        </w:rPr>
        <w:t>method </w:t>
      </w:r>
      <w:r>
        <w:rPr>
          <w:w w:val="105"/>
        </w:rPr>
        <w:t>to estimate </w:t>
      </w:r>
      <w:r>
        <w:rPr>
          <w:spacing w:val="3"/>
          <w:w w:val="105"/>
        </w:rPr>
        <w:t>revenue </w:t>
      </w:r>
      <w:r>
        <w:rPr>
          <w:w w:val="105"/>
        </w:rPr>
        <w:t>from </w:t>
      </w:r>
      <w:r>
        <w:rPr>
          <w:spacing w:val="6"/>
          <w:w w:val="105"/>
        </w:rPr>
        <w:t>forfeited </w:t>
      </w:r>
      <w:r>
        <w:rPr>
          <w:w w:val="105"/>
        </w:rPr>
        <w:t>tickets at  the  date  travel  is  </w:t>
      </w:r>
      <w:r>
        <w:rPr>
          <w:spacing w:val="10"/>
          <w:w w:val="105"/>
        </w:rPr>
        <w:t>provided. </w:t>
      </w:r>
      <w:r>
        <w:rPr>
          <w:spacing w:val="2"/>
          <w:w w:val="105"/>
        </w:rPr>
        <w:t>Estimated </w:t>
      </w:r>
      <w:r>
        <w:rPr>
          <w:w w:val="105"/>
        </w:rPr>
        <w:t>future refunds and  </w:t>
      </w:r>
      <w:r>
        <w:rPr>
          <w:spacing w:val="9"/>
          <w:w w:val="105"/>
        </w:rPr>
        <w:t>exchanges </w:t>
      </w:r>
      <w:r>
        <w:rPr>
          <w:spacing w:val="2"/>
          <w:w w:val="105"/>
        </w:rPr>
        <w:t>included </w:t>
      </w:r>
      <w:r>
        <w:rPr>
          <w:w w:val="105"/>
        </w:rPr>
        <w:t>in the air traffic liability </w:t>
      </w:r>
      <w:r>
        <w:rPr>
          <w:spacing w:val="2"/>
          <w:w w:val="105"/>
        </w:rPr>
        <w:t>account </w:t>
      </w:r>
      <w:r>
        <w:rPr>
          <w:spacing w:val="6"/>
          <w:w w:val="105"/>
        </w:rPr>
        <w:t>are </w:t>
      </w:r>
      <w:r>
        <w:rPr>
          <w:w w:val="105"/>
        </w:rPr>
        <w:t>constantly </w:t>
      </w:r>
      <w:r>
        <w:rPr>
          <w:spacing w:val="2"/>
          <w:w w:val="105"/>
        </w:rPr>
        <w:t>evaluated based </w:t>
      </w:r>
      <w:r>
        <w:rPr>
          <w:w w:val="105"/>
        </w:rPr>
        <w:t>on  </w:t>
      </w:r>
      <w:r>
        <w:rPr>
          <w:spacing w:val="8"/>
          <w:w w:val="105"/>
        </w:rPr>
        <w:t>subsequent </w:t>
      </w:r>
      <w:r>
        <w:rPr>
          <w:w w:val="105"/>
        </w:rPr>
        <w:t>refund and </w:t>
      </w:r>
      <w:r>
        <w:rPr>
          <w:spacing w:val="3"/>
          <w:w w:val="105"/>
        </w:rPr>
        <w:t>exchange </w:t>
      </w:r>
      <w:r>
        <w:rPr>
          <w:w w:val="105"/>
        </w:rPr>
        <w:t>activity to </w:t>
      </w:r>
      <w:r>
        <w:rPr>
          <w:spacing w:val="2"/>
          <w:w w:val="105"/>
        </w:rPr>
        <w:t>validate </w:t>
      </w:r>
      <w:r>
        <w:rPr>
          <w:spacing w:val="6"/>
          <w:w w:val="105"/>
        </w:rPr>
        <w:t>the </w:t>
      </w:r>
      <w:r>
        <w:rPr>
          <w:w w:val="105"/>
        </w:rPr>
        <w:t>accuracy  of  the   Company’s   </w:t>
      </w:r>
      <w:r>
        <w:rPr>
          <w:spacing w:val="11"/>
          <w:w w:val="105"/>
        </w:rPr>
        <w:t>revenue </w:t>
      </w:r>
      <w:r>
        <w:rPr>
          <w:spacing w:val="2"/>
          <w:w w:val="105"/>
        </w:rPr>
        <w:t>recognition method </w:t>
      </w:r>
      <w:r>
        <w:rPr>
          <w:w w:val="105"/>
        </w:rPr>
        <w:t>with respect to </w:t>
      </w:r>
      <w:r>
        <w:rPr>
          <w:spacing w:val="6"/>
          <w:w w:val="105"/>
        </w:rPr>
        <w:t>forfeited </w:t>
      </w:r>
      <w:r>
        <w:rPr>
          <w:w w:val="105"/>
        </w:rPr>
        <w:t>tickets.</w:t>
      </w:r>
    </w:p>
    <w:p>
      <w:pPr>
        <w:pStyle w:val="BodyText"/>
        <w:spacing w:line="254" w:lineRule="auto"/>
        <w:ind w:left="380" w:right="101" w:firstLine="280"/>
        <w:jc w:val="both"/>
      </w:pPr>
      <w:r>
        <w:rPr>
          <w:w w:val="105"/>
        </w:rPr>
        <w:t>Events and </w:t>
      </w:r>
      <w:r>
        <w:rPr>
          <w:spacing w:val="2"/>
          <w:w w:val="105"/>
        </w:rPr>
        <w:t>circumstances  outside  </w:t>
      </w:r>
      <w:r>
        <w:rPr>
          <w:spacing w:val="6"/>
          <w:w w:val="105"/>
        </w:rPr>
        <w:t>of  </w:t>
      </w:r>
      <w:r>
        <w:rPr>
          <w:w w:val="105"/>
        </w:rPr>
        <w:t>historical fare  sale  activity  or  </w:t>
      </w:r>
      <w:r>
        <w:rPr>
          <w:spacing w:val="4"/>
          <w:w w:val="105"/>
        </w:rPr>
        <w:t>historical  </w:t>
      </w:r>
      <w:r>
        <w:rPr>
          <w:w w:val="105"/>
        </w:rPr>
        <w:t>Customer travel patterns can result in </w:t>
      </w:r>
      <w:r>
        <w:rPr>
          <w:spacing w:val="5"/>
          <w:w w:val="105"/>
        </w:rPr>
        <w:t>actual </w:t>
      </w:r>
      <w:r>
        <w:rPr>
          <w:w w:val="105"/>
        </w:rPr>
        <w:t>refunds,  </w:t>
      </w:r>
      <w:r>
        <w:rPr>
          <w:spacing w:val="2"/>
          <w:w w:val="105"/>
        </w:rPr>
        <w:t>exchanges,   </w:t>
      </w:r>
      <w:r>
        <w:rPr>
          <w:w w:val="105"/>
        </w:rPr>
        <w:t>or   forfeited   tickets differing significantly from estimates; </w:t>
      </w:r>
      <w:r>
        <w:rPr>
          <w:spacing w:val="9"/>
          <w:w w:val="105"/>
        </w:rPr>
        <w:t>however, </w:t>
      </w:r>
      <w:r>
        <w:rPr>
          <w:w w:val="105"/>
        </w:rPr>
        <w:t>these </w:t>
      </w:r>
      <w:r>
        <w:rPr>
          <w:spacing w:val="2"/>
          <w:w w:val="105"/>
        </w:rPr>
        <w:t>differences have </w:t>
      </w:r>
      <w:r>
        <w:rPr>
          <w:w w:val="105"/>
        </w:rPr>
        <w:t>historically not </w:t>
      </w:r>
      <w:r>
        <w:rPr>
          <w:spacing w:val="16"/>
          <w:w w:val="105"/>
        </w:rPr>
        <w:t>been </w:t>
      </w:r>
      <w:r>
        <w:rPr>
          <w:w w:val="105"/>
        </w:rPr>
        <w:t>material. </w:t>
      </w:r>
      <w:r>
        <w:rPr>
          <w:spacing w:val="3"/>
          <w:w w:val="105"/>
        </w:rPr>
        <w:t>Additional </w:t>
      </w:r>
      <w:r>
        <w:rPr>
          <w:w w:val="105"/>
        </w:rPr>
        <w:t>factors that may </w:t>
      </w:r>
      <w:r>
        <w:rPr>
          <w:spacing w:val="4"/>
          <w:w w:val="105"/>
        </w:rPr>
        <w:t>affect </w:t>
      </w:r>
      <w:r>
        <w:rPr>
          <w:spacing w:val="2"/>
          <w:w w:val="105"/>
        </w:rPr>
        <w:t>estimated </w:t>
      </w:r>
      <w:r>
        <w:rPr>
          <w:w w:val="105"/>
        </w:rPr>
        <w:t>refunds include, but may not  </w:t>
      </w:r>
      <w:r>
        <w:rPr>
          <w:spacing w:val="12"/>
          <w:w w:val="105"/>
        </w:rPr>
        <w:t>be  </w:t>
      </w:r>
      <w:r>
        <w:rPr>
          <w:spacing w:val="2"/>
          <w:w w:val="105"/>
        </w:rPr>
        <w:t>limited  </w:t>
      </w:r>
      <w:r>
        <w:rPr>
          <w:w w:val="105"/>
        </w:rPr>
        <w:t>to,  the  Company’s   refund   </w:t>
      </w:r>
      <w:r>
        <w:rPr>
          <w:spacing w:val="11"/>
          <w:w w:val="105"/>
        </w:rPr>
        <w:t>and </w:t>
      </w:r>
      <w:r>
        <w:rPr>
          <w:spacing w:val="3"/>
          <w:w w:val="105"/>
        </w:rPr>
        <w:t>exchange </w:t>
      </w:r>
      <w:r>
        <w:rPr>
          <w:w w:val="105"/>
        </w:rPr>
        <w:t>policy, the mix of </w:t>
      </w:r>
      <w:r>
        <w:rPr>
          <w:spacing w:val="2"/>
          <w:w w:val="105"/>
        </w:rPr>
        <w:t>refundable </w:t>
      </w:r>
      <w:r>
        <w:rPr>
          <w:spacing w:val="12"/>
          <w:w w:val="105"/>
        </w:rPr>
        <w:t>and </w:t>
      </w:r>
      <w:r>
        <w:rPr>
          <w:spacing w:val="3"/>
          <w:w w:val="105"/>
        </w:rPr>
        <w:t>nonrefundable</w:t>
      </w:r>
      <w:r>
        <w:rPr>
          <w:spacing w:val="53"/>
          <w:w w:val="105"/>
        </w:rPr>
        <w:t> </w:t>
      </w:r>
      <w:r>
        <w:rPr>
          <w:w w:val="105"/>
        </w:rPr>
        <w:t>fares,  and  fare   sale   </w:t>
      </w:r>
      <w:r>
        <w:rPr>
          <w:spacing w:val="5"/>
          <w:w w:val="105"/>
        </w:rPr>
        <w:t>activity. </w:t>
      </w:r>
      <w:r>
        <w:rPr>
          <w:w w:val="105"/>
        </w:rPr>
        <w:t>The Company’s </w:t>
      </w:r>
      <w:r>
        <w:rPr>
          <w:spacing w:val="2"/>
          <w:w w:val="105"/>
        </w:rPr>
        <w:t>estimation </w:t>
      </w:r>
      <w:r>
        <w:rPr>
          <w:spacing w:val="3"/>
          <w:w w:val="105"/>
        </w:rPr>
        <w:t>techniques</w:t>
      </w:r>
      <w:r>
        <w:rPr>
          <w:spacing w:val="53"/>
          <w:w w:val="105"/>
        </w:rPr>
        <w:t> </w:t>
      </w:r>
      <w:r>
        <w:rPr>
          <w:spacing w:val="16"/>
          <w:w w:val="105"/>
        </w:rPr>
        <w:t>have  </w:t>
      </w:r>
      <w:r>
        <w:rPr>
          <w:spacing w:val="2"/>
          <w:w w:val="105"/>
        </w:rPr>
        <w:t>been </w:t>
      </w:r>
      <w:r>
        <w:rPr>
          <w:w w:val="105"/>
        </w:rPr>
        <w:t>consistently </w:t>
      </w:r>
      <w:r>
        <w:rPr>
          <w:spacing w:val="2"/>
          <w:w w:val="105"/>
        </w:rPr>
        <w:t>applied </w:t>
      </w:r>
      <w:r>
        <w:rPr>
          <w:w w:val="105"/>
        </w:rPr>
        <w:t>from year to </w:t>
      </w:r>
      <w:r>
        <w:rPr>
          <w:spacing w:val="4"/>
          <w:w w:val="105"/>
        </w:rPr>
        <w:t>year; </w:t>
      </w:r>
      <w:r>
        <w:rPr>
          <w:w w:val="105"/>
        </w:rPr>
        <w:t>however, as with any estimates, actual </w:t>
      </w:r>
      <w:r>
        <w:rPr>
          <w:spacing w:val="8"/>
          <w:w w:val="105"/>
        </w:rPr>
        <w:t>refund  </w:t>
      </w:r>
      <w:r>
        <w:rPr>
          <w:w w:val="105"/>
        </w:rPr>
        <w:t>and  </w:t>
      </w:r>
      <w:r>
        <w:rPr>
          <w:spacing w:val="3"/>
          <w:w w:val="105"/>
        </w:rPr>
        <w:t>exchange</w:t>
      </w:r>
      <w:r>
        <w:rPr>
          <w:spacing w:val="53"/>
          <w:w w:val="105"/>
        </w:rPr>
        <w:t> </w:t>
      </w:r>
      <w:r>
        <w:rPr>
          <w:w w:val="105"/>
        </w:rPr>
        <w:t>activity  may  vary   </w:t>
      </w:r>
      <w:r>
        <w:rPr>
          <w:spacing w:val="8"/>
          <w:w w:val="105"/>
        </w:rPr>
        <w:t>from </w:t>
      </w:r>
      <w:r>
        <w:rPr>
          <w:spacing w:val="3"/>
          <w:w w:val="105"/>
        </w:rPr>
        <w:t>estimated  </w:t>
      </w:r>
      <w:r>
        <w:rPr>
          <w:spacing w:val="5"/>
          <w:w w:val="105"/>
        </w:rPr>
        <w:t> </w:t>
      </w:r>
      <w:r>
        <w:rPr>
          <w:spacing w:val="4"/>
          <w:w w:val="105"/>
        </w:rPr>
        <w:t>amounts.</w:t>
      </w:r>
    </w:p>
    <w:p>
      <w:pPr>
        <w:pStyle w:val="BodyText"/>
        <w:spacing w:line="254" w:lineRule="auto"/>
        <w:ind w:left="380" w:right="108" w:firstLine="280"/>
        <w:jc w:val="both"/>
      </w:pPr>
      <w:r>
        <w:rPr>
          <w:w w:val="105"/>
        </w:rPr>
        <w:t>Subsequent to third  quarter  2001  and through second quarter 2002, the Company experienced a higher than  usual  mix  of  low- fare, nonrefundable ticket sales. The Company also experienced changes in Customer travel patterns  resulting   from   various   factors including new airport security  measures, concerns  about  further  terrorist   attacks,   and an uncertain economy. Consequently, the Company   recorded   $36   million   in  additional</w:t>
      </w:r>
    </w:p>
    <w:p>
      <w:pPr>
        <w:spacing w:after="0" w:line="254" w:lineRule="auto"/>
        <w:jc w:val="both"/>
        <w:sectPr>
          <w:headerReference w:type="default" r:id="rId118"/>
          <w:pgSz w:w="11520" w:h="14400"/>
          <w:pgMar w:header="0" w:footer="706" w:top="960" w:bottom="900" w:left="700" w:right="840"/>
          <w:cols w:num="2" w:equalWidth="0">
            <w:col w:w="4737" w:space="403"/>
            <w:col w:w="4840"/>
          </w:cols>
        </w:sectPr>
      </w:pPr>
    </w:p>
    <w:p>
      <w:pPr>
        <w:pStyle w:val="BodyText"/>
        <w:spacing w:line="254" w:lineRule="auto" w:before="69"/>
        <w:ind w:left="100" w:right="9"/>
        <w:jc w:val="both"/>
      </w:pPr>
      <w:r>
        <w:rPr>
          <w:w w:val="110"/>
        </w:rPr>
        <w:t>passenger revenue in second quarter 2002 as Customers required fewer refunds and exchanges, resulting in more forfeited   tickets.</w:t>
      </w:r>
    </w:p>
    <w:p>
      <w:pPr>
        <w:pStyle w:val="BodyText"/>
        <w:spacing w:line="254" w:lineRule="auto"/>
        <w:ind w:left="100" w:firstLine="280"/>
        <w:jc w:val="both"/>
      </w:pPr>
      <w:r>
        <w:rPr>
          <w:w w:val="105"/>
        </w:rPr>
        <w:t>While actual results may vary from these estimates, the Company believes it  is  unlikely that materially different estimates for future refunds,  exchanges,   and   forfeited   tickets  would be reported based on other reasonable assumptions   or   conditions   suggested    by actual historical experience and other data available  at  the  time  estimates  were   made.</w:t>
      </w:r>
    </w:p>
    <w:p>
      <w:pPr>
        <w:pStyle w:val="BodyText"/>
        <w:spacing w:before="4"/>
        <w:rPr>
          <w:sz w:val="21"/>
        </w:rPr>
      </w:pPr>
    </w:p>
    <w:p>
      <w:pPr>
        <w:pStyle w:val="BodyText"/>
        <w:spacing w:line="254" w:lineRule="auto"/>
        <w:ind w:left="100" w:firstLine="280"/>
        <w:jc w:val="both"/>
      </w:pPr>
      <w:r>
        <w:rPr>
          <w:i/>
          <w:w w:val="105"/>
        </w:rPr>
        <w:t>Frequent Flyer </w:t>
      </w:r>
      <w:r>
        <w:rPr>
          <w:i/>
          <w:spacing w:val="6"/>
          <w:w w:val="105"/>
        </w:rPr>
        <w:t>Program. </w:t>
      </w:r>
      <w:r>
        <w:rPr>
          <w:w w:val="105"/>
        </w:rPr>
        <w:t>The  </w:t>
      </w:r>
      <w:r>
        <w:rPr>
          <w:spacing w:val="9"/>
          <w:w w:val="105"/>
        </w:rPr>
        <w:t>Company </w:t>
      </w:r>
      <w:r>
        <w:rPr>
          <w:w w:val="105"/>
        </w:rPr>
        <w:t>accrues the </w:t>
      </w:r>
      <w:r>
        <w:rPr>
          <w:spacing w:val="2"/>
          <w:w w:val="105"/>
        </w:rPr>
        <w:t>estimated incremental </w:t>
      </w:r>
      <w:r>
        <w:rPr>
          <w:w w:val="105"/>
        </w:rPr>
        <w:t>cost </w:t>
      </w:r>
      <w:r>
        <w:rPr>
          <w:spacing w:val="5"/>
          <w:w w:val="105"/>
        </w:rPr>
        <w:t>of </w:t>
      </w:r>
      <w:r>
        <w:rPr>
          <w:spacing w:val="3"/>
          <w:w w:val="105"/>
        </w:rPr>
        <w:t>providing </w:t>
      </w:r>
      <w:r>
        <w:rPr>
          <w:w w:val="105"/>
        </w:rPr>
        <w:t>free travel  for  awards  </w:t>
      </w:r>
      <w:r>
        <w:rPr>
          <w:spacing w:val="2"/>
          <w:w w:val="105"/>
        </w:rPr>
        <w:t>earned  </w:t>
      </w:r>
      <w:r>
        <w:rPr>
          <w:spacing w:val="11"/>
          <w:w w:val="105"/>
        </w:rPr>
        <w:t>under </w:t>
      </w:r>
      <w:r>
        <w:rPr>
          <w:w w:val="105"/>
        </w:rPr>
        <w:t>its Rapid Rewards frequent flyer program. </w:t>
      </w:r>
      <w:r>
        <w:rPr>
          <w:spacing w:val="8"/>
          <w:w w:val="105"/>
        </w:rPr>
        <w:t>The </w:t>
      </w:r>
      <w:r>
        <w:rPr>
          <w:spacing w:val="2"/>
          <w:w w:val="105"/>
        </w:rPr>
        <w:t>Company </w:t>
      </w:r>
      <w:r>
        <w:rPr>
          <w:w w:val="105"/>
        </w:rPr>
        <w:t>also </w:t>
      </w:r>
      <w:r>
        <w:rPr>
          <w:spacing w:val="-3"/>
          <w:w w:val="105"/>
        </w:rPr>
        <w:t>sells </w:t>
      </w:r>
      <w:r>
        <w:rPr>
          <w:w w:val="105"/>
        </w:rPr>
        <w:t>frequent flyer credits </w:t>
      </w:r>
      <w:r>
        <w:rPr>
          <w:spacing w:val="12"/>
          <w:w w:val="105"/>
        </w:rPr>
        <w:t>and </w:t>
      </w:r>
      <w:r>
        <w:rPr>
          <w:w w:val="105"/>
        </w:rPr>
        <w:t>related services  to  </w:t>
      </w:r>
      <w:r>
        <w:rPr>
          <w:spacing w:val="3"/>
          <w:w w:val="105"/>
        </w:rPr>
        <w:t>companies</w:t>
      </w:r>
      <w:r>
        <w:rPr>
          <w:spacing w:val="53"/>
          <w:w w:val="105"/>
        </w:rPr>
        <w:t> </w:t>
      </w:r>
      <w:r>
        <w:rPr>
          <w:spacing w:val="2"/>
          <w:w w:val="105"/>
        </w:rPr>
        <w:t>participating  </w:t>
      </w:r>
      <w:r>
        <w:rPr>
          <w:spacing w:val="12"/>
          <w:w w:val="105"/>
        </w:rPr>
        <w:t>in </w:t>
      </w:r>
      <w:r>
        <w:rPr>
          <w:w w:val="105"/>
        </w:rPr>
        <w:t>its  Rapid  Rewards  frequent  flyer  </w:t>
      </w:r>
      <w:r>
        <w:rPr>
          <w:spacing w:val="6"/>
          <w:w w:val="105"/>
        </w:rPr>
        <w:t>program. </w:t>
      </w:r>
      <w:r>
        <w:rPr>
          <w:w w:val="105"/>
        </w:rPr>
        <w:t>Funds received from the sale of flight </w:t>
      </w:r>
      <w:r>
        <w:rPr>
          <w:spacing w:val="7"/>
          <w:w w:val="105"/>
        </w:rPr>
        <w:t>segment </w:t>
      </w:r>
      <w:r>
        <w:rPr>
          <w:w w:val="105"/>
        </w:rPr>
        <w:t>credits and </w:t>
      </w:r>
      <w:r>
        <w:rPr>
          <w:spacing w:val="2"/>
          <w:w w:val="105"/>
        </w:rPr>
        <w:t>associated </w:t>
      </w:r>
      <w:r>
        <w:rPr>
          <w:w w:val="105"/>
        </w:rPr>
        <w:t>with future travel </w:t>
      </w:r>
      <w:r>
        <w:rPr>
          <w:spacing w:val="6"/>
          <w:w w:val="105"/>
        </w:rPr>
        <w:t>are </w:t>
      </w:r>
      <w:r>
        <w:rPr>
          <w:spacing w:val="2"/>
          <w:w w:val="105"/>
        </w:rPr>
        <w:t>deferred  </w:t>
      </w:r>
      <w:r>
        <w:rPr>
          <w:w w:val="105"/>
        </w:rPr>
        <w:t>and   </w:t>
      </w:r>
      <w:r>
        <w:rPr>
          <w:spacing w:val="2"/>
          <w:w w:val="105"/>
        </w:rPr>
        <w:t>recognized   </w:t>
      </w:r>
      <w:r>
        <w:rPr>
          <w:w w:val="105"/>
        </w:rPr>
        <w:t>as   </w:t>
      </w:r>
      <w:r>
        <w:rPr>
          <w:spacing w:val="5"/>
          <w:w w:val="105"/>
        </w:rPr>
        <w:t>Passenger </w:t>
      </w:r>
      <w:r>
        <w:rPr>
          <w:spacing w:val="2"/>
          <w:w w:val="105"/>
        </w:rPr>
        <w:t>revenue when </w:t>
      </w:r>
      <w:r>
        <w:rPr>
          <w:w w:val="105"/>
        </w:rPr>
        <w:t>the ultimate free travel  </w:t>
      </w:r>
      <w:r>
        <w:rPr>
          <w:spacing w:val="7"/>
          <w:w w:val="105"/>
        </w:rPr>
        <w:t>awards </w:t>
      </w:r>
      <w:r>
        <w:rPr>
          <w:w w:val="105"/>
        </w:rPr>
        <w:t>are flown  or  the  credits  </w:t>
      </w:r>
      <w:r>
        <w:rPr>
          <w:spacing w:val="2"/>
          <w:w w:val="105"/>
        </w:rPr>
        <w:t>expire  unused.  </w:t>
      </w:r>
      <w:r>
        <w:rPr>
          <w:spacing w:val="6"/>
          <w:w w:val="105"/>
        </w:rPr>
        <w:t>See </w:t>
      </w:r>
      <w:r>
        <w:rPr>
          <w:w w:val="105"/>
        </w:rPr>
        <w:t>Note 2 for </w:t>
      </w:r>
      <w:r>
        <w:rPr>
          <w:spacing w:val="3"/>
          <w:w w:val="105"/>
        </w:rPr>
        <w:t>additional information </w:t>
      </w:r>
      <w:r>
        <w:rPr>
          <w:w w:val="105"/>
        </w:rPr>
        <w:t>on </w:t>
      </w:r>
      <w:r>
        <w:rPr>
          <w:spacing w:val="7"/>
          <w:w w:val="105"/>
        </w:rPr>
        <w:t>frequent </w:t>
      </w:r>
      <w:r>
        <w:rPr>
          <w:w w:val="105"/>
        </w:rPr>
        <w:t>flyer  program </w:t>
      </w:r>
      <w:r>
        <w:rPr>
          <w:spacing w:val="8"/>
          <w:w w:val="105"/>
        </w:rPr>
        <w:t> </w:t>
      </w:r>
      <w:r>
        <w:rPr>
          <w:w w:val="105"/>
        </w:rPr>
        <w:t>accounting.</w:t>
      </w:r>
    </w:p>
    <w:p>
      <w:pPr>
        <w:pStyle w:val="BodyText"/>
        <w:spacing w:line="254" w:lineRule="auto" w:before="69"/>
        <w:ind w:left="100" w:right="107" w:firstLine="280"/>
        <w:jc w:val="both"/>
      </w:pPr>
      <w:r>
        <w:rPr/>
        <w:br w:type="column"/>
      </w:r>
      <w:r>
        <w:rPr>
          <w:i/>
          <w:w w:val="110"/>
        </w:rPr>
        <w:t>Advertising. </w:t>
      </w:r>
      <w:r>
        <w:rPr>
          <w:w w:val="110"/>
        </w:rPr>
        <w:t>The Company expenses the costs of advertising as incurred. Advertising expense for the years ended December 31, 2002,   2001,   and   2000   was  $156.4  million,</w:t>
      </w:r>
    </w:p>
    <w:p>
      <w:pPr>
        <w:pStyle w:val="BodyText"/>
        <w:tabs>
          <w:tab w:pos="1079" w:val="left" w:leader="none"/>
          <w:tab w:pos="2079" w:val="left" w:leader="none"/>
          <w:tab w:pos="2759" w:val="left" w:leader="none"/>
          <w:tab w:pos="3759" w:val="left" w:leader="none"/>
        </w:tabs>
        <w:spacing w:line="254" w:lineRule="auto"/>
        <w:ind w:left="100" w:right="107"/>
      </w:pPr>
      <w:r>
        <w:rPr>
          <w:w w:val="110"/>
        </w:rPr>
        <w:t>$147.6</w:t>
        <w:tab/>
      </w:r>
      <w:r>
        <w:rPr>
          <w:spacing w:val="6"/>
          <w:w w:val="110"/>
        </w:rPr>
        <w:t>million,</w:t>
        <w:tab/>
      </w:r>
      <w:r>
        <w:rPr>
          <w:spacing w:val="8"/>
          <w:w w:val="110"/>
        </w:rPr>
        <w:t>and</w:t>
        <w:tab/>
      </w:r>
      <w:r>
        <w:rPr>
          <w:w w:val="110"/>
        </w:rPr>
        <w:t>$141.3</w:t>
        <w:tab/>
      </w:r>
      <w:r>
        <w:rPr>
          <w:spacing w:val="7"/>
          <w:w w:val="105"/>
        </w:rPr>
        <w:t>million, </w:t>
      </w:r>
      <w:r>
        <w:rPr>
          <w:spacing w:val="4"/>
          <w:w w:val="110"/>
        </w:rPr>
        <w:t>respectively.</w:t>
      </w:r>
    </w:p>
    <w:p>
      <w:pPr>
        <w:pStyle w:val="BodyText"/>
        <w:spacing w:before="4"/>
        <w:rPr>
          <w:sz w:val="21"/>
        </w:rPr>
      </w:pPr>
    </w:p>
    <w:p>
      <w:pPr>
        <w:pStyle w:val="BodyText"/>
        <w:spacing w:line="254" w:lineRule="auto"/>
        <w:ind w:left="100" w:right="103" w:firstLine="280"/>
        <w:jc w:val="both"/>
      </w:pPr>
      <w:r>
        <w:rPr>
          <w:i/>
          <w:w w:val="105"/>
        </w:rPr>
        <w:t>Stock-Based Employee </w:t>
      </w:r>
      <w:r>
        <w:rPr>
          <w:i/>
          <w:spacing w:val="3"/>
          <w:w w:val="105"/>
        </w:rPr>
        <w:t>Compensation. </w:t>
      </w:r>
      <w:r>
        <w:rPr>
          <w:spacing w:val="12"/>
          <w:w w:val="105"/>
        </w:rPr>
        <w:t>The </w:t>
      </w:r>
      <w:r>
        <w:rPr>
          <w:spacing w:val="2"/>
          <w:w w:val="105"/>
        </w:rPr>
        <w:t>Company   </w:t>
      </w:r>
      <w:r>
        <w:rPr>
          <w:w w:val="105"/>
        </w:rPr>
        <w:t>has   stock-based    </w:t>
      </w:r>
      <w:r>
        <w:rPr>
          <w:spacing w:val="9"/>
          <w:w w:val="105"/>
        </w:rPr>
        <w:t>compensation </w:t>
      </w:r>
      <w:r>
        <w:rPr>
          <w:w w:val="105"/>
        </w:rPr>
        <w:t>plans </w:t>
      </w:r>
      <w:r>
        <w:rPr>
          <w:spacing w:val="2"/>
          <w:w w:val="105"/>
        </w:rPr>
        <w:t>covering </w:t>
      </w:r>
      <w:r>
        <w:rPr>
          <w:w w:val="105"/>
        </w:rPr>
        <w:t>the majority of its </w:t>
      </w:r>
      <w:r>
        <w:rPr>
          <w:spacing w:val="8"/>
          <w:w w:val="105"/>
        </w:rPr>
        <w:t>Employee </w:t>
      </w:r>
      <w:r>
        <w:rPr>
          <w:w w:val="105"/>
        </w:rPr>
        <w:t>groups,  </w:t>
      </w:r>
      <w:r>
        <w:rPr>
          <w:spacing w:val="2"/>
          <w:w w:val="105"/>
        </w:rPr>
        <w:t>including  </w:t>
      </w:r>
      <w:r>
        <w:rPr>
          <w:w w:val="105"/>
        </w:rPr>
        <w:t>a  plan  </w:t>
      </w:r>
      <w:r>
        <w:rPr>
          <w:spacing w:val="2"/>
          <w:w w:val="105"/>
        </w:rPr>
        <w:t>covering   </w:t>
      </w:r>
      <w:r>
        <w:rPr>
          <w:spacing w:val="6"/>
          <w:w w:val="105"/>
        </w:rPr>
        <w:t>the </w:t>
      </w:r>
      <w:r>
        <w:rPr>
          <w:w w:val="105"/>
        </w:rPr>
        <w:t>Company’s  Board  of  Directors   and   </w:t>
      </w:r>
      <w:r>
        <w:rPr>
          <w:spacing w:val="6"/>
          <w:w w:val="105"/>
        </w:rPr>
        <w:t>plans </w:t>
      </w:r>
      <w:r>
        <w:rPr>
          <w:spacing w:val="2"/>
          <w:w w:val="105"/>
        </w:rPr>
        <w:t>related </w:t>
      </w:r>
      <w:r>
        <w:rPr>
          <w:w w:val="105"/>
        </w:rPr>
        <w:t>to </w:t>
      </w:r>
      <w:r>
        <w:rPr>
          <w:spacing w:val="8"/>
          <w:w w:val="105"/>
        </w:rPr>
        <w:t>employment </w:t>
      </w:r>
      <w:r>
        <w:rPr>
          <w:spacing w:val="3"/>
          <w:w w:val="105"/>
        </w:rPr>
        <w:t>contracts </w:t>
      </w:r>
      <w:r>
        <w:rPr>
          <w:spacing w:val="4"/>
          <w:w w:val="105"/>
        </w:rPr>
        <w:t>with </w:t>
      </w:r>
      <w:r>
        <w:rPr>
          <w:spacing w:val="6"/>
          <w:w w:val="105"/>
        </w:rPr>
        <w:t>certain </w:t>
      </w:r>
      <w:r>
        <w:rPr>
          <w:spacing w:val="7"/>
          <w:w w:val="105"/>
        </w:rPr>
        <w:t>Executive </w:t>
      </w:r>
      <w:r>
        <w:rPr>
          <w:spacing w:val="4"/>
          <w:w w:val="105"/>
        </w:rPr>
        <w:t>Officers </w:t>
      </w:r>
      <w:r>
        <w:rPr>
          <w:spacing w:val="6"/>
          <w:w w:val="105"/>
        </w:rPr>
        <w:t>of</w:t>
      </w:r>
      <w:r>
        <w:rPr>
          <w:spacing w:val="59"/>
          <w:w w:val="105"/>
        </w:rPr>
        <w:t> </w:t>
      </w:r>
      <w:r>
        <w:rPr>
          <w:spacing w:val="2"/>
          <w:w w:val="105"/>
        </w:rPr>
        <w:t>the </w:t>
      </w:r>
      <w:r>
        <w:rPr>
          <w:spacing w:val="7"/>
          <w:w w:val="105"/>
        </w:rPr>
        <w:t>Company. </w:t>
      </w:r>
      <w:r>
        <w:rPr>
          <w:spacing w:val="8"/>
          <w:w w:val="105"/>
        </w:rPr>
        <w:t>The Company </w:t>
      </w:r>
      <w:r>
        <w:rPr>
          <w:spacing w:val="6"/>
          <w:w w:val="105"/>
        </w:rPr>
        <w:t>accounts </w:t>
      </w:r>
      <w:r>
        <w:rPr>
          <w:spacing w:val="4"/>
          <w:w w:val="105"/>
        </w:rPr>
        <w:t>for </w:t>
      </w:r>
      <w:r>
        <w:rPr>
          <w:spacing w:val="3"/>
          <w:w w:val="105"/>
        </w:rPr>
        <w:t>stock-based </w:t>
      </w:r>
      <w:r>
        <w:rPr>
          <w:spacing w:val="11"/>
          <w:w w:val="105"/>
        </w:rPr>
        <w:t>compen- </w:t>
      </w:r>
      <w:r>
        <w:rPr>
          <w:spacing w:val="4"/>
          <w:w w:val="105"/>
        </w:rPr>
        <w:t>sation utilizing </w:t>
      </w:r>
      <w:r>
        <w:rPr>
          <w:spacing w:val="2"/>
          <w:w w:val="105"/>
        </w:rPr>
        <w:t>the </w:t>
      </w:r>
      <w:r>
        <w:rPr>
          <w:spacing w:val="5"/>
          <w:w w:val="105"/>
        </w:rPr>
        <w:t>intrinsic value </w:t>
      </w:r>
      <w:r>
        <w:rPr>
          <w:spacing w:val="8"/>
          <w:w w:val="105"/>
        </w:rPr>
        <w:t>method </w:t>
      </w:r>
      <w:r>
        <w:rPr>
          <w:spacing w:val="12"/>
          <w:w w:val="105"/>
        </w:rPr>
        <w:t>in </w:t>
      </w:r>
      <w:r>
        <w:rPr>
          <w:spacing w:val="6"/>
          <w:w w:val="105"/>
        </w:rPr>
        <w:t>accordance </w:t>
      </w:r>
      <w:r>
        <w:rPr>
          <w:spacing w:val="4"/>
          <w:w w:val="105"/>
        </w:rPr>
        <w:t>with </w:t>
      </w:r>
      <w:r>
        <w:rPr>
          <w:spacing w:val="2"/>
          <w:w w:val="105"/>
        </w:rPr>
        <w:t>the </w:t>
      </w:r>
      <w:r>
        <w:rPr>
          <w:spacing w:val="7"/>
          <w:w w:val="105"/>
        </w:rPr>
        <w:t>provisions </w:t>
      </w:r>
      <w:r>
        <w:rPr>
          <w:spacing w:val="6"/>
          <w:w w:val="105"/>
        </w:rPr>
        <w:t>of </w:t>
      </w:r>
      <w:r>
        <w:rPr>
          <w:spacing w:val="8"/>
          <w:w w:val="105"/>
        </w:rPr>
        <w:t>Accounting </w:t>
      </w:r>
      <w:r>
        <w:rPr>
          <w:spacing w:val="6"/>
          <w:w w:val="105"/>
        </w:rPr>
        <w:t>Principles </w:t>
      </w:r>
      <w:r>
        <w:rPr>
          <w:spacing w:val="3"/>
          <w:w w:val="105"/>
        </w:rPr>
        <w:t>Board </w:t>
      </w:r>
      <w:r>
        <w:rPr>
          <w:spacing w:val="9"/>
          <w:w w:val="105"/>
        </w:rPr>
        <w:t>Opinion </w:t>
      </w:r>
      <w:r>
        <w:rPr>
          <w:spacing w:val="6"/>
          <w:w w:val="105"/>
        </w:rPr>
        <w:t>No.</w:t>
      </w:r>
      <w:r>
        <w:rPr>
          <w:spacing w:val="59"/>
          <w:w w:val="105"/>
        </w:rPr>
        <w:t> </w:t>
      </w:r>
      <w:r>
        <w:rPr>
          <w:w w:val="105"/>
        </w:rPr>
        <w:t>25 </w:t>
      </w:r>
      <w:r>
        <w:rPr>
          <w:spacing w:val="4"/>
          <w:w w:val="105"/>
        </w:rPr>
        <w:t>(APB </w:t>
      </w:r>
      <w:r>
        <w:rPr>
          <w:w w:val="105"/>
        </w:rPr>
        <w:t>25), </w:t>
      </w:r>
      <w:r>
        <w:rPr>
          <w:spacing w:val="7"/>
          <w:w w:val="105"/>
        </w:rPr>
        <w:t>“Accounting </w:t>
      </w:r>
      <w:r>
        <w:rPr>
          <w:spacing w:val="4"/>
          <w:w w:val="105"/>
        </w:rPr>
        <w:t>for </w:t>
      </w:r>
      <w:r>
        <w:rPr>
          <w:w w:val="105"/>
        </w:rPr>
        <w:t>Stock </w:t>
      </w:r>
      <w:r>
        <w:rPr>
          <w:spacing w:val="4"/>
          <w:w w:val="105"/>
        </w:rPr>
        <w:t>Issued  </w:t>
      </w:r>
      <w:r>
        <w:rPr>
          <w:w w:val="105"/>
        </w:rPr>
        <w:t>to  </w:t>
      </w:r>
      <w:r>
        <w:rPr>
          <w:spacing w:val="5"/>
          <w:w w:val="105"/>
        </w:rPr>
        <w:t>Employees” </w:t>
      </w:r>
      <w:r>
        <w:rPr>
          <w:spacing w:val="8"/>
          <w:w w:val="105"/>
        </w:rPr>
        <w:t>and </w:t>
      </w:r>
      <w:r>
        <w:rPr>
          <w:spacing w:val="2"/>
          <w:w w:val="105"/>
        </w:rPr>
        <w:t>related </w:t>
      </w:r>
      <w:r>
        <w:rPr>
          <w:spacing w:val="5"/>
          <w:w w:val="105"/>
        </w:rPr>
        <w:t>Interpretations. </w:t>
      </w:r>
      <w:r>
        <w:rPr>
          <w:w w:val="105"/>
        </w:rPr>
        <w:t>Accordingly, </w:t>
      </w:r>
      <w:r>
        <w:rPr>
          <w:spacing w:val="12"/>
          <w:w w:val="105"/>
        </w:rPr>
        <w:t>no </w:t>
      </w:r>
      <w:r>
        <w:rPr>
          <w:spacing w:val="2"/>
          <w:w w:val="105"/>
        </w:rPr>
        <w:t>compensation expense </w:t>
      </w:r>
      <w:r>
        <w:rPr>
          <w:w w:val="105"/>
        </w:rPr>
        <w:t>is </w:t>
      </w:r>
      <w:r>
        <w:rPr>
          <w:spacing w:val="2"/>
          <w:w w:val="105"/>
        </w:rPr>
        <w:t>recognized </w:t>
      </w:r>
      <w:r>
        <w:rPr>
          <w:w w:val="105"/>
        </w:rPr>
        <w:t>for </w:t>
      </w:r>
      <w:r>
        <w:rPr>
          <w:spacing w:val="12"/>
          <w:w w:val="105"/>
        </w:rPr>
        <w:t>fixed </w:t>
      </w:r>
      <w:r>
        <w:rPr>
          <w:spacing w:val="2"/>
          <w:w w:val="105"/>
        </w:rPr>
        <w:t>option </w:t>
      </w:r>
      <w:r>
        <w:rPr>
          <w:w w:val="105"/>
        </w:rPr>
        <w:t>plans </w:t>
      </w:r>
      <w:r>
        <w:rPr>
          <w:spacing w:val="2"/>
          <w:w w:val="105"/>
        </w:rPr>
        <w:t>because </w:t>
      </w:r>
      <w:r>
        <w:rPr>
          <w:w w:val="105"/>
        </w:rPr>
        <w:t>the </w:t>
      </w:r>
      <w:r>
        <w:rPr>
          <w:spacing w:val="2"/>
          <w:w w:val="105"/>
        </w:rPr>
        <w:t>exercise </w:t>
      </w:r>
      <w:r>
        <w:rPr>
          <w:w w:val="105"/>
        </w:rPr>
        <w:t>prices </w:t>
      </w:r>
      <w:r>
        <w:rPr>
          <w:spacing w:val="6"/>
          <w:w w:val="105"/>
        </w:rPr>
        <w:t>of </w:t>
      </w:r>
      <w:r>
        <w:rPr>
          <w:spacing w:val="2"/>
          <w:w w:val="105"/>
        </w:rPr>
        <w:t>Employee </w:t>
      </w:r>
      <w:r>
        <w:rPr>
          <w:w w:val="105"/>
        </w:rPr>
        <w:t>stock options equal or </w:t>
      </w:r>
      <w:r>
        <w:rPr>
          <w:spacing w:val="3"/>
          <w:w w:val="105"/>
        </w:rPr>
        <w:t>exceed </w:t>
      </w:r>
      <w:r>
        <w:rPr>
          <w:spacing w:val="6"/>
          <w:w w:val="105"/>
        </w:rPr>
        <w:t>the </w:t>
      </w:r>
      <w:r>
        <w:rPr>
          <w:w w:val="105"/>
        </w:rPr>
        <w:t>market prices of the underlying stock  on  </w:t>
      </w:r>
      <w:r>
        <w:rPr>
          <w:spacing w:val="6"/>
          <w:w w:val="105"/>
        </w:rPr>
        <w:t>the </w:t>
      </w:r>
      <w:r>
        <w:rPr>
          <w:w w:val="105"/>
        </w:rPr>
        <w:t>dates  of  grant.  </w:t>
      </w:r>
      <w:r>
        <w:rPr>
          <w:spacing w:val="3"/>
          <w:w w:val="105"/>
        </w:rPr>
        <w:t>Compensation</w:t>
      </w:r>
      <w:r>
        <w:rPr>
          <w:spacing w:val="53"/>
          <w:w w:val="105"/>
        </w:rPr>
        <w:t> </w:t>
      </w:r>
      <w:r>
        <w:rPr>
          <w:spacing w:val="3"/>
          <w:w w:val="105"/>
        </w:rPr>
        <w:t>expense</w:t>
      </w:r>
      <w:r>
        <w:rPr>
          <w:spacing w:val="53"/>
          <w:w w:val="105"/>
        </w:rPr>
        <w:t> </w:t>
      </w:r>
      <w:r>
        <w:rPr>
          <w:spacing w:val="4"/>
          <w:w w:val="105"/>
        </w:rPr>
        <w:t>for </w:t>
      </w:r>
      <w:r>
        <w:rPr>
          <w:w w:val="105"/>
        </w:rPr>
        <w:t>other  stock  options  is  not</w:t>
      </w:r>
      <w:r>
        <w:rPr>
          <w:spacing w:val="39"/>
          <w:w w:val="105"/>
        </w:rPr>
        <w:t> </w:t>
      </w:r>
      <w:r>
        <w:rPr>
          <w:w w:val="105"/>
        </w:rPr>
        <w:t>material.</w:t>
      </w:r>
    </w:p>
    <w:p>
      <w:pPr>
        <w:spacing w:after="0" w:line="254" w:lineRule="auto"/>
        <w:jc w:val="both"/>
        <w:sectPr>
          <w:headerReference w:type="default" r:id="rId119"/>
          <w:footerReference w:type="default" r:id="rId120"/>
          <w:footerReference w:type="even" r:id="rId121"/>
          <w:pgSz w:w="11520" w:h="14400"/>
          <w:pgMar w:header="0" w:footer="706" w:top="960" w:bottom="900" w:left="980" w:right="840"/>
          <w:pgNumType w:start="35"/>
          <w:cols w:num="2" w:equalWidth="0">
            <w:col w:w="4452" w:space="688"/>
            <w:col w:w="4560"/>
          </w:cols>
        </w:sectPr>
      </w:pPr>
    </w:p>
    <w:p>
      <w:pPr>
        <w:pStyle w:val="BodyText"/>
        <w:spacing w:line="254" w:lineRule="auto" w:before="69"/>
        <w:ind w:left="380" w:firstLine="280"/>
        <w:jc w:val="both"/>
      </w:pPr>
      <w:r>
        <w:rPr>
          <w:w w:val="105"/>
        </w:rPr>
        <w:t>The following table represents the effect  on net income and earnings per share  if  the Company had applied the fair value based method      and      recognition      provisions      of</w:t>
      </w:r>
    </w:p>
    <w:p>
      <w:pPr>
        <w:pStyle w:val="BodyText"/>
        <w:spacing w:line="254" w:lineRule="auto" w:before="69"/>
        <w:ind w:left="380" w:right="149"/>
        <w:jc w:val="both"/>
      </w:pPr>
      <w:r>
        <w:rPr/>
        <w:br w:type="column"/>
      </w:r>
      <w:r>
        <w:rPr>
          <w:w w:val="110"/>
        </w:rPr>
        <w:t>Statement of Financial Accounting Standards (SFAS) No. 123, “Accounting for Stock-Based Compensation,” to stock-based Employee compensation:</w:t>
      </w:r>
    </w:p>
    <w:p>
      <w:pPr>
        <w:spacing w:after="0" w:line="254" w:lineRule="auto"/>
        <w:jc w:val="both"/>
        <w:sectPr>
          <w:headerReference w:type="default" r:id="rId122"/>
          <w:pgSz w:w="11520" w:h="14400"/>
          <w:pgMar w:header="0" w:footer="706" w:top="960" w:bottom="900" w:left="700" w:right="800"/>
          <w:cols w:num="2" w:equalWidth="0">
            <w:col w:w="4732" w:space="408"/>
            <w:col w:w="4880"/>
          </w:cols>
        </w:sectPr>
      </w:pPr>
    </w:p>
    <w:p>
      <w:pPr>
        <w:pStyle w:val="BodyText"/>
        <w:spacing w:before="9"/>
        <w:rPr>
          <w:sz w:val="19"/>
        </w:rPr>
      </w:pPr>
    </w:p>
    <w:tbl>
      <w:tblPr>
        <w:tblW w:w="0" w:type="auto"/>
        <w:jc w:val="left"/>
        <w:tblInd w:w="2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983"/>
        <w:gridCol w:w="2067"/>
        <w:gridCol w:w="2040"/>
        <w:gridCol w:w="1623"/>
      </w:tblGrid>
      <w:tr>
        <w:trPr>
          <w:trHeight w:val="280" w:hRule="exact"/>
        </w:trPr>
        <w:tc>
          <w:tcPr>
            <w:tcW w:w="3983" w:type="dxa"/>
            <w:tcBorders>
              <w:top w:val="single" w:sz="8" w:space="0" w:color="000000"/>
              <w:bottom w:val="single" w:sz="8" w:space="0" w:color="000000"/>
            </w:tcBorders>
          </w:tcPr>
          <w:p>
            <w:pPr>
              <w:pStyle w:val="TableParagraph"/>
              <w:spacing w:before="67"/>
              <w:ind w:left="140"/>
              <w:rPr>
                <w:i/>
                <w:sz w:val="16"/>
              </w:rPr>
            </w:pPr>
            <w:r>
              <w:rPr>
                <w:i/>
                <w:w w:val="105"/>
                <w:sz w:val="16"/>
              </w:rPr>
              <w:t>(In  thousands,  except  per  share  amounts)</w:t>
            </w:r>
          </w:p>
        </w:tc>
        <w:tc>
          <w:tcPr>
            <w:tcW w:w="2067" w:type="dxa"/>
            <w:tcBorders>
              <w:top w:val="single" w:sz="8" w:space="0" w:color="000000"/>
              <w:bottom w:val="single" w:sz="8" w:space="0" w:color="000000"/>
            </w:tcBorders>
          </w:tcPr>
          <w:p>
            <w:pPr>
              <w:pStyle w:val="TableParagraph"/>
              <w:spacing w:before="36"/>
              <w:ind w:left="765" w:right="792"/>
              <w:jc w:val="center"/>
              <w:rPr>
                <w:rFonts w:ascii="Franklin Gothic Medium"/>
                <w:sz w:val="20"/>
              </w:rPr>
            </w:pPr>
            <w:r>
              <w:rPr>
                <w:rFonts w:ascii="Franklin Gothic Medium"/>
                <w:sz w:val="20"/>
              </w:rPr>
              <w:t>2002</w:t>
            </w:r>
          </w:p>
        </w:tc>
        <w:tc>
          <w:tcPr>
            <w:tcW w:w="2040" w:type="dxa"/>
            <w:tcBorders>
              <w:top w:val="single" w:sz="8" w:space="0" w:color="000000"/>
              <w:bottom w:val="single" w:sz="8" w:space="0" w:color="000000"/>
            </w:tcBorders>
          </w:tcPr>
          <w:p>
            <w:pPr>
              <w:pStyle w:val="TableParagraph"/>
              <w:spacing w:before="36"/>
              <w:ind w:left="718" w:right="812"/>
              <w:jc w:val="center"/>
              <w:rPr>
                <w:rFonts w:ascii="Franklin Gothic Medium"/>
                <w:sz w:val="20"/>
              </w:rPr>
            </w:pPr>
            <w:r>
              <w:rPr>
                <w:rFonts w:ascii="Franklin Gothic Medium"/>
                <w:sz w:val="20"/>
              </w:rPr>
              <w:t>2001</w:t>
            </w:r>
          </w:p>
        </w:tc>
        <w:tc>
          <w:tcPr>
            <w:tcW w:w="1623" w:type="dxa"/>
            <w:tcBorders>
              <w:top w:val="single" w:sz="8" w:space="0" w:color="000000"/>
              <w:bottom w:val="single" w:sz="8" w:space="0" w:color="000000"/>
            </w:tcBorders>
          </w:tcPr>
          <w:p>
            <w:pPr>
              <w:pStyle w:val="TableParagraph"/>
              <w:spacing w:before="36"/>
              <w:jc w:val="center"/>
              <w:rPr>
                <w:rFonts w:ascii="Franklin Gothic Medium"/>
                <w:sz w:val="20"/>
              </w:rPr>
            </w:pPr>
            <w:r>
              <w:rPr>
                <w:rFonts w:ascii="Franklin Gothic Medium"/>
                <w:sz w:val="20"/>
              </w:rPr>
              <w:t>2000</w:t>
            </w:r>
          </w:p>
        </w:tc>
      </w:tr>
      <w:tr>
        <w:trPr>
          <w:trHeight w:val="1440" w:hRule="exact"/>
        </w:trPr>
        <w:tc>
          <w:tcPr>
            <w:tcW w:w="3983" w:type="dxa"/>
            <w:tcBorders>
              <w:top w:val="single" w:sz="8" w:space="0" w:color="000000"/>
            </w:tcBorders>
          </w:tcPr>
          <w:p>
            <w:pPr>
              <w:pStyle w:val="TableParagraph"/>
              <w:spacing w:line="254" w:lineRule="auto" w:before="149"/>
              <w:ind w:left="160" w:right="1171" w:hanging="20"/>
              <w:rPr>
                <w:sz w:val="20"/>
              </w:rPr>
            </w:pPr>
            <w:r>
              <w:rPr>
                <w:w w:val="110"/>
                <w:sz w:val="20"/>
              </w:rPr>
              <w:t>Net income,  as  reported Add: Stock-based Employee</w:t>
            </w:r>
          </w:p>
          <w:p>
            <w:pPr>
              <w:pStyle w:val="TableParagraph"/>
              <w:spacing w:line="254" w:lineRule="auto"/>
              <w:ind w:left="420"/>
              <w:rPr>
                <w:sz w:val="20"/>
              </w:rPr>
            </w:pPr>
            <w:r>
              <w:rPr>
                <w:w w:val="105"/>
                <w:sz w:val="20"/>
              </w:rPr>
              <w:t>compensation expense included in reported income, net of related tax effects</w:t>
            </w:r>
          </w:p>
        </w:tc>
        <w:tc>
          <w:tcPr>
            <w:tcW w:w="2067" w:type="dxa"/>
            <w:tcBorders>
              <w:top w:val="single" w:sz="8" w:space="0" w:color="000000"/>
            </w:tcBorders>
          </w:tcPr>
          <w:p>
            <w:pPr>
              <w:pStyle w:val="TableParagraph"/>
              <w:tabs>
                <w:tab w:pos="717" w:val="left" w:leader="none"/>
              </w:tabs>
              <w:spacing w:before="149"/>
              <w:ind w:left="357"/>
              <w:rPr>
                <w:sz w:val="20"/>
              </w:rPr>
            </w:pPr>
            <w:r>
              <w:rPr>
                <w:w w:val="120"/>
                <w:sz w:val="20"/>
              </w:rPr>
              <w:t>$</w:t>
              <w:tab/>
              <w:t>240,969</w:t>
            </w:r>
          </w:p>
          <w:p>
            <w:pPr>
              <w:pStyle w:val="TableParagraph"/>
              <w:rPr>
                <w:sz w:val="22"/>
              </w:rPr>
            </w:pPr>
          </w:p>
          <w:p>
            <w:pPr>
              <w:pStyle w:val="TableParagraph"/>
              <w:rPr>
                <w:sz w:val="22"/>
              </w:rPr>
            </w:pPr>
          </w:p>
          <w:p>
            <w:pPr>
              <w:pStyle w:val="TableParagraph"/>
              <w:spacing w:before="1"/>
              <w:rPr>
                <w:sz w:val="21"/>
              </w:rPr>
            </w:pPr>
          </w:p>
          <w:p>
            <w:pPr>
              <w:pStyle w:val="TableParagraph"/>
              <w:spacing w:before="1"/>
              <w:ind w:left="1137"/>
              <w:rPr>
                <w:sz w:val="20"/>
              </w:rPr>
            </w:pPr>
            <w:r>
              <w:rPr>
                <w:w w:val="120"/>
                <w:sz w:val="20"/>
              </w:rPr>
              <w:t>399</w:t>
            </w:r>
          </w:p>
        </w:tc>
        <w:tc>
          <w:tcPr>
            <w:tcW w:w="2040" w:type="dxa"/>
            <w:tcBorders>
              <w:top w:val="single" w:sz="8" w:space="0" w:color="000000"/>
            </w:tcBorders>
          </w:tcPr>
          <w:p>
            <w:pPr>
              <w:pStyle w:val="TableParagraph"/>
              <w:tabs>
                <w:tab w:pos="669" w:val="left" w:leader="none"/>
              </w:tabs>
              <w:spacing w:before="149"/>
              <w:ind w:left="250"/>
              <w:rPr>
                <w:sz w:val="20"/>
              </w:rPr>
            </w:pPr>
            <w:r>
              <w:rPr>
                <w:w w:val="120"/>
                <w:sz w:val="20"/>
              </w:rPr>
              <w:t>$</w:t>
              <w:tab/>
              <w:t>511,147</w:t>
            </w:r>
          </w:p>
          <w:p>
            <w:pPr>
              <w:pStyle w:val="TableParagraph"/>
              <w:rPr>
                <w:sz w:val="22"/>
              </w:rPr>
            </w:pPr>
          </w:p>
          <w:p>
            <w:pPr>
              <w:pStyle w:val="TableParagraph"/>
              <w:rPr>
                <w:sz w:val="22"/>
              </w:rPr>
            </w:pPr>
          </w:p>
          <w:p>
            <w:pPr>
              <w:pStyle w:val="TableParagraph"/>
              <w:spacing w:before="1"/>
              <w:rPr>
                <w:sz w:val="21"/>
              </w:rPr>
            </w:pPr>
          </w:p>
          <w:p>
            <w:pPr>
              <w:pStyle w:val="TableParagraph"/>
              <w:spacing w:before="1"/>
              <w:ind w:left="1070"/>
              <w:rPr>
                <w:sz w:val="20"/>
              </w:rPr>
            </w:pPr>
            <w:r>
              <w:rPr>
                <w:w w:val="120"/>
                <w:sz w:val="20"/>
              </w:rPr>
              <w:t>402</w:t>
            </w:r>
          </w:p>
        </w:tc>
        <w:tc>
          <w:tcPr>
            <w:tcW w:w="1623" w:type="dxa"/>
            <w:tcBorders>
              <w:top w:val="single" w:sz="8" w:space="0" w:color="000000"/>
            </w:tcBorders>
          </w:tcPr>
          <w:p>
            <w:pPr>
              <w:pStyle w:val="TableParagraph"/>
              <w:spacing w:before="149"/>
              <w:ind w:right="170"/>
              <w:jc w:val="right"/>
              <w:rPr>
                <w:sz w:val="20"/>
              </w:rPr>
            </w:pPr>
            <w:r>
              <w:rPr>
                <w:w w:val="120"/>
                <w:sz w:val="20"/>
              </w:rPr>
              <w:t>$ 603,093</w:t>
            </w:r>
          </w:p>
          <w:p>
            <w:pPr>
              <w:pStyle w:val="TableParagraph"/>
              <w:rPr>
                <w:sz w:val="22"/>
              </w:rPr>
            </w:pPr>
          </w:p>
          <w:p>
            <w:pPr>
              <w:pStyle w:val="TableParagraph"/>
              <w:rPr>
                <w:sz w:val="22"/>
              </w:rPr>
            </w:pPr>
          </w:p>
          <w:p>
            <w:pPr>
              <w:pStyle w:val="TableParagraph"/>
              <w:spacing w:before="1"/>
              <w:rPr>
                <w:sz w:val="21"/>
              </w:rPr>
            </w:pPr>
          </w:p>
          <w:p>
            <w:pPr>
              <w:pStyle w:val="TableParagraph"/>
              <w:spacing w:before="1"/>
              <w:ind w:right="170"/>
              <w:jc w:val="right"/>
              <w:rPr>
                <w:sz w:val="20"/>
              </w:rPr>
            </w:pPr>
            <w:r>
              <w:rPr>
                <w:w w:val="115"/>
                <w:sz w:val="20"/>
              </w:rPr>
              <w:t>339</w:t>
            </w:r>
          </w:p>
        </w:tc>
      </w:tr>
      <w:tr>
        <w:trPr>
          <w:trHeight w:val="1414" w:hRule="exact"/>
        </w:trPr>
        <w:tc>
          <w:tcPr>
            <w:tcW w:w="3983" w:type="dxa"/>
          </w:tcPr>
          <w:p>
            <w:pPr>
              <w:pStyle w:val="TableParagraph"/>
              <w:spacing w:line="254" w:lineRule="auto" w:before="19"/>
              <w:ind w:left="400" w:hanging="260"/>
              <w:rPr>
                <w:sz w:val="20"/>
              </w:rPr>
            </w:pPr>
            <w:r>
              <w:rPr>
                <w:w w:val="105"/>
                <w:sz w:val="20"/>
              </w:rPr>
              <w:t>Deduct: Total stock-based Employee compensation   expense</w:t>
            </w:r>
          </w:p>
          <w:p>
            <w:pPr>
              <w:pStyle w:val="TableParagraph"/>
              <w:spacing w:line="254" w:lineRule="auto"/>
              <w:ind w:left="400" w:right="280"/>
              <w:rPr>
                <w:sz w:val="20"/>
              </w:rPr>
            </w:pPr>
            <w:r>
              <w:rPr>
                <w:w w:val="105"/>
                <w:sz w:val="20"/>
              </w:rPr>
              <w:t>determined under fair value based methods for all  awards,  net  of related  tax  effects</w:t>
            </w:r>
          </w:p>
        </w:tc>
        <w:tc>
          <w:tcPr>
            <w:tcW w:w="2067"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519" w:val="left" w:leader="none"/>
                <w:tab w:pos="1679" w:val="left" w:leader="none"/>
              </w:tabs>
              <w:ind w:right="128"/>
              <w:jc w:val="right"/>
              <w:rPr>
                <w:sz w:val="20"/>
              </w:rPr>
            </w:pPr>
            <w:r>
              <w:rPr>
                <w:w w:val="132"/>
                <w:sz w:val="20"/>
                <w:u w:val="single"/>
              </w:rPr>
              <w:t> </w:t>
            </w:r>
            <w:r>
              <w:rPr>
                <w:sz w:val="20"/>
                <w:u w:val="single"/>
              </w:rPr>
              <w:tab/>
            </w:r>
            <w:r>
              <w:rPr>
                <w:w w:val="115"/>
                <w:sz w:val="20"/>
                <w:u w:val="single"/>
              </w:rPr>
              <w:t>(53,489)</w:t>
            </w:r>
            <w:r>
              <w:rPr>
                <w:sz w:val="20"/>
                <w:u w:val="single"/>
              </w:rPr>
              <w:tab/>
            </w:r>
          </w:p>
        </w:tc>
        <w:tc>
          <w:tcPr>
            <w:tcW w:w="2040"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579" w:val="left" w:leader="none"/>
                <w:tab w:pos="1779" w:val="left" w:leader="none"/>
              </w:tabs>
              <w:ind w:right="128"/>
              <w:jc w:val="right"/>
              <w:rPr>
                <w:sz w:val="20"/>
              </w:rPr>
            </w:pPr>
            <w:r>
              <w:rPr>
                <w:w w:val="132"/>
                <w:sz w:val="20"/>
                <w:u w:val="single"/>
              </w:rPr>
              <w:t> </w:t>
            </w:r>
            <w:r>
              <w:rPr>
                <w:sz w:val="20"/>
                <w:u w:val="single"/>
              </w:rPr>
              <w:tab/>
            </w:r>
            <w:r>
              <w:rPr>
                <w:w w:val="115"/>
                <w:sz w:val="20"/>
                <w:u w:val="single"/>
              </w:rPr>
              <w:t>(25,603)</w:t>
            </w:r>
            <w:r>
              <w:rPr>
                <w:sz w:val="20"/>
                <w:u w:val="single"/>
              </w:rPr>
              <w:tab/>
            </w:r>
          </w:p>
        </w:tc>
        <w:tc>
          <w:tcPr>
            <w:tcW w:w="1623" w:type="dxa"/>
          </w:tcPr>
          <w:p>
            <w:pPr>
              <w:pStyle w:val="TableParagraph"/>
              <w:rPr>
                <w:sz w:val="22"/>
              </w:rPr>
            </w:pPr>
          </w:p>
          <w:p>
            <w:pPr>
              <w:pStyle w:val="TableParagraph"/>
              <w:rPr>
                <w:sz w:val="22"/>
              </w:rPr>
            </w:pPr>
          </w:p>
          <w:p>
            <w:pPr>
              <w:pStyle w:val="TableParagraph"/>
              <w:rPr>
                <w:sz w:val="22"/>
              </w:rPr>
            </w:pPr>
          </w:p>
          <w:p>
            <w:pPr>
              <w:pStyle w:val="TableParagraph"/>
              <w:spacing w:before="9"/>
              <w:rPr>
                <w:sz w:val="20"/>
              </w:rPr>
            </w:pPr>
          </w:p>
          <w:p>
            <w:pPr>
              <w:pStyle w:val="TableParagraph"/>
              <w:tabs>
                <w:tab w:pos="717" w:val="left" w:leader="none"/>
              </w:tabs>
              <w:ind w:left="97"/>
              <w:jc w:val="center"/>
              <w:rPr>
                <w:sz w:val="20"/>
              </w:rPr>
            </w:pPr>
            <w:r>
              <w:rPr>
                <w:w w:val="132"/>
                <w:sz w:val="20"/>
                <w:u w:val="single"/>
              </w:rPr>
              <w:t> </w:t>
            </w:r>
            <w:r>
              <w:rPr>
                <w:sz w:val="20"/>
                <w:u w:val="single"/>
              </w:rPr>
              <w:tab/>
            </w:r>
            <w:r>
              <w:rPr>
                <w:w w:val="115"/>
                <w:sz w:val="20"/>
                <w:u w:val="single"/>
              </w:rPr>
              <w:t>(19,725)</w:t>
            </w:r>
            <w:r>
              <w:rPr>
                <w:spacing w:val="14"/>
                <w:sz w:val="20"/>
                <w:u w:val="single"/>
              </w:rPr>
              <w:t> </w:t>
            </w:r>
          </w:p>
        </w:tc>
      </w:tr>
      <w:tr>
        <w:trPr>
          <w:trHeight w:val="370" w:hRule="exact"/>
        </w:trPr>
        <w:tc>
          <w:tcPr>
            <w:tcW w:w="3983" w:type="dxa"/>
          </w:tcPr>
          <w:p>
            <w:pPr>
              <w:pStyle w:val="TableParagraph"/>
              <w:spacing w:before="106"/>
              <w:ind w:left="140"/>
              <w:rPr>
                <w:sz w:val="20"/>
              </w:rPr>
            </w:pPr>
            <w:r>
              <w:rPr>
                <w:w w:val="105"/>
                <w:sz w:val="20"/>
              </w:rPr>
              <w:t>Pro  forma  net income</w:t>
            </w:r>
          </w:p>
        </w:tc>
        <w:tc>
          <w:tcPr>
            <w:tcW w:w="2067" w:type="dxa"/>
          </w:tcPr>
          <w:p>
            <w:pPr>
              <w:pStyle w:val="TableParagraph"/>
              <w:tabs>
                <w:tab w:pos="479" w:val="left" w:leader="none"/>
                <w:tab w:pos="1679" w:val="left" w:leader="none"/>
              </w:tabs>
              <w:spacing w:before="106"/>
              <w:ind w:right="128"/>
              <w:jc w:val="right"/>
              <w:rPr>
                <w:sz w:val="20"/>
              </w:rPr>
            </w:pPr>
            <w:r>
              <w:rPr>
                <w:w w:val="132"/>
                <w:sz w:val="20"/>
                <w:u w:val="single"/>
              </w:rPr>
              <w:t> </w:t>
            </w:r>
            <w:r>
              <w:rPr>
                <w:spacing w:val="14"/>
                <w:sz w:val="20"/>
                <w:u w:val="single"/>
              </w:rPr>
              <w:t> </w:t>
            </w:r>
            <w:r>
              <w:rPr>
                <w:w w:val="120"/>
                <w:sz w:val="20"/>
                <w:u w:val="single"/>
              </w:rPr>
              <w:t>$</w:t>
              <w:tab/>
            </w:r>
            <w:r>
              <w:rPr>
                <w:w w:val="115"/>
                <w:sz w:val="20"/>
                <w:u w:val="single"/>
              </w:rPr>
              <w:t>187,879</w:t>
            </w:r>
            <w:r>
              <w:rPr>
                <w:sz w:val="20"/>
                <w:u w:val="single"/>
              </w:rPr>
              <w:tab/>
            </w:r>
          </w:p>
        </w:tc>
        <w:tc>
          <w:tcPr>
            <w:tcW w:w="2040" w:type="dxa"/>
          </w:tcPr>
          <w:p>
            <w:pPr>
              <w:pStyle w:val="TableParagraph"/>
              <w:tabs>
                <w:tab w:pos="539" w:val="left" w:leader="none"/>
                <w:tab w:pos="1779" w:val="left" w:leader="none"/>
              </w:tabs>
              <w:spacing w:before="106"/>
              <w:ind w:right="128"/>
              <w:jc w:val="right"/>
              <w:rPr>
                <w:sz w:val="20"/>
              </w:rPr>
            </w:pPr>
            <w:r>
              <w:rPr>
                <w:w w:val="132"/>
                <w:sz w:val="20"/>
                <w:u w:val="single"/>
              </w:rPr>
              <w:t> </w:t>
            </w:r>
            <w:r>
              <w:rPr>
                <w:spacing w:val="14"/>
                <w:sz w:val="20"/>
                <w:u w:val="single"/>
              </w:rPr>
              <w:t> </w:t>
            </w:r>
            <w:r>
              <w:rPr>
                <w:w w:val="120"/>
                <w:sz w:val="20"/>
                <w:u w:val="single"/>
              </w:rPr>
              <w:t>$</w:t>
              <w:tab/>
            </w:r>
            <w:r>
              <w:rPr>
                <w:w w:val="115"/>
                <w:sz w:val="20"/>
                <w:u w:val="single"/>
              </w:rPr>
              <w:t>485,946</w:t>
            </w:r>
            <w:r>
              <w:rPr>
                <w:sz w:val="20"/>
                <w:u w:val="single"/>
              </w:rPr>
              <w:tab/>
            </w:r>
          </w:p>
        </w:tc>
        <w:tc>
          <w:tcPr>
            <w:tcW w:w="1623" w:type="dxa"/>
          </w:tcPr>
          <w:p>
            <w:pPr>
              <w:pStyle w:val="TableParagraph"/>
              <w:tabs>
                <w:tab w:pos="637" w:val="left" w:leader="none"/>
              </w:tabs>
              <w:spacing w:before="106"/>
              <w:ind w:left="97"/>
              <w:jc w:val="center"/>
              <w:rPr>
                <w:sz w:val="20"/>
              </w:rPr>
            </w:pPr>
            <w:r>
              <w:rPr>
                <w:w w:val="132"/>
                <w:sz w:val="20"/>
                <w:u w:val="single"/>
              </w:rPr>
              <w:t> </w:t>
            </w:r>
            <w:r>
              <w:rPr>
                <w:spacing w:val="14"/>
                <w:sz w:val="20"/>
                <w:u w:val="single"/>
              </w:rPr>
              <w:t> </w:t>
            </w:r>
            <w:r>
              <w:rPr>
                <w:w w:val="120"/>
                <w:sz w:val="20"/>
                <w:u w:val="single"/>
              </w:rPr>
              <w:t>$</w:t>
              <w:tab/>
              <w:t>583,707</w:t>
            </w:r>
            <w:r>
              <w:rPr>
                <w:spacing w:val="4"/>
                <w:sz w:val="20"/>
                <w:u w:val="single"/>
              </w:rPr>
              <w:t> </w:t>
            </w:r>
          </w:p>
        </w:tc>
      </w:tr>
      <w:tr>
        <w:trPr>
          <w:trHeight w:val="280" w:hRule="exact"/>
        </w:trPr>
        <w:tc>
          <w:tcPr>
            <w:tcW w:w="3983" w:type="dxa"/>
          </w:tcPr>
          <w:p>
            <w:pPr>
              <w:pStyle w:val="TableParagraph"/>
              <w:spacing w:before="16"/>
              <w:ind w:left="140"/>
              <w:rPr>
                <w:sz w:val="20"/>
              </w:rPr>
            </w:pPr>
            <w:r>
              <w:rPr>
                <w:w w:val="105"/>
                <w:sz w:val="20"/>
              </w:rPr>
              <w:t>Net  income  per  share</w:t>
            </w:r>
          </w:p>
        </w:tc>
        <w:tc>
          <w:tcPr>
            <w:tcW w:w="2067" w:type="dxa"/>
          </w:tcPr>
          <w:p>
            <w:pPr/>
          </w:p>
        </w:tc>
        <w:tc>
          <w:tcPr>
            <w:tcW w:w="2040" w:type="dxa"/>
          </w:tcPr>
          <w:p>
            <w:pPr/>
          </w:p>
        </w:tc>
        <w:tc>
          <w:tcPr>
            <w:tcW w:w="1623" w:type="dxa"/>
          </w:tcPr>
          <w:p>
            <w:pPr/>
          </w:p>
        </w:tc>
      </w:tr>
      <w:tr>
        <w:trPr>
          <w:trHeight w:val="270" w:hRule="exact"/>
        </w:trPr>
        <w:tc>
          <w:tcPr>
            <w:tcW w:w="3983" w:type="dxa"/>
          </w:tcPr>
          <w:p>
            <w:pPr>
              <w:pStyle w:val="TableParagraph"/>
              <w:spacing w:before="16"/>
              <w:ind w:left="400"/>
              <w:rPr>
                <w:sz w:val="20"/>
              </w:rPr>
            </w:pPr>
            <w:r>
              <w:rPr>
                <w:w w:val="110"/>
                <w:sz w:val="20"/>
              </w:rPr>
              <w:t>Basic,  as reported</w:t>
            </w:r>
          </w:p>
        </w:tc>
        <w:tc>
          <w:tcPr>
            <w:tcW w:w="2067" w:type="dxa"/>
          </w:tcPr>
          <w:p>
            <w:pPr>
              <w:pStyle w:val="TableParagraph"/>
              <w:tabs>
                <w:tab w:pos="1237" w:val="left" w:leader="none"/>
              </w:tabs>
              <w:spacing w:before="16"/>
              <w:ind w:left="397"/>
              <w:rPr>
                <w:sz w:val="20"/>
              </w:rPr>
            </w:pPr>
            <w:r>
              <w:rPr>
                <w:w w:val="120"/>
                <w:sz w:val="20"/>
              </w:rPr>
              <w:t>$</w:t>
              <w:tab/>
              <w:t>.31</w:t>
            </w:r>
          </w:p>
        </w:tc>
        <w:tc>
          <w:tcPr>
            <w:tcW w:w="2040" w:type="dxa"/>
          </w:tcPr>
          <w:p>
            <w:pPr>
              <w:pStyle w:val="TableParagraph"/>
              <w:tabs>
                <w:tab w:pos="1150" w:val="left" w:leader="none"/>
              </w:tabs>
              <w:spacing w:before="16"/>
              <w:ind w:left="310"/>
              <w:rPr>
                <w:sz w:val="20"/>
              </w:rPr>
            </w:pPr>
            <w:r>
              <w:rPr>
                <w:w w:val="120"/>
                <w:sz w:val="20"/>
              </w:rPr>
              <w:t>$</w:t>
              <w:tab/>
              <w:t>.67</w:t>
            </w:r>
          </w:p>
        </w:tc>
        <w:tc>
          <w:tcPr>
            <w:tcW w:w="1623" w:type="dxa"/>
          </w:tcPr>
          <w:p>
            <w:pPr>
              <w:pStyle w:val="TableParagraph"/>
              <w:tabs>
                <w:tab w:pos="978" w:val="left" w:leader="none"/>
              </w:tabs>
              <w:spacing w:before="16"/>
              <w:ind w:left="138"/>
              <w:jc w:val="center"/>
              <w:rPr>
                <w:sz w:val="20"/>
              </w:rPr>
            </w:pPr>
            <w:r>
              <w:rPr>
                <w:w w:val="120"/>
                <w:sz w:val="20"/>
              </w:rPr>
              <w:t>$</w:t>
              <w:tab/>
              <w:t>.81</w:t>
            </w:r>
          </w:p>
        </w:tc>
      </w:tr>
      <w:tr>
        <w:trPr>
          <w:trHeight w:val="370" w:hRule="exact"/>
        </w:trPr>
        <w:tc>
          <w:tcPr>
            <w:tcW w:w="3983" w:type="dxa"/>
          </w:tcPr>
          <w:p>
            <w:pPr>
              <w:pStyle w:val="TableParagraph"/>
              <w:spacing w:before="6"/>
              <w:ind w:left="400"/>
              <w:rPr>
                <w:sz w:val="20"/>
              </w:rPr>
            </w:pPr>
            <w:r>
              <w:rPr>
                <w:w w:val="110"/>
                <w:sz w:val="20"/>
              </w:rPr>
              <w:t>Basic,  pro forma</w:t>
            </w:r>
          </w:p>
        </w:tc>
        <w:tc>
          <w:tcPr>
            <w:tcW w:w="2067" w:type="dxa"/>
          </w:tcPr>
          <w:p>
            <w:pPr>
              <w:pStyle w:val="TableParagraph"/>
              <w:tabs>
                <w:tab w:pos="1236" w:val="left" w:leader="none"/>
              </w:tabs>
              <w:spacing w:before="6"/>
              <w:ind w:left="397"/>
              <w:rPr>
                <w:sz w:val="20"/>
              </w:rPr>
            </w:pPr>
            <w:r>
              <w:rPr>
                <w:w w:val="120"/>
                <w:sz w:val="20"/>
              </w:rPr>
              <w:t>$</w:t>
              <w:tab/>
              <w:t>.24</w:t>
            </w:r>
          </w:p>
        </w:tc>
        <w:tc>
          <w:tcPr>
            <w:tcW w:w="2040" w:type="dxa"/>
          </w:tcPr>
          <w:p>
            <w:pPr>
              <w:pStyle w:val="TableParagraph"/>
              <w:tabs>
                <w:tab w:pos="1149" w:val="left" w:leader="none"/>
              </w:tabs>
              <w:spacing w:before="6"/>
              <w:ind w:left="309"/>
              <w:rPr>
                <w:sz w:val="20"/>
              </w:rPr>
            </w:pPr>
            <w:r>
              <w:rPr>
                <w:w w:val="120"/>
                <w:sz w:val="20"/>
              </w:rPr>
              <w:t>$</w:t>
              <w:tab/>
              <w:t>.64</w:t>
            </w:r>
          </w:p>
        </w:tc>
        <w:tc>
          <w:tcPr>
            <w:tcW w:w="1623" w:type="dxa"/>
          </w:tcPr>
          <w:p>
            <w:pPr>
              <w:pStyle w:val="TableParagraph"/>
              <w:tabs>
                <w:tab w:pos="976" w:val="left" w:leader="none"/>
              </w:tabs>
              <w:spacing w:before="6"/>
              <w:ind w:left="136"/>
              <w:jc w:val="center"/>
              <w:rPr>
                <w:sz w:val="20"/>
              </w:rPr>
            </w:pPr>
            <w:r>
              <w:rPr>
                <w:w w:val="120"/>
                <w:sz w:val="20"/>
              </w:rPr>
              <w:t>$</w:t>
              <w:tab/>
              <w:t>.78</w:t>
            </w:r>
          </w:p>
        </w:tc>
      </w:tr>
      <w:tr>
        <w:trPr>
          <w:trHeight w:val="370" w:hRule="exact"/>
        </w:trPr>
        <w:tc>
          <w:tcPr>
            <w:tcW w:w="3983" w:type="dxa"/>
          </w:tcPr>
          <w:p>
            <w:pPr>
              <w:pStyle w:val="TableParagraph"/>
              <w:spacing w:before="116"/>
              <w:ind w:left="400"/>
              <w:rPr>
                <w:sz w:val="20"/>
              </w:rPr>
            </w:pPr>
            <w:r>
              <w:rPr>
                <w:w w:val="110"/>
                <w:sz w:val="20"/>
              </w:rPr>
              <w:t>Diluted, as reported</w:t>
            </w:r>
          </w:p>
        </w:tc>
        <w:tc>
          <w:tcPr>
            <w:tcW w:w="2067" w:type="dxa"/>
          </w:tcPr>
          <w:p>
            <w:pPr>
              <w:pStyle w:val="TableParagraph"/>
              <w:tabs>
                <w:tab w:pos="1237" w:val="left" w:leader="none"/>
              </w:tabs>
              <w:spacing w:before="116"/>
              <w:ind w:left="397"/>
              <w:rPr>
                <w:sz w:val="20"/>
              </w:rPr>
            </w:pPr>
            <w:r>
              <w:rPr>
                <w:w w:val="120"/>
                <w:sz w:val="20"/>
              </w:rPr>
              <w:t>$</w:t>
              <w:tab/>
              <w:t>.30</w:t>
            </w:r>
          </w:p>
        </w:tc>
        <w:tc>
          <w:tcPr>
            <w:tcW w:w="2040" w:type="dxa"/>
          </w:tcPr>
          <w:p>
            <w:pPr>
              <w:pStyle w:val="TableParagraph"/>
              <w:tabs>
                <w:tab w:pos="1149" w:val="left" w:leader="none"/>
              </w:tabs>
              <w:spacing w:before="116"/>
              <w:ind w:left="309"/>
              <w:rPr>
                <w:sz w:val="20"/>
              </w:rPr>
            </w:pPr>
            <w:r>
              <w:rPr>
                <w:w w:val="120"/>
                <w:sz w:val="20"/>
              </w:rPr>
              <w:t>$</w:t>
              <w:tab/>
              <w:t>.63</w:t>
            </w:r>
          </w:p>
        </w:tc>
        <w:tc>
          <w:tcPr>
            <w:tcW w:w="1623" w:type="dxa"/>
          </w:tcPr>
          <w:p>
            <w:pPr>
              <w:pStyle w:val="TableParagraph"/>
              <w:tabs>
                <w:tab w:pos="977" w:val="left" w:leader="none"/>
              </w:tabs>
              <w:spacing w:before="116"/>
              <w:ind w:left="137"/>
              <w:jc w:val="center"/>
              <w:rPr>
                <w:sz w:val="20"/>
              </w:rPr>
            </w:pPr>
            <w:r>
              <w:rPr>
                <w:w w:val="120"/>
                <w:sz w:val="20"/>
              </w:rPr>
              <w:t>$</w:t>
              <w:tab/>
              <w:t>.76</w:t>
            </w:r>
          </w:p>
        </w:tc>
      </w:tr>
      <w:tr>
        <w:trPr>
          <w:trHeight w:val="246" w:hRule="exact"/>
        </w:trPr>
        <w:tc>
          <w:tcPr>
            <w:tcW w:w="3983" w:type="dxa"/>
          </w:tcPr>
          <w:p>
            <w:pPr>
              <w:pStyle w:val="TableParagraph"/>
              <w:spacing w:before="6"/>
              <w:ind w:left="400"/>
              <w:rPr>
                <w:sz w:val="20"/>
              </w:rPr>
            </w:pPr>
            <w:r>
              <w:rPr>
                <w:w w:val="105"/>
                <w:sz w:val="20"/>
              </w:rPr>
              <w:t>Diluted,  pro forma</w:t>
            </w:r>
          </w:p>
        </w:tc>
        <w:tc>
          <w:tcPr>
            <w:tcW w:w="2067" w:type="dxa"/>
          </w:tcPr>
          <w:p>
            <w:pPr>
              <w:pStyle w:val="TableParagraph"/>
              <w:tabs>
                <w:tab w:pos="1237" w:val="left" w:leader="none"/>
              </w:tabs>
              <w:spacing w:before="6"/>
              <w:ind w:left="397"/>
              <w:rPr>
                <w:sz w:val="20"/>
              </w:rPr>
            </w:pPr>
            <w:r>
              <w:rPr>
                <w:w w:val="120"/>
                <w:sz w:val="20"/>
              </w:rPr>
              <w:t>$</w:t>
              <w:tab/>
              <w:t>.23</w:t>
            </w:r>
          </w:p>
        </w:tc>
        <w:tc>
          <w:tcPr>
            <w:tcW w:w="2040" w:type="dxa"/>
          </w:tcPr>
          <w:p>
            <w:pPr>
              <w:pStyle w:val="TableParagraph"/>
              <w:tabs>
                <w:tab w:pos="1149" w:val="left" w:leader="none"/>
              </w:tabs>
              <w:spacing w:before="6"/>
              <w:ind w:left="309"/>
              <w:rPr>
                <w:sz w:val="20"/>
              </w:rPr>
            </w:pPr>
            <w:r>
              <w:rPr>
                <w:w w:val="120"/>
                <w:sz w:val="20"/>
              </w:rPr>
              <w:t>$</w:t>
              <w:tab/>
              <w:t>.61</w:t>
            </w:r>
          </w:p>
        </w:tc>
        <w:tc>
          <w:tcPr>
            <w:tcW w:w="1623" w:type="dxa"/>
          </w:tcPr>
          <w:p>
            <w:pPr>
              <w:pStyle w:val="TableParagraph"/>
              <w:tabs>
                <w:tab w:pos="976" w:val="left" w:leader="none"/>
              </w:tabs>
              <w:spacing w:before="6"/>
              <w:ind w:left="136"/>
              <w:jc w:val="center"/>
              <w:rPr>
                <w:sz w:val="20"/>
              </w:rPr>
            </w:pPr>
            <w:r>
              <w:rPr>
                <w:w w:val="120"/>
                <w:sz w:val="20"/>
              </w:rPr>
              <w:t>$</w:t>
              <w:tab/>
              <w:t>.74</w:t>
            </w:r>
          </w:p>
        </w:tc>
      </w:tr>
    </w:tbl>
    <w:p>
      <w:pPr>
        <w:pStyle w:val="BodyText"/>
        <w:spacing w:before="4"/>
        <w:rPr>
          <w:sz w:val="15"/>
        </w:rPr>
      </w:pPr>
    </w:p>
    <w:p>
      <w:pPr>
        <w:spacing w:after="0"/>
        <w:rPr>
          <w:sz w:val="15"/>
        </w:rPr>
        <w:sectPr>
          <w:type w:val="continuous"/>
          <w:pgSz w:w="11520" w:h="14400"/>
          <w:pgMar w:top="0" w:bottom="280" w:left="700" w:right="800"/>
        </w:sectPr>
      </w:pPr>
    </w:p>
    <w:p>
      <w:pPr>
        <w:pStyle w:val="BodyText"/>
        <w:spacing w:line="254" w:lineRule="auto" w:before="92"/>
        <w:ind w:left="380" w:firstLine="280"/>
        <w:jc w:val="both"/>
      </w:pPr>
      <w:r>
        <w:rPr>
          <w:w w:val="105"/>
        </w:rPr>
        <w:t>As </w:t>
      </w:r>
      <w:r>
        <w:rPr>
          <w:spacing w:val="2"/>
          <w:w w:val="105"/>
        </w:rPr>
        <w:t>required,  </w:t>
      </w:r>
      <w:r>
        <w:rPr>
          <w:w w:val="105"/>
        </w:rPr>
        <w:t>the  pro  forma  </w:t>
      </w:r>
      <w:r>
        <w:rPr>
          <w:spacing w:val="4"/>
          <w:w w:val="105"/>
        </w:rPr>
        <w:t>disclosures  </w:t>
      </w:r>
      <w:r>
        <w:rPr>
          <w:spacing w:val="2"/>
          <w:w w:val="105"/>
        </w:rPr>
        <w:t>above    include    </w:t>
      </w:r>
      <w:r>
        <w:rPr>
          <w:w w:val="105"/>
        </w:rPr>
        <w:t>options   granted    </w:t>
      </w:r>
      <w:r>
        <w:rPr>
          <w:spacing w:val="9"/>
          <w:w w:val="105"/>
        </w:rPr>
        <w:t>since </w:t>
      </w:r>
      <w:r>
        <w:rPr>
          <w:w w:val="105"/>
        </w:rPr>
        <w:t>January 1, 1995. Consequently, the effects </w:t>
      </w:r>
      <w:r>
        <w:rPr>
          <w:spacing w:val="6"/>
          <w:w w:val="105"/>
        </w:rPr>
        <w:t>of </w:t>
      </w:r>
      <w:r>
        <w:rPr>
          <w:w w:val="105"/>
        </w:rPr>
        <w:t>applying SFAS No. 123 for </w:t>
      </w:r>
      <w:r>
        <w:rPr>
          <w:spacing w:val="3"/>
          <w:w w:val="105"/>
        </w:rPr>
        <w:t>providing </w:t>
      </w:r>
      <w:r>
        <w:rPr>
          <w:w w:val="105"/>
        </w:rPr>
        <w:t>pro </w:t>
      </w:r>
      <w:r>
        <w:rPr>
          <w:spacing w:val="9"/>
          <w:w w:val="105"/>
        </w:rPr>
        <w:t>forma </w:t>
      </w:r>
      <w:r>
        <w:rPr>
          <w:w w:val="105"/>
        </w:rPr>
        <w:t>disclosures may not be </w:t>
      </w:r>
      <w:r>
        <w:rPr>
          <w:spacing w:val="2"/>
          <w:w w:val="105"/>
        </w:rPr>
        <w:t>representative </w:t>
      </w:r>
      <w:r>
        <w:rPr>
          <w:w w:val="105"/>
        </w:rPr>
        <w:t>of </w:t>
      </w:r>
      <w:r>
        <w:rPr>
          <w:spacing w:val="6"/>
          <w:w w:val="105"/>
        </w:rPr>
        <w:t>the </w:t>
      </w:r>
      <w:r>
        <w:rPr>
          <w:w w:val="105"/>
        </w:rPr>
        <w:t>effects on reported net income for future years until  all  </w:t>
      </w:r>
      <w:r>
        <w:rPr>
          <w:spacing w:val="2"/>
          <w:w w:val="105"/>
        </w:rPr>
        <w:t>options  outstanding  </w:t>
      </w:r>
      <w:r>
        <w:rPr>
          <w:w w:val="105"/>
        </w:rPr>
        <w:t>are  </w:t>
      </w:r>
      <w:r>
        <w:rPr>
          <w:spacing w:val="2"/>
          <w:w w:val="105"/>
        </w:rPr>
        <w:t>included  </w:t>
      </w:r>
      <w:r>
        <w:rPr>
          <w:spacing w:val="12"/>
          <w:w w:val="105"/>
        </w:rPr>
        <w:t>in </w:t>
      </w:r>
      <w:r>
        <w:rPr>
          <w:w w:val="105"/>
        </w:rPr>
        <w:t>the pro forma disclosures. For purposes of </w:t>
      </w:r>
      <w:r>
        <w:rPr>
          <w:spacing w:val="6"/>
          <w:w w:val="105"/>
        </w:rPr>
        <w:t>pro </w:t>
      </w:r>
      <w:r>
        <w:rPr>
          <w:w w:val="105"/>
        </w:rPr>
        <w:t>forma disclosures, the </w:t>
      </w:r>
      <w:r>
        <w:rPr>
          <w:spacing w:val="2"/>
          <w:w w:val="105"/>
        </w:rPr>
        <w:t>estimated </w:t>
      </w:r>
      <w:r>
        <w:rPr>
          <w:w w:val="105"/>
        </w:rPr>
        <w:t>fair value </w:t>
      </w:r>
      <w:r>
        <w:rPr>
          <w:spacing w:val="6"/>
          <w:w w:val="105"/>
        </w:rPr>
        <w:t>of </w:t>
      </w:r>
      <w:r>
        <w:rPr>
          <w:w w:val="105"/>
        </w:rPr>
        <w:t>stock-based </w:t>
      </w:r>
      <w:r>
        <w:rPr>
          <w:spacing w:val="3"/>
          <w:w w:val="105"/>
        </w:rPr>
        <w:t>compensation </w:t>
      </w:r>
      <w:r>
        <w:rPr>
          <w:w w:val="105"/>
        </w:rPr>
        <w:t>plans and </w:t>
      </w:r>
      <w:r>
        <w:rPr>
          <w:spacing w:val="7"/>
          <w:w w:val="105"/>
        </w:rPr>
        <w:t>other </w:t>
      </w:r>
      <w:r>
        <w:rPr>
          <w:w w:val="105"/>
        </w:rPr>
        <w:t>options is amortized to expense primarily  </w:t>
      </w:r>
      <w:r>
        <w:rPr>
          <w:spacing w:val="10"/>
          <w:w w:val="105"/>
        </w:rPr>
        <w:t>over </w:t>
      </w:r>
      <w:r>
        <w:rPr>
          <w:w w:val="105"/>
        </w:rPr>
        <w:t>the vesting </w:t>
      </w:r>
      <w:r>
        <w:rPr>
          <w:spacing w:val="2"/>
          <w:w w:val="105"/>
        </w:rPr>
        <w:t>period. </w:t>
      </w:r>
      <w:r>
        <w:rPr>
          <w:w w:val="105"/>
        </w:rPr>
        <w:t>See Note 12 for </w:t>
      </w:r>
      <w:r>
        <w:rPr>
          <w:spacing w:val="4"/>
          <w:w w:val="105"/>
        </w:rPr>
        <w:t>further </w:t>
      </w:r>
      <w:r>
        <w:rPr>
          <w:spacing w:val="2"/>
          <w:w w:val="105"/>
        </w:rPr>
        <w:t>discussion </w:t>
      </w:r>
      <w:r>
        <w:rPr>
          <w:w w:val="105"/>
        </w:rPr>
        <w:t>of the Company’s </w:t>
      </w:r>
      <w:r>
        <w:rPr>
          <w:spacing w:val="4"/>
          <w:w w:val="105"/>
        </w:rPr>
        <w:t>stock-based Employee </w:t>
      </w:r>
      <w:r>
        <w:rPr>
          <w:spacing w:val="49"/>
          <w:w w:val="105"/>
        </w:rPr>
        <w:t> </w:t>
      </w:r>
      <w:r>
        <w:rPr>
          <w:spacing w:val="5"/>
          <w:w w:val="105"/>
        </w:rPr>
        <w:t>compensation.</w:t>
      </w:r>
    </w:p>
    <w:p>
      <w:pPr>
        <w:pStyle w:val="BodyText"/>
        <w:spacing w:line="254" w:lineRule="auto" w:before="92"/>
        <w:ind w:left="380" w:right="145" w:firstLine="280"/>
        <w:jc w:val="both"/>
      </w:pPr>
      <w:r>
        <w:rPr/>
        <w:br w:type="column"/>
      </w:r>
      <w:r>
        <w:rPr>
          <w:w w:val="105"/>
        </w:rPr>
        <w:t>In   </w:t>
      </w:r>
      <w:r>
        <w:rPr>
          <w:spacing w:val="3"/>
          <w:w w:val="105"/>
        </w:rPr>
        <w:t>December   </w:t>
      </w:r>
      <w:r>
        <w:rPr>
          <w:w w:val="105"/>
        </w:rPr>
        <w:t>2002,   the    FASB    </w:t>
      </w:r>
      <w:r>
        <w:rPr>
          <w:spacing w:val="8"/>
          <w:w w:val="105"/>
        </w:rPr>
        <w:t>issued </w:t>
      </w:r>
      <w:r>
        <w:rPr>
          <w:w w:val="105"/>
        </w:rPr>
        <w:t>SFAS No. 148, </w:t>
      </w:r>
      <w:r>
        <w:rPr>
          <w:spacing w:val="2"/>
          <w:w w:val="105"/>
        </w:rPr>
        <w:t>“Accounting </w:t>
      </w:r>
      <w:r>
        <w:rPr>
          <w:w w:val="105"/>
        </w:rPr>
        <w:t>for </w:t>
      </w:r>
      <w:r>
        <w:rPr>
          <w:spacing w:val="3"/>
          <w:w w:val="105"/>
        </w:rPr>
        <w:t>Stock-Based Compensation </w:t>
      </w:r>
      <w:r>
        <w:rPr>
          <w:w w:val="105"/>
        </w:rPr>
        <w:t>— Transition and  </w:t>
      </w:r>
      <w:r>
        <w:rPr>
          <w:spacing w:val="4"/>
          <w:w w:val="105"/>
        </w:rPr>
        <w:t>Disclosure.” </w:t>
      </w:r>
      <w:r>
        <w:rPr>
          <w:w w:val="105"/>
        </w:rPr>
        <w:t>SFAS No. 148 </w:t>
      </w:r>
      <w:r>
        <w:rPr>
          <w:spacing w:val="2"/>
          <w:w w:val="105"/>
        </w:rPr>
        <w:t>amends </w:t>
      </w:r>
      <w:r>
        <w:rPr>
          <w:w w:val="105"/>
        </w:rPr>
        <w:t>the transition  </w:t>
      </w:r>
      <w:r>
        <w:rPr>
          <w:spacing w:val="12"/>
          <w:w w:val="105"/>
        </w:rPr>
        <w:t>and </w:t>
      </w:r>
      <w:r>
        <w:rPr>
          <w:w w:val="105"/>
        </w:rPr>
        <w:t>disclosure </w:t>
      </w:r>
      <w:r>
        <w:rPr>
          <w:spacing w:val="2"/>
          <w:w w:val="105"/>
        </w:rPr>
        <w:t>provisions </w:t>
      </w:r>
      <w:r>
        <w:rPr>
          <w:w w:val="105"/>
        </w:rPr>
        <w:t>of SFAS No. 123. </w:t>
      </w:r>
      <w:r>
        <w:rPr>
          <w:spacing w:val="7"/>
          <w:w w:val="105"/>
        </w:rPr>
        <w:t>The </w:t>
      </w:r>
      <w:r>
        <w:rPr>
          <w:w w:val="105"/>
        </w:rPr>
        <w:t>Company  is  currently  </w:t>
      </w:r>
      <w:r>
        <w:rPr>
          <w:spacing w:val="2"/>
          <w:w w:val="105"/>
        </w:rPr>
        <w:t>evaluating  </w:t>
      </w:r>
      <w:r>
        <w:rPr>
          <w:w w:val="105"/>
        </w:rPr>
        <w:t>SFAS  No.  148 to </w:t>
      </w:r>
      <w:r>
        <w:rPr>
          <w:spacing w:val="3"/>
          <w:w w:val="105"/>
        </w:rPr>
        <w:t>determine </w:t>
      </w:r>
      <w:r>
        <w:rPr>
          <w:w w:val="105"/>
        </w:rPr>
        <w:t>if it will adopt SFAS No. 123 </w:t>
      </w:r>
      <w:r>
        <w:rPr>
          <w:spacing w:val="4"/>
          <w:w w:val="105"/>
        </w:rPr>
        <w:t>to </w:t>
      </w:r>
      <w:r>
        <w:rPr>
          <w:spacing w:val="2"/>
          <w:w w:val="105"/>
        </w:rPr>
        <w:t>account </w:t>
      </w:r>
      <w:r>
        <w:rPr>
          <w:w w:val="105"/>
        </w:rPr>
        <w:t>for </w:t>
      </w:r>
      <w:r>
        <w:rPr>
          <w:spacing w:val="2"/>
          <w:w w:val="105"/>
        </w:rPr>
        <w:t>Employee </w:t>
      </w:r>
      <w:r>
        <w:rPr>
          <w:w w:val="105"/>
        </w:rPr>
        <w:t>stock  options  using  </w:t>
      </w:r>
      <w:r>
        <w:rPr>
          <w:spacing w:val="6"/>
          <w:w w:val="105"/>
        </w:rPr>
        <w:t>the </w:t>
      </w:r>
      <w:r>
        <w:rPr>
          <w:w w:val="105"/>
        </w:rPr>
        <w:t>fair value </w:t>
      </w:r>
      <w:r>
        <w:rPr>
          <w:spacing w:val="2"/>
          <w:w w:val="105"/>
        </w:rPr>
        <w:t>method and, </w:t>
      </w:r>
      <w:r>
        <w:rPr>
          <w:w w:val="105"/>
        </w:rPr>
        <w:t>if so, </w:t>
      </w:r>
      <w:r>
        <w:rPr>
          <w:spacing w:val="2"/>
          <w:w w:val="105"/>
        </w:rPr>
        <w:t>when </w:t>
      </w:r>
      <w:r>
        <w:rPr>
          <w:w w:val="105"/>
        </w:rPr>
        <w:t>to </w:t>
      </w:r>
      <w:r>
        <w:rPr>
          <w:spacing w:val="12"/>
          <w:w w:val="105"/>
        </w:rPr>
        <w:t>begin </w:t>
      </w:r>
      <w:r>
        <w:rPr>
          <w:w w:val="105"/>
        </w:rPr>
        <w:t>transition  to  that </w:t>
      </w:r>
      <w:r>
        <w:rPr>
          <w:spacing w:val="2"/>
          <w:w w:val="105"/>
        </w:rPr>
        <w:t> </w:t>
      </w:r>
      <w:r>
        <w:rPr>
          <w:w w:val="105"/>
        </w:rPr>
        <w:t>method.</w:t>
      </w:r>
    </w:p>
    <w:p>
      <w:pPr>
        <w:spacing w:after="0" w:line="254" w:lineRule="auto"/>
        <w:jc w:val="both"/>
        <w:sectPr>
          <w:type w:val="continuous"/>
          <w:pgSz w:w="11520" w:h="14400"/>
          <w:pgMar w:top="0" w:bottom="280" w:left="700" w:right="800"/>
          <w:cols w:num="2" w:equalWidth="0">
            <w:col w:w="4731" w:space="409"/>
            <w:col w:w="4880"/>
          </w:cols>
        </w:sectPr>
      </w:pPr>
    </w:p>
    <w:p>
      <w:pPr>
        <w:pStyle w:val="BodyText"/>
        <w:spacing w:line="254" w:lineRule="auto" w:before="69"/>
        <w:ind w:left="100" w:firstLine="100"/>
        <w:jc w:val="both"/>
      </w:pPr>
      <w:bookmarkStart w:name="Accounting Changes" w:id="41"/>
      <w:bookmarkEnd w:id="41"/>
      <w:r>
        <w:rPr/>
      </w:r>
      <w:r>
        <w:rPr>
          <w:i/>
          <w:spacing w:val="4"/>
          <w:w w:val="105"/>
        </w:rPr>
        <w:t>Financial </w:t>
      </w:r>
      <w:r>
        <w:rPr>
          <w:i/>
          <w:spacing w:val="3"/>
          <w:w w:val="105"/>
        </w:rPr>
        <w:t>Derivative</w:t>
      </w:r>
      <w:r>
        <w:rPr>
          <w:i/>
          <w:spacing w:val="53"/>
          <w:w w:val="105"/>
        </w:rPr>
        <w:t> </w:t>
      </w:r>
      <w:r>
        <w:rPr>
          <w:i/>
          <w:spacing w:val="6"/>
          <w:w w:val="105"/>
        </w:rPr>
        <w:t>Instruments.</w:t>
      </w:r>
      <w:r>
        <w:rPr>
          <w:i/>
          <w:spacing w:val="59"/>
          <w:w w:val="105"/>
        </w:rPr>
        <w:t> </w:t>
      </w:r>
      <w:r>
        <w:rPr>
          <w:spacing w:val="4"/>
          <w:w w:val="105"/>
        </w:rPr>
        <w:t>The </w:t>
      </w:r>
      <w:r>
        <w:rPr>
          <w:spacing w:val="8"/>
          <w:w w:val="105"/>
        </w:rPr>
        <w:t>Company </w:t>
      </w:r>
      <w:r>
        <w:rPr>
          <w:spacing w:val="4"/>
          <w:w w:val="105"/>
        </w:rPr>
        <w:t>utilizes </w:t>
      </w:r>
      <w:r>
        <w:rPr>
          <w:w w:val="105"/>
        </w:rPr>
        <w:t>a </w:t>
      </w:r>
      <w:r>
        <w:rPr>
          <w:spacing w:val="5"/>
          <w:w w:val="105"/>
        </w:rPr>
        <w:t>variety </w:t>
      </w:r>
      <w:r>
        <w:rPr>
          <w:spacing w:val="6"/>
          <w:w w:val="105"/>
        </w:rPr>
        <w:t>of </w:t>
      </w:r>
      <w:r>
        <w:rPr>
          <w:spacing w:val="8"/>
          <w:w w:val="105"/>
        </w:rPr>
        <w:t>derivative </w:t>
      </w:r>
      <w:r>
        <w:rPr>
          <w:spacing w:val="4"/>
          <w:w w:val="105"/>
        </w:rPr>
        <w:t>instruments, </w:t>
      </w:r>
      <w:r>
        <w:rPr>
          <w:spacing w:val="7"/>
          <w:w w:val="105"/>
        </w:rPr>
        <w:t>including </w:t>
      </w:r>
      <w:r>
        <w:rPr>
          <w:spacing w:val="5"/>
          <w:w w:val="105"/>
        </w:rPr>
        <w:t>both </w:t>
      </w:r>
      <w:r>
        <w:rPr>
          <w:spacing w:val="4"/>
          <w:w w:val="105"/>
        </w:rPr>
        <w:t>crude </w:t>
      </w:r>
      <w:r>
        <w:rPr>
          <w:spacing w:val="8"/>
          <w:w w:val="105"/>
        </w:rPr>
        <w:t>oil </w:t>
      </w:r>
      <w:r>
        <w:rPr>
          <w:spacing w:val="12"/>
          <w:w w:val="105"/>
        </w:rPr>
        <w:t>and </w:t>
      </w:r>
      <w:r>
        <w:rPr>
          <w:spacing w:val="8"/>
          <w:w w:val="105"/>
        </w:rPr>
        <w:t>heating oil </w:t>
      </w:r>
      <w:r>
        <w:rPr>
          <w:spacing w:val="6"/>
          <w:w w:val="105"/>
        </w:rPr>
        <w:t>based</w:t>
      </w:r>
      <w:r>
        <w:rPr>
          <w:spacing w:val="59"/>
          <w:w w:val="105"/>
        </w:rPr>
        <w:t> </w:t>
      </w:r>
      <w:r>
        <w:rPr>
          <w:spacing w:val="7"/>
          <w:w w:val="105"/>
        </w:rPr>
        <w:t>derivatives, </w:t>
      </w:r>
      <w:r>
        <w:rPr>
          <w:w w:val="105"/>
        </w:rPr>
        <w:t>to </w:t>
      </w:r>
      <w:r>
        <w:rPr>
          <w:spacing w:val="7"/>
          <w:w w:val="105"/>
        </w:rPr>
        <w:t>hedge </w:t>
      </w:r>
      <w:r>
        <w:rPr>
          <w:w w:val="105"/>
        </w:rPr>
        <w:t>a </w:t>
      </w:r>
      <w:r>
        <w:rPr>
          <w:spacing w:val="5"/>
          <w:w w:val="105"/>
        </w:rPr>
        <w:t>portion </w:t>
      </w:r>
      <w:r>
        <w:rPr>
          <w:spacing w:val="6"/>
          <w:w w:val="105"/>
        </w:rPr>
        <w:t>of</w:t>
      </w:r>
      <w:r>
        <w:rPr>
          <w:spacing w:val="59"/>
          <w:w w:val="105"/>
        </w:rPr>
        <w:t> </w:t>
      </w:r>
      <w:r>
        <w:rPr>
          <w:spacing w:val="2"/>
          <w:w w:val="105"/>
        </w:rPr>
        <w:t>its </w:t>
      </w:r>
      <w:r>
        <w:rPr>
          <w:spacing w:val="6"/>
          <w:w w:val="105"/>
        </w:rPr>
        <w:t>exposure</w:t>
      </w:r>
      <w:r>
        <w:rPr>
          <w:spacing w:val="59"/>
          <w:w w:val="105"/>
        </w:rPr>
        <w:t> </w:t>
      </w:r>
      <w:r>
        <w:rPr>
          <w:w w:val="105"/>
        </w:rPr>
        <w:t>to </w:t>
      </w:r>
      <w:r>
        <w:rPr>
          <w:spacing w:val="2"/>
          <w:w w:val="105"/>
        </w:rPr>
        <w:t>jet </w:t>
      </w:r>
      <w:r>
        <w:rPr>
          <w:spacing w:val="6"/>
          <w:w w:val="105"/>
        </w:rPr>
        <w:t>fuel</w:t>
      </w:r>
      <w:r>
        <w:rPr>
          <w:spacing w:val="59"/>
          <w:w w:val="105"/>
        </w:rPr>
        <w:t> </w:t>
      </w:r>
      <w:r>
        <w:rPr>
          <w:spacing w:val="4"/>
          <w:w w:val="105"/>
        </w:rPr>
        <w:t>price </w:t>
      </w:r>
      <w:r>
        <w:rPr>
          <w:spacing w:val="5"/>
          <w:w w:val="105"/>
        </w:rPr>
        <w:t>increases. </w:t>
      </w:r>
      <w:r>
        <w:rPr>
          <w:spacing w:val="4"/>
          <w:w w:val="105"/>
        </w:rPr>
        <w:t>These </w:t>
      </w:r>
      <w:r>
        <w:rPr>
          <w:spacing w:val="5"/>
          <w:w w:val="105"/>
        </w:rPr>
        <w:t>instruments  </w:t>
      </w:r>
      <w:r>
        <w:rPr>
          <w:spacing w:val="4"/>
          <w:w w:val="105"/>
        </w:rPr>
        <w:t>consist  </w:t>
      </w:r>
      <w:r>
        <w:rPr>
          <w:spacing w:val="5"/>
          <w:w w:val="105"/>
        </w:rPr>
        <w:t>primarily </w:t>
      </w:r>
      <w:r>
        <w:rPr>
          <w:spacing w:val="6"/>
          <w:w w:val="105"/>
        </w:rPr>
        <w:t>of</w:t>
      </w:r>
      <w:r>
        <w:rPr>
          <w:spacing w:val="59"/>
          <w:w w:val="105"/>
        </w:rPr>
        <w:t> </w:t>
      </w:r>
      <w:r>
        <w:rPr>
          <w:spacing w:val="6"/>
          <w:w w:val="105"/>
        </w:rPr>
        <w:t>purchased</w:t>
      </w:r>
      <w:r>
        <w:rPr>
          <w:spacing w:val="59"/>
          <w:w w:val="105"/>
        </w:rPr>
        <w:t> </w:t>
      </w:r>
      <w:r>
        <w:rPr>
          <w:w w:val="105"/>
        </w:rPr>
        <w:t>call </w:t>
      </w:r>
      <w:r>
        <w:rPr>
          <w:spacing w:val="6"/>
          <w:w w:val="105"/>
        </w:rPr>
        <w:t>options,</w:t>
      </w:r>
      <w:r>
        <w:rPr>
          <w:spacing w:val="59"/>
          <w:w w:val="105"/>
        </w:rPr>
        <w:t> </w:t>
      </w:r>
      <w:r>
        <w:rPr>
          <w:w w:val="105"/>
        </w:rPr>
        <w:t>collar  structures, </w:t>
      </w:r>
      <w:r>
        <w:rPr>
          <w:spacing w:val="8"/>
          <w:w w:val="105"/>
        </w:rPr>
        <w:t>and </w:t>
      </w:r>
      <w:r>
        <w:rPr>
          <w:spacing w:val="7"/>
          <w:w w:val="105"/>
        </w:rPr>
        <w:t>fixed </w:t>
      </w:r>
      <w:r>
        <w:rPr>
          <w:spacing w:val="4"/>
          <w:w w:val="105"/>
        </w:rPr>
        <w:t>price swap  </w:t>
      </w:r>
      <w:r>
        <w:rPr>
          <w:spacing w:val="5"/>
          <w:w w:val="105"/>
        </w:rPr>
        <w:t>agreements.  Prior  </w:t>
      </w:r>
      <w:r>
        <w:rPr>
          <w:w w:val="105"/>
        </w:rPr>
        <w:t>to 2001, </w:t>
      </w:r>
      <w:r>
        <w:rPr>
          <w:spacing w:val="2"/>
          <w:w w:val="105"/>
        </w:rPr>
        <w:t>the </w:t>
      </w:r>
      <w:r>
        <w:rPr>
          <w:spacing w:val="8"/>
          <w:w w:val="105"/>
        </w:rPr>
        <w:t>net </w:t>
      </w:r>
      <w:r>
        <w:rPr>
          <w:spacing w:val="3"/>
          <w:w w:val="105"/>
        </w:rPr>
        <w:t>cost </w:t>
      </w:r>
      <w:r>
        <w:rPr>
          <w:spacing w:val="9"/>
          <w:w w:val="105"/>
        </w:rPr>
        <w:t>paid </w:t>
      </w:r>
      <w:r>
        <w:rPr>
          <w:spacing w:val="4"/>
          <w:w w:val="105"/>
        </w:rPr>
        <w:t>for </w:t>
      </w:r>
      <w:r>
        <w:rPr>
          <w:spacing w:val="7"/>
          <w:w w:val="105"/>
        </w:rPr>
        <w:t>option </w:t>
      </w:r>
      <w:r>
        <w:rPr>
          <w:spacing w:val="9"/>
          <w:w w:val="105"/>
        </w:rPr>
        <w:t>premiums </w:t>
      </w:r>
      <w:r>
        <w:rPr>
          <w:spacing w:val="8"/>
          <w:w w:val="105"/>
        </w:rPr>
        <w:t>and </w:t>
      </w:r>
      <w:r>
        <w:rPr>
          <w:spacing w:val="7"/>
          <w:w w:val="105"/>
        </w:rPr>
        <w:t>gains </w:t>
      </w:r>
      <w:r>
        <w:rPr>
          <w:spacing w:val="8"/>
          <w:w w:val="105"/>
        </w:rPr>
        <w:t>and</w:t>
      </w:r>
      <w:r>
        <w:rPr>
          <w:spacing w:val="63"/>
          <w:w w:val="105"/>
        </w:rPr>
        <w:t> </w:t>
      </w:r>
      <w:r>
        <w:rPr>
          <w:w w:val="105"/>
        </w:rPr>
        <w:t>losses  </w:t>
      </w:r>
      <w:r>
        <w:rPr>
          <w:spacing w:val="6"/>
          <w:w w:val="105"/>
        </w:rPr>
        <w:t>on</w:t>
      </w:r>
      <w:r>
        <w:rPr>
          <w:spacing w:val="59"/>
          <w:w w:val="105"/>
        </w:rPr>
        <w:t> </w:t>
      </w:r>
      <w:r>
        <w:rPr>
          <w:w w:val="105"/>
        </w:rPr>
        <w:t>all  </w:t>
      </w:r>
      <w:r>
        <w:rPr>
          <w:spacing w:val="9"/>
          <w:w w:val="105"/>
        </w:rPr>
        <w:t>financial </w:t>
      </w:r>
      <w:r>
        <w:rPr>
          <w:spacing w:val="7"/>
          <w:w w:val="105"/>
        </w:rPr>
        <w:t>derivative </w:t>
      </w:r>
      <w:r>
        <w:rPr>
          <w:spacing w:val="4"/>
          <w:w w:val="105"/>
        </w:rPr>
        <w:t>instruments, </w:t>
      </w:r>
      <w:r>
        <w:rPr>
          <w:spacing w:val="7"/>
          <w:w w:val="105"/>
        </w:rPr>
        <w:t>including </w:t>
      </w:r>
      <w:r>
        <w:rPr>
          <w:spacing w:val="3"/>
          <w:w w:val="105"/>
        </w:rPr>
        <w:t>those </w:t>
      </w:r>
      <w:r>
        <w:rPr>
          <w:spacing w:val="7"/>
          <w:w w:val="105"/>
        </w:rPr>
        <w:t>termi- </w:t>
      </w:r>
      <w:r>
        <w:rPr>
          <w:spacing w:val="6"/>
          <w:w w:val="105"/>
        </w:rPr>
        <w:t>nated</w:t>
      </w:r>
      <w:r>
        <w:rPr>
          <w:spacing w:val="59"/>
          <w:w w:val="105"/>
        </w:rPr>
        <w:t> </w:t>
      </w:r>
      <w:r>
        <w:rPr>
          <w:spacing w:val="6"/>
          <w:w w:val="105"/>
        </w:rPr>
        <w:t>or</w:t>
      </w:r>
      <w:r>
        <w:rPr>
          <w:spacing w:val="59"/>
          <w:w w:val="105"/>
        </w:rPr>
        <w:t> </w:t>
      </w:r>
      <w:r>
        <w:rPr>
          <w:w w:val="105"/>
        </w:rPr>
        <w:t>settled early, </w:t>
      </w:r>
      <w:r>
        <w:rPr>
          <w:spacing w:val="4"/>
          <w:w w:val="105"/>
        </w:rPr>
        <w:t>were </w:t>
      </w:r>
      <w:r>
        <w:rPr>
          <w:spacing w:val="5"/>
          <w:w w:val="105"/>
        </w:rPr>
        <w:t>deferred </w:t>
      </w:r>
      <w:r>
        <w:rPr>
          <w:spacing w:val="12"/>
          <w:w w:val="105"/>
        </w:rPr>
        <w:t>and </w:t>
      </w:r>
      <w:r>
        <w:rPr>
          <w:spacing w:val="5"/>
          <w:w w:val="105"/>
        </w:rPr>
        <w:t>charged </w:t>
      </w:r>
      <w:r>
        <w:rPr>
          <w:spacing w:val="6"/>
          <w:w w:val="105"/>
        </w:rPr>
        <w:t>or </w:t>
      </w:r>
      <w:r>
        <w:rPr>
          <w:spacing w:val="5"/>
          <w:w w:val="105"/>
        </w:rPr>
        <w:t>credited </w:t>
      </w:r>
      <w:r>
        <w:rPr>
          <w:w w:val="105"/>
        </w:rPr>
        <w:t>to </w:t>
      </w:r>
      <w:r>
        <w:rPr>
          <w:spacing w:val="7"/>
          <w:w w:val="105"/>
        </w:rPr>
        <w:t>“Fuel </w:t>
      </w:r>
      <w:r>
        <w:rPr>
          <w:spacing w:val="8"/>
          <w:w w:val="105"/>
        </w:rPr>
        <w:t>and  </w:t>
      </w:r>
      <w:r>
        <w:rPr>
          <w:spacing w:val="4"/>
          <w:w w:val="105"/>
        </w:rPr>
        <w:t>oil”  </w:t>
      </w:r>
      <w:r>
        <w:rPr>
          <w:spacing w:val="8"/>
          <w:w w:val="105"/>
        </w:rPr>
        <w:t>expense </w:t>
      </w:r>
      <w:r>
        <w:rPr>
          <w:spacing w:val="6"/>
          <w:w w:val="105"/>
        </w:rPr>
        <w:t>in </w:t>
      </w:r>
      <w:r>
        <w:rPr>
          <w:spacing w:val="2"/>
          <w:w w:val="105"/>
        </w:rPr>
        <w:t>the </w:t>
      </w:r>
      <w:r>
        <w:rPr>
          <w:spacing w:val="6"/>
          <w:w w:val="105"/>
        </w:rPr>
        <w:t>same </w:t>
      </w:r>
      <w:r>
        <w:rPr>
          <w:spacing w:val="7"/>
          <w:w w:val="105"/>
        </w:rPr>
        <w:t>month </w:t>
      </w:r>
      <w:r>
        <w:rPr>
          <w:spacing w:val="5"/>
          <w:w w:val="105"/>
        </w:rPr>
        <w:t>that </w:t>
      </w:r>
      <w:r>
        <w:rPr>
          <w:spacing w:val="2"/>
          <w:w w:val="105"/>
        </w:rPr>
        <w:t>the </w:t>
      </w:r>
      <w:r>
        <w:rPr>
          <w:spacing w:val="5"/>
          <w:w w:val="105"/>
        </w:rPr>
        <w:t>underlying </w:t>
      </w:r>
      <w:r>
        <w:rPr>
          <w:spacing w:val="2"/>
          <w:w w:val="105"/>
        </w:rPr>
        <w:t>jet </w:t>
      </w:r>
      <w:r>
        <w:rPr>
          <w:spacing w:val="9"/>
          <w:w w:val="105"/>
        </w:rPr>
        <w:t>fuel being </w:t>
      </w:r>
      <w:r>
        <w:rPr>
          <w:spacing w:val="8"/>
          <w:w w:val="105"/>
        </w:rPr>
        <w:t>hedged </w:t>
      </w:r>
      <w:r>
        <w:rPr>
          <w:spacing w:val="6"/>
          <w:w w:val="105"/>
        </w:rPr>
        <w:t>was used. </w:t>
      </w:r>
      <w:r>
        <w:rPr>
          <w:spacing w:val="7"/>
          <w:w w:val="105"/>
        </w:rPr>
        <w:t>However, </w:t>
      </w:r>
      <w:r>
        <w:rPr>
          <w:spacing w:val="10"/>
          <w:w w:val="105"/>
        </w:rPr>
        <w:t>beginning </w:t>
      </w:r>
      <w:r>
        <w:rPr>
          <w:spacing w:val="6"/>
          <w:w w:val="105"/>
        </w:rPr>
        <w:t>January</w:t>
      </w:r>
      <w:r>
        <w:rPr>
          <w:spacing w:val="59"/>
          <w:w w:val="105"/>
        </w:rPr>
        <w:t> </w:t>
      </w:r>
      <w:r>
        <w:rPr>
          <w:w w:val="105"/>
        </w:rPr>
        <w:t>1, 2001, </w:t>
      </w:r>
      <w:r>
        <w:rPr>
          <w:spacing w:val="2"/>
          <w:w w:val="105"/>
        </w:rPr>
        <w:t>the </w:t>
      </w:r>
      <w:r>
        <w:rPr>
          <w:spacing w:val="8"/>
          <w:w w:val="105"/>
        </w:rPr>
        <w:t>Company </w:t>
      </w:r>
      <w:r>
        <w:rPr>
          <w:spacing w:val="9"/>
          <w:w w:val="105"/>
        </w:rPr>
        <w:t>adopted </w:t>
      </w:r>
      <w:r>
        <w:rPr>
          <w:spacing w:val="5"/>
          <w:w w:val="105"/>
        </w:rPr>
        <w:t>Statement </w:t>
      </w:r>
      <w:r>
        <w:rPr>
          <w:spacing w:val="6"/>
          <w:w w:val="105"/>
        </w:rPr>
        <w:t>of </w:t>
      </w:r>
      <w:r>
        <w:rPr>
          <w:spacing w:val="8"/>
          <w:w w:val="105"/>
        </w:rPr>
        <w:t>Financial </w:t>
      </w:r>
      <w:r>
        <w:rPr>
          <w:spacing w:val="7"/>
          <w:w w:val="105"/>
        </w:rPr>
        <w:t>Accounting </w:t>
      </w:r>
      <w:r>
        <w:rPr>
          <w:spacing w:val="6"/>
          <w:w w:val="105"/>
        </w:rPr>
        <w:t>Standards No.</w:t>
      </w:r>
      <w:r>
        <w:rPr>
          <w:spacing w:val="59"/>
          <w:w w:val="105"/>
        </w:rPr>
        <w:t> </w:t>
      </w:r>
      <w:r>
        <w:rPr>
          <w:w w:val="105"/>
        </w:rPr>
        <w:t>133  (SFAS  133),  </w:t>
      </w:r>
      <w:r>
        <w:rPr>
          <w:spacing w:val="7"/>
          <w:w w:val="105"/>
        </w:rPr>
        <w:t>“Accounting  </w:t>
      </w:r>
      <w:r>
        <w:rPr>
          <w:spacing w:val="8"/>
          <w:w w:val="105"/>
        </w:rPr>
        <w:t>for </w:t>
      </w:r>
      <w:r>
        <w:rPr>
          <w:spacing w:val="7"/>
          <w:w w:val="105"/>
        </w:rPr>
        <w:t>Derivative</w:t>
      </w:r>
      <w:r>
        <w:rPr>
          <w:spacing w:val="61"/>
          <w:w w:val="105"/>
        </w:rPr>
        <w:t> </w:t>
      </w:r>
      <w:r>
        <w:rPr>
          <w:spacing w:val="5"/>
          <w:w w:val="105"/>
        </w:rPr>
        <w:t>Instruments </w:t>
      </w:r>
      <w:r>
        <w:rPr>
          <w:spacing w:val="8"/>
          <w:w w:val="105"/>
        </w:rPr>
        <w:t>and  </w:t>
      </w:r>
      <w:r>
        <w:rPr>
          <w:spacing w:val="9"/>
          <w:w w:val="105"/>
        </w:rPr>
        <w:t>Hedging </w:t>
      </w:r>
      <w:r>
        <w:rPr>
          <w:spacing w:val="5"/>
          <w:w w:val="105"/>
        </w:rPr>
        <w:t>Activities,” </w:t>
      </w:r>
      <w:r>
        <w:rPr>
          <w:spacing w:val="6"/>
          <w:w w:val="105"/>
        </w:rPr>
        <w:t>as </w:t>
      </w:r>
      <w:r>
        <w:rPr>
          <w:spacing w:val="11"/>
          <w:w w:val="105"/>
        </w:rPr>
        <w:t>amended, </w:t>
      </w:r>
      <w:r>
        <w:rPr>
          <w:spacing w:val="7"/>
          <w:w w:val="105"/>
        </w:rPr>
        <w:t>which changed  </w:t>
      </w:r>
      <w:r>
        <w:rPr>
          <w:spacing w:val="6"/>
          <w:w w:val="105"/>
        </w:rPr>
        <w:t>the way it accounts </w:t>
      </w:r>
      <w:r>
        <w:rPr>
          <w:spacing w:val="4"/>
          <w:w w:val="105"/>
        </w:rPr>
        <w:t>for </w:t>
      </w:r>
      <w:r>
        <w:rPr>
          <w:spacing w:val="8"/>
          <w:w w:val="105"/>
        </w:rPr>
        <w:t>financial derivative </w:t>
      </w:r>
      <w:r>
        <w:rPr>
          <w:spacing w:val="4"/>
          <w:w w:val="105"/>
        </w:rPr>
        <w:t>instruments. </w:t>
      </w:r>
      <w:r>
        <w:rPr>
          <w:spacing w:val="2"/>
          <w:w w:val="105"/>
        </w:rPr>
        <w:t>See  </w:t>
      </w:r>
      <w:r>
        <w:rPr>
          <w:spacing w:val="4"/>
          <w:w w:val="105"/>
        </w:rPr>
        <w:t>Note  </w:t>
      </w:r>
      <w:r>
        <w:rPr>
          <w:w w:val="105"/>
        </w:rPr>
        <w:t>2  </w:t>
      </w:r>
      <w:r>
        <w:rPr>
          <w:spacing w:val="8"/>
          <w:w w:val="105"/>
        </w:rPr>
        <w:t>and  </w:t>
      </w:r>
      <w:r>
        <w:rPr>
          <w:spacing w:val="4"/>
          <w:w w:val="105"/>
        </w:rPr>
        <w:t>Note</w:t>
      </w:r>
      <w:r>
        <w:rPr>
          <w:spacing w:val="-19"/>
          <w:w w:val="105"/>
        </w:rPr>
        <w:t> </w:t>
      </w:r>
      <w:r>
        <w:rPr>
          <w:w w:val="105"/>
        </w:rPr>
        <w:t>9.</w:t>
      </w:r>
    </w:p>
    <w:p>
      <w:pPr>
        <w:pStyle w:val="BodyText"/>
        <w:spacing w:line="254" w:lineRule="auto"/>
        <w:ind w:left="100" w:right="6" w:firstLine="280"/>
        <w:jc w:val="both"/>
      </w:pPr>
      <w:r>
        <w:rPr>
          <w:w w:val="110"/>
        </w:rPr>
        <w:t>Since the majority of the  </w:t>
      </w:r>
      <w:r>
        <w:rPr>
          <w:spacing w:val="6"/>
          <w:w w:val="110"/>
        </w:rPr>
        <w:t>Company’s </w:t>
      </w:r>
      <w:r>
        <w:rPr>
          <w:w w:val="110"/>
        </w:rPr>
        <w:t>financial derivative instruments are not </w:t>
      </w:r>
      <w:r>
        <w:rPr>
          <w:spacing w:val="8"/>
          <w:w w:val="110"/>
        </w:rPr>
        <w:t>traded </w:t>
      </w:r>
      <w:r>
        <w:rPr>
          <w:w w:val="110"/>
        </w:rPr>
        <w:t>on a market </w:t>
      </w:r>
      <w:r>
        <w:rPr>
          <w:spacing w:val="3"/>
          <w:w w:val="110"/>
        </w:rPr>
        <w:t>exchange, </w:t>
      </w:r>
      <w:r>
        <w:rPr>
          <w:w w:val="110"/>
        </w:rPr>
        <w:t>the </w:t>
      </w:r>
      <w:r>
        <w:rPr>
          <w:spacing w:val="2"/>
          <w:w w:val="110"/>
        </w:rPr>
        <w:t>Company  </w:t>
      </w:r>
      <w:r>
        <w:rPr>
          <w:spacing w:val="3"/>
          <w:w w:val="110"/>
        </w:rPr>
        <w:t>esti- </w:t>
      </w:r>
      <w:r>
        <w:rPr>
          <w:w w:val="110"/>
        </w:rPr>
        <w:t>mates their fair values. Depending on the </w:t>
      </w:r>
      <w:r>
        <w:rPr>
          <w:spacing w:val="5"/>
          <w:w w:val="110"/>
        </w:rPr>
        <w:t>type  </w:t>
      </w:r>
      <w:r>
        <w:rPr>
          <w:w w:val="110"/>
        </w:rPr>
        <w:t>of instrument, the values are  </w:t>
      </w:r>
      <w:r>
        <w:rPr>
          <w:spacing w:val="3"/>
          <w:w w:val="110"/>
        </w:rPr>
        <w:t>determined</w:t>
      </w:r>
      <w:r>
        <w:rPr>
          <w:spacing w:val="55"/>
          <w:w w:val="110"/>
        </w:rPr>
        <w:t> </w:t>
      </w:r>
      <w:r>
        <w:rPr>
          <w:spacing w:val="4"/>
          <w:w w:val="110"/>
        </w:rPr>
        <w:t>by </w:t>
      </w:r>
      <w:r>
        <w:rPr>
          <w:w w:val="110"/>
        </w:rPr>
        <w:t>the use of present </w:t>
      </w:r>
      <w:r>
        <w:rPr>
          <w:spacing w:val="2"/>
          <w:w w:val="110"/>
        </w:rPr>
        <w:t>value methods </w:t>
      </w:r>
      <w:r>
        <w:rPr>
          <w:w w:val="110"/>
        </w:rPr>
        <w:t>or </w:t>
      </w:r>
      <w:r>
        <w:rPr>
          <w:spacing w:val="6"/>
          <w:w w:val="110"/>
        </w:rPr>
        <w:t>standard </w:t>
      </w:r>
      <w:r>
        <w:rPr>
          <w:spacing w:val="2"/>
          <w:w w:val="110"/>
        </w:rPr>
        <w:t>option value </w:t>
      </w:r>
      <w:r>
        <w:rPr>
          <w:w w:val="110"/>
        </w:rPr>
        <w:t>models with </w:t>
      </w:r>
      <w:r>
        <w:rPr>
          <w:spacing w:val="2"/>
          <w:w w:val="110"/>
        </w:rPr>
        <w:t>assumptions </w:t>
      </w:r>
      <w:r>
        <w:rPr>
          <w:spacing w:val="11"/>
          <w:w w:val="110"/>
        </w:rPr>
        <w:t>about </w:t>
      </w:r>
      <w:r>
        <w:rPr>
          <w:w w:val="110"/>
        </w:rPr>
        <w:t>commodity prices based on those observed </w:t>
      </w:r>
      <w:r>
        <w:rPr>
          <w:spacing w:val="12"/>
          <w:w w:val="110"/>
        </w:rPr>
        <w:t>in </w:t>
      </w:r>
      <w:r>
        <w:rPr>
          <w:w w:val="110"/>
        </w:rPr>
        <w:t>underlying markets. Also, since there is not a reliable forward market for jet fuel, </w:t>
      </w:r>
      <w:r>
        <w:rPr>
          <w:spacing w:val="6"/>
          <w:w w:val="110"/>
        </w:rPr>
        <w:t>the  </w:t>
      </w:r>
      <w:r>
        <w:rPr>
          <w:spacing w:val="2"/>
          <w:w w:val="110"/>
        </w:rPr>
        <w:t>Company </w:t>
      </w:r>
      <w:r>
        <w:rPr>
          <w:w w:val="110"/>
        </w:rPr>
        <w:t>must estimate the  future  prices  </w:t>
      </w:r>
      <w:r>
        <w:rPr>
          <w:spacing w:val="6"/>
          <w:w w:val="110"/>
        </w:rPr>
        <w:t>of </w:t>
      </w:r>
      <w:r>
        <w:rPr>
          <w:w w:val="110"/>
        </w:rPr>
        <w:t>jet fuel in order to </w:t>
      </w:r>
      <w:r>
        <w:rPr>
          <w:spacing w:val="2"/>
          <w:w w:val="110"/>
        </w:rPr>
        <w:t>measure  </w:t>
      </w:r>
      <w:r>
        <w:rPr>
          <w:w w:val="110"/>
        </w:rPr>
        <w:t>the  </w:t>
      </w:r>
      <w:r>
        <w:rPr>
          <w:spacing w:val="6"/>
          <w:w w:val="110"/>
        </w:rPr>
        <w:t>effectiveness </w:t>
      </w:r>
      <w:r>
        <w:rPr>
          <w:w w:val="110"/>
        </w:rPr>
        <w:t>of the </w:t>
      </w:r>
      <w:r>
        <w:rPr>
          <w:spacing w:val="2"/>
          <w:w w:val="110"/>
        </w:rPr>
        <w:t>hedging </w:t>
      </w:r>
      <w:r>
        <w:rPr>
          <w:w w:val="110"/>
        </w:rPr>
        <w:t>instruments in </w:t>
      </w:r>
      <w:r>
        <w:rPr>
          <w:spacing w:val="4"/>
          <w:w w:val="110"/>
        </w:rPr>
        <w:t>offsetting </w:t>
      </w:r>
      <w:r>
        <w:rPr>
          <w:w w:val="110"/>
        </w:rPr>
        <w:t>changes  to  those  prices,  as  </w:t>
      </w:r>
      <w:r>
        <w:rPr>
          <w:spacing w:val="2"/>
          <w:w w:val="110"/>
        </w:rPr>
        <w:t>required  </w:t>
      </w:r>
      <w:r>
        <w:rPr>
          <w:w w:val="110"/>
        </w:rPr>
        <w:t>by</w:t>
      </w:r>
      <w:r>
        <w:rPr>
          <w:spacing w:val="42"/>
          <w:w w:val="110"/>
        </w:rPr>
        <w:t> </w:t>
      </w:r>
      <w:r>
        <w:rPr>
          <w:w w:val="110"/>
        </w:rPr>
        <w:t>SFAS</w:t>
      </w:r>
    </w:p>
    <w:p>
      <w:pPr>
        <w:pStyle w:val="BodyText"/>
        <w:spacing w:line="254" w:lineRule="auto"/>
        <w:ind w:left="100" w:right="8"/>
        <w:jc w:val="both"/>
      </w:pPr>
      <w:r>
        <w:rPr>
          <w:w w:val="105"/>
        </w:rPr>
        <w:t>133. Forward jet fuel prices are  estimated through the observation of similar commodity futures prices  (such  as  crude  oil  and  heating oil)  and   adjusted   based   on   historical variations  to  those  like   commodities.</w:t>
      </w:r>
    </w:p>
    <w:p>
      <w:pPr>
        <w:pStyle w:val="BodyText"/>
        <w:spacing w:before="4"/>
        <w:rPr>
          <w:sz w:val="21"/>
        </w:rPr>
      </w:pPr>
    </w:p>
    <w:p>
      <w:pPr>
        <w:pStyle w:val="BodyText"/>
        <w:spacing w:line="254" w:lineRule="auto"/>
        <w:ind w:left="100" w:right="6" w:firstLine="100"/>
        <w:jc w:val="both"/>
      </w:pPr>
      <w:r>
        <w:rPr>
          <w:i/>
          <w:spacing w:val="3"/>
          <w:w w:val="105"/>
        </w:rPr>
        <w:t>Recent Accounting Developments.</w:t>
      </w:r>
      <w:r>
        <w:rPr>
          <w:i/>
          <w:spacing w:val="53"/>
          <w:w w:val="105"/>
        </w:rPr>
        <w:t> </w:t>
      </w:r>
      <w:r>
        <w:rPr>
          <w:spacing w:val="8"/>
          <w:w w:val="105"/>
        </w:rPr>
        <w:t>In </w:t>
      </w:r>
      <w:r>
        <w:rPr>
          <w:spacing w:val="10"/>
          <w:w w:val="105"/>
        </w:rPr>
        <w:t>November </w:t>
      </w:r>
      <w:r>
        <w:rPr>
          <w:w w:val="105"/>
        </w:rPr>
        <w:t>2002 </w:t>
      </w:r>
      <w:r>
        <w:rPr>
          <w:spacing w:val="2"/>
          <w:w w:val="105"/>
        </w:rPr>
        <w:t>the </w:t>
      </w:r>
      <w:r>
        <w:rPr>
          <w:spacing w:val="8"/>
          <w:w w:val="105"/>
        </w:rPr>
        <w:t>Financial Accounting </w:t>
      </w:r>
      <w:r>
        <w:rPr>
          <w:spacing w:val="5"/>
          <w:w w:val="105"/>
        </w:rPr>
        <w:t>Standards </w:t>
      </w:r>
      <w:r>
        <w:rPr>
          <w:spacing w:val="3"/>
          <w:w w:val="105"/>
        </w:rPr>
        <w:t>Board </w:t>
      </w:r>
      <w:r>
        <w:rPr>
          <w:w w:val="105"/>
        </w:rPr>
        <w:t>(FASB) </w:t>
      </w:r>
      <w:r>
        <w:rPr>
          <w:spacing w:val="4"/>
          <w:w w:val="105"/>
        </w:rPr>
        <w:t>issued </w:t>
      </w:r>
      <w:r>
        <w:rPr>
          <w:spacing w:val="6"/>
          <w:w w:val="105"/>
        </w:rPr>
        <w:t>Interpretation No. </w:t>
      </w:r>
      <w:r>
        <w:rPr>
          <w:w w:val="105"/>
        </w:rPr>
        <w:t>45,  </w:t>
      </w:r>
      <w:r>
        <w:rPr>
          <w:spacing w:val="5"/>
          <w:w w:val="105"/>
        </w:rPr>
        <w:t>“Guarantor’s  </w:t>
      </w:r>
      <w:r>
        <w:rPr>
          <w:spacing w:val="7"/>
          <w:w w:val="105"/>
        </w:rPr>
        <w:t>Accounting  </w:t>
      </w:r>
      <w:r>
        <w:rPr>
          <w:spacing w:val="12"/>
          <w:w w:val="105"/>
        </w:rPr>
        <w:t>and </w:t>
      </w:r>
      <w:r>
        <w:rPr>
          <w:spacing w:val="2"/>
          <w:w w:val="105"/>
        </w:rPr>
        <w:t>Disclosure     </w:t>
      </w:r>
      <w:r>
        <w:rPr>
          <w:spacing w:val="7"/>
          <w:w w:val="105"/>
        </w:rPr>
        <w:t>Requirements     </w:t>
      </w:r>
      <w:r>
        <w:rPr>
          <w:spacing w:val="4"/>
          <w:w w:val="105"/>
        </w:rPr>
        <w:t>for    </w:t>
      </w:r>
      <w:r>
        <w:rPr>
          <w:spacing w:val="15"/>
          <w:w w:val="105"/>
        </w:rPr>
        <w:t> </w:t>
      </w:r>
      <w:r>
        <w:rPr>
          <w:spacing w:val="6"/>
          <w:w w:val="105"/>
        </w:rPr>
        <w:t>Guarantees,</w:t>
      </w:r>
    </w:p>
    <w:p>
      <w:pPr>
        <w:pStyle w:val="BodyText"/>
        <w:tabs>
          <w:tab w:pos="3179" w:val="left" w:leader="none"/>
          <w:tab w:pos="4299" w:val="left" w:leader="none"/>
        </w:tabs>
        <w:spacing w:line="254" w:lineRule="auto" w:before="69"/>
        <w:ind w:left="380" w:right="123"/>
        <w:jc w:val="both"/>
      </w:pPr>
      <w:r>
        <w:rPr/>
        <w:br w:type="column"/>
      </w:r>
      <w:r>
        <w:rPr>
          <w:spacing w:val="7"/>
          <w:w w:val="105"/>
        </w:rPr>
        <w:t>Including Indirect Guarantees </w:t>
      </w:r>
      <w:r>
        <w:rPr>
          <w:spacing w:val="6"/>
          <w:w w:val="105"/>
        </w:rPr>
        <w:t>of </w:t>
      </w:r>
      <w:r>
        <w:rPr>
          <w:spacing w:val="8"/>
          <w:w w:val="105"/>
        </w:rPr>
        <w:t>Indebtedness </w:t>
      </w:r>
      <w:r>
        <w:rPr>
          <w:spacing w:val="6"/>
          <w:w w:val="105"/>
        </w:rPr>
        <w:t>of </w:t>
      </w:r>
      <w:r>
        <w:rPr>
          <w:spacing w:val="2"/>
          <w:w w:val="105"/>
        </w:rPr>
        <w:t>Others,” </w:t>
      </w:r>
      <w:r>
        <w:rPr>
          <w:spacing w:val="7"/>
          <w:w w:val="105"/>
        </w:rPr>
        <w:t>which </w:t>
      </w:r>
      <w:r>
        <w:rPr>
          <w:spacing w:val="4"/>
          <w:w w:val="105"/>
        </w:rPr>
        <w:t>disclosures </w:t>
      </w:r>
      <w:r>
        <w:rPr>
          <w:spacing w:val="2"/>
          <w:w w:val="105"/>
        </w:rPr>
        <w:t>are </w:t>
      </w:r>
      <w:r>
        <w:rPr>
          <w:spacing w:val="5"/>
          <w:w w:val="105"/>
        </w:rPr>
        <w:t>effective </w:t>
      </w:r>
      <w:r>
        <w:rPr>
          <w:spacing w:val="8"/>
          <w:w w:val="105"/>
        </w:rPr>
        <w:t>for financial        </w:t>
      </w:r>
      <w:r>
        <w:rPr>
          <w:spacing w:val="25"/>
          <w:w w:val="105"/>
        </w:rPr>
        <w:t> </w:t>
      </w:r>
      <w:r>
        <w:rPr>
          <w:spacing w:val="4"/>
          <w:w w:val="105"/>
        </w:rPr>
        <w:t>statements</w:t>
        <w:tab/>
        <w:t>issued</w:t>
        <w:tab/>
      </w:r>
      <w:r>
        <w:rPr>
          <w:spacing w:val="6"/>
        </w:rPr>
        <w:t>after </w:t>
      </w:r>
      <w:r>
        <w:rPr>
          <w:spacing w:val="9"/>
          <w:w w:val="105"/>
        </w:rPr>
        <w:t>December </w:t>
      </w:r>
      <w:r>
        <w:rPr>
          <w:w w:val="105"/>
        </w:rPr>
        <w:t>15, 2002. </w:t>
      </w:r>
      <w:r>
        <w:rPr>
          <w:spacing w:val="6"/>
          <w:w w:val="105"/>
        </w:rPr>
        <w:t>While </w:t>
      </w:r>
      <w:r>
        <w:rPr>
          <w:spacing w:val="2"/>
          <w:w w:val="105"/>
        </w:rPr>
        <w:t>the </w:t>
      </w:r>
      <w:r>
        <w:rPr>
          <w:spacing w:val="8"/>
          <w:w w:val="105"/>
        </w:rPr>
        <w:t>Company </w:t>
      </w:r>
      <w:r>
        <w:rPr>
          <w:spacing w:val="12"/>
          <w:w w:val="105"/>
        </w:rPr>
        <w:t>has </w:t>
      </w:r>
      <w:r>
        <w:rPr>
          <w:spacing w:val="8"/>
          <w:w w:val="105"/>
        </w:rPr>
        <w:t>various </w:t>
      </w:r>
      <w:r>
        <w:rPr>
          <w:spacing w:val="6"/>
          <w:w w:val="105"/>
        </w:rPr>
        <w:t>guarantees </w:t>
      </w:r>
      <w:r>
        <w:rPr>
          <w:spacing w:val="7"/>
          <w:w w:val="105"/>
        </w:rPr>
        <w:t>included  </w:t>
      </w:r>
      <w:r>
        <w:rPr>
          <w:spacing w:val="6"/>
          <w:w w:val="105"/>
        </w:rPr>
        <w:t>in </w:t>
      </w:r>
      <w:r>
        <w:rPr>
          <w:spacing w:val="59"/>
          <w:w w:val="105"/>
        </w:rPr>
        <w:t> </w:t>
      </w:r>
      <w:r>
        <w:rPr>
          <w:spacing w:val="3"/>
          <w:w w:val="105"/>
        </w:rPr>
        <w:t>contracts</w:t>
      </w:r>
      <w:r>
        <w:rPr>
          <w:spacing w:val="53"/>
          <w:w w:val="105"/>
        </w:rPr>
        <w:t> </w:t>
      </w:r>
      <w:r>
        <w:rPr>
          <w:spacing w:val="12"/>
          <w:w w:val="105"/>
        </w:rPr>
        <w:t>in </w:t>
      </w:r>
      <w:r>
        <w:rPr>
          <w:spacing w:val="2"/>
          <w:w w:val="105"/>
        </w:rPr>
        <w:t>the </w:t>
      </w:r>
      <w:r>
        <w:rPr>
          <w:spacing w:val="8"/>
          <w:w w:val="105"/>
        </w:rPr>
        <w:t>normal </w:t>
      </w:r>
      <w:r>
        <w:rPr>
          <w:spacing w:val="3"/>
          <w:w w:val="105"/>
        </w:rPr>
        <w:t>course </w:t>
      </w:r>
      <w:r>
        <w:rPr>
          <w:spacing w:val="6"/>
          <w:w w:val="105"/>
        </w:rPr>
        <w:t>of </w:t>
      </w:r>
      <w:r>
        <w:rPr>
          <w:spacing w:val="5"/>
          <w:w w:val="105"/>
        </w:rPr>
        <w:t>business, primarily </w:t>
      </w:r>
      <w:r>
        <w:rPr>
          <w:spacing w:val="6"/>
          <w:w w:val="105"/>
        </w:rPr>
        <w:t>in the </w:t>
      </w:r>
      <w:r>
        <w:rPr>
          <w:w w:val="105"/>
        </w:rPr>
        <w:t>form </w:t>
      </w:r>
      <w:r>
        <w:rPr>
          <w:spacing w:val="6"/>
          <w:w w:val="105"/>
        </w:rPr>
        <w:t>of </w:t>
      </w:r>
      <w:r>
        <w:rPr>
          <w:spacing w:val="8"/>
          <w:w w:val="105"/>
        </w:rPr>
        <w:t>indemnities, </w:t>
      </w:r>
      <w:r>
        <w:rPr>
          <w:spacing w:val="3"/>
          <w:w w:val="105"/>
        </w:rPr>
        <w:t>these </w:t>
      </w:r>
      <w:r>
        <w:rPr>
          <w:spacing w:val="6"/>
          <w:w w:val="105"/>
        </w:rPr>
        <w:t>guarantees </w:t>
      </w:r>
      <w:r>
        <w:rPr>
          <w:spacing w:val="4"/>
          <w:w w:val="105"/>
        </w:rPr>
        <w:t>would only </w:t>
      </w:r>
      <w:r>
        <w:rPr>
          <w:w w:val="105"/>
        </w:rPr>
        <w:t>result </w:t>
      </w:r>
      <w:r>
        <w:rPr>
          <w:spacing w:val="6"/>
          <w:w w:val="105"/>
        </w:rPr>
        <w:t>in</w:t>
      </w:r>
      <w:r>
        <w:rPr>
          <w:spacing w:val="59"/>
          <w:w w:val="105"/>
        </w:rPr>
        <w:t> </w:t>
      </w:r>
      <w:r>
        <w:rPr>
          <w:spacing w:val="8"/>
          <w:w w:val="105"/>
        </w:rPr>
        <w:t>immaterial </w:t>
      </w:r>
      <w:r>
        <w:rPr>
          <w:spacing w:val="6"/>
          <w:w w:val="105"/>
        </w:rPr>
        <w:t>increases in</w:t>
      </w:r>
      <w:r>
        <w:rPr>
          <w:spacing w:val="59"/>
          <w:w w:val="105"/>
        </w:rPr>
        <w:t> </w:t>
      </w:r>
      <w:r>
        <w:rPr>
          <w:spacing w:val="2"/>
          <w:w w:val="105"/>
        </w:rPr>
        <w:t>future </w:t>
      </w:r>
      <w:r>
        <w:rPr>
          <w:w w:val="105"/>
        </w:rPr>
        <w:t>costs, </w:t>
      </w:r>
      <w:r>
        <w:rPr>
          <w:spacing w:val="8"/>
          <w:w w:val="105"/>
        </w:rPr>
        <w:t>but </w:t>
      </w:r>
      <w:r>
        <w:rPr>
          <w:spacing w:val="6"/>
          <w:w w:val="105"/>
        </w:rPr>
        <w:t>do </w:t>
      </w:r>
      <w:r>
        <w:rPr>
          <w:spacing w:val="8"/>
          <w:w w:val="105"/>
        </w:rPr>
        <w:t>not </w:t>
      </w:r>
      <w:r>
        <w:rPr>
          <w:spacing w:val="5"/>
          <w:w w:val="105"/>
        </w:rPr>
        <w:t>represent </w:t>
      </w:r>
      <w:r>
        <w:rPr>
          <w:spacing w:val="6"/>
          <w:w w:val="105"/>
        </w:rPr>
        <w:t>significant </w:t>
      </w:r>
      <w:r>
        <w:rPr>
          <w:spacing w:val="8"/>
          <w:w w:val="105"/>
        </w:rPr>
        <w:t>commitments </w:t>
      </w:r>
      <w:r>
        <w:rPr>
          <w:spacing w:val="6"/>
          <w:w w:val="105"/>
        </w:rPr>
        <w:t>or </w:t>
      </w:r>
      <w:r>
        <w:rPr>
          <w:spacing w:val="7"/>
          <w:w w:val="105"/>
        </w:rPr>
        <w:t>contingent </w:t>
      </w:r>
      <w:r>
        <w:rPr>
          <w:spacing w:val="5"/>
          <w:w w:val="105"/>
        </w:rPr>
        <w:t>liabilities </w:t>
      </w:r>
      <w:r>
        <w:rPr>
          <w:spacing w:val="6"/>
          <w:w w:val="105"/>
        </w:rPr>
        <w:t>of the </w:t>
      </w:r>
      <w:r>
        <w:rPr>
          <w:spacing w:val="8"/>
          <w:w w:val="105"/>
        </w:rPr>
        <w:t>indebtedness </w:t>
      </w:r>
      <w:r>
        <w:rPr>
          <w:spacing w:val="6"/>
          <w:w w:val="105"/>
        </w:rPr>
        <w:t>of</w:t>
      </w:r>
      <w:r>
        <w:rPr>
          <w:spacing w:val="59"/>
          <w:w w:val="105"/>
        </w:rPr>
        <w:t> </w:t>
      </w:r>
      <w:r>
        <w:rPr>
          <w:spacing w:val="3"/>
          <w:w w:val="105"/>
        </w:rPr>
        <w:t>others.</w:t>
      </w:r>
    </w:p>
    <w:p>
      <w:pPr>
        <w:pStyle w:val="BodyText"/>
        <w:spacing w:line="254" w:lineRule="auto"/>
        <w:ind w:left="380" w:right="119" w:firstLine="100"/>
        <w:jc w:val="both"/>
      </w:pPr>
      <w:r>
        <w:rPr>
          <w:spacing w:val="4"/>
          <w:w w:val="105"/>
        </w:rPr>
        <w:t>In </w:t>
      </w:r>
      <w:r>
        <w:rPr>
          <w:spacing w:val="6"/>
          <w:w w:val="105"/>
        </w:rPr>
        <w:t>January </w:t>
      </w:r>
      <w:r>
        <w:rPr>
          <w:w w:val="105"/>
        </w:rPr>
        <w:t>2003, </w:t>
      </w:r>
      <w:r>
        <w:rPr>
          <w:spacing w:val="2"/>
          <w:w w:val="105"/>
        </w:rPr>
        <w:t>FASB  </w:t>
      </w:r>
      <w:r>
        <w:rPr>
          <w:spacing w:val="4"/>
          <w:w w:val="105"/>
        </w:rPr>
        <w:t>issued  </w:t>
      </w:r>
      <w:r>
        <w:rPr>
          <w:spacing w:val="6"/>
          <w:w w:val="105"/>
        </w:rPr>
        <w:t>Interpretation No.</w:t>
      </w:r>
      <w:r>
        <w:rPr>
          <w:spacing w:val="59"/>
          <w:w w:val="105"/>
        </w:rPr>
        <w:t> </w:t>
      </w:r>
      <w:r>
        <w:rPr>
          <w:w w:val="105"/>
        </w:rPr>
        <w:t>46, </w:t>
      </w:r>
      <w:r>
        <w:rPr>
          <w:spacing w:val="6"/>
          <w:w w:val="105"/>
        </w:rPr>
        <w:t>“Consolidation</w:t>
      </w:r>
      <w:r>
        <w:rPr>
          <w:spacing w:val="59"/>
          <w:w w:val="105"/>
        </w:rPr>
        <w:t> </w:t>
      </w:r>
      <w:r>
        <w:rPr>
          <w:spacing w:val="6"/>
          <w:w w:val="105"/>
        </w:rPr>
        <w:t>of</w:t>
      </w:r>
      <w:r>
        <w:rPr>
          <w:spacing w:val="59"/>
          <w:w w:val="105"/>
        </w:rPr>
        <w:t> </w:t>
      </w:r>
      <w:r>
        <w:rPr>
          <w:spacing w:val="5"/>
          <w:w w:val="105"/>
        </w:rPr>
        <w:t>Variable </w:t>
      </w:r>
      <w:r>
        <w:rPr>
          <w:spacing w:val="4"/>
          <w:w w:val="105"/>
        </w:rPr>
        <w:t>Interest Entities” </w:t>
      </w:r>
      <w:r>
        <w:rPr>
          <w:spacing w:val="3"/>
          <w:w w:val="105"/>
        </w:rPr>
        <w:t>(FIN </w:t>
      </w:r>
      <w:r>
        <w:rPr>
          <w:w w:val="105"/>
        </w:rPr>
        <w:t>46) </w:t>
      </w:r>
      <w:r>
        <w:rPr>
          <w:spacing w:val="7"/>
          <w:w w:val="105"/>
        </w:rPr>
        <w:t>which </w:t>
      </w:r>
      <w:r>
        <w:rPr>
          <w:spacing w:val="6"/>
          <w:w w:val="105"/>
        </w:rPr>
        <w:t>requires </w:t>
      </w:r>
      <w:r>
        <w:rPr>
          <w:spacing w:val="2"/>
          <w:w w:val="105"/>
        </w:rPr>
        <w:t>the </w:t>
      </w:r>
      <w:r>
        <w:rPr>
          <w:spacing w:val="6"/>
          <w:w w:val="105"/>
        </w:rPr>
        <w:t>consoli- </w:t>
      </w:r>
      <w:r>
        <w:rPr>
          <w:spacing w:val="7"/>
          <w:w w:val="105"/>
        </w:rPr>
        <w:t>dation </w:t>
      </w:r>
      <w:r>
        <w:rPr>
          <w:spacing w:val="6"/>
          <w:w w:val="105"/>
        </w:rPr>
        <w:t>of variable</w:t>
      </w:r>
      <w:r>
        <w:rPr>
          <w:spacing w:val="59"/>
          <w:w w:val="105"/>
        </w:rPr>
        <w:t> </w:t>
      </w:r>
      <w:r>
        <w:rPr>
          <w:spacing w:val="4"/>
          <w:w w:val="105"/>
        </w:rPr>
        <w:t>interest  </w:t>
      </w:r>
      <w:r>
        <w:rPr>
          <w:spacing w:val="5"/>
          <w:w w:val="105"/>
        </w:rPr>
        <w:t>entities,  </w:t>
      </w:r>
      <w:r>
        <w:rPr>
          <w:spacing w:val="12"/>
          <w:w w:val="105"/>
        </w:rPr>
        <w:t>as </w:t>
      </w:r>
      <w:r>
        <w:rPr>
          <w:spacing w:val="9"/>
          <w:w w:val="105"/>
        </w:rPr>
        <w:t>defined. </w:t>
      </w:r>
      <w:r>
        <w:rPr>
          <w:spacing w:val="4"/>
          <w:w w:val="105"/>
        </w:rPr>
        <w:t>FIN </w:t>
      </w:r>
      <w:r>
        <w:rPr>
          <w:w w:val="105"/>
        </w:rPr>
        <w:t>46 </w:t>
      </w:r>
      <w:r>
        <w:rPr>
          <w:spacing w:val="6"/>
          <w:w w:val="105"/>
        </w:rPr>
        <w:t>is</w:t>
      </w:r>
      <w:r>
        <w:rPr>
          <w:spacing w:val="59"/>
          <w:w w:val="105"/>
        </w:rPr>
        <w:t> </w:t>
      </w:r>
      <w:r>
        <w:rPr>
          <w:spacing w:val="6"/>
          <w:w w:val="105"/>
        </w:rPr>
        <w:t>applicable</w:t>
      </w:r>
      <w:r>
        <w:rPr>
          <w:spacing w:val="59"/>
          <w:w w:val="105"/>
        </w:rPr>
        <w:t> </w:t>
      </w:r>
      <w:r>
        <w:rPr>
          <w:w w:val="105"/>
        </w:rPr>
        <w:t>to </w:t>
      </w:r>
      <w:r>
        <w:rPr>
          <w:spacing w:val="9"/>
          <w:w w:val="105"/>
        </w:rPr>
        <w:t>financial </w:t>
      </w:r>
      <w:r>
        <w:rPr>
          <w:spacing w:val="4"/>
          <w:w w:val="105"/>
        </w:rPr>
        <w:t>statements </w:t>
      </w:r>
      <w:r>
        <w:rPr>
          <w:w w:val="105"/>
        </w:rPr>
        <w:t>to </w:t>
      </w:r>
      <w:r>
        <w:rPr>
          <w:spacing w:val="6"/>
          <w:w w:val="105"/>
        </w:rPr>
        <w:t>be </w:t>
      </w:r>
      <w:r>
        <w:rPr>
          <w:spacing w:val="4"/>
          <w:w w:val="105"/>
        </w:rPr>
        <w:t>issued </w:t>
      </w:r>
      <w:r>
        <w:rPr>
          <w:spacing w:val="6"/>
          <w:w w:val="105"/>
        </w:rPr>
        <w:t>by </w:t>
      </w:r>
      <w:r>
        <w:rPr>
          <w:spacing w:val="2"/>
          <w:w w:val="105"/>
        </w:rPr>
        <w:t>the </w:t>
      </w:r>
      <w:r>
        <w:rPr>
          <w:spacing w:val="8"/>
          <w:w w:val="105"/>
        </w:rPr>
        <w:t>Company </w:t>
      </w:r>
      <w:r>
        <w:rPr>
          <w:spacing w:val="6"/>
          <w:w w:val="105"/>
        </w:rPr>
        <w:t>after </w:t>
      </w:r>
      <w:r>
        <w:rPr>
          <w:w w:val="105"/>
        </w:rPr>
        <w:t>2002; </w:t>
      </w:r>
      <w:r>
        <w:rPr>
          <w:spacing w:val="8"/>
          <w:w w:val="105"/>
        </w:rPr>
        <w:t>however, </w:t>
      </w:r>
      <w:r>
        <w:rPr>
          <w:spacing w:val="4"/>
          <w:w w:val="105"/>
        </w:rPr>
        <w:t>disclosures </w:t>
      </w:r>
      <w:r>
        <w:rPr>
          <w:spacing w:val="2"/>
          <w:w w:val="105"/>
        </w:rPr>
        <w:t>are </w:t>
      </w:r>
      <w:r>
        <w:rPr>
          <w:spacing w:val="8"/>
          <w:w w:val="105"/>
        </w:rPr>
        <w:t>required </w:t>
      </w:r>
      <w:r>
        <w:rPr>
          <w:spacing w:val="2"/>
          <w:w w:val="105"/>
        </w:rPr>
        <w:t>currently </w:t>
      </w:r>
      <w:r>
        <w:rPr>
          <w:spacing w:val="6"/>
          <w:w w:val="105"/>
        </w:rPr>
        <w:t>if </w:t>
      </w:r>
      <w:r>
        <w:rPr>
          <w:spacing w:val="2"/>
          <w:w w:val="105"/>
        </w:rPr>
        <w:t>the </w:t>
      </w:r>
      <w:r>
        <w:rPr>
          <w:spacing w:val="8"/>
          <w:w w:val="105"/>
        </w:rPr>
        <w:t>Company</w:t>
      </w:r>
      <w:r>
        <w:rPr>
          <w:spacing w:val="63"/>
          <w:w w:val="105"/>
        </w:rPr>
        <w:t> </w:t>
      </w:r>
      <w:r>
        <w:rPr>
          <w:spacing w:val="6"/>
          <w:w w:val="105"/>
        </w:rPr>
        <w:t>expects</w:t>
      </w:r>
      <w:r>
        <w:rPr>
          <w:spacing w:val="59"/>
          <w:w w:val="105"/>
        </w:rPr>
        <w:t> </w:t>
      </w:r>
      <w:r>
        <w:rPr>
          <w:w w:val="105"/>
        </w:rPr>
        <w:t>to </w:t>
      </w:r>
      <w:r>
        <w:rPr>
          <w:spacing w:val="5"/>
          <w:w w:val="105"/>
        </w:rPr>
        <w:t>consolidate </w:t>
      </w:r>
      <w:r>
        <w:rPr>
          <w:spacing w:val="8"/>
          <w:w w:val="105"/>
        </w:rPr>
        <w:t>any </w:t>
      </w:r>
      <w:r>
        <w:rPr>
          <w:spacing w:val="6"/>
          <w:w w:val="105"/>
        </w:rPr>
        <w:t>variable </w:t>
      </w:r>
      <w:r>
        <w:rPr>
          <w:spacing w:val="4"/>
          <w:w w:val="105"/>
        </w:rPr>
        <w:t>interest </w:t>
      </w:r>
      <w:r>
        <w:rPr>
          <w:spacing w:val="5"/>
          <w:w w:val="105"/>
        </w:rPr>
        <w:t>entities. </w:t>
      </w:r>
      <w:r>
        <w:rPr>
          <w:spacing w:val="8"/>
          <w:w w:val="105"/>
        </w:rPr>
        <w:t>The Company </w:t>
      </w:r>
      <w:r>
        <w:rPr>
          <w:spacing w:val="9"/>
          <w:w w:val="105"/>
        </w:rPr>
        <w:t>does </w:t>
      </w:r>
      <w:r>
        <w:rPr>
          <w:spacing w:val="8"/>
          <w:w w:val="105"/>
        </w:rPr>
        <w:t>not </w:t>
      </w:r>
      <w:r>
        <w:rPr>
          <w:spacing w:val="2"/>
          <w:w w:val="105"/>
        </w:rPr>
        <w:t>currently </w:t>
      </w:r>
      <w:r>
        <w:rPr>
          <w:spacing w:val="7"/>
          <w:w w:val="105"/>
        </w:rPr>
        <w:t>believe </w:t>
      </w:r>
      <w:r>
        <w:rPr>
          <w:spacing w:val="5"/>
          <w:w w:val="105"/>
        </w:rPr>
        <w:t>that </w:t>
      </w:r>
      <w:r>
        <w:rPr>
          <w:spacing w:val="12"/>
          <w:w w:val="105"/>
        </w:rPr>
        <w:t>any </w:t>
      </w:r>
      <w:r>
        <w:rPr>
          <w:spacing w:val="7"/>
          <w:w w:val="105"/>
        </w:rPr>
        <w:t>material </w:t>
      </w:r>
      <w:r>
        <w:rPr>
          <w:spacing w:val="6"/>
          <w:w w:val="105"/>
        </w:rPr>
        <w:t>entities</w:t>
      </w:r>
      <w:r>
        <w:rPr>
          <w:spacing w:val="59"/>
          <w:w w:val="105"/>
        </w:rPr>
        <w:t> </w:t>
      </w:r>
      <w:r>
        <w:rPr>
          <w:spacing w:val="3"/>
          <w:w w:val="105"/>
        </w:rPr>
        <w:t>will </w:t>
      </w:r>
      <w:r>
        <w:rPr>
          <w:spacing w:val="6"/>
          <w:w w:val="105"/>
        </w:rPr>
        <w:t>be</w:t>
      </w:r>
      <w:r>
        <w:rPr>
          <w:spacing w:val="59"/>
          <w:w w:val="105"/>
        </w:rPr>
        <w:t> </w:t>
      </w:r>
      <w:r>
        <w:rPr>
          <w:spacing w:val="6"/>
          <w:w w:val="105"/>
        </w:rPr>
        <w:t>consolidated</w:t>
      </w:r>
      <w:r>
        <w:rPr>
          <w:spacing w:val="59"/>
          <w:w w:val="105"/>
        </w:rPr>
        <w:t> </w:t>
      </w:r>
      <w:r>
        <w:rPr>
          <w:spacing w:val="4"/>
          <w:w w:val="105"/>
        </w:rPr>
        <w:t>with Southwest </w:t>
      </w:r>
      <w:r>
        <w:rPr>
          <w:spacing w:val="6"/>
          <w:w w:val="105"/>
        </w:rPr>
        <w:t>as </w:t>
      </w:r>
      <w:r>
        <w:rPr>
          <w:w w:val="105"/>
        </w:rPr>
        <w:t>a  result </w:t>
      </w:r>
      <w:r>
        <w:rPr>
          <w:spacing w:val="6"/>
          <w:w w:val="105"/>
        </w:rPr>
        <w:t>of </w:t>
      </w:r>
      <w:r>
        <w:rPr>
          <w:spacing w:val="4"/>
          <w:w w:val="105"/>
        </w:rPr>
        <w:t>FIN  </w:t>
      </w:r>
      <w:r>
        <w:rPr>
          <w:spacing w:val="9"/>
          <w:w w:val="105"/>
        </w:rPr>
        <w:t> </w:t>
      </w:r>
      <w:r>
        <w:rPr>
          <w:w w:val="105"/>
        </w:rPr>
        <w:t>46.</w:t>
      </w:r>
    </w:p>
    <w:p>
      <w:pPr>
        <w:pStyle w:val="BodyText"/>
        <w:spacing w:before="11"/>
        <w:rPr>
          <w:sz w:val="21"/>
        </w:rPr>
      </w:pPr>
    </w:p>
    <w:p>
      <w:pPr>
        <w:pStyle w:val="ListParagraph"/>
        <w:numPr>
          <w:ilvl w:val="0"/>
          <w:numId w:val="5"/>
        </w:numPr>
        <w:tabs>
          <w:tab w:pos="380" w:val="left" w:leader="none"/>
        </w:tabs>
        <w:spacing w:line="240" w:lineRule="auto" w:before="0" w:after="0"/>
        <w:ind w:left="660" w:right="0" w:hanging="560"/>
        <w:jc w:val="left"/>
        <w:rPr>
          <w:rFonts w:ascii="Franklin Gothic Medium"/>
          <w:sz w:val="20"/>
        </w:rPr>
      </w:pPr>
      <w:r>
        <w:rPr>
          <w:rFonts w:ascii="Franklin Gothic Medium"/>
          <w:spacing w:val="6"/>
          <w:sz w:val="20"/>
        </w:rPr>
        <w:t>Accounting</w:t>
      </w:r>
      <w:r>
        <w:rPr>
          <w:rFonts w:ascii="Franklin Gothic Medium"/>
          <w:spacing w:val="11"/>
          <w:sz w:val="20"/>
        </w:rPr>
        <w:t> </w:t>
      </w:r>
      <w:r>
        <w:rPr>
          <w:rFonts w:ascii="Franklin Gothic Medium"/>
          <w:spacing w:val="4"/>
          <w:sz w:val="20"/>
        </w:rPr>
        <w:t>Changes</w:t>
      </w:r>
    </w:p>
    <w:p>
      <w:pPr>
        <w:pStyle w:val="BodyText"/>
        <w:spacing w:before="2"/>
        <w:rPr>
          <w:rFonts w:ascii="Franklin Gothic Medium"/>
          <w:sz w:val="25"/>
        </w:rPr>
      </w:pPr>
    </w:p>
    <w:p>
      <w:pPr>
        <w:pStyle w:val="BodyText"/>
        <w:spacing w:line="254" w:lineRule="auto"/>
        <w:ind w:left="380" w:right="123" w:firstLine="280"/>
        <w:jc w:val="both"/>
      </w:pPr>
      <w:r>
        <w:rPr>
          <w:spacing w:val="4"/>
          <w:w w:val="105"/>
        </w:rPr>
        <w:t>Effective </w:t>
      </w:r>
      <w:r>
        <w:rPr>
          <w:spacing w:val="6"/>
          <w:w w:val="105"/>
        </w:rPr>
        <w:t>January</w:t>
      </w:r>
      <w:r>
        <w:rPr>
          <w:spacing w:val="59"/>
          <w:w w:val="105"/>
        </w:rPr>
        <w:t> </w:t>
      </w:r>
      <w:r>
        <w:rPr>
          <w:w w:val="105"/>
        </w:rPr>
        <w:t>1, 2001, </w:t>
      </w:r>
      <w:r>
        <w:rPr>
          <w:spacing w:val="2"/>
          <w:w w:val="105"/>
        </w:rPr>
        <w:t>the </w:t>
      </w:r>
      <w:r>
        <w:rPr>
          <w:spacing w:val="10"/>
          <w:w w:val="105"/>
        </w:rPr>
        <w:t>Company </w:t>
      </w:r>
      <w:r>
        <w:rPr>
          <w:spacing w:val="8"/>
          <w:w w:val="105"/>
        </w:rPr>
        <w:t>adopted </w:t>
      </w:r>
      <w:r>
        <w:rPr>
          <w:w w:val="105"/>
        </w:rPr>
        <w:t>SFAS 133. SFAS 133 </w:t>
      </w:r>
      <w:r>
        <w:rPr>
          <w:spacing w:val="6"/>
          <w:w w:val="105"/>
        </w:rPr>
        <w:t>requires</w:t>
      </w:r>
      <w:r>
        <w:rPr>
          <w:spacing w:val="59"/>
          <w:w w:val="105"/>
        </w:rPr>
        <w:t> </w:t>
      </w:r>
      <w:r>
        <w:rPr>
          <w:spacing w:val="6"/>
          <w:w w:val="105"/>
        </w:rPr>
        <w:t>the </w:t>
      </w:r>
      <w:r>
        <w:rPr>
          <w:spacing w:val="8"/>
          <w:w w:val="105"/>
        </w:rPr>
        <w:t>Company </w:t>
      </w:r>
      <w:r>
        <w:rPr>
          <w:w w:val="105"/>
        </w:rPr>
        <w:t>to </w:t>
      </w:r>
      <w:r>
        <w:rPr>
          <w:spacing w:val="3"/>
          <w:w w:val="105"/>
        </w:rPr>
        <w:t>record </w:t>
      </w:r>
      <w:r>
        <w:rPr>
          <w:w w:val="105"/>
        </w:rPr>
        <w:t>all </w:t>
      </w:r>
      <w:r>
        <w:rPr>
          <w:spacing w:val="8"/>
          <w:w w:val="105"/>
        </w:rPr>
        <w:t>financial derivative </w:t>
      </w:r>
      <w:r>
        <w:rPr>
          <w:spacing w:val="5"/>
          <w:w w:val="105"/>
        </w:rPr>
        <w:t>instruments </w:t>
      </w:r>
      <w:r>
        <w:rPr>
          <w:spacing w:val="6"/>
          <w:w w:val="105"/>
        </w:rPr>
        <w:t>on </w:t>
      </w:r>
      <w:r>
        <w:rPr>
          <w:spacing w:val="2"/>
          <w:w w:val="105"/>
        </w:rPr>
        <w:t>its </w:t>
      </w:r>
      <w:r>
        <w:rPr>
          <w:spacing w:val="6"/>
          <w:w w:val="105"/>
        </w:rPr>
        <w:t>balance sheet at fair </w:t>
      </w:r>
      <w:r>
        <w:rPr>
          <w:spacing w:val="8"/>
          <w:w w:val="105"/>
        </w:rPr>
        <w:t>value. </w:t>
      </w:r>
      <w:r>
        <w:rPr>
          <w:spacing w:val="7"/>
          <w:w w:val="105"/>
        </w:rPr>
        <w:t>Derivatives </w:t>
      </w:r>
      <w:r>
        <w:rPr>
          <w:spacing w:val="5"/>
          <w:w w:val="105"/>
        </w:rPr>
        <w:t>that </w:t>
      </w:r>
      <w:r>
        <w:rPr>
          <w:spacing w:val="2"/>
          <w:w w:val="105"/>
        </w:rPr>
        <w:t>are </w:t>
      </w:r>
      <w:r>
        <w:rPr>
          <w:spacing w:val="8"/>
          <w:w w:val="105"/>
        </w:rPr>
        <w:t>not </w:t>
      </w:r>
      <w:r>
        <w:rPr>
          <w:spacing w:val="6"/>
          <w:w w:val="105"/>
        </w:rPr>
        <w:t>designated as </w:t>
      </w:r>
      <w:r>
        <w:rPr>
          <w:spacing w:val="10"/>
          <w:w w:val="105"/>
        </w:rPr>
        <w:t>hedges </w:t>
      </w:r>
      <w:r>
        <w:rPr>
          <w:spacing w:val="6"/>
          <w:w w:val="105"/>
        </w:rPr>
        <w:t>must</w:t>
      </w:r>
      <w:r>
        <w:rPr>
          <w:spacing w:val="59"/>
          <w:w w:val="105"/>
        </w:rPr>
        <w:t> </w:t>
      </w:r>
      <w:r>
        <w:rPr>
          <w:spacing w:val="6"/>
          <w:w w:val="105"/>
        </w:rPr>
        <w:t>be </w:t>
      </w:r>
      <w:r>
        <w:rPr>
          <w:spacing w:val="4"/>
          <w:w w:val="105"/>
        </w:rPr>
        <w:t>adjusted </w:t>
      </w:r>
      <w:r>
        <w:rPr>
          <w:w w:val="105"/>
        </w:rPr>
        <w:t>to  </w:t>
      </w:r>
      <w:r>
        <w:rPr>
          <w:spacing w:val="6"/>
          <w:w w:val="105"/>
        </w:rPr>
        <w:t>fair</w:t>
      </w:r>
      <w:r>
        <w:rPr>
          <w:spacing w:val="59"/>
          <w:w w:val="105"/>
        </w:rPr>
        <w:t> </w:t>
      </w:r>
      <w:r>
        <w:rPr>
          <w:spacing w:val="5"/>
          <w:w w:val="105"/>
        </w:rPr>
        <w:t>value  </w:t>
      </w:r>
      <w:r>
        <w:rPr>
          <w:spacing w:val="4"/>
          <w:w w:val="105"/>
        </w:rPr>
        <w:t>through </w:t>
      </w:r>
      <w:r>
        <w:rPr>
          <w:spacing w:val="9"/>
          <w:w w:val="105"/>
        </w:rPr>
        <w:t>income. </w:t>
      </w:r>
      <w:r>
        <w:rPr>
          <w:spacing w:val="4"/>
          <w:w w:val="105"/>
        </w:rPr>
        <w:t>If </w:t>
      </w:r>
      <w:r>
        <w:rPr>
          <w:w w:val="105"/>
        </w:rPr>
        <w:t>a </w:t>
      </w:r>
      <w:r>
        <w:rPr>
          <w:spacing w:val="7"/>
          <w:w w:val="105"/>
        </w:rPr>
        <w:t>derivative </w:t>
      </w:r>
      <w:r>
        <w:rPr>
          <w:spacing w:val="6"/>
          <w:w w:val="105"/>
        </w:rPr>
        <w:t>is designated</w:t>
      </w:r>
      <w:r>
        <w:rPr>
          <w:spacing w:val="59"/>
          <w:w w:val="105"/>
        </w:rPr>
        <w:t> </w:t>
      </w:r>
      <w:r>
        <w:rPr>
          <w:spacing w:val="6"/>
          <w:w w:val="105"/>
        </w:rPr>
        <w:t>as</w:t>
      </w:r>
      <w:r>
        <w:rPr>
          <w:spacing w:val="59"/>
          <w:w w:val="105"/>
        </w:rPr>
        <w:t> </w:t>
      </w:r>
      <w:r>
        <w:rPr>
          <w:w w:val="105"/>
        </w:rPr>
        <w:t>a </w:t>
      </w:r>
      <w:r>
        <w:rPr>
          <w:spacing w:val="8"/>
          <w:w w:val="105"/>
        </w:rPr>
        <w:t>hedge, </w:t>
      </w:r>
      <w:r>
        <w:rPr>
          <w:spacing w:val="10"/>
          <w:w w:val="105"/>
        </w:rPr>
        <w:t>depending </w:t>
      </w:r>
      <w:r>
        <w:rPr>
          <w:spacing w:val="6"/>
          <w:w w:val="105"/>
        </w:rPr>
        <w:t>on </w:t>
      </w:r>
      <w:r>
        <w:rPr>
          <w:spacing w:val="2"/>
          <w:w w:val="105"/>
        </w:rPr>
        <w:t>the </w:t>
      </w:r>
      <w:r>
        <w:rPr>
          <w:spacing w:val="4"/>
          <w:w w:val="105"/>
        </w:rPr>
        <w:t>nature </w:t>
      </w:r>
      <w:r>
        <w:rPr>
          <w:spacing w:val="6"/>
          <w:w w:val="105"/>
        </w:rPr>
        <w:t>of </w:t>
      </w:r>
      <w:r>
        <w:rPr>
          <w:spacing w:val="2"/>
          <w:w w:val="105"/>
        </w:rPr>
        <w:t>the </w:t>
      </w:r>
      <w:r>
        <w:rPr>
          <w:spacing w:val="10"/>
          <w:w w:val="105"/>
        </w:rPr>
        <w:t>hedge, </w:t>
      </w:r>
      <w:r>
        <w:rPr>
          <w:spacing w:val="7"/>
          <w:w w:val="105"/>
        </w:rPr>
        <w:t>changes </w:t>
      </w:r>
      <w:r>
        <w:rPr>
          <w:spacing w:val="6"/>
          <w:w w:val="105"/>
        </w:rPr>
        <w:t>in </w:t>
      </w:r>
      <w:r>
        <w:rPr>
          <w:spacing w:val="2"/>
          <w:w w:val="105"/>
        </w:rPr>
        <w:t>its  </w:t>
      </w:r>
      <w:r>
        <w:rPr>
          <w:spacing w:val="6"/>
          <w:w w:val="105"/>
        </w:rPr>
        <w:t>fair  </w:t>
      </w:r>
      <w:r>
        <w:rPr>
          <w:spacing w:val="5"/>
          <w:w w:val="105"/>
        </w:rPr>
        <w:t>value  that  </w:t>
      </w:r>
      <w:r>
        <w:rPr>
          <w:spacing w:val="2"/>
          <w:w w:val="105"/>
        </w:rPr>
        <w:t>are  </w:t>
      </w:r>
      <w:r>
        <w:rPr>
          <w:spacing w:val="8"/>
          <w:w w:val="105"/>
        </w:rPr>
        <w:t>considered </w:t>
      </w:r>
      <w:r>
        <w:rPr>
          <w:w w:val="105"/>
        </w:rPr>
        <w:t>to </w:t>
      </w:r>
      <w:r>
        <w:rPr>
          <w:spacing w:val="6"/>
          <w:w w:val="105"/>
        </w:rPr>
        <w:t>be effective, as </w:t>
      </w:r>
      <w:r>
        <w:rPr>
          <w:spacing w:val="9"/>
          <w:w w:val="105"/>
        </w:rPr>
        <w:t>defined, </w:t>
      </w:r>
      <w:r>
        <w:rPr>
          <w:spacing w:val="7"/>
          <w:w w:val="105"/>
        </w:rPr>
        <w:t>either </w:t>
      </w:r>
      <w:r>
        <w:rPr>
          <w:spacing w:val="3"/>
          <w:w w:val="105"/>
        </w:rPr>
        <w:t>offset </w:t>
      </w:r>
      <w:r>
        <w:rPr>
          <w:spacing w:val="6"/>
          <w:w w:val="105"/>
        </w:rPr>
        <w:t>the change</w:t>
      </w:r>
      <w:r>
        <w:rPr>
          <w:spacing w:val="59"/>
          <w:w w:val="105"/>
        </w:rPr>
        <w:t> </w:t>
      </w:r>
      <w:r>
        <w:rPr>
          <w:spacing w:val="6"/>
          <w:w w:val="105"/>
        </w:rPr>
        <w:t>in</w:t>
      </w:r>
      <w:r>
        <w:rPr>
          <w:spacing w:val="59"/>
          <w:w w:val="105"/>
        </w:rPr>
        <w:t> </w:t>
      </w:r>
      <w:r>
        <w:rPr>
          <w:spacing w:val="6"/>
          <w:w w:val="105"/>
        </w:rPr>
        <w:t>fair </w:t>
      </w:r>
      <w:r>
        <w:rPr>
          <w:spacing w:val="5"/>
          <w:w w:val="105"/>
        </w:rPr>
        <w:t>value </w:t>
      </w:r>
      <w:r>
        <w:rPr>
          <w:spacing w:val="6"/>
          <w:w w:val="105"/>
        </w:rPr>
        <w:t>of </w:t>
      </w:r>
      <w:r>
        <w:rPr>
          <w:spacing w:val="2"/>
          <w:w w:val="105"/>
        </w:rPr>
        <w:t>the </w:t>
      </w:r>
      <w:r>
        <w:rPr>
          <w:spacing w:val="8"/>
          <w:w w:val="105"/>
        </w:rPr>
        <w:t>hedged </w:t>
      </w:r>
      <w:r>
        <w:rPr>
          <w:w w:val="105"/>
        </w:rPr>
        <w:t>assets, </w:t>
      </w:r>
      <w:r>
        <w:rPr>
          <w:spacing w:val="5"/>
          <w:w w:val="105"/>
        </w:rPr>
        <w:t>liabilities, </w:t>
      </w:r>
      <w:r>
        <w:rPr>
          <w:spacing w:val="6"/>
          <w:w w:val="105"/>
        </w:rPr>
        <w:t>or </w:t>
      </w:r>
      <w:r>
        <w:rPr>
          <w:w w:val="105"/>
        </w:rPr>
        <w:t>firm </w:t>
      </w:r>
      <w:r>
        <w:rPr>
          <w:spacing w:val="8"/>
          <w:w w:val="105"/>
        </w:rPr>
        <w:t>commitments </w:t>
      </w:r>
      <w:r>
        <w:rPr>
          <w:spacing w:val="4"/>
          <w:w w:val="105"/>
        </w:rPr>
        <w:t>through </w:t>
      </w:r>
      <w:r>
        <w:rPr>
          <w:spacing w:val="7"/>
          <w:w w:val="105"/>
        </w:rPr>
        <w:t>earnings </w:t>
      </w:r>
      <w:r>
        <w:rPr>
          <w:spacing w:val="6"/>
          <w:w w:val="105"/>
        </w:rPr>
        <w:t>or </w:t>
      </w:r>
      <w:r>
        <w:rPr>
          <w:spacing w:val="2"/>
          <w:w w:val="105"/>
        </w:rPr>
        <w:t>are </w:t>
      </w:r>
      <w:r>
        <w:rPr>
          <w:spacing w:val="5"/>
          <w:w w:val="105"/>
        </w:rPr>
        <w:t>recorded </w:t>
      </w:r>
      <w:r>
        <w:rPr>
          <w:spacing w:val="6"/>
          <w:w w:val="105"/>
        </w:rPr>
        <w:t>in</w:t>
      </w:r>
      <w:r>
        <w:rPr>
          <w:spacing w:val="59"/>
          <w:w w:val="105"/>
        </w:rPr>
        <w:t> </w:t>
      </w:r>
      <w:r>
        <w:rPr>
          <w:spacing w:val="7"/>
          <w:w w:val="105"/>
        </w:rPr>
        <w:t>“Accumulated  </w:t>
      </w:r>
      <w:r>
        <w:rPr>
          <w:spacing w:val="6"/>
          <w:w w:val="105"/>
        </w:rPr>
        <w:t>other </w:t>
      </w:r>
      <w:r>
        <w:rPr>
          <w:spacing w:val="8"/>
          <w:w w:val="105"/>
        </w:rPr>
        <w:t>comprehensive </w:t>
      </w:r>
      <w:r>
        <w:rPr>
          <w:spacing w:val="9"/>
          <w:w w:val="105"/>
        </w:rPr>
        <w:t>income </w:t>
      </w:r>
      <w:r>
        <w:rPr>
          <w:w w:val="105"/>
        </w:rPr>
        <w:t>(loss)” </w:t>
      </w:r>
      <w:r>
        <w:rPr>
          <w:spacing w:val="6"/>
          <w:w w:val="105"/>
        </w:rPr>
        <w:t>until the </w:t>
      </w:r>
      <w:r>
        <w:rPr>
          <w:spacing w:val="8"/>
          <w:w w:val="105"/>
        </w:rPr>
        <w:t>hedged </w:t>
      </w:r>
      <w:r>
        <w:rPr>
          <w:spacing w:val="5"/>
          <w:w w:val="105"/>
        </w:rPr>
        <w:t>item </w:t>
      </w:r>
      <w:r>
        <w:rPr>
          <w:spacing w:val="6"/>
          <w:w w:val="105"/>
        </w:rPr>
        <w:t>is </w:t>
      </w:r>
      <w:r>
        <w:rPr>
          <w:spacing w:val="5"/>
          <w:w w:val="105"/>
        </w:rPr>
        <w:t>recorded </w:t>
      </w:r>
      <w:r>
        <w:rPr>
          <w:spacing w:val="6"/>
          <w:w w:val="105"/>
        </w:rPr>
        <w:t>in</w:t>
      </w:r>
      <w:r>
        <w:rPr>
          <w:spacing w:val="59"/>
          <w:w w:val="105"/>
        </w:rPr>
        <w:t> </w:t>
      </w:r>
      <w:r>
        <w:rPr>
          <w:spacing w:val="5"/>
          <w:w w:val="105"/>
        </w:rPr>
        <w:t>earnings. </w:t>
      </w:r>
      <w:r>
        <w:rPr>
          <w:spacing w:val="10"/>
          <w:w w:val="105"/>
        </w:rPr>
        <w:t>Any </w:t>
      </w:r>
      <w:r>
        <w:rPr>
          <w:spacing w:val="5"/>
          <w:w w:val="105"/>
        </w:rPr>
        <w:t>portion </w:t>
      </w:r>
      <w:r>
        <w:rPr>
          <w:spacing w:val="6"/>
          <w:w w:val="105"/>
        </w:rPr>
        <w:t>of </w:t>
      </w:r>
      <w:r>
        <w:rPr>
          <w:w w:val="105"/>
        </w:rPr>
        <w:t>a </w:t>
      </w:r>
      <w:r>
        <w:rPr>
          <w:spacing w:val="6"/>
          <w:w w:val="105"/>
        </w:rPr>
        <w:t>change in </w:t>
      </w:r>
      <w:r>
        <w:rPr>
          <w:w w:val="105"/>
        </w:rPr>
        <w:t>a </w:t>
      </w:r>
      <w:r>
        <w:rPr>
          <w:spacing w:val="7"/>
          <w:w w:val="105"/>
        </w:rPr>
        <w:t>derivative’s </w:t>
      </w:r>
      <w:r>
        <w:rPr>
          <w:spacing w:val="6"/>
          <w:w w:val="105"/>
        </w:rPr>
        <w:t>fair </w:t>
      </w:r>
      <w:r>
        <w:rPr>
          <w:spacing w:val="8"/>
          <w:w w:val="105"/>
        </w:rPr>
        <w:t>value </w:t>
      </w:r>
      <w:r>
        <w:rPr>
          <w:spacing w:val="5"/>
          <w:w w:val="105"/>
        </w:rPr>
        <w:t>that </w:t>
      </w:r>
      <w:r>
        <w:rPr>
          <w:spacing w:val="6"/>
          <w:w w:val="105"/>
        </w:rPr>
        <w:t>is</w:t>
      </w:r>
      <w:r>
        <w:rPr>
          <w:spacing w:val="59"/>
          <w:w w:val="105"/>
        </w:rPr>
        <w:t> </w:t>
      </w:r>
      <w:r>
        <w:rPr>
          <w:spacing w:val="6"/>
          <w:w w:val="105"/>
        </w:rPr>
        <w:t>considered </w:t>
      </w:r>
      <w:r>
        <w:rPr>
          <w:w w:val="105"/>
        </w:rPr>
        <w:t>to </w:t>
      </w:r>
      <w:r>
        <w:rPr>
          <w:spacing w:val="6"/>
          <w:w w:val="105"/>
        </w:rPr>
        <w:t>be </w:t>
      </w:r>
      <w:r>
        <w:rPr>
          <w:spacing w:val="7"/>
          <w:w w:val="105"/>
        </w:rPr>
        <w:t>ineffective,  </w:t>
      </w:r>
      <w:r>
        <w:rPr>
          <w:spacing w:val="12"/>
          <w:w w:val="105"/>
        </w:rPr>
        <w:t>as </w:t>
      </w:r>
      <w:r>
        <w:rPr>
          <w:spacing w:val="9"/>
          <w:w w:val="105"/>
        </w:rPr>
        <w:t>defined, </w:t>
      </w:r>
      <w:r>
        <w:rPr>
          <w:spacing w:val="6"/>
          <w:w w:val="105"/>
        </w:rPr>
        <w:t>is </w:t>
      </w:r>
      <w:r>
        <w:rPr>
          <w:spacing w:val="5"/>
          <w:w w:val="105"/>
        </w:rPr>
        <w:t>recorded </w:t>
      </w:r>
      <w:r>
        <w:rPr>
          <w:spacing w:val="8"/>
          <w:w w:val="105"/>
        </w:rPr>
        <w:t>immediately </w:t>
      </w:r>
      <w:r>
        <w:rPr>
          <w:spacing w:val="6"/>
          <w:w w:val="105"/>
        </w:rPr>
        <w:t>in</w:t>
      </w:r>
      <w:r>
        <w:rPr>
          <w:spacing w:val="59"/>
          <w:w w:val="105"/>
        </w:rPr>
        <w:t> </w:t>
      </w:r>
      <w:r>
        <w:rPr>
          <w:spacing w:val="8"/>
          <w:w w:val="105"/>
        </w:rPr>
        <w:t>“Other </w:t>
      </w:r>
      <w:r>
        <w:rPr>
          <w:spacing w:val="4"/>
          <w:w w:val="105"/>
        </w:rPr>
        <w:t>(gains) </w:t>
      </w:r>
      <w:r>
        <w:rPr>
          <w:w w:val="105"/>
        </w:rPr>
        <w:t>losses, </w:t>
      </w:r>
      <w:r>
        <w:rPr>
          <w:spacing w:val="5"/>
          <w:w w:val="105"/>
        </w:rPr>
        <w:t>net” </w:t>
      </w:r>
      <w:r>
        <w:rPr>
          <w:spacing w:val="6"/>
          <w:w w:val="105"/>
        </w:rPr>
        <w:t>in </w:t>
      </w:r>
      <w:r>
        <w:rPr>
          <w:spacing w:val="2"/>
          <w:w w:val="105"/>
        </w:rPr>
        <w:t>the </w:t>
      </w:r>
      <w:r>
        <w:rPr>
          <w:spacing w:val="6"/>
          <w:w w:val="105"/>
        </w:rPr>
        <w:t>Consolidated </w:t>
      </w:r>
      <w:r>
        <w:rPr>
          <w:spacing w:val="5"/>
          <w:w w:val="105"/>
        </w:rPr>
        <w:t>Statement </w:t>
      </w:r>
      <w:r>
        <w:rPr>
          <w:spacing w:val="6"/>
          <w:w w:val="105"/>
        </w:rPr>
        <w:t>of </w:t>
      </w:r>
      <w:r>
        <w:rPr>
          <w:spacing w:val="9"/>
          <w:w w:val="105"/>
        </w:rPr>
        <w:t>Income. </w:t>
      </w:r>
      <w:r>
        <w:rPr>
          <w:spacing w:val="6"/>
          <w:w w:val="105"/>
        </w:rPr>
        <w:t>Any </w:t>
      </w:r>
      <w:r>
        <w:rPr>
          <w:spacing w:val="5"/>
          <w:w w:val="105"/>
        </w:rPr>
        <w:t>portion </w:t>
      </w:r>
      <w:r>
        <w:rPr>
          <w:spacing w:val="6"/>
          <w:w w:val="105"/>
        </w:rPr>
        <w:t>of </w:t>
      </w:r>
      <w:r>
        <w:rPr>
          <w:w w:val="105"/>
        </w:rPr>
        <w:t>a </w:t>
      </w:r>
      <w:r>
        <w:rPr>
          <w:spacing w:val="6"/>
          <w:w w:val="105"/>
        </w:rPr>
        <w:t>change in  </w:t>
      </w:r>
      <w:r>
        <w:rPr>
          <w:w w:val="105"/>
        </w:rPr>
        <w:t>a  </w:t>
      </w:r>
      <w:r>
        <w:rPr>
          <w:spacing w:val="7"/>
          <w:w w:val="105"/>
        </w:rPr>
        <w:t>derivative’s </w:t>
      </w:r>
      <w:r>
        <w:rPr>
          <w:spacing w:val="6"/>
          <w:w w:val="105"/>
        </w:rPr>
        <w:t>fair  </w:t>
      </w:r>
      <w:r>
        <w:rPr>
          <w:spacing w:val="5"/>
          <w:w w:val="105"/>
        </w:rPr>
        <w:t>value  that  </w:t>
      </w:r>
      <w:r>
        <w:rPr>
          <w:spacing w:val="2"/>
          <w:w w:val="105"/>
        </w:rPr>
        <w:t>the  </w:t>
      </w:r>
      <w:r>
        <w:rPr>
          <w:spacing w:val="10"/>
          <w:w w:val="105"/>
        </w:rPr>
        <w:t>Company</w:t>
      </w:r>
    </w:p>
    <w:p>
      <w:pPr>
        <w:spacing w:after="0" w:line="254" w:lineRule="auto"/>
        <w:jc w:val="both"/>
        <w:sectPr>
          <w:headerReference w:type="default" r:id="rId123"/>
          <w:footerReference w:type="default" r:id="rId124"/>
          <w:footerReference w:type="even" r:id="rId125"/>
          <w:pgSz w:w="11520" w:h="14400"/>
          <w:pgMar w:header="0" w:footer="706" w:top="960" w:bottom="900" w:left="980" w:right="820"/>
          <w:pgNumType w:start="37"/>
          <w:cols w:num="2" w:equalWidth="0">
            <w:col w:w="4461" w:space="399"/>
            <w:col w:w="4860"/>
          </w:cols>
        </w:sectPr>
      </w:pPr>
    </w:p>
    <w:p>
      <w:pPr>
        <w:pStyle w:val="BodyText"/>
        <w:spacing w:line="254" w:lineRule="auto" w:before="69"/>
        <w:ind w:left="380" w:right="2"/>
        <w:jc w:val="both"/>
      </w:pPr>
      <w:bookmarkStart w:name="Federal Grants and Special Charges" w:id="42"/>
      <w:bookmarkEnd w:id="42"/>
      <w:r>
        <w:rPr/>
      </w:r>
      <w:r>
        <w:rPr>
          <w:spacing w:val="2"/>
          <w:w w:val="105"/>
        </w:rPr>
        <w:t>elects </w:t>
      </w:r>
      <w:r>
        <w:rPr>
          <w:w w:val="105"/>
        </w:rPr>
        <w:t>to </w:t>
      </w:r>
      <w:r>
        <w:rPr>
          <w:spacing w:val="6"/>
          <w:w w:val="105"/>
        </w:rPr>
        <w:t>exclude</w:t>
      </w:r>
      <w:r>
        <w:rPr>
          <w:spacing w:val="59"/>
          <w:w w:val="105"/>
        </w:rPr>
        <w:t> </w:t>
      </w:r>
      <w:r>
        <w:rPr>
          <w:w w:val="105"/>
        </w:rPr>
        <w:t>from </w:t>
      </w:r>
      <w:r>
        <w:rPr>
          <w:spacing w:val="2"/>
          <w:w w:val="105"/>
        </w:rPr>
        <w:t>its </w:t>
      </w:r>
      <w:r>
        <w:rPr>
          <w:spacing w:val="8"/>
          <w:w w:val="105"/>
        </w:rPr>
        <w:t>measurement </w:t>
      </w:r>
      <w:r>
        <w:rPr>
          <w:spacing w:val="12"/>
          <w:w w:val="105"/>
        </w:rPr>
        <w:t>of </w:t>
      </w:r>
      <w:r>
        <w:rPr>
          <w:spacing w:val="6"/>
          <w:w w:val="105"/>
        </w:rPr>
        <w:t>effectiveness</w:t>
      </w:r>
      <w:r>
        <w:rPr>
          <w:spacing w:val="59"/>
          <w:w w:val="105"/>
        </w:rPr>
        <w:t> </w:t>
      </w:r>
      <w:r>
        <w:rPr>
          <w:spacing w:val="6"/>
          <w:w w:val="105"/>
        </w:rPr>
        <w:t>is</w:t>
      </w:r>
      <w:r>
        <w:rPr>
          <w:spacing w:val="59"/>
          <w:w w:val="105"/>
        </w:rPr>
        <w:t> </w:t>
      </w:r>
      <w:r>
        <w:rPr>
          <w:spacing w:val="6"/>
          <w:w w:val="105"/>
        </w:rPr>
        <w:t>required </w:t>
      </w:r>
      <w:r>
        <w:rPr>
          <w:w w:val="105"/>
        </w:rPr>
        <w:t>to </w:t>
      </w:r>
      <w:r>
        <w:rPr>
          <w:spacing w:val="6"/>
          <w:w w:val="105"/>
        </w:rPr>
        <w:t>be </w:t>
      </w:r>
      <w:r>
        <w:rPr>
          <w:spacing w:val="7"/>
          <w:w w:val="105"/>
        </w:rPr>
        <w:t>recorded </w:t>
      </w:r>
      <w:r>
        <w:rPr>
          <w:spacing w:val="8"/>
          <w:w w:val="105"/>
        </w:rPr>
        <w:t>immediately </w:t>
      </w:r>
      <w:r>
        <w:rPr>
          <w:spacing w:val="6"/>
          <w:w w:val="105"/>
        </w:rPr>
        <w:t>in </w:t>
      </w:r>
      <w:r>
        <w:rPr>
          <w:spacing w:val="5"/>
          <w:w w:val="105"/>
        </w:rPr>
        <w:t>earnings.</w:t>
      </w:r>
    </w:p>
    <w:p>
      <w:pPr>
        <w:pStyle w:val="BodyText"/>
        <w:spacing w:line="254" w:lineRule="auto"/>
        <w:ind w:left="380" w:right="3" w:firstLine="280"/>
        <w:jc w:val="both"/>
      </w:pPr>
      <w:r>
        <w:rPr>
          <w:w w:val="105"/>
        </w:rPr>
        <w:t>Under  the  rules  </w:t>
      </w:r>
      <w:r>
        <w:rPr>
          <w:spacing w:val="2"/>
          <w:w w:val="105"/>
        </w:rPr>
        <w:t>established  </w:t>
      </w:r>
      <w:r>
        <w:rPr>
          <w:w w:val="105"/>
        </w:rPr>
        <w:t>by  SFAS  133, the  </w:t>
      </w:r>
      <w:r>
        <w:rPr>
          <w:spacing w:val="2"/>
          <w:w w:val="105"/>
        </w:rPr>
        <w:t>Company  </w:t>
      </w:r>
      <w:r>
        <w:rPr>
          <w:w w:val="105"/>
        </w:rPr>
        <w:t>has  alternatives  in   </w:t>
      </w:r>
      <w:r>
        <w:rPr>
          <w:spacing w:val="8"/>
          <w:w w:val="105"/>
        </w:rPr>
        <w:t>accounting </w:t>
      </w:r>
      <w:r>
        <w:rPr>
          <w:w w:val="105"/>
        </w:rPr>
        <w:t>for its </w:t>
      </w:r>
      <w:r>
        <w:rPr>
          <w:spacing w:val="2"/>
          <w:w w:val="105"/>
        </w:rPr>
        <w:t>financial </w:t>
      </w:r>
      <w:r>
        <w:rPr>
          <w:spacing w:val="3"/>
          <w:w w:val="105"/>
        </w:rPr>
        <w:t>derivative </w:t>
      </w:r>
      <w:r>
        <w:rPr>
          <w:w w:val="105"/>
        </w:rPr>
        <w:t>instruments. </w:t>
      </w:r>
      <w:r>
        <w:rPr>
          <w:spacing w:val="7"/>
          <w:w w:val="105"/>
        </w:rPr>
        <w:t>The </w:t>
      </w:r>
      <w:r>
        <w:rPr>
          <w:spacing w:val="2"/>
          <w:w w:val="105"/>
        </w:rPr>
        <w:t>Company </w:t>
      </w:r>
      <w:r>
        <w:rPr>
          <w:w w:val="105"/>
        </w:rPr>
        <w:t>primarily uses </w:t>
      </w:r>
      <w:r>
        <w:rPr>
          <w:spacing w:val="2"/>
          <w:w w:val="105"/>
        </w:rPr>
        <w:t>financial </w:t>
      </w:r>
      <w:r>
        <w:rPr>
          <w:spacing w:val="9"/>
          <w:w w:val="105"/>
        </w:rPr>
        <w:t>derivative </w:t>
      </w:r>
      <w:r>
        <w:rPr>
          <w:w w:val="105"/>
        </w:rPr>
        <w:t>instruments to hedge its </w:t>
      </w:r>
      <w:r>
        <w:rPr>
          <w:spacing w:val="2"/>
          <w:w w:val="105"/>
        </w:rPr>
        <w:t>exposure </w:t>
      </w:r>
      <w:r>
        <w:rPr>
          <w:w w:val="105"/>
        </w:rPr>
        <w:t>to jet  </w:t>
      </w:r>
      <w:r>
        <w:rPr>
          <w:spacing w:val="5"/>
          <w:w w:val="105"/>
        </w:rPr>
        <w:t>fuel  </w:t>
      </w:r>
      <w:r>
        <w:rPr>
          <w:w w:val="105"/>
        </w:rPr>
        <w:t>price increases and accounts for  </w:t>
      </w:r>
      <w:r>
        <w:rPr>
          <w:spacing w:val="7"/>
          <w:w w:val="105"/>
        </w:rPr>
        <w:t>these  </w:t>
      </w:r>
      <w:r>
        <w:rPr>
          <w:spacing w:val="3"/>
          <w:w w:val="105"/>
        </w:rPr>
        <w:t>derivatives</w:t>
      </w:r>
      <w:r>
        <w:rPr>
          <w:spacing w:val="53"/>
          <w:w w:val="105"/>
        </w:rPr>
        <w:t> </w:t>
      </w:r>
      <w:r>
        <w:rPr>
          <w:w w:val="105"/>
        </w:rPr>
        <w:t>as  cash  flow   hedges,   as   </w:t>
      </w:r>
      <w:r>
        <w:rPr>
          <w:spacing w:val="10"/>
          <w:w w:val="105"/>
        </w:rPr>
        <w:t>defined. </w:t>
      </w:r>
      <w:r>
        <w:rPr>
          <w:w w:val="105"/>
        </w:rPr>
        <w:t>In </w:t>
      </w:r>
      <w:r>
        <w:rPr>
          <w:spacing w:val="3"/>
          <w:w w:val="105"/>
        </w:rPr>
        <w:t>accordance </w:t>
      </w:r>
      <w:r>
        <w:rPr>
          <w:w w:val="105"/>
        </w:rPr>
        <w:t>with  SFAS  133,  the  </w:t>
      </w:r>
      <w:r>
        <w:rPr>
          <w:spacing w:val="9"/>
          <w:w w:val="105"/>
        </w:rPr>
        <w:t>Company </w:t>
      </w:r>
      <w:r>
        <w:rPr>
          <w:w w:val="105"/>
        </w:rPr>
        <w:t>must comply with </w:t>
      </w:r>
      <w:r>
        <w:rPr>
          <w:spacing w:val="2"/>
          <w:w w:val="105"/>
        </w:rPr>
        <w:t>detailed </w:t>
      </w:r>
      <w:r>
        <w:rPr>
          <w:w w:val="105"/>
        </w:rPr>
        <w:t>rules and strict </w:t>
      </w:r>
      <w:r>
        <w:rPr>
          <w:spacing w:val="4"/>
          <w:w w:val="105"/>
        </w:rPr>
        <w:t>documentation </w:t>
      </w:r>
      <w:r>
        <w:rPr>
          <w:spacing w:val="2"/>
          <w:w w:val="105"/>
        </w:rPr>
        <w:t>requirements </w:t>
      </w:r>
      <w:r>
        <w:rPr>
          <w:w w:val="105"/>
        </w:rPr>
        <w:t>prior to  </w:t>
      </w:r>
      <w:r>
        <w:rPr>
          <w:spacing w:val="8"/>
          <w:w w:val="105"/>
        </w:rPr>
        <w:t>begin- </w:t>
      </w:r>
      <w:r>
        <w:rPr>
          <w:spacing w:val="2"/>
          <w:w w:val="105"/>
        </w:rPr>
        <w:t>ning hedge  accounting.  </w:t>
      </w:r>
      <w:r>
        <w:rPr>
          <w:w w:val="105"/>
        </w:rPr>
        <w:t>As  </w:t>
      </w:r>
      <w:r>
        <w:rPr>
          <w:spacing w:val="2"/>
          <w:w w:val="105"/>
        </w:rPr>
        <w:t>required  </w:t>
      </w:r>
      <w:r>
        <w:rPr>
          <w:w w:val="105"/>
        </w:rPr>
        <w:t>by  SFAS 133,  the  Company  assesses  the   </w:t>
      </w:r>
      <w:r>
        <w:rPr>
          <w:spacing w:val="6"/>
          <w:w w:val="105"/>
        </w:rPr>
        <w:t>effectiveness </w:t>
      </w:r>
      <w:r>
        <w:rPr>
          <w:w w:val="105"/>
        </w:rPr>
        <w:t>of each of its individual hedges on a quarterly basis. The </w:t>
      </w:r>
      <w:r>
        <w:rPr>
          <w:spacing w:val="2"/>
          <w:w w:val="105"/>
        </w:rPr>
        <w:t>Company </w:t>
      </w:r>
      <w:r>
        <w:rPr>
          <w:w w:val="105"/>
        </w:rPr>
        <w:t>also </w:t>
      </w:r>
      <w:r>
        <w:rPr>
          <w:spacing w:val="3"/>
          <w:w w:val="105"/>
        </w:rPr>
        <w:t>examines </w:t>
      </w:r>
      <w:r>
        <w:rPr>
          <w:spacing w:val="6"/>
          <w:w w:val="105"/>
        </w:rPr>
        <w:t>the </w:t>
      </w:r>
      <w:r>
        <w:rPr>
          <w:w w:val="105"/>
        </w:rPr>
        <w:t>effectiveness  of  its  entire  </w:t>
      </w:r>
      <w:r>
        <w:rPr>
          <w:spacing w:val="2"/>
          <w:w w:val="105"/>
        </w:rPr>
        <w:t>hedging  program  </w:t>
      </w:r>
      <w:r>
        <w:rPr>
          <w:spacing w:val="12"/>
          <w:w w:val="105"/>
        </w:rPr>
        <w:t>on </w:t>
      </w:r>
      <w:r>
        <w:rPr>
          <w:w w:val="105"/>
        </w:rPr>
        <w:t>a  quarterly  basis  utilizing  statistical   </w:t>
      </w:r>
      <w:r>
        <w:rPr>
          <w:spacing w:val="3"/>
          <w:w w:val="105"/>
        </w:rPr>
        <w:t>analysis. </w:t>
      </w:r>
      <w:r>
        <w:rPr>
          <w:w w:val="105"/>
        </w:rPr>
        <w:t>This analysis </w:t>
      </w:r>
      <w:r>
        <w:rPr>
          <w:spacing w:val="2"/>
          <w:w w:val="105"/>
        </w:rPr>
        <w:t>involves </w:t>
      </w:r>
      <w:r>
        <w:rPr>
          <w:w w:val="105"/>
        </w:rPr>
        <w:t>utilizing regression  </w:t>
      </w:r>
      <w:r>
        <w:rPr>
          <w:spacing w:val="12"/>
          <w:w w:val="105"/>
        </w:rPr>
        <w:t>and </w:t>
      </w:r>
      <w:r>
        <w:rPr>
          <w:w w:val="105"/>
        </w:rPr>
        <w:t>other  statistical  analyses   that   </w:t>
      </w:r>
      <w:r>
        <w:rPr>
          <w:spacing w:val="10"/>
          <w:w w:val="105"/>
        </w:rPr>
        <w:t>compare </w:t>
      </w:r>
      <w:r>
        <w:rPr>
          <w:w w:val="105"/>
        </w:rPr>
        <w:t>changes in the price  of  jet  fuel  to  changes  </w:t>
      </w:r>
      <w:r>
        <w:rPr>
          <w:spacing w:val="12"/>
          <w:w w:val="105"/>
        </w:rPr>
        <w:t>in </w:t>
      </w:r>
      <w:r>
        <w:rPr>
          <w:w w:val="105"/>
        </w:rPr>
        <w:t>the  prices  of  the  </w:t>
      </w:r>
      <w:r>
        <w:rPr>
          <w:spacing w:val="3"/>
          <w:w w:val="105"/>
        </w:rPr>
        <w:t>commodities</w:t>
      </w:r>
      <w:r>
        <w:rPr>
          <w:spacing w:val="53"/>
          <w:w w:val="105"/>
        </w:rPr>
        <w:t> </w:t>
      </w:r>
      <w:r>
        <w:rPr>
          <w:w w:val="105"/>
        </w:rPr>
        <w:t>used  </w:t>
      </w:r>
      <w:r>
        <w:rPr>
          <w:spacing w:val="2"/>
          <w:w w:val="105"/>
        </w:rPr>
        <w:t>for  hedging  purposes  </w:t>
      </w:r>
      <w:r>
        <w:rPr>
          <w:w w:val="105"/>
        </w:rPr>
        <w:t>(crude  oil   and   </w:t>
      </w:r>
      <w:r>
        <w:rPr>
          <w:spacing w:val="2"/>
          <w:w w:val="105"/>
        </w:rPr>
        <w:t>heating   </w:t>
      </w:r>
      <w:r>
        <w:rPr>
          <w:spacing w:val="3"/>
          <w:w w:val="105"/>
        </w:rPr>
        <w:t>oil). </w:t>
      </w:r>
      <w:r>
        <w:rPr>
          <w:w w:val="105"/>
        </w:rPr>
        <w:t>If these statistical </w:t>
      </w:r>
      <w:r>
        <w:rPr>
          <w:spacing w:val="3"/>
          <w:w w:val="105"/>
        </w:rPr>
        <w:t>techniques </w:t>
      </w:r>
      <w:r>
        <w:rPr>
          <w:w w:val="105"/>
        </w:rPr>
        <w:t>do not </w:t>
      </w:r>
      <w:r>
        <w:rPr>
          <w:spacing w:val="10"/>
          <w:w w:val="105"/>
        </w:rPr>
        <w:t>produce </w:t>
      </w:r>
      <w:r>
        <w:rPr>
          <w:w w:val="105"/>
        </w:rPr>
        <w:t>results  within  certain   </w:t>
      </w:r>
      <w:r>
        <w:rPr>
          <w:spacing w:val="9"/>
          <w:w w:val="105"/>
        </w:rPr>
        <w:t>predetermined </w:t>
      </w:r>
      <w:r>
        <w:rPr>
          <w:w w:val="105"/>
        </w:rPr>
        <w:t>confidence levels, the </w:t>
      </w:r>
      <w:r>
        <w:rPr>
          <w:spacing w:val="2"/>
          <w:w w:val="105"/>
        </w:rPr>
        <w:t>Company </w:t>
      </w:r>
      <w:r>
        <w:rPr>
          <w:w w:val="105"/>
        </w:rPr>
        <w:t>could lose its ability to utilize hedge accounting, which </w:t>
      </w:r>
      <w:r>
        <w:rPr>
          <w:spacing w:val="8"/>
          <w:w w:val="105"/>
        </w:rPr>
        <w:t>could </w:t>
      </w:r>
      <w:r>
        <w:rPr>
          <w:w w:val="105"/>
        </w:rPr>
        <w:t>cause the Company to recognize all gains </w:t>
      </w:r>
      <w:r>
        <w:rPr>
          <w:spacing w:val="12"/>
          <w:w w:val="105"/>
        </w:rPr>
        <w:t>and </w:t>
      </w:r>
      <w:r>
        <w:rPr>
          <w:w w:val="105"/>
        </w:rPr>
        <w:t>losses on </w:t>
      </w:r>
      <w:r>
        <w:rPr>
          <w:spacing w:val="2"/>
          <w:w w:val="105"/>
        </w:rPr>
        <w:t>financial </w:t>
      </w:r>
      <w:r>
        <w:rPr>
          <w:spacing w:val="3"/>
          <w:w w:val="105"/>
        </w:rPr>
        <w:t>derivative </w:t>
      </w:r>
      <w:r>
        <w:rPr>
          <w:w w:val="105"/>
        </w:rPr>
        <w:t>instruments </w:t>
      </w:r>
      <w:r>
        <w:rPr>
          <w:spacing w:val="12"/>
          <w:w w:val="105"/>
        </w:rPr>
        <w:t>in </w:t>
      </w:r>
      <w:r>
        <w:rPr>
          <w:w w:val="105"/>
        </w:rPr>
        <w:t>earnings in the </w:t>
      </w:r>
      <w:r>
        <w:rPr>
          <w:spacing w:val="2"/>
          <w:w w:val="105"/>
        </w:rPr>
        <w:t>periods </w:t>
      </w:r>
      <w:r>
        <w:rPr>
          <w:w w:val="105"/>
        </w:rPr>
        <w:t>following </w:t>
      </w:r>
      <w:r>
        <w:rPr>
          <w:spacing w:val="6"/>
          <w:w w:val="105"/>
        </w:rPr>
        <w:t>the </w:t>
      </w:r>
      <w:r>
        <w:rPr>
          <w:spacing w:val="3"/>
          <w:w w:val="105"/>
        </w:rPr>
        <w:t>determination </w:t>
      </w:r>
      <w:r>
        <w:rPr>
          <w:w w:val="105"/>
        </w:rPr>
        <w:t>that the </w:t>
      </w:r>
      <w:r>
        <w:rPr>
          <w:spacing w:val="2"/>
          <w:w w:val="105"/>
        </w:rPr>
        <w:t>Company </w:t>
      </w:r>
      <w:r>
        <w:rPr>
          <w:w w:val="105"/>
        </w:rPr>
        <w:t>no </w:t>
      </w:r>
      <w:r>
        <w:rPr>
          <w:spacing w:val="4"/>
          <w:w w:val="105"/>
        </w:rPr>
        <w:t>longer </w:t>
      </w:r>
      <w:r>
        <w:rPr>
          <w:spacing w:val="3"/>
          <w:w w:val="105"/>
        </w:rPr>
        <w:t>qualified </w:t>
      </w:r>
      <w:r>
        <w:rPr>
          <w:w w:val="105"/>
        </w:rPr>
        <w:t>for </w:t>
      </w:r>
      <w:r>
        <w:rPr>
          <w:spacing w:val="2"/>
          <w:w w:val="105"/>
        </w:rPr>
        <w:t>hedge accounting. </w:t>
      </w:r>
      <w:r>
        <w:rPr>
          <w:w w:val="105"/>
        </w:rPr>
        <w:t>This  could,  </w:t>
      </w:r>
      <w:r>
        <w:rPr>
          <w:spacing w:val="12"/>
          <w:w w:val="105"/>
        </w:rPr>
        <w:t>in </w:t>
      </w:r>
      <w:r>
        <w:rPr>
          <w:w w:val="105"/>
        </w:rPr>
        <w:t>turn, </w:t>
      </w:r>
      <w:r>
        <w:rPr>
          <w:spacing w:val="4"/>
          <w:w w:val="105"/>
        </w:rPr>
        <w:t>depending </w:t>
      </w:r>
      <w:r>
        <w:rPr>
          <w:w w:val="105"/>
        </w:rPr>
        <w:t>on the materiality of </w:t>
      </w:r>
      <w:r>
        <w:rPr>
          <w:spacing w:val="10"/>
          <w:w w:val="105"/>
        </w:rPr>
        <w:t>periodic </w:t>
      </w:r>
      <w:r>
        <w:rPr>
          <w:w w:val="105"/>
        </w:rPr>
        <w:t>changes in derivative fair values, increase </w:t>
      </w:r>
      <w:r>
        <w:rPr>
          <w:spacing w:val="6"/>
          <w:w w:val="105"/>
        </w:rPr>
        <w:t>the </w:t>
      </w:r>
      <w:r>
        <w:rPr>
          <w:w w:val="105"/>
        </w:rPr>
        <w:t>volatility  of  the  Company’s  future </w:t>
      </w:r>
      <w:r>
        <w:rPr>
          <w:spacing w:val="14"/>
          <w:w w:val="105"/>
        </w:rPr>
        <w:t> </w:t>
      </w:r>
      <w:r>
        <w:rPr>
          <w:w w:val="105"/>
        </w:rPr>
        <w:t>earnings.</w:t>
      </w:r>
    </w:p>
    <w:p>
      <w:pPr>
        <w:pStyle w:val="BodyText"/>
        <w:spacing w:line="254" w:lineRule="auto"/>
        <w:ind w:left="380" w:firstLine="280"/>
        <w:jc w:val="both"/>
      </w:pPr>
      <w:r>
        <w:rPr>
          <w:spacing w:val="9"/>
          <w:w w:val="105"/>
        </w:rPr>
        <w:t>Upon </w:t>
      </w:r>
      <w:r>
        <w:rPr>
          <w:spacing w:val="8"/>
          <w:w w:val="105"/>
        </w:rPr>
        <w:t>adoption </w:t>
      </w:r>
      <w:r>
        <w:rPr>
          <w:spacing w:val="6"/>
          <w:w w:val="105"/>
        </w:rPr>
        <w:t>of </w:t>
      </w:r>
      <w:r>
        <w:rPr>
          <w:w w:val="105"/>
        </w:rPr>
        <w:t>SFAS 133, </w:t>
      </w:r>
      <w:r>
        <w:rPr>
          <w:spacing w:val="2"/>
          <w:w w:val="105"/>
        </w:rPr>
        <w:t>the </w:t>
      </w:r>
      <w:r>
        <w:rPr>
          <w:spacing w:val="10"/>
          <w:w w:val="105"/>
        </w:rPr>
        <w:t>Company </w:t>
      </w:r>
      <w:r>
        <w:rPr>
          <w:spacing w:val="5"/>
          <w:w w:val="105"/>
        </w:rPr>
        <w:t>recorded </w:t>
      </w:r>
      <w:r>
        <w:rPr>
          <w:spacing w:val="2"/>
          <w:w w:val="105"/>
        </w:rPr>
        <w:t>the </w:t>
      </w:r>
      <w:r>
        <w:rPr>
          <w:spacing w:val="6"/>
          <w:w w:val="105"/>
        </w:rPr>
        <w:t>fair </w:t>
      </w:r>
      <w:r>
        <w:rPr>
          <w:spacing w:val="5"/>
          <w:w w:val="105"/>
        </w:rPr>
        <w:t>value </w:t>
      </w:r>
      <w:r>
        <w:rPr>
          <w:spacing w:val="6"/>
          <w:w w:val="105"/>
        </w:rPr>
        <w:t>of </w:t>
      </w:r>
      <w:r>
        <w:rPr>
          <w:spacing w:val="2"/>
          <w:w w:val="105"/>
        </w:rPr>
        <w:t>its </w:t>
      </w:r>
      <w:r>
        <w:rPr>
          <w:spacing w:val="6"/>
          <w:w w:val="105"/>
        </w:rPr>
        <w:t>fuel </w:t>
      </w:r>
      <w:r>
        <w:rPr>
          <w:spacing w:val="8"/>
          <w:w w:val="105"/>
        </w:rPr>
        <w:t>derivative </w:t>
      </w:r>
      <w:r>
        <w:rPr>
          <w:spacing w:val="5"/>
          <w:w w:val="105"/>
        </w:rPr>
        <w:t>instruments  </w:t>
      </w:r>
      <w:r>
        <w:rPr>
          <w:spacing w:val="6"/>
          <w:w w:val="105"/>
        </w:rPr>
        <w:t>in</w:t>
      </w:r>
      <w:r>
        <w:rPr>
          <w:spacing w:val="59"/>
          <w:w w:val="105"/>
        </w:rPr>
        <w:t> </w:t>
      </w:r>
      <w:r>
        <w:rPr>
          <w:spacing w:val="2"/>
          <w:w w:val="105"/>
        </w:rPr>
        <w:t>the  </w:t>
      </w:r>
      <w:r>
        <w:rPr>
          <w:spacing w:val="5"/>
          <w:w w:val="105"/>
        </w:rPr>
        <w:t>Consolidated  </w:t>
      </w:r>
      <w:r>
        <w:rPr>
          <w:spacing w:val="4"/>
          <w:w w:val="105"/>
        </w:rPr>
        <w:t>Balance </w:t>
      </w:r>
      <w:r>
        <w:rPr>
          <w:spacing w:val="6"/>
          <w:w w:val="105"/>
        </w:rPr>
        <w:t>Sheet </w:t>
      </w:r>
      <w:r>
        <w:rPr>
          <w:spacing w:val="8"/>
          <w:w w:val="105"/>
        </w:rPr>
        <w:t>and </w:t>
      </w:r>
      <w:r>
        <w:rPr>
          <w:w w:val="105"/>
        </w:rPr>
        <w:t>a </w:t>
      </w:r>
      <w:r>
        <w:rPr>
          <w:spacing w:val="5"/>
          <w:w w:val="105"/>
        </w:rPr>
        <w:t>deferred  </w:t>
      </w:r>
      <w:r>
        <w:rPr>
          <w:spacing w:val="6"/>
          <w:w w:val="105"/>
        </w:rPr>
        <w:t>gain  of  </w:t>
      </w:r>
      <w:r>
        <w:rPr>
          <w:w w:val="105"/>
        </w:rPr>
        <w:t>$46.1  </w:t>
      </w:r>
      <w:r>
        <w:rPr>
          <w:spacing w:val="7"/>
          <w:w w:val="105"/>
        </w:rPr>
        <w:t>million, </w:t>
      </w:r>
      <w:r>
        <w:rPr>
          <w:spacing w:val="8"/>
          <w:w w:val="105"/>
        </w:rPr>
        <w:t>net </w:t>
      </w:r>
      <w:r>
        <w:rPr>
          <w:spacing w:val="6"/>
          <w:w w:val="105"/>
        </w:rPr>
        <w:t>of </w:t>
      </w:r>
      <w:r>
        <w:rPr>
          <w:spacing w:val="5"/>
          <w:w w:val="105"/>
        </w:rPr>
        <w:t>tax, </w:t>
      </w:r>
      <w:r>
        <w:rPr>
          <w:spacing w:val="6"/>
          <w:w w:val="105"/>
        </w:rPr>
        <w:t>in “Accumulated other </w:t>
      </w:r>
      <w:r>
        <w:rPr>
          <w:spacing w:val="10"/>
          <w:w w:val="105"/>
        </w:rPr>
        <w:t>comprehen- </w:t>
      </w:r>
      <w:r>
        <w:rPr>
          <w:spacing w:val="5"/>
          <w:w w:val="105"/>
        </w:rPr>
        <w:t>sive </w:t>
      </w:r>
      <w:r>
        <w:rPr>
          <w:spacing w:val="9"/>
          <w:w w:val="105"/>
        </w:rPr>
        <w:t>income </w:t>
      </w:r>
      <w:r>
        <w:rPr>
          <w:w w:val="105"/>
        </w:rPr>
        <w:t>(loss).” </w:t>
      </w:r>
      <w:r>
        <w:rPr>
          <w:spacing w:val="2"/>
          <w:w w:val="105"/>
        </w:rPr>
        <w:t>See </w:t>
      </w:r>
      <w:r>
        <w:rPr>
          <w:spacing w:val="4"/>
          <w:w w:val="105"/>
        </w:rPr>
        <w:t>Note </w:t>
      </w:r>
      <w:r>
        <w:rPr>
          <w:w w:val="105"/>
        </w:rPr>
        <w:t>10 </w:t>
      </w:r>
      <w:r>
        <w:rPr>
          <w:spacing w:val="4"/>
          <w:w w:val="105"/>
        </w:rPr>
        <w:t>for </w:t>
      </w:r>
      <w:r>
        <w:rPr>
          <w:spacing w:val="5"/>
          <w:w w:val="105"/>
        </w:rPr>
        <w:t>further </w:t>
      </w:r>
      <w:r>
        <w:rPr>
          <w:spacing w:val="7"/>
          <w:w w:val="105"/>
        </w:rPr>
        <w:t>information </w:t>
      </w:r>
      <w:r>
        <w:rPr>
          <w:spacing w:val="6"/>
          <w:w w:val="105"/>
        </w:rPr>
        <w:t>on Accumulated</w:t>
      </w:r>
      <w:r>
        <w:rPr>
          <w:spacing w:val="59"/>
          <w:w w:val="105"/>
        </w:rPr>
        <w:t> </w:t>
      </w:r>
      <w:r>
        <w:rPr>
          <w:spacing w:val="6"/>
          <w:w w:val="105"/>
        </w:rPr>
        <w:t>other </w:t>
      </w:r>
      <w:r>
        <w:rPr>
          <w:spacing w:val="9"/>
          <w:w w:val="105"/>
        </w:rPr>
        <w:t>compre- </w:t>
      </w:r>
      <w:r>
        <w:rPr>
          <w:spacing w:val="8"/>
          <w:w w:val="105"/>
        </w:rPr>
        <w:t>hensive </w:t>
      </w:r>
      <w:r>
        <w:rPr>
          <w:spacing w:val="9"/>
          <w:w w:val="105"/>
        </w:rPr>
        <w:t>income </w:t>
      </w:r>
      <w:r>
        <w:rPr>
          <w:w w:val="105"/>
        </w:rPr>
        <w:t>(loss). </w:t>
      </w:r>
      <w:r>
        <w:rPr>
          <w:spacing w:val="6"/>
          <w:w w:val="105"/>
        </w:rPr>
        <w:t>During </w:t>
      </w:r>
      <w:r>
        <w:rPr>
          <w:w w:val="105"/>
        </w:rPr>
        <w:t>2002 </w:t>
      </w:r>
      <w:r>
        <w:rPr>
          <w:spacing w:val="8"/>
          <w:w w:val="105"/>
        </w:rPr>
        <w:t>and  </w:t>
      </w:r>
      <w:r>
        <w:rPr>
          <w:w w:val="105"/>
        </w:rPr>
        <w:t>2001, </w:t>
      </w:r>
      <w:r>
        <w:rPr>
          <w:spacing w:val="2"/>
          <w:w w:val="105"/>
        </w:rPr>
        <w:t>the </w:t>
      </w:r>
      <w:r>
        <w:rPr>
          <w:spacing w:val="8"/>
          <w:w w:val="105"/>
        </w:rPr>
        <w:t>Company </w:t>
      </w:r>
      <w:r>
        <w:rPr>
          <w:spacing w:val="5"/>
          <w:w w:val="105"/>
        </w:rPr>
        <w:t>recognized </w:t>
      </w:r>
      <w:r>
        <w:rPr>
          <w:w w:val="105"/>
        </w:rPr>
        <w:t>$4.5 </w:t>
      </w:r>
      <w:r>
        <w:rPr>
          <w:spacing w:val="5"/>
          <w:w w:val="105"/>
        </w:rPr>
        <w:t>million </w:t>
      </w:r>
      <w:r>
        <w:rPr>
          <w:spacing w:val="12"/>
          <w:w w:val="105"/>
        </w:rPr>
        <w:t>in </w:t>
      </w:r>
      <w:r>
        <w:rPr>
          <w:spacing w:val="9"/>
          <w:w w:val="105"/>
        </w:rPr>
        <w:t>additional income </w:t>
      </w:r>
      <w:r>
        <w:rPr>
          <w:spacing w:val="8"/>
          <w:w w:val="105"/>
        </w:rPr>
        <w:t>and</w:t>
      </w:r>
      <w:r>
        <w:rPr>
          <w:spacing w:val="63"/>
          <w:w w:val="105"/>
        </w:rPr>
        <w:t> </w:t>
      </w:r>
      <w:r>
        <w:rPr>
          <w:w w:val="105"/>
        </w:rPr>
        <w:t>$8.2  </w:t>
      </w:r>
      <w:r>
        <w:rPr>
          <w:spacing w:val="5"/>
          <w:w w:val="105"/>
        </w:rPr>
        <w:t>million  </w:t>
      </w:r>
      <w:r>
        <w:rPr>
          <w:spacing w:val="12"/>
          <w:w w:val="105"/>
        </w:rPr>
        <w:t>in </w:t>
      </w:r>
      <w:r>
        <w:rPr>
          <w:spacing w:val="8"/>
          <w:w w:val="105"/>
        </w:rPr>
        <w:t>expense,    </w:t>
      </w:r>
      <w:r>
        <w:rPr>
          <w:spacing w:val="4"/>
          <w:w w:val="105"/>
        </w:rPr>
        <w:t>respectively,     </w:t>
      </w:r>
      <w:r>
        <w:rPr>
          <w:spacing w:val="6"/>
          <w:w w:val="105"/>
        </w:rPr>
        <w:t>in     “Other   </w:t>
      </w:r>
      <w:r>
        <w:rPr>
          <w:spacing w:val="42"/>
          <w:w w:val="105"/>
        </w:rPr>
        <w:t> </w:t>
      </w:r>
      <w:r>
        <w:rPr>
          <w:spacing w:val="4"/>
          <w:w w:val="105"/>
        </w:rPr>
        <w:t>(gains)</w:t>
      </w:r>
    </w:p>
    <w:p>
      <w:pPr>
        <w:pStyle w:val="BodyText"/>
        <w:spacing w:line="254" w:lineRule="auto" w:before="69"/>
        <w:ind w:left="660" w:right="135"/>
        <w:jc w:val="both"/>
      </w:pPr>
      <w:r>
        <w:rPr/>
        <w:br w:type="column"/>
      </w:r>
      <w:r>
        <w:rPr>
          <w:w w:val="110"/>
        </w:rPr>
        <w:t>losses,  </w:t>
      </w:r>
      <w:r>
        <w:rPr>
          <w:spacing w:val="4"/>
          <w:w w:val="110"/>
        </w:rPr>
        <w:t>net,”  </w:t>
      </w:r>
      <w:r>
        <w:rPr>
          <w:spacing w:val="2"/>
          <w:w w:val="110"/>
        </w:rPr>
        <w:t>related  </w:t>
      </w:r>
      <w:r>
        <w:rPr>
          <w:w w:val="110"/>
        </w:rPr>
        <w:t>to  </w:t>
      </w:r>
      <w:r>
        <w:rPr>
          <w:spacing w:val="2"/>
          <w:w w:val="110"/>
        </w:rPr>
        <w:t>the  </w:t>
      </w:r>
      <w:r>
        <w:rPr>
          <w:spacing w:val="6"/>
          <w:w w:val="110"/>
        </w:rPr>
        <w:t>ineffectiveness of </w:t>
      </w:r>
      <w:r>
        <w:rPr>
          <w:spacing w:val="61"/>
          <w:w w:val="110"/>
        </w:rPr>
        <w:t> </w:t>
      </w:r>
      <w:r>
        <w:rPr>
          <w:spacing w:val="2"/>
          <w:w w:val="110"/>
        </w:rPr>
        <w:t>its  </w:t>
      </w:r>
      <w:r>
        <w:rPr>
          <w:spacing w:val="6"/>
          <w:w w:val="110"/>
        </w:rPr>
        <w:t>hedges. </w:t>
      </w:r>
      <w:r>
        <w:rPr>
          <w:spacing w:val="61"/>
          <w:w w:val="110"/>
        </w:rPr>
        <w:t> </w:t>
      </w:r>
      <w:r>
        <w:rPr>
          <w:spacing w:val="6"/>
          <w:w w:val="110"/>
        </w:rPr>
        <w:t>During </w:t>
      </w:r>
      <w:r>
        <w:rPr>
          <w:spacing w:val="61"/>
          <w:w w:val="110"/>
        </w:rPr>
        <w:t> </w:t>
      </w:r>
      <w:r>
        <w:rPr>
          <w:w w:val="110"/>
        </w:rPr>
        <w:t>2002  </w:t>
      </w:r>
      <w:r>
        <w:rPr>
          <w:spacing w:val="8"/>
          <w:w w:val="110"/>
        </w:rPr>
        <w:t>and   </w:t>
      </w:r>
      <w:r>
        <w:rPr>
          <w:w w:val="110"/>
        </w:rPr>
        <w:t>2001,   </w:t>
      </w:r>
      <w:r>
        <w:rPr>
          <w:spacing w:val="2"/>
          <w:w w:val="110"/>
        </w:rPr>
        <w:t>the     </w:t>
      </w:r>
      <w:r>
        <w:rPr>
          <w:spacing w:val="8"/>
          <w:w w:val="110"/>
        </w:rPr>
        <w:t>Company    </w:t>
      </w:r>
      <w:r>
        <w:rPr>
          <w:spacing w:val="5"/>
          <w:w w:val="110"/>
        </w:rPr>
        <w:t>recognized   </w:t>
      </w:r>
      <w:r>
        <w:rPr>
          <w:spacing w:val="25"/>
          <w:w w:val="110"/>
        </w:rPr>
        <w:t> </w:t>
      </w:r>
      <w:r>
        <w:rPr>
          <w:spacing w:val="7"/>
          <w:w w:val="110"/>
        </w:rPr>
        <w:t>approximately</w:t>
      </w:r>
    </w:p>
    <w:p>
      <w:pPr>
        <w:pStyle w:val="BodyText"/>
        <w:spacing w:line="254" w:lineRule="auto"/>
        <w:ind w:left="660" w:right="119"/>
        <w:jc w:val="both"/>
      </w:pPr>
      <w:r>
        <w:rPr>
          <w:w w:val="110"/>
        </w:rPr>
        <w:t>$25.6 </w:t>
      </w:r>
      <w:r>
        <w:rPr>
          <w:spacing w:val="5"/>
          <w:w w:val="110"/>
        </w:rPr>
        <w:t>million </w:t>
      </w:r>
      <w:r>
        <w:rPr>
          <w:spacing w:val="8"/>
          <w:w w:val="110"/>
        </w:rPr>
        <w:t>and </w:t>
      </w:r>
      <w:r>
        <w:rPr>
          <w:w w:val="110"/>
        </w:rPr>
        <w:t>$17.5 </w:t>
      </w:r>
      <w:r>
        <w:rPr>
          <w:spacing w:val="6"/>
          <w:w w:val="110"/>
        </w:rPr>
        <w:t>million,  </w:t>
      </w:r>
      <w:r>
        <w:rPr>
          <w:spacing w:val="4"/>
          <w:w w:val="110"/>
        </w:rPr>
        <w:t>respectively, </w:t>
      </w:r>
      <w:r>
        <w:rPr>
          <w:spacing w:val="6"/>
          <w:w w:val="110"/>
        </w:rPr>
        <w:t>of </w:t>
      </w:r>
      <w:r>
        <w:rPr>
          <w:spacing w:val="8"/>
          <w:w w:val="110"/>
        </w:rPr>
        <w:t>net expense, </w:t>
      </w:r>
      <w:r>
        <w:rPr>
          <w:spacing w:val="2"/>
          <w:w w:val="110"/>
        </w:rPr>
        <w:t>related </w:t>
      </w:r>
      <w:r>
        <w:rPr>
          <w:w w:val="110"/>
        </w:rPr>
        <w:t>to </w:t>
      </w:r>
      <w:r>
        <w:rPr>
          <w:spacing w:val="8"/>
          <w:w w:val="110"/>
        </w:rPr>
        <w:t>amounts excluded </w:t>
      </w:r>
      <w:r>
        <w:rPr>
          <w:w w:val="110"/>
        </w:rPr>
        <w:t>from </w:t>
      </w:r>
      <w:r>
        <w:rPr>
          <w:spacing w:val="2"/>
          <w:w w:val="110"/>
        </w:rPr>
        <w:t>the </w:t>
      </w:r>
      <w:r>
        <w:rPr>
          <w:spacing w:val="6"/>
          <w:w w:val="110"/>
        </w:rPr>
        <w:t>Company’s </w:t>
      </w:r>
      <w:r>
        <w:rPr>
          <w:spacing w:val="7"/>
          <w:w w:val="110"/>
        </w:rPr>
        <w:t>measurements </w:t>
      </w:r>
      <w:r>
        <w:rPr>
          <w:spacing w:val="6"/>
          <w:w w:val="110"/>
        </w:rPr>
        <w:t>of </w:t>
      </w:r>
      <w:r>
        <w:rPr>
          <w:spacing w:val="7"/>
          <w:w w:val="110"/>
        </w:rPr>
        <w:t>hedge </w:t>
      </w:r>
      <w:r>
        <w:rPr>
          <w:spacing w:val="5"/>
          <w:w w:val="110"/>
        </w:rPr>
        <w:t>effectiveness, </w:t>
      </w:r>
      <w:r>
        <w:rPr>
          <w:spacing w:val="6"/>
          <w:w w:val="110"/>
        </w:rPr>
        <w:t>in “Other </w:t>
      </w:r>
      <w:r>
        <w:rPr>
          <w:spacing w:val="4"/>
          <w:w w:val="110"/>
        </w:rPr>
        <w:t>(gains) </w:t>
      </w:r>
      <w:r>
        <w:rPr>
          <w:w w:val="110"/>
        </w:rPr>
        <w:t>losses, </w:t>
      </w:r>
      <w:r>
        <w:rPr>
          <w:spacing w:val="4"/>
          <w:w w:val="110"/>
        </w:rPr>
        <w:t>net.” The </w:t>
      </w:r>
      <w:r>
        <w:rPr>
          <w:w w:val="110"/>
        </w:rPr>
        <w:t>2001 </w:t>
      </w:r>
      <w:r>
        <w:rPr>
          <w:spacing w:val="8"/>
          <w:w w:val="110"/>
        </w:rPr>
        <w:t>adoption  </w:t>
      </w:r>
      <w:r>
        <w:rPr>
          <w:spacing w:val="6"/>
          <w:w w:val="110"/>
        </w:rPr>
        <w:t>of </w:t>
      </w:r>
      <w:r>
        <w:rPr>
          <w:w w:val="110"/>
        </w:rPr>
        <w:t>SFAS 133  </w:t>
      </w:r>
      <w:r>
        <w:rPr>
          <w:spacing w:val="8"/>
          <w:w w:val="110"/>
        </w:rPr>
        <w:t>has  </w:t>
      </w:r>
      <w:r>
        <w:rPr>
          <w:w w:val="110"/>
        </w:rPr>
        <w:t>resulted </w:t>
      </w:r>
      <w:r>
        <w:rPr>
          <w:spacing w:val="6"/>
          <w:w w:val="110"/>
        </w:rPr>
        <w:t>in more </w:t>
      </w:r>
      <w:r>
        <w:rPr>
          <w:spacing w:val="3"/>
          <w:w w:val="110"/>
        </w:rPr>
        <w:t>volatility </w:t>
      </w:r>
      <w:r>
        <w:rPr>
          <w:spacing w:val="6"/>
          <w:w w:val="110"/>
        </w:rPr>
        <w:t>in </w:t>
      </w:r>
      <w:r>
        <w:rPr>
          <w:spacing w:val="2"/>
          <w:w w:val="110"/>
        </w:rPr>
        <w:t>the </w:t>
      </w:r>
      <w:r>
        <w:rPr>
          <w:spacing w:val="6"/>
          <w:w w:val="110"/>
        </w:rPr>
        <w:t>Company’s </w:t>
      </w:r>
      <w:r>
        <w:rPr>
          <w:spacing w:val="9"/>
          <w:w w:val="110"/>
        </w:rPr>
        <w:t>financial </w:t>
      </w:r>
      <w:r>
        <w:rPr>
          <w:spacing w:val="4"/>
          <w:w w:val="110"/>
        </w:rPr>
        <w:t>statements </w:t>
      </w:r>
      <w:r>
        <w:rPr>
          <w:spacing w:val="5"/>
          <w:w w:val="110"/>
        </w:rPr>
        <w:t>than </w:t>
      </w:r>
      <w:r>
        <w:rPr>
          <w:spacing w:val="6"/>
          <w:w w:val="110"/>
        </w:rPr>
        <w:t>in</w:t>
      </w:r>
      <w:r>
        <w:rPr>
          <w:spacing w:val="61"/>
          <w:w w:val="110"/>
        </w:rPr>
        <w:t> </w:t>
      </w:r>
      <w:r>
        <w:rPr>
          <w:spacing w:val="2"/>
          <w:w w:val="110"/>
        </w:rPr>
        <w:t>the </w:t>
      </w:r>
      <w:r>
        <w:rPr>
          <w:spacing w:val="5"/>
          <w:w w:val="110"/>
        </w:rPr>
        <w:t>past </w:t>
      </w:r>
      <w:r>
        <w:rPr>
          <w:spacing w:val="8"/>
          <w:w w:val="110"/>
        </w:rPr>
        <w:t>due </w:t>
      </w:r>
      <w:r>
        <w:rPr>
          <w:w w:val="110"/>
        </w:rPr>
        <w:t>to </w:t>
      </w:r>
      <w:r>
        <w:rPr>
          <w:spacing w:val="6"/>
          <w:w w:val="110"/>
        </w:rPr>
        <w:t>the </w:t>
      </w:r>
      <w:r>
        <w:rPr>
          <w:spacing w:val="7"/>
          <w:w w:val="110"/>
        </w:rPr>
        <w:t>changes </w:t>
      </w:r>
      <w:r>
        <w:rPr>
          <w:spacing w:val="6"/>
          <w:w w:val="110"/>
        </w:rPr>
        <w:t>in market values of </w:t>
      </w:r>
      <w:r>
        <w:rPr>
          <w:spacing w:val="2"/>
          <w:w w:val="110"/>
        </w:rPr>
        <w:t>its </w:t>
      </w:r>
      <w:r>
        <w:rPr>
          <w:spacing w:val="8"/>
          <w:w w:val="110"/>
        </w:rPr>
        <w:t>derivative </w:t>
      </w:r>
      <w:r>
        <w:rPr>
          <w:spacing w:val="5"/>
          <w:w w:val="110"/>
        </w:rPr>
        <w:t>instruments </w:t>
      </w:r>
      <w:r>
        <w:rPr>
          <w:spacing w:val="8"/>
          <w:w w:val="110"/>
        </w:rPr>
        <w:t>and </w:t>
      </w:r>
      <w:r>
        <w:rPr>
          <w:spacing w:val="6"/>
          <w:w w:val="110"/>
        </w:rPr>
        <w:t>some ineffectiveness </w:t>
      </w:r>
      <w:r>
        <w:rPr>
          <w:spacing w:val="8"/>
          <w:w w:val="110"/>
        </w:rPr>
        <w:t>that has </w:t>
      </w:r>
      <w:r>
        <w:rPr>
          <w:spacing w:val="9"/>
          <w:w w:val="110"/>
        </w:rPr>
        <w:t>been </w:t>
      </w:r>
      <w:r>
        <w:rPr>
          <w:spacing w:val="8"/>
          <w:w w:val="110"/>
        </w:rPr>
        <w:t>experienced </w:t>
      </w:r>
      <w:r>
        <w:rPr>
          <w:spacing w:val="6"/>
          <w:w w:val="110"/>
        </w:rPr>
        <w:t>in </w:t>
      </w:r>
      <w:r>
        <w:rPr>
          <w:spacing w:val="2"/>
          <w:w w:val="110"/>
        </w:rPr>
        <w:t>its </w:t>
      </w:r>
      <w:r>
        <w:rPr>
          <w:spacing w:val="6"/>
          <w:w w:val="110"/>
        </w:rPr>
        <w:t>fuel hedges. See </w:t>
      </w:r>
      <w:r>
        <w:rPr>
          <w:spacing w:val="4"/>
          <w:w w:val="110"/>
        </w:rPr>
        <w:t>Note </w:t>
      </w:r>
      <w:r>
        <w:rPr>
          <w:w w:val="110"/>
        </w:rPr>
        <w:t>9 </w:t>
      </w:r>
      <w:r>
        <w:rPr>
          <w:spacing w:val="4"/>
          <w:w w:val="110"/>
        </w:rPr>
        <w:t>for further </w:t>
      </w:r>
      <w:r>
        <w:rPr>
          <w:spacing w:val="7"/>
          <w:w w:val="110"/>
        </w:rPr>
        <w:t>information </w:t>
      </w:r>
      <w:r>
        <w:rPr>
          <w:spacing w:val="6"/>
          <w:w w:val="110"/>
        </w:rPr>
        <w:t>on the </w:t>
      </w:r>
      <w:r>
        <w:rPr>
          <w:spacing w:val="6"/>
          <w:w w:val="105"/>
        </w:rPr>
        <w:t>Company’s </w:t>
      </w:r>
      <w:r>
        <w:rPr>
          <w:spacing w:val="7"/>
          <w:w w:val="105"/>
        </w:rPr>
        <w:t>derivative  </w:t>
      </w:r>
      <w:r>
        <w:rPr>
          <w:spacing w:val="4"/>
          <w:w w:val="105"/>
        </w:rPr>
        <w:t>instruments.</w:t>
      </w:r>
    </w:p>
    <w:p>
      <w:pPr>
        <w:pStyle w:val="BodyText"/>
        <w:spacing w:line="254" w:lineRule="auto"/>
        <w:ind w:left="660" w:right="123" w:firstLine="280"/>
        <w:jc w:val="both"/>
      </w:pPr>
      <w:r>
        <w:rPr>
          <w:spacing w:val="4"/>
          <w:w w:val="105"/>
        </w:rPr>
        <w:t>Effective </w:t>
      </w:r>
      <w:r>
        <w:rPr>
          <w:spacing w:val="6"/>
          <w:w w:val="105"/>
        </w:rPr>
        <w:t>January</w:t>
      </w:r>
      <w:r>
        <w:rPr>
          <w:spacing w:val="59"/>
          <w:w w:val="105"/>
        </w:rPr>
        <w:t> </w:t>
      </w:r>
      <w:r>
        <w:rPr>
          <w:w w:val="105"/>
        </w:rPr>
        <w:t>1, 2000, </w:t>
      </w:r>
      <w:r>
        <w:rPr>
          <w:spacing w:val="2"/>
          <w:w w:val="105"/>
        </w:rPr>
        <w:t>the </w:t>
      </w:r>
      <w:r>
        <w:rPr>
          <w:spacing w:val="10"/>
          <w:w w:val="105"/>
        </w:rPr>
        <w:t>Company </w:t>
      </w:r>
      <w:r>
        <w:rPr>
          <w:spacing w:val="8"/>
          <w:w w:val="105"/>
        </w:rPr>
        <w:t>adopted   </w:t>
      </w:r>
      <w:r>
        <w:rPr>
          <w:w w:val="105"/>
        </w:rPr>
        <w:t>Staff   </w:t>
      </w:r>
      <w:r>
        <w:rPr>
          <w:spacing w:val="7"/>
          <w:w w:val="105"/>
        </w:rPr>
        <w:t>Accounting   </w:t>
      </w:r>
      <w:r>
        <w:rPr>
          <w:w w:val="105"/>
        </w:rPr>
        <w:t>Bulletin    101  (SAB</w:t>
      </w:r>
    </w:p>
    <w:p>
      <w:pPr>
        <w:pStyle w:val="BodyText"/>
        <w:spacing w:line="254" w:lineRule="auto"/>
        <w:ind w:left="660" w:right="123"/>
        <w:jc w:val="both"/>
      </w:pPr>
      <w:r>
        <w:rPr>
          <w:w w:val="105"/>
        </w:rPr>
        <w:t>101) </w:t>
      </w:r>
      <w:r>
        <w:rPr>
          <w:spacing w:val="4"/>
          <w:w w:val="105"/>
        </w:rPr>
        <w:t>issued </w:t>
      </w:r>
      <w:r>
        <w:rPr>
          <w:spacing w:val="6"/>
          <w:w w:val="105"/>
        </w:rPr>
        <w:t>by </w:t>
      </w:r>
      <w:r>
        <w:rPr>
          <w:spacing w:val="2"/>
          <w:w w:val="105"/>
        </w:rPr>
        <w:t>the </w:t>
      </w:r>
      <w:r>
        <w:rPr>
          <w:spacing w:val="5"/>
          <w:w w:val="105"/>
        </w:rPr>
        <w:t>Securities </w:t>
      </w:r>
      <w:r>
        <w:rPr>
          <w:spacing w:val="8"/>
          <w:w w:val="105"/>
        </w:rPr>
        <w:t>and </w:t>
      </w:r>
      <w:r>
        <w:rPr>
          <w:spacing w:val="7"/>
          <w:w w:val="105"/>
        </w:rPr>
        <w:t>Exchange </w:t>
      </w:r>
      <w:r>
        <w:rPr>
          <w:spacing w:val="6"/>
          <w:w w:val="105"/>
        </w:rPr>
        <w:t>Commission in </w:t>
      </w:r>
      <w:r>
        <w:rPr>
          <w:spacing w:val="9"/>
          <w:w w:val="105"/>
        </w:rPr>
        <w:t>December </w:t>
      </w:r>
      <w:r>
        <w:rPr>
          <w:w w:val="105"/>
        </w:rPr>
        <w:t>1999. </w:t>
      </w:r>
      <w:r>
        <w:rPr>
          <w:spacing w:val="4"/>
          <w:w w:val="105"/>
        </w:rPr>
        <w:t>As </w:t>
      </w:r>
      <w:r>
        <w:rPr>
          <w:w w:val="105"/>
        </w:rPr>
        <w:t>a result </w:t>
      </w:r>
      <w:r>
        <w:rPr>
          <w:spacing w:val="6"/>
          <w:w w:val="105"/>
        </w:rPr>
        <w:t>of </w:t>
      </w:r>
      <w:r>
        <w:rPr>
          <w:spacing w:val="8"/>
          <w:w w:val="105"/>
        </w:rPr>
        <w:t>adopting </w:t>
      </w:r>
      <w:r>
        <w:rPr>
          <w:w w:val="105"/>
        </w:rPr>
        <w:t>SAB 101, </w:t>
      </w:r>
      <w:r>
        <w:rPr>
          <w:spacing w:val="2"/>
          <w:w w:val="105"/>
        </w:rPr>
        <w:t>the </w:t>
      </w:r>
      <w:r>
        <w:rPr>
          <w:spacing w:val="8"/>
          <w:w w:val="105"/>
        </w:rPr>
        <w:t>Company </w:t>
      </w:r>
      <w:r>
        <w:rPr>
          <w:spacing w:val="7"/>
          <w:w w:val="105"/>
        </w:rPr>
        <w:t>changed </w:t>
      </w:r>
      <w:r>
        <w:rPr>
          <w:spacing w:val="6"/>
          <w:w w:val="105"/>
        </w:rPr>
        <w:t>the way it </w:t>
      </w:r>
      <w:r>
        <w:rPr>
          <w:spacing w:val="5"/>
          <w:w w:val="105"/>
        </w:rPr>
        <w:t>recognizes </w:t>
      </w:r>
      <w:r>
        <w:rPr>
          <w:spacing w:val="8"/>
          <w:w w:val="105"/>
        </w:rPr>
        <w:t>revenue </w:t>
      </w:r>
      <w:r>
        <w:rPr>
          <w:w w:val="105"/>
        </w:rPr>
        <w:t>from </w:t>
      </w:r>
      <w:r>
        <w:rPr>
          <w:spacing w:val="2"/>
          <w:w w:val="105"/>
        </w:rPr>
        <w:t>the  </w:t>
      </w:r>
      <w:r>
        <w:rPr>
          <w:w w:val="105"/>
        </w:rPr>
        <w:t>sale  </w:t>
      </w:r>
      <w:r>
        <w:rPr>
          <w:spacing w:val="12"/>
          <w:w w:val="105"/>
        </w:rPr>
        <w:t>of </w:t>
      </w:r>
      <w:r>
        <w:rPr>
          <w:spacing w:val="2"/>
          <w:w w:val="105"/>
        </w:rPr>
        <w:t>flight </w:t>
      </w:r>
      <w:r>
        <w:rPr>
          <w:spacing w:val="6"/>
          <w:w w:val="105"/>
        </w:rPr>
        <w:t>segment </w:t>
      </w:r>
      <w:r>
        <w:rPr>
          <w:spacing w:val="4"/>
          <w:w w:val="105"/>
        </w:rPr>
        <w:t>credits </w:t>
      </w:r>
      <w:r>
        <w:rPr>
          <w:w w:val="105"/>
        </w:rPr>
        <w:t>to </w:t>
      </w:r>
      <w:r>
        <w:rPr>
          <w:spacing w:val="10"/>
          <w:w w:val="105"/>
        </w:rPr>
        <w:t>companies </w:t>
      </w:r>
      <w:r>
        <w:rPr>
          <w:spacing w:val="7"/>
          <w:w w:val="105"/>
        </w:rPr>
        <w:t>partici- pating </w:t>
      </w:r>
      <w:r>
        <w:rPr>
          <w:spacing w:val="6"/>
          <w:w w:val="105"/>
        </w:rPr>
        <w:t>in</w:t>
      </w:r>
      <w:r>
        <w:rPr>
          <w:spacing w:val="59"/>
          <w:w w:val="105"/>
        </w:rPr>
        <w:t> </w:t>
      </w:r>
      <w:r>
        <w:rPr>
          <w:spacing w:val="2"/>
          <w:w w:val="105"/>
        </w:rPr>
        <w:t>its </w:t>
      </w:r>
      <w:r>
        <w:rPr>
          <w:spacing w:val="6"/>
          <w:w w:val="105"/>
        </w:rPr>
        <w:t>Rapid</w:t>
      </w:r>
      <w:r>
        <w:rPr>
          <w:spacing w:val="59"/>
          <w:w w:val="105"/>
        </w:rPr>
        <w:t> </w:t>
      </w:r>
      <w:r>
        <w:rPr>
          <w:spacing w:val="5"/>
          <w:w w:val="105"/>
        </w:rPr>
        <w:t>Rewards </w:t>
      </w:r>
      <w:r>
        <w:rPr>
          <w:spacing w:val="7"/>
          <w:w w:val="105"/>
        </w:rPr>
        <w:t>frequent </w:t>
      </w:r>
      <w:r>
        <w:rPr>
          <w:spacing w:val="2"/>
          <w:w w:val="105"/>
        </w:rPr>
        <w:t>flyer </w:t>
      </w:r>
      <w:r>
        <w:rPr>
          <w:spacing w:val="5"/>
          <w:w w:val="105"/>
        </w:rPr>
        <w:t>program. Prior </w:t>
      </w:r>
      <w:r>
        <w:rPr>
          <w:w w:val="105"/>
        </w:rPr>
        <w:t>to </w:t>
      </w:r>
      <w:r>
        <w:rPr>
          <w:spacing w:val="2"/>
          <w:w w:val="105"/>
        </w:rPr>
        <w:t>the </w:t>
      </w:r>
      <w:r>
        <w:rPr>
          <w:spacing w:val="5"/>
          <w:w w:val="105"/>
        </w:rPr>
        <w:t>issuance </w:t>
      </w:r>
      <w:r>
        <w:rPr>
          <w:spacing w:val="6"/>
          <w:w w:val="105"/>
        </w:rPr>
        <w:t>of </w:t>
      </w:r>
      <w:r>
        <w:rPr>
          <w:w w:val="105"/>
        </w:rPr>
        <w:t>SAB 101, </w:t>
      </w:r>
      <w:r>
        <w:rPr>
          <w:spacing w:val="2"/>
          <w:w w:val="105"/>
        </w:rPr>
        <w:t>the </w:t>
      </w:r>
      <w:r>
        <w:rPr>
          <w:spacing w:val="8"/>
          <w:w w:val="105"/>
        </w:rPr>
        <w:t>Company </w:t>
      </w:r>
      <w:r>
        <w:rPr>
          <w:spacing w:val="5"/>
          <w:w w:val="105"/>
        </w:rPr>
        <w:t>recorded </w:t>
      </w:r>
      <w:r>
        <w:rPr>
          <w:spacing w:val="8"/>
          <w:w w:val="105"/>
        </w:rPr>
        <w:t>revenue </w:t>
      </w:r>
      <w:r>
        <w:rPr>
          <w:spacing w:val="6"/>
          <w:w w:val="105"/>
        </w:rPr>
        <w:t>in</w:t>
      </w:r>
      <w:r>
        <w:rPr>
          <w:spacing w:val="59"/>
          <w:w w:val="105"/>
        </w:rPr>
        <w:t> </w:t>
      </w:r>
      <w:r>
        <w:rPr>
          <w:spacing w:val="8"/>
          <w:w w:val="105"/>
        </w:rPr>
        <w:t>“Other revenue” when </w:t>
      </w:r>
      <w:r>
        <w:rPr>
          <w:spacing w:val="2"/>
          <w:w w:val="105"/>
        </w:rPr>
        <w:t>flight </w:t>
      </w:r>
      <w:r>
        <w:rPr>
          <w:spacing w:val="6"/>
          <w:w w:val="105"/>
        </w:rPr>
        <w:t>segment </w:t>
      </w:r>
      <w:r>
        <w:rPr>
          <w:spacing w:val="4"/>
          <w:w w:val="105"/>
        </w:rPr>
        <w:t>credits  were </w:t>
      </w:r>
      <w:r>
        <w:rPr>
          <w:spacing w:val="2"/>
          <w:w w:val="105"/>
        </w:rPr>
        <w:t>sold. </w:t>
      </w:r>
      <w:r>
        <w:rPr>
          <w:spacing w:val="7"/>
          <w:w w:val="105"/>
        </w:rPr>
        <w:t>Beginning </w:t>
      </w:r>
      <w:r>
        <w:rPr>
          <w:spacing w:val="6"/>
          <w:w w:val="105"/>
        </w:rPr>
        <w:t>January </w:t>
      </w:r>
      <w:r>
        <w:rPr>
          <w:w w:val="105"/>
        </w:rPr>
        <w:t>1, 2000, </w:t>
      </w:r>
      <w:r>
        <w:rPr>
          <w:spacing w:val="2"/>
          <w:w w:val="105"/>
        </w:rPr>
        <w:t>the </w:t>
      </w:r>
      <w:r>
        <w:rPr>
          <w:spacing w:val="10"/>
          <w:w w:val="105"/>
        </w:rPr>
        <w:t>Company </w:t>
      </w:r>
      <w:r>
        <w:rPr>
          <w:spacing w:val="5"/>
          <w:w w:val="105"/>
        </w:rPr>
        <w:t>recognizes Passenger  </w:t>
      </w:r>
      <w:r>
        <w:rPr>
          <w:spacing w:val="8"/>
          <w:w w:val="105"/>
        </w:rPr>
        <w:t>revenue</w:t>
      </w:r>
      <w:r>
        <w:rPr>
          <w:spacing w:val="63"/>
          <w:w w:val="105"/>
        </w:rPr>
        <w:t> </w:t>
      </w:r>
      <w:r>
        <w:rPr>
          <w:spacing w:val="8"/>
          <w:w w:val="105"/>
        </w:rPr>
        <w:t>when</w:t>
      </w:r>
      <w:r>
        <w:rPr>
          <w:spacing w:val="63"/>
          <w:w w:val="105"/>
        </w:rPr>
        <w:t> </w:t>
      </w:r>
      <w:r>
        <w:rPr>
          <w:spacing w:val="5"/>
          <w:w w:val="105"/>
        </w:rPr>
        <w:t>free </w:t>
      </w:r>
      <w:r>
        <w:rPr>
          <w:spacing w:val="4"/>
          <w:w w:val="105"/>
        </w:rPr>
        <w:t>travel </w:t>
      </w:r>
      <w:r>
        <w:rPr>
          <w:spacing w:val="6"/>
          <w:w w:val="105"/>
        </w:rPr>
        <w:t>awards </w:t>
      </w:r>
      <w:r>
        <w:rPr>
          <w:spacing w:val="3"/>
          <w:w w:val="105"/>
        </w:rPr>
        <w:t>resulting </w:t>
      </w:r>
      <w:r>
        <w:rPr>
          <w:w w:val="105"/>
        </w:rPr>
        <w:t>from </w:t>
      </w:r>
      <w:r>
        <w:rPr>
          <w:spacing w:val="2"/>
          <w:w w:val="105"/>
        </w:rPr>
        <w:t>the flight </w:t>
      </w:r>
      <w:r>
        <w:rPr>
          <w:spacing w:val="8"/>
          <w:w w:val="105"/>
        </w:rPr>
        <w:t>segment </w:t>
      </w:r>
      <w:r>
        <w:rPr>
          <w:spacing w:val="4"/>
          <w:w w:val="105"/>
        </w:rPr>
        <w:t>credits </w:t>
      </w:r>
      <w:r>
        <w:rPr>
          <w:w w:val="105"/>
        </w:rPr>
        <w:t>sold </w:t>
      </w:r>
      <w:r>
        <w:rPr>
          <w:spacing w:val="2"/>
          <w:w w:val="105"/>
        </w:rPr>
        <w:t>are flown  </w:t>
      </w:r>
      <w:r>
        <w:rPr>
          <w:spacing w:val="6"/>
          <w:w w:val="105"/>
        </w:rPr>
        <w:t>or</w:t>
      </w:r>
      <w:r>
        <w:rPr>
          <w:spacing w:val="59"/>
          <w:w w:val="105"/>
        </w:rPr>
        <w:t> </w:t>
      </w:r>
      <w:r>
        <w:rPr>
          <w:spacing w:val="4"/>
          <w:w w:val="105"/>
        </w:rPr>
        <w:t>credits  </w:t>
      </w:r>
      <w:r>
        <w:rPr>
          <w:spacing w:val="7"/>
          <w:w w:val="105"/>
        </w:rPr>
        <w:t>expire  </w:t>
      </w:r>
      <w:r>
        <w:rPr>
          <w:spacing w:val="8"/>
          <w:w w:val="105"/>
        </w:rPr>
        <w:t>unused. </w:t>
      </w:r>
      <w:r>
        <w:rPr>
          <w:spacing w:val="6"/>
          <w:w w:val="105"/>
        </w:rPr>
        <w:t>Due </w:t>
      </w:r>
      <w:r>
        <w:rPr>
          <w:w w:val="105"/>
        </w:rPr>
        <w:t>to </w:t>
      </w:r>
      <w:r>
        <w:rPr>
          <w:spacing w:val="5"/>
          <w:w w:val="105"/>
        </w:rPr>
        <w:t>this </w:t>
      </w:r>
      <w:r>
        <w:rPr>
          <w:spacing w:val="7"/>
          <w:w w:val="105"/>
        </w:rPr>
        <w:t>change, </w:t>
      </w:r>
      <w:r>
        <w:rPr>
          <w:spacing w:val="2"/>
          <w:w w:val="105"/>
        </w:rPr>
        <w:t>the </w:t>
      </w:r>
      <w:r>
        <w:rPr>
          <w:spacing w:val="10"/>
          <w:w w:val="105"/>
        </w:rPr>
        <w:t>Company </w:t>
      </w:r>
      <w:r>
        <w:rPr>
          <w:spacing w:val="5"/>
          <w:w w:val="105"/>
        </w:rPr>
        <w:t>recorded </w:t>
      </w:r>
      <w:r>
        <w:rPr>
          <w:w w:val="105"/>
        </w:rPr>
        <w:t>a </w:t>
      </w:r>
      <w:r>
        <w:rPr>
          <w:spacing w:val="6"/>
          <w:w w:val="105"/>
        </w:rPr>
        <w:t>cumulative </w:t>
      </w:r>
      <w:r>
        <w:rPr>
          <w:spacing w:val="4"/>
          <w:w w:val="105"/>
        </w:rPr>
        <w:t>effect charge </w:t>
      </w:r>
      <w:r>
        <w:rPr>
          <w:spacing w:val="6"/>
          <w:w w:val="105"/>
        </w:rPr>
        <w:t>in </w:t>
      </w:r>
      <w:r>
        <w:rPr>
          <w:w w:val="105"/>
        </w:rPr>
        <w:t>first </w:t>
      </w:r>
      <w:r>
        <w:rPr>
          <w:spacing w:val="5"/>
          <w:w w:val="105"/>
        </w:rPr>
        <w:t>quarter </w:t>
      </w:r>
      <w:r>
        <w:rPr>
          <w:w w:val="105"/>
        </w:rPr>
        <w:t>2000 </w:t>
      </w:r>
      <w:r>
        <w:rPr>
          <w:spacing w:val="6"/>
          <w:w w:val="105"/>
        </w:rPr>
        <w:t>of </w:t>
      </w:r>
      <w:r>
        <w:rPr>
          <w:w w:val="105"/>
        </w:rPr>
        <w:t>$22.1 </w:t>
      </w:r>
      <w:r>
        <w:rPr>
          <w:spacing w:val="5"/>
          <w:w w:val="105"/>
        </w:rPr>
        <w:t>million </w:t>
      </w:r>
      <w:r>
        <w:rPr>
          <w:spacing w:val="6"/>
          <w:w w:val="105"/>
        </w:rPr>
        <w:t>(net of </w:t>
      </w:r>
      <w:r>
        <w:rPr>
          <w:spacing w:val="9"/>
          <w:w w:val="105"/>
        </w:rPr>
        <w:t>income </w:t>
      </w:r>
      <w:r>
        <w:rPr>
          <w:spacing w:val="6"/>
          <w:w w:val="105"/>
        </w:rPr>
        <w:t>taxes of</w:t>
      </w:r>
      <w:r>
        <w:rPr>
          <w:spacing w:val="59"/>
          <w:w w:val="105"/>
        </w:rPr>
        <w:t> </w:t>
      </w:r>
      <w:r>
        <w:rPr>
          <w:w w:val="105"/>
        </w:rPr>
        <w:t>$14.0 </w:t>
      </w:r>
      <w:r>
        <w:rPr>
          <w:spacing w:val="6"/>
          <w:w w:val="105"/>
        </w:rPr>
        <w:t>million)</w:t>
      </w:r>
      <w:r>
        <w:rPr>
          <w:spacing w:val="59"/>
          <w:w w:val="105"/>
        </w:rPr>
        <w:t> </w:t>
      </w:r>
      <w:r>
        <w:rPr>
          <w:spacing w:val="6"/>
          <w:w w:val="105"/>
        </w:rPr>
        <w:t>or</w:t>
      </w:r>
      <w:r>
        <w:rPr>
          <w:spacing w:val="59"/>
          <w:w w:val="105"/>
        </w:rPr>
        <w:t> </w:t>
      </w:r>
      <w:r>
        <w:rPr>
          <w:w w:val="105"/>
        </w:rPr>
        <w:t>$.03  </w:t>
      </w:r>
      <w:r>
        <w:rPr>
          <w:spacing w:val="8"/>
          <w:w w:val="105"/>
        </w:rPr>
        <w:t>per</w:t>
      </w:r>
      <w:r>
        <w:rPr>
          <w:spacing w:val="63"/>
          <w:w w:val="105"/>
        </w:rPr>
        <w:t> </w:t>
      </w:r>
      <w:r>
        <w:rPr>
          <w:spacing w:val="4"/>
          <w:w w:val="105"/>
        </w:rPr>
        <w:t>share, </w:t>
      </w:r>
      <w:r>
        <w:rPr>
          <w:spacing w:val="6"/>
          <w:w w:val="105"/>
        </w:rPr>
        <w:t>basic  </w:t>
      </w:r>
      <w:r>
        <w:rPr>
          <w:spacing w:val="8"/>
          <w:w w:val="105"/>
        </w:rPr>
        <w:t>and</w:t>
      </w:r>
      <w:r>
        <w:rPr>
          <w:spacing w:val="19"/>
          <w:w w:val="105"/>
        </w:rPr>
        <w:t> </w:t>
      </w:r>
      <w:r>
        <w:rPr>
          <w:spacing w:val="7"/>
          <w:w w:val="105"/>
        </w:rPr>
        <w:t>diluted.</w:t>
      </w:r>
    </w:p>
    <w:p>
      <w:pPr>
        <w:pStyle w:val="BodyText"/>
        <w:spacing w:before="11"/>
        <w:rPr>
          <w:sz w:val="21"/>
        </w:rPr>
      </w:pPr>
    </w:p>
    <w:p>
      <w:pPr>
        <w:pStyle w:val="ListParagraph"/>
        <w:numPr>
          <w:ilvl w:val="0"/>
          <w:numId w:val="5"/>
        </w:numPr>
        <w:tabs>
          <w:tab w:pos="660" w:val="left" w:leader="none"/>
        </w:tabs>
        <w:spacing w:line="276" w:lineRule="auto" w:before="0" w:after="0"/>
        <w:ind w:left="660" w:right="234" w:hanging="280"/>
        <w:jc w:val="left"/>
        <w:rPr>
          <w:rFonts w:ascii="Franklin Gothic Medium"/>
          <w:sz w:val="20"/>
        </w:rPr>
      </w:pPr>
      <w:r>
        <w:rPr>
          <w:rFonts w:ascii="Franklin Gothic Medium"/>
          <w:sz w:val="20"/>
        </w:rPr>
        <w:t>Federal </w:t>
      </w:r>
      <w:r>
        <w:rPr>
          <w:rFonts w:ascii="Franklin Gothic Medium"/>
          <w:spacing w:val="3"/>
          <w:sz w:val="20"/>
        </w:rPr>
        <w:t>Grants </w:t>
      </w:r>
      <w:r>
        <w:rPr>
          <w:rFonts w:ascii="Franklin Gothic Medium"/>
          <w:spacing w:val="7"/>
          <w:sz w:val="20"/>
        </w:rPr>
        <w:t>and </w:t>
      </w:r>
      <w:r>
        <w:rPr>
          <w:rFonts w:ascii="Franklin Gothic Medium"/>
          <w:spacing w:val="5"/>
          <w:sz w:val="20"/>
        </w:rPr>
        <w:t>Special </w:t>
      </w:r>
      <w:r>
        <w:rPr>
          <w:rFonts w:ascii="Franklin Gothic Medium"/>
          <w:sz w:val="20"/>
        </w:rPr>
        <w:t>Charges </w:t>
      </w:r>
      <w:r>
        <w:rPr>
          <w:rFonts w:ascii="Franklin Gothic Medium"/>
          <w:spacing w:val="2"/>
          <w:sz w:val="20"/>
        </w:rPr>
        <w:t>Related </w:t>
      </w:r>
      <w:r>
        <w:rPr>
          <w:rFonts w:ascii="Franklin Gothic Medium"/>
          <w:spacing w:val="-3"/>
          <w:sz w:val="20"/>
        </w:rPr>
        <w:t>to </w:t>
      </w:r>
      <w:r>
        <w:rPr>
          <w:rFonts w:ascii="Franklin Gothic Medium"/>
          <w:sz w:val="20"/>
        </w:rPr>
        <w:t>Terrorist</w:t>
      </w:r>
      <w:r>
        <w:rPr>
          <w:rFonts w:ascii="Franklin Gothic Medium"/>
          <w:spacing w:val="21"/>
          <w:sz w:val="20"/>
        </w:rPr>
        <w:t> </w:t>
      </w:r>
      <w:r>
        <w:rPr>
          <w:rFonts w:ascii="Franklin Gothic Medium"/>
          <w:spacing w:val="2"/>
          <w:sz w:val="20"/>
        </w:rPr>
        <w:t>Attacks</w:t>
      </w:r>
    </w:p>
    <w:p>
      <w:pPr>
        <w:pStyle w:val="BodyText"/>
        <w:spacing w:before="2"/>
        <w:rPr>
          <w:rFonts w:ascii="Franklin Gothic Medium"/>
          <w:sz w:val="22"/>
        </w:rPr>
      </w:pPr>
    </w:p>
    <w:p>
      <w:pPr>
        <w:pStyle w:val="BodyText"/>
        <w:spacing w:line="254" w:lineRule="auto"/>
        <w:ind w:left="660" w:right="129" w:firstLine="280"/>
        <w:jc w:val="both"/>
      </w:pPr>
      <w:r>
        <w:rPr>
          <w:spacing w:val="4"/>
          <w:w w:val="105"/>
        </w:rPr>
        <w:t>On </w:t>
      </w:r>
      <w:r>
        <w:rPr>
          <w:spacing w:val="7"/>
          <w:w w:val="105"/>
        </w:rPr>
        <w:t>September </w:t>
      </w:r>
      <w:r>
        <w:rPr>
          <w:w w:val="105"/>
        </w:rPr>
        <w:t>11, 2001, terrorists </w:t>
      </w:r>
      <w:r>
        <w:rPr>
          <w:spacing w:val="6"/>
          <w:w w:val="105"/>
        </w:rPr>
        <w:t>hijacked </w:t>
      </w:r>
      <w:r>
        <w:rPr>
          <w:spacing w:val="8"/>
          <w:w w:val="105"/>
        </w:rPr>
        <w:t>and </w:t>
      </w:r>
      <w:r>
        <w:rPr>
          <w:spacing w:val="5"/>
          <w:w w:val="105"/>
        </w:rPr>
        <w:t>used </w:t>
      </w:r>
      <w:r>
        <w:rPr>
          <w:w w:val="105"/>
        </w:rPr>
        <w:t>two </w:t>
      </w:r>
      <w:r>
        <w:rPr>
          <w:spacing w:val="7"/>
          <w:w w:val="105"/>
        </w:rPr>
        <w:t>American </w:t>
      </w:r>
      <w:r>
        <w:rPr>
          <w:spacing w:val="4"/>
          <w:w w:val="105"/>
        </w:rPr>
        <w:t>Airlines, </w:t>
      </w:r>
      <w:r>
        <w:rPr>
          <w:spacing w:val="6"/>
          <w:w w:val="105"/>
        </w:rPr>
        <w:t>Inc. </w:t>
      </w:r>
      <w:r>
        <w:rPr>
          <w:spacing w:val="4"/>
          <w:w w:val="105"/>
        </w:rPr>
        <w:t>aircraft </w:t>
      </w:r>
      <w:r>
        <w:rPr>
          <w:spacing w:val="8"/>
          <w:w w:val="105"/>
        </w:rPr>
        <w:t>and </w:t>
      </w:r>
      <w:r>
        <w:rPr>
          <w:w w:val="105"/>
        </w:rPr>
        <w:t>two </w:t>
      </w:r>
      <w:r>
        <w:rPr>
          <w:spacing w:val="7"/>
          <w:w w:val="105"/>
        </w:rPr>
        <w:t>United </w:t>
      </w:r>
      <w:r>
        <w:rPr>
          <w:spacing w:val="6"/>
          <w:w w:val="105"/>
        </w:rPr>
        <w:t>Air</w:t>
      </w:r>
      <w:r>
        <w:rPr>
          <w:spacing w:val="59"/>
          <w:w w:val="105"/>
        </w:rPr>
        <w:t> </w:t>
      </w:r>
      <w:r>
        <w:rPr>
          <w:spacing w:val="5"/>
          <w:w w:val="105"/>
        </w:rPr>
        <w:t>Lines, </w:t>
      </w:r>
      <w:r>
        <w:rPr>
          <w:spacing w:val="6"/>
          <w:w w:val="105"/>
        </w:rPr>
        <w:t>Inc.</w:t>
      </w:r>
      <w:r>
        <w:rPr>
          <w:spacing w:val="59"/>
          <w:w w:val="105"/>
        </w:rPr>
        <w:t> </w:t>
      </w:r>
      <w:r>
        <w:rPr>
          <w:spacing w:val="4"/>
          <w:w w:val="105"/>
        </w:rPr>
        <w:t>aircraft </w:t>
      </w:r>
      <w:r>
        <w:rPr>
          <w:spacing w:val="12"/>
          <w:w w:val="105"/>
        </w:rPr>
        <w:t>in </w:t>
      </w:r>
      <w:r>
        <w:rPr>
          <w:w w:val="105"/>
        </w:rPr>
        <w:t>terrorist </w:t>
      </w:r>
      <w:r>
        <w:rPr>
          <w:spacing w:val="2"/>
          <w:w w:val="105"/>
        </w:rPr>
        <w:t>attacks </w:t>
      </w:r>
      <w:r>
        <w:rPr>
          <w:spacing w:val="6"/>
          <w:w w:val="105"/>
        </w:rPr>
        <w:t>on </w:t>
      </w:r>
      <w:r>
        <w:rPr>
          <w:spacing w:val="2"/>
          <w:w w:val="105"/>
        </w:rPr>
        <w:t>the </w:t>
      </w:r>
      <w:r>
        <w:rPr>
          <w:spacing w:val="7"/>
          <w:w w:val="105"/>
        </w:rPr>
        <w:t>United </w:t>
      </w:r>
      <w:r>
        <w:rPr>
          <w:w w:val="105"/>
        </w:rPr>
        <w:t>States (terrorist attacks). As a result  of  these  terrorist  attacks, the Federal </w:t>
      </w:r>
      <w:r>
        <w:rPr>
          <w:spacing w:val="3"/>
          <w:w w:val="105"/>
        </w:rPr>
        <w:t>Aviation Administration </w:t>
      </w:r>
      <w:r>
        <w:rPr>
          <w:spacing w:val="4"/>
          <w:w w:val="105"/>
        </w:rPr>
        <w:t>(FAA) </w:t>
      </w:r>
      <w:r>
        <w:rPr>
          <w:spacing w:val="3"/>
          <w:w w:val="105"/>
        </w:rPr>
        <w:t>immediately suspended </w:t>
      </w:r>
      <w:r>
        <w:rPr>
          <w:w w:val="105"/>
        </w:rPr>
        <w:t>all </w:t>
      </w:r>
      <w:r>
        <w:rPr>
          <w:spacing w:val="2"/>
          <w:w w:val="105"/>
        </w:rPr>
        <w:t>commercial </w:t>
      </w:r>
      <w:r>
        <w:rPr>
          <w:spacing w:val="8"/>
          <w:w w:val="105"/>
        </w:rPr>
        <w:t>airline </w:t>
      </w:r>
      <w:r>
        <w:rPr>
          <w:w w:val="105"/>
        </w:rPr>
        <w:t>flights.  The  Company  resumed  flight  activity</w:t>
      </w:r>
      <w:r>
        <w:rPr>
          <w:spacing w:val="29"/>
          <w:w w:val="105"/>
        </w:rPr>
        <w:t> </w:t>
      </w:r>
      <w:r>
        <w:rPr>
          <w:spacing w:val="12"/>
          <w:w w:val="105"/>
        </w:rPr>
        <w:t>on</w:t>
      </w:r>
    </w:p>
    <w:p>
      <w:pPr>
        <w:spacing w:after="0" w:line="254" w:lineRule="auto"/>
        <w:jc w:val="both"/>
        <w:sectPr>
          <w:headerReference w:type="default" r:id="rId126"/>
          <w:pgSz w:w="11520" w:h="14400"/>
          <w:pgMar w:header="0" w:footer="706" w:top="960" w:bottom="900" w:left="700" w:right="820"/>
          <w:cols w:num="2" w:equalWidth="0">
            <w:col w:w="4737" w:space="123"/>
            <w:col w:w="5140"/>
          </w:cols>
        </w:sectPr>
      </w:pPr>
    </w:p>
    <w:p>
      <w:pPr>
        <w:pStyle w:val="BodyText"/>
        <w:spacing w:line="254" w:lineRule="auto" w:before="69"/>
        <w:ind w:left="100" w:right="5"/>
        <w:jc w:val="both"/>
      </w:pPr>
      <w:bookmarkStart w:name="Commitments" w:id="43"/>
      <w:bookmarkEnd w:id="43"/>
      <w:r>
        <w:rPr/>
      </w:r>
      <w:r>
        <w:rPr>
          <w:spacing w:val="2"/>
          <w:w w:val="105"/>
        </w:rPr>
        <w:t>September </w:t>
      </w:r>
      <w:r>
        <w:rPr>
          <w:w w:val="105"/>
        </w:rPr>
        <w:t>14, 2001, and was </w:t>
      </w:r>
      <w:r>
        <w:rPr>
          <w:spacing w:val="2"/>
          <w:w w:val="105"/>
        </w:rPr>
        <w:t>operating  </w:t>
      </w:r>
      <w:r>
        <w:rPr>
          <w:w w:val="105"/>
        </w:rPr>
        <w:t>its  normal </w:t>
      </w:r>
      <w:r>
        <w:rPr>
          <w:spacing w:val="2"/>
          <w:w w:val="105"/>
        </w:rPr>
        <w:t>pre-September </w:t>
      </w:r>
      <w:r>
        <w:rPr>
          <w:w w:val="105"/>
        </w:rPr>
        <w:t>11 flight schedule </w:t>
      </w:r>
      <w:r>
        <w:rPr>
          <w:spacing w:val="4"/>
          <w:w w:val="105"/>
        </w:rPr>
        <w:t>by </w:t>
      </w:r>
      <w:r>
        <w:rPr>
          <w:spacing w:val="2"/>
          <w:w w:val="105"/>
        </w:rPr>
        <w:t>September  </w:t>
      </w:r>
      <w:r>
        <w:rPr>
          <w:w w:val="105"/>
        </w:rPr>
        <w:t>18,  2001.   From   </w:t>
      </w:r>
      <w:r>
        <w:rPr>
          <w:spacing w:val="2"/>
          <w:w w:val="105"/>
        </w:rPr>
        <w:t>September   </w:t>
      </w:r>
      <w:r>
        <w:rPr>
          <w:w w:val="105"/>
        </w:rPr>
        <w:t>11 until the  </w:t>
      </w:r>
      <w:r>
        <w:rPr>
          <w:spacing w:val="2"/>
          <w:w w:val="105"/>
        </w:rPr>
        <w:t>Company  resumed  </w:t>
      </w:r>
      <w:r>
        <w:rPr>
          <w:w w:val="105"/>
        </w:rPr>
        <w:t>flight  </w:t>
      </w:r>
      <w:r>
        <w:rPr>
          <w:spacing w:val="8"/>
          <w:w w:val="105"/>
        </w:rPr>
        <w:t>operations </w:t>
      </w:r>
      <w:r>
        <w:rPr>
          <w:w w:val="105"/>
        </w:rPr>
        <w:t>on </w:t>
      </w:r>
      <w:r>
        <w:rPr>
          <w:spacing w:val="2"/>
          <w:w w:val="105"/>
        </w:rPr>
        <w:t>September </w:t>
      </w:r>
      <w:r>
        <w:rPr>
          <w:w w:val="105"/>
        </w:rPr>
        <w:t>14, Southwest </w:t>
      </w:r>
      <w:r>
        <w:rPr>
          <w:spacing w:val="6"/>
          <w:w w:val="105"/>
        </w:rPr>
        <w:t>cancelled </w:t>
      </w:r>
      <w:r>
        <w:rPr>
          <w:w w:val="105"/>
        </w:rPr>
        <w:t>approximately   9,000 </w:t>
      </w:r>
      <w:r>
        <w:rPr>
          <w:spacing w:val="37"/>
          <w:w w:val="105"/>
        </w:rPr>
        <w:t> </w:t>
      </w:r>
      <w:r>
        <w:rPr>
          <w:w w:val="105"/>
        </w:rPr>
        <w:t>flights.</w:t>
      </w:r>
    </w:p>
    <w:p>
      <w:pPr>
        <w:pStyle w:val="BodyText"/>
        <w:spacing w:line="254" w:lineRule="auto"/>
        <w:ind w:left="100" w:firstLine="280"/>
        <w:jc w:val="both"/>
      </w:pPr>
      <w:r>
        <w:rPr>
          <w:w w:val="105"/>
        </w:rPr>
        <w:t>On </w:t>
      </w:r>
      <w:r>
        <w:rPr>
          <w:spacing w:val="2"/>
          <w:w w:val="105"/>
        </w:rPr>
        <w:t>September </w:t>
      </w:r>
      <w:r>
        <w:rPr>
          <w:w w:val="105"/>
        </w:rPr>
        <w:t>22,  2001,  President  </w:t>
      </w:r>
      <w:r>
        <w:rPr>
          <w:spacing w:val="5"/>
          <w:w w:val="105"/>
        </w:rPr>
        <w:t>Bush </w:t>
      </w:r>
      <w:r>
        <w:rPr>
          <w:w w:val="105"/>
        </w:rPr>
        <w:t>signed into  law  the  Air  Transportation  </w:t>
      </w:r>
      <w:r>
        <w:rPr>
          <w:spacing w:val="2"/>
          <w:w w:val="105"/>
        </w:rPr>
        <w:t>Safety </w:t>
      </w:r>
      <w:r>
        <w:rPr>
          <w:w w:val="105"/>
        </w:rPr>
        <w:t>and System </w:t>
      </w:r>
      <w:r>
        <w:rPr>
          <w:spacing w:val="2"/>
          <w:w w:val="105"/>
        </w:rPr>
        <w:t>Stabilization </w:t>
      </w:r>
      <w:r>
        <w:rPr>
          <w:w w:val="105"/>
        </w:rPr>
        <w:t>Act (Air  </w:t>
      </w:r>
      <w:r>
        <w:rPr>
          <w:spacing w:val="6"/>
          <w:w w:val="105"/>
        </w:rPr>
        <w:t>Stabilization </w:t>
      </w:r>
      <w:r>
        <w:rPr>
          <w:w w:val="105"/>
        </w:rPr>
        <w:t>Act). The  Air  </w:t>
      </w:r>
      <w:r>
        <w:rPr>
          <w:spacing w:val="2"/>
          <w:w w:val="105"/>
        </w:rPr>
        <w:t>Stabilization  </w:t>
      </w:r>
      <w:r>
        <w:rPr>
          <w:w w:val="105"/>
        </w:rPr>
        <w:t>Act  </w:t>
      </w:r>
      <w:r>
        <w:rPr>
          <w:spacing w:val="3"/>
          <w:w w:val="105"/>
        </w:rPr>
        <w:t>provided</w:t>
      </w:r>
      <w:r>
        <w:rPr>
          <w:spacing w:val="53"/>
          <w:w w:val="105"/>
        </w:rPr>
        <w:t> </w:t>
      </w:r>
      <w:r>
        <w:rPr>
          <w:w w:val="105"/>
        </w:rPr>
        <w:t>for  </w:t>
      </w:r>
      <w:r>
        <w:rPr>
          <w:spacing w:val="12"/>
          <w:w w:val="105"/>
        </w:rPr>
        <w:t>up </w:t>
      </w:r>
      <w:r>
        <w:rPr>
          <w:w w:val="105"/>
        </w:rPr>
        <w:t>to $5 billion in cash grants to qualifying U.S. airlines and freight carriers to </w:t>
      </w:r>
      <w:r>
        <w:rPr>
          <w:spacing w:val="3"/>
          <w:w w:val="105"/>
        </w:rPr>
        <w:t>compensate </w:t>
      </w:r>
      <w:r>
        <w:rPr>
          <w:spacing w:val="4"/>
          <w:w w:val="105"/>
        </w:rPr>
        <w:t>for </w:t>
      </w:r>
      <w:r>
        <w:rPr>
          <w:w w:val="105"/>
        </w:rPr>
        <w:t>direct  and  </w:t>
      </w:r>
      <w:r>
        <w:rPr>
          <w:spacing w:val="2"/>
          <w:w w:val="105"/>
        </w:rPr>
        <w:t>incremental  </w:t>
      </w:r>
      <w:r>
        <w:rPr>
          <w:w w:val="105"/>
        </w:rPr>
        <w:t>losses,  as  </w:t>
      </w:r>
      <w:r>
        <w:rPr>
          <w:spacing w:val="3"/>
          <w:w w:val="105"/>
        </w:rPr>
        <w:t>defined   </w:t>
      </w:r>
      <w:r>
        <w:rPr>
          <w:spacing w:val="12"/>
          <w:w w:val="105"/>
        </w:rPr>
        <w:t>in </w:t>
      </w:r>
      <w:r>
        <w:rPr>
          <w:w w:val="105"/>
        </w:rPr>
        <w:t>the Air </w:t>
      </w:r>
      <w:r>
        <w:rPr>
          <w:spacing w:val="2"/>
          <w:w w:val="105"/>
        </w:rPr>
        <w:t>Stabilization </w:t>
      </w:r>
      <w:r>
        <w:rPr>
          <w:w w:val="105"/>
        </w:rPr>
        <w:t>Act, from  </w:t>
      </w:r>
      <w:r>
        <w:rPr>
          <w:spacing w:val="2"/>
          <w:w w:val="105"/>
        </w:rPr>
        <w:t>September  </w:t>
      </w:r>
      <w:r>
        <w:rPr>
          <w:w w:val="105"/>
        </w:rPr>
        <w:t>11, 2001 through December 31, 2001, </w:t>
      </w:r>
      <w:r>
        <w:rPr>
          <w:spacing w:val="7"/>
          <w:w w:val="105"/>
        </w:rPr>
        <w:t>associated  </w:t>
      </w:r>
      <w:r>
        <w:rPr>
          <w:w w:val="105"/>
        </w:rPr>
        <w:t>with the terrorist attacks. Each airline’s total eligible grant was </w:t>
      </w:r>
      <w:r>
        <w:rPr>
          <w:spacing w:val="3"/>
          <w:w w:val="105"/>
        </w:rPr>
        <w:t>determined </w:t>
      </w:r>
      <w:r>
        <w:rPr>
          <w:w w:val="105"/>
        </w:rPr>
        <w:t>based on </w:t>
      </w:r>
      <w:r>
        <w:rPr>
          <w:spacing w:val="5"/>
          <w:w w:val="105"/>
        </w:rPr>
        <w:t>that </w:t>
      </w:r>
      <w:r>
        <w:rPr>
          <w:w w:val="105"/>
        </w:rPr>
        <w:t>airline’s </w:t>
      </w:r>
      <w:r>
        <w:rPr>
          <w:spacing w:val="2"/>
          <w:w w:val="105"/>
        </w:rPr>
        <w:t>percentage </w:t>
      </w:r>
      <w:r>
        <w:rPr>
          <w:w w:val="105"/>
        </w:rPr>
        <w:t>of </w:t>
      </w:r>
      <w:r>
        <w:rPr>
          <w:spacing w:val="2"/>
          <w:w w:val="105"/>
        </w:rPr>
        <w:t>available  </w:t>
      </w:r>
      <w:r>
        <w:rPr>
          <w:w w:val="105"/>
        </w:rPr>
        <w:t>seat  </w:t>
      </w:r>
      <w:r>
        <w:rPr>
          <w:spacing w:val="7"/>
          <w:w w:val="105"/>
        </w:rPr>
        <w:t>miles </w:t>
      </w:r>
      <w:r>
        <w:rPr>
          <w:w w:val="105"/>
        </w:rPr>
        <w:t>(ASMs) during August 2001 to total </w:t>
      </w:r>
      <w:r>
        <w:rPr>
          <w:spacing w:val="6"/>
          <w:w w:val="105"/>
        </w:rPr>
        <w:t>eligible </w:t>
      </w:r>
      <w:r>
        <w:rPr>
          <w:w w:val="105"/>
        </w:rPr>
        <w:t>carriers’  ASMs  for  August  2001,   less   </w:t>
      </w:r>
      <w:r>
        <w:rPr>
          <w:spacing w:val="12"/>
          <w:w w:val="105"/>
        </w:rPr>
        <w:t>an </w:t>
      </w:r>
      <w:r>
        <w:rPr>
          <w:w w:val="105"/>
        </w:rPr>
        <w:t>amount set aside for eligible carriers for </w:t>
      </w:r>
      <w:r>
        <w:rPr>
          <w:spacing w:val="16"/>
          <w:w w:val="105"/>
        </w:rPr>
        <w:t>whom </w:t>
      </w:r>
      <w:r>
        <w:rPr>
          <w:w w:val="105"/>
        </w:rPr>
        <w:t>the use of an ASM formula would result in </w:t>
      </w:r>
      <w:r>
        <w:rPr>
          <w:spacing w:val="12"/>
          <w:w w:val="105"/>
        </w:rPr>
        <w:t>an </w:t>
      </w:r>
      <w:r>
        <w:rPr>
          <w:spacing w:val="2"/>
          <w:w w:val="105"/>
        </w:rPr>
        <w:t>insufficient representation </w:t>
      </w:r>
      <w:r>
        <w:rPr>
          <w:w w:val="105"/>
        </w:rPr>
        <w:t>of their share  </w:t>
      </w:r>
      <w:r>
        <w:rPr>
          <w:spacing w:val="6"/>
          <w:w w:val="105"/>
        </w:rPr>
        <w:t>of  </w:t>
      </w:r>
      <w:r>
        <w:rPr>
          <w:w w:val="105"/>
        </w:rPr>
        <w:t>direct   and   incremental </w:t>
      </w:r>
      <w:r>
        <w:rPr>
          <w:spacing w:val="2"/>
          <w:w w:val="105"/>
        </w:rPr>
        <w:t> </w:t>
      </w:r>
      <w:r>
        <w:rPr>
          <w:w w:val="105"/>
        </w:rPr>
        <w:t>losses.</w:t>
      </w:r>
    </w:p>
    <w:p>
      <w:pPr>
        <w:pStyle w:val="BodyText"/>
        <w:spacing w:line="254" w:lineRule="auto"/>
        <w:ind w:left="100" w:right="2" w:firstLine="280"/>
        <w:jc w:val="both"/>
      </w:pPr>
      <w:r>
        <w:rPr>
          <w:w w:val="110"/>
        </w:rPr>
        <w:t>In 2001, the </w:t>
      </w:r>
      <w:r>
        <w:rPr>
          <w:spacing w:val="2"/>
          <w:w w:val="110"/>
        </w:rPr>
        <w:t>Department </w:t>
      </w:r>
      <w:r>
        <w:rPr>
          <w:w w:val="110"/>
        </w:rPr>
        <w:t>of </w:t>
      </w:r>
      <w:r>
        <w:rPr>
          <w:spacing w:val="5"/>
          <w:w w:val="110"/>
        </w:rPr>
        <w:t>Transportation </w:t>
      </w:r>
      <w:r>
        <w:rPr>
          <w:w w:val="110"/>
        </w:rPr>
        <w:t>(DOT) </w:t>
      </w:r>
      <w:r>
        <w:rPr>
          <w:spacing w:val="2"/>
          <w:w w:val="110"/>
        </w:rPr>
        <w:t>made </w:t>
      </w:r>
      <w:r>
        <w:rPr>
          <w:w w:val="110"/>
        </w:rPr>
        <w:t>a final </w:t>
      </w:r>
      <w:r>
        <w:rPr>
          <w:spacing w:val="3"/>
          <w:w w:val="110"/>
        </w:rPr>
        <w:t>determination </w:t>
      </w:r>
      <w:r>
        <w:rPr>
          <w:w w:val="110"/>
        </w:rPr>
        <w:t>of </w:t>
      </w:r>
      <w:r>
        <w:rPr>
          <w:spacing w:val="6"/>
          <w:w w:val="110"/>
        </w:rPr>
        <w:t>the  </w:t>
      </w:r>
      <w:r>
        <w:rPr>
          <w:spacing w:val="2"/>
          <w:w w:val="110"/>
        </w:rPr>
        <w:t>amount </w:t>
      </w:r>
      <w:r>
        <w:rPr>
          <w:w w:val="110"/>
        </w:rPr>
        <w:t>of eligible direct and </w:t>
      </w:r>
      <w:r>
        <w:rPr>
          <w:spacing w:val="7"/>
          <w:w w:val="110"/>
        </w:rPr>
        <w:t>incremental </w:t>
      </w:r>
      <w:r>
        <w:rPr>
          <w:w w:val="110"/>
        </w:rPr>
        <w:t>losses </w:t>
      </w:r>
      <w:r>
        <w:rPr>
          <w:spacing w:val="2"/>
          <w:w w:val="110"/>
        </w:rPr>
        <w:t>incurred </w:t>
      </w:r>
      <w:r>
        <w:rPr>
          <w:w w:val="110"/>
        </w:rPr>
        <w:t>by  Southwest,  and  </w:t>
      </w:r>
      <w:r>
        <w:rPr>
          <w:spacing w:val="6"/>
          <w:w w:val="110"/>
        </w:rPr>
        <w:t>the </w:t>
      </w:r>
      <w:r>
        <w:rPr>
          <w:spacing w:val="2"/>
          <w:w w:val="110"/>
        </w:rPr>
        <w:t>Company </w:t>
      </w:r>
      <w:r>
        <w:rPr>
          <w:w w:val="110"/>
        </w:rPr>
        <w:t>was allotted 100 percent  of  </w:t>
      </w:r>
      <w:r>
        <w:rPr>
          <w:spacing w:val="2"/>
          <w:w w:val="110"/>
        </w:rPr>
        <w:t>its  </w:t>
      </w:r>
      <w:r>
        <w:rPr>
          <w:w w:val="110"/>
        </w:rPr>
        <w:t>eligible grants, totaling $283 million. </w:t>
      </w:r>
      <w:r>
        <w:rPr>
          <w:spacing w:val="8"/>
          <w:w w:val="110"/>
        </w:rPr>
        <w:t>The </w:t>
      </w:r>
      <w:r>
        <w:rPr>
          <w:spacing w:val="2"/>
          <w:w w:val="110"/>
        </w:rPr>
        <w:t>Company recognized </w:t>
      </w:r>
      <w:r>
        <w:rPr>
          <w:w w:val="110"/>
        </w:rPr>
        <w:t>$235 million in </w:t>
      </w:r>
      <w:r>
        <w:rPr>
          <w:spacing w:val="6"/>
          <w:w w:val="110"/>
        </w:rPr>
        <w:t>“Other </w:t>
      </w:r>
      <w:r>
        <w:rPr>
          <w:w w:val="110"/>
        </w:rPr>
        <w:t>gains” from grants under the Air </w:t>
      </w:r>
      <w:r>
        <w:rPr>
          <w:spacing w:val="6"/>
          <w:w w:val="110"/>
        </w:rPr>
        <w:t>Stabilization </w:t>
      </w:r>
      <w:r>
        <w:rPr>
          <w:w w:val="110"/>
        </w:rPr>
        <w:t>Act during the </w:t>
      </w:r>
      <w:r>
        <w:rPr>
          <w:spacing w:val="2"/>
          <w:w w:val="110"/>
        </w:rPr>
        <w:t>second </w:t>
      </w:r>
      <w:r>
        <w:rPr>
          <w:w w:val="110"/>
        </w:rPr>
        <w:t>half of 2001 </w:t>
      </w:r>
      <w:r>
        <w:rPr>
          <w:spacing w:val="12"/>
          <w:w w:val="110"/>
        </w:rPr>
        <w:t>and </w:t>
      </w:r>
      <w:r>
        <w:rPr>
          <w:spacing w:val="2"/>
          <w:w w:val="110"/>
        </w:rPr>
        <w:t>recognized  </w:t>
      </w:r>
      <w:r>
        <w:rPr>
          <w:w w:val="110"/>
        </w:rPr>
        <w:t>an  </w:t>
      </w:r>
      <w:r>
        <w:rPr>
          <w:spacing w:val="3"/>
          <w:w w:val="110"/>
        </w:rPr>
        <w:t>additional</w:t>
      </w:r>
      <w:r>
        <w:rPr>
          <w:spacing w:val="55"/>
          <w:w w:val="110"/>
        </w:rPr>
        <w:t> </w:t>
      </w:r>
      <w:r>
        <w:rPr>
          <w:w w:val="110"/>
        </w:rPr>
        <w:t>$48  million  </w:t>
      </w:r>
      <w:r>
        <w:rPr>
          <w:spacing w:val="4"/>
          <w:w w:val="110"/>
        </w:rPr>
        <w:t>as </w:t>
      </w:r>
      <w:r>
        <w:rPr>
          <w:w w:val="110"/>
        </w:rPr>
        <w:t>“Other gains” from grants under the </w:t>
      </w:r>
      <w:r>
        <w:rPr>
          <w:spacing w:val="5"/>
          <w:w w:val="110"/>
        </w:rPr>
        <w:t>Air </w:t>
      </w:r>
      <w:r>
        <w:rPr>
          <w:spacing w:val="2"/>
          <w:w w:val="110"/>
        </w:rPr>
        <w:t>Stabilization </w:t>
      </w:r>
      <w:r>
        <w:rPr>
          <w:w w:val="110"/>
        </w:rPr>
        <w:t>Act in third quarter 2002  </w:t>
      </w:r>
      <w:r>
        <w:rPr>
          <w:spacing w:val="3"/>
          <w:w w:val="110"/>
        </w:rPr>
        <w:t>coincident </w:t>
      </w:r>
      <w:r>
        <w:rPr>
          <w:w w:val="110"/>
        </w:rPr>
        <w:t>with the receipt  of  its  </w:t>
      </w:r>
      <w:r>
        <w:rPr>
          <w:spacing w:val="7"/>
          <w:w w:val="110"/>
        </w:rPr>
        <w:t>final </w:t>
      </w:r>
      <w:r>
        <w:rPr>
          <w:spacing w:val="2"/>
          <w:w w:val="110"/>
        </w:rPr>
        <w:t>payment. Representatives </w:t>
      </w:r>
      <w:r>
        <w:rPr>
          <w:w w:val="110"/>
        </w:rPr>
        <w:t>of the DOT or </w:t>
      </w:r>
      <w:r>
        <w:rPr>
          <w:spacing w:val="7"/>
          <w:w w:val="110"/>
        </w:rPr>
        <w:t>other </w:t>
      </w:r>
      <w:r>
        <w:rPr>
          <w:spacing w:val="2"/>
          <w:w w:val="110"/>
        </w:rPr>
        <w:t>govern-mental agencies </w:t>
      </w:r>
      <w:r>
        <w:rPr>
          <w:w w:val="110"/>
        </w:rPr>
        <w:t>may perform </w:t>
      </w:r>
      <w:r>
        <w:rPr>
          <w:spacing w:val="11"/>
          <w:w w:val="110"/>
        </w:rPr>
        <w:t>addi- </w:t>
      </w:r>
      <w:r>
        <w:rPr>
          <w:w w:val="110"/>
        </w:rPr>
        <w:t>tional audit and/or review(s) of the </w:t>
      </w:r>
      <w:r>
        <w:rPr>
          <w:spacing w:val="6"/>
          <w:w w:val="110"/>
        </w:rPr>
        <w:t>Company’s </w:t>
      </w:r>
      <w:r>
        <w:rPr>
          <w:spacing w:val="2"/>
          <w:w w:val="110"/>
        </w:rPr>
        <w:t>previously submitted </w:t>
      </w:r>
      <w:r>
        <w:rPr>
          <w:w w:val="110"/>
        </w:rPr>
        <w:t>final </w:t>
      </w:r>
      <w:r>
        <w:rPr>
          <w:spacing w:val="3"/>
          <w:w w:val="110"/>
        </w:rPr>
        <w:t>application. </w:t>
      </w:r>
      <w:r>
        <w:rPr>
          <w:spacing w:val="11"/>
          <w:w w:val="110"/>
        </w:rPr>
        <w:t>While </w:t>
      </w:r>
      <w:r>
        <w:rPr>
          <w:w w:val="110"/>
        </w:rPr>
        <w:t>the Air  </w:t>
      </w:r>
      <w:r>
        <w:rPr>
          <w:spacing w:val="2"/>
          <w:w w:val="110"/>
        </w:rPr>
        <w:t>Stabilization  </w:t>
      </w:r>
      <w:r>
        <w:rPr>
          <w:w w:val="110"/>
        </w:rPr>
        <w:t>Act  is  subject  </w:t>
      </w:r>
      <w:r>
        <w:rPr>
          <w:spacing w:val="4"/>
          <w:w w:val="110"/>
        </w:rPr>
        <w:t>to </w:t>
      </w:r>
      <w:r>
        <w:rPr>
          <w:spacing w:val="2"/>
          <w:w w:val="110"/>
        </w:rPr>
        <w:t>significant interpretation </w:t>
      </w:r>
      <w:r>
        <w:rPr>
          <w:w w:val="110"/>
        </w:rPr>
        <w:t>as to what </w:t>
      </w:r>
      <w:r>
        <w:rPr>
          <w:spacing w:val="4"/>
          <w:w w:val="110"/>
        </w:rPr>
        <w:t>consti- </w:t>
      </w:r>
      <w:r>
        <w:rPr>
          <w:w w:val="110"/>
        </w:rPr>
        <w:t>tutes direct and </w:t>
      </w:r>
      <w:r>
        <w:rPr>
          <w:spacing w:val="2"/>
          <w:w w:val="110"/>
        </w:rPr>
        <w:t>incremental  </w:t>
      </w:r>
      <w:r>
        <w:rPr>
          <w:w w:val="110"/>
        </w:rPr>
        <w:t>losses, </w:t>
      </w:r>
      <w:r>
        <w:rPr>
          <w:spacing w:val="4"/>
          <w:w w:val="110"/>
        </w:rPr>
        <w:t>management </w:t>
      </w:r>
      <w:r>
        <w:rPr>
          <w:spacing w:val="2"/>
          <w:w w:val="110"/>
        </w:rPr>
        <w:t>believes </w:t>
      </w:r>
      <w:r>
        <w:rPr>
          <w:w w:val="110"/>
        </w:rPr>
        <w:t>the Company’s </w:t>
      </w:r>
      <w:r>
        <w:rPr>
          <w:spacing w:val="6"/>
          <w:w w:val="110"/>
        </w:rPr>
        <w:t>eligible </w:t>
      </w:r>
      <w:r>
        <w:rPr>
          <w:w w:val="110"/>
        </w:rPr>
        <w:t>direct and incremental losses are sufficient </w:t>
      </w:r>
      <w:r>
        <w:rPr>
          <w:spacing w:val="4"/>
          <w:w w:val="110"/>
        </w:rPr>
        <w:t>to </w:t>
      </w:r>
      <w:r>
        <w:rPr>
          <w:w w:val="110"/>
        </w:rPr>
        <w:t>retain    100    percent    of    its    eligible   </w:t>
      </w:r>
      <w:r>
        <w:rPr>
          <w:spacing w:val="49"/>
          <w:w w:val="110"/>
        </w:rPr>
        <w:t> </w:t>
      </w:r>
      <w:r>
        <w:rPr>
          <w:spacing w:val="4"/>
          <w:w w:val="110"/>
        </w:rPr>
        <w:t>grant</w:t>
      </w:r>
    </w:p>
    <w:p>
      <w:pPr>
        <w:pStyle w:val="BodyText"/>
        <w:spacing w:line="254" w:lineRule="auto" w:before="69"/>
        <w:ind w:left="380" w:right="110"/>
        <w:jc w:val="both"/>
      </w:pPr>
      <w:r>
        <w:rPr/>
        <w:br w:type="column"/>
      </w:r>
      <w:r>
        <w:rPr>
          <w:w w:val="105"/>
        </w:rPr>
        <w:t>following additional audits or reviews,  should they occur.</w:t>
      </w:r>
    </w:p>
    <w:p>
      <w:pPr>
        <w:pStyle w:val="BodyText"/>
        <w:spacing w:line="254" w:lineRule="auto"/>
        <w:ind w:left="380" w:right="109" w:firstLine="280"/>
        <w:jc w:val="both"/>
      </w:pPr>
      <w:r>
        <w:rPr>
          <w:w w:val="105"/>
        </w:rPr>
        <w:t>The  Company  </w:t>
      </w:r>
      <w:r>
        <w:rPr>
          <w:spacing w:val="2"/>
          <w:w w:val="105"/>
        </w:rPr>
        <w:t>recorded  </w:t>
      </w:r>
      <w:r>
        <w:rPr>
          <w:w w:val="105"/>
        </w:rPr>
        <w:t>total   </w:t>
      </w:r>
      <w:r>
        <w:rPr>
          <w:spacing w:val="6"/>
          <w:w w:val="105"/>
        </w:rPr>
        <w:t>special  </w:t>
      </w:r>
      <w:r>
        <w:rPr>
          <w:w w:val="105"/>
        </w:rPr>
        <w:t>charges  of  $48  million  in  2001   arising   </w:t>
      </w:r>
      <w:r>
        <w:rPr>
          <w:spacing w:val="8"/>
          <w:w w:val="105"/>
        </w:rPr>
        <w:t>from </w:t>
      </w:r>
      <w:r>
        <w:rPr>
          <w:w w:val="105"/>
        </w:rPr>
        <w:t>the     terrorist     attacks,     </w:t>
      </w:r>
      <w:r>
        <w:rPr>
          <w:spacing w:val="2"/>
          <w:w w:val="105"/>
        </w:rPr>
        <w:t>which      included    </w:t>
      </w:r>
      <w:r>
        <w:rPr>
          <w:spacing w:val="32"/>
          <w:w w:val="105"/>
        </w:rPr>
        <w:t> </w:t>
      </w:r>
      <w:r>
        <w:rPr>
          <w:w w:val="105"/>
        </w:rPr>
        <w:t>a</w:t>
      </w:r>
    </w:p>
    <w:p>
      <w:pPr>
        <w:pStyle w:val="BodyText"/>
        <w:spacing w:line="254" w:lineRule="auto"/>
        <w:ind w:left="380" w:right="105"/>
        <w:jc w:val="both"/>
      </w:pPr>
      <w:r>
        <w:rPr>
          <w:w w:val="105"/>
        </w:rPr>
        <w:t>$30 million reduction in “Passenger </w:t>
      </w:r>
      <w:r>
        <w:rPr>
          <w:spacing w:val="9"/>
          <w:w w:val="105"/>
        </w:rPr>
        <w:t>revenue.” </w:t>
      </w:r>
      <w:r>
        <w:rPr>
          <w:w w:val="105"/>
        </w:rPr>
        <w:t>Following the terrorist events of September 11, 2001,  and  the  </w:t>
      </w:r>
      <w:r>
        <w:rPr>
          <w:spacing w:val="2"/>
          <w:w w:val="105"/>
        </w:rPr>
        <w:t>subsequent  </w:t>
      </w:r>
      <w:r>
        <w:rPr>
          <w:w w:val="105"/>
        </w:rPr>
        <w:t>temporary   shut- down of U.S. air space, Southwest </w:t>
      </w:r>
      <w:r>
        <w:rPr>
          <w:spacing w:val="5"/>
          <w:w w:val="105"/>
        </w:rPr>
        <w:t>temporarily </w:t>
      </w:r>
      <w:r>
        <w:rPr>
          <w:w w:val="105"/>
        </w:rPr>
        <w:t>suspended its normal refund policy in order </w:t>
      </w:r>
      <w:r>
        <w:rPr>
          <w:spacing w:val="4"/>
          <w:w w:val="105"/>
        </w:rPr>
        <w:t>to </w:t>
      </w:r>
      <w:r>
        <w:rPr>
          <w:spacing w:val="3"/>
          <w:w w:val="105"/>
        </w:rPr>
        <w:t>provide </w:t>
      </w:r>
      <w:r>
        <w:rPr>
          <w:w w:val="105"/>
        </w:rPr>
        <w:t>the highest Service to the </w:t>
      </w:r>
      <w:r>
        <w:rPr>
          <w:spacing w:val="6"/>
          <w:w w:val="105"/>
        </w:rPr>
        <w:t>Company’s </w:t>
      </w:r>
      <w:r>
        <w:rPr>
          <w:w w:val="105"/>
        </w:rPr>
        <w:t>Customers, including </w:t>
      </w:r>
      <w:r>
        <w:rPr>
          <w:spacing w:val="2"/>
          <w:w w:val="105"/>
        </w:rPr>
        <w:t>refunding </w:t>
      </w:r>
      <w:r>
        <w:rPr>
          <w:spacing w:val="9"/>
          <w:w w:val="105"/>
        </w:rPr>
        <w:t>nonrefundable </w:t>
      </w:r>
      <w:r>
        <w:rPr>
          <w:w w:val="105"/>
        </w:rPr>
        <w:t>tickets  </w:t>
      </w:r>
      <w:r>
        <w:rPr>
          <w:spacing w:val="2"/>
          <w:w w:val="105"/>
        </w:rPr>
        <w:t>upon  </w:t>
      </w:r>
      <w:r>
        <w:rPr>
          <w:w w:val="105"/>
        </w:rPr>
        <w:t>Customer  request.  As   a   result, the  Company’s   refunds   during   </w:t>
      </w:r>
      <w:r>
        <w:rPr>
          <w:spacing w:val="8"/>
          <w:w w:val="105"/>
        </w:rPr>
        <w:t>September </w:t>
      </w:r>
      <w:r>
        <w:rPr>
          <w:w w:val="105"/>
        </w:rPr>
        <w:t>2001 and through </w:t>
      </w:r>
      <w:r>
        <w:rPr>
          <w:spacing w:val="3"/>
          <w:w w:val="105"/>
        </w:rPr>
        <w:t>December </w:t>
      </w:r>
      <w:r>
        <w:rPr>
          <w:w w:val="105"/>
        </w:rPr>
        <w:t>2001  were  </w:t>
      </w:r>
      <w:r>
        <w:rPr>
          <w:spacing w:val="2"/>
          <w:w w:val="105"/>
        </w:rPr>
        <w:t>far </w:t>
      </w:r>
      <w:r>
        <w:rPr>
          <w:w w:val="105"/>
        </w:rPr>
        <w:t>above historical refund levels and  in  excess  </w:t>
      </w:r>
      <w:r>
        <w:rPr>
          <w:spacing w:val="6"/>
          <w:w w:val="105"/>
        </w:rPr>
        <w:t>of </w:t>
      </w:r>
      <w:r>
        <w:rPr>
          <w:w w:val="105"/>
        </w:rPr>
        <w:t>the  Company’s   contractual   </w:t>
      </w:r>
      <w:r>
        <w:rPr>
          <w:spacing w:val="6"/>
          <w:w w:val="105"/>
        </w:rPr>
        <w:t>obligations. </w:t>
      </w:r>
      <w:r>
        <w:rPr>
          <w:w w:val="105"/>
        </w:rPr>
        <w:t>Refunds are </w:t>
      </w:r>
      <w:r>
        <w:rPr>
          <w:spacing w:val="2"/>
          <w:w w:val="105"/>
        </w:rPr>
        <w:t>recorded </w:t>
      </w:r>
      <w:r>
        <w:rPr>
          <w:w w:val="105"/>
        </w:rPr>
        <w:t>as a  </w:t>
      </w:r>
      <w:r>
        <w:rPr>
          <w:spacing w:val="2"/>
          <w:w w:val="105"/>
        </w:rPr>
        <w:t>reduction  </w:t>
      </w:r>
      <w:r>
        <w:rPr>
          <w:w w:val="105"/>
        </w:rPr>
        <w:t>in  </w:t>
      </w:r>
      <w:r>
        <w:rPr>
          <w:spacing w:val="8"/>
          <w:w w:val="105"/>
        </w:rPr>
        <w:t>“Air </w:t>
      </w:r>
      <w:r>
        <w:rPr>
          <w:w w:val="105"/>
        </w:rPr>
        <w:t>traffic liability.” Based on these unusually </w:t>
      </w:r>
      <w:r>
        <w:rPr>
          <w:spacing w:val="12"/>
          <w:w w:val="105"/>
        </w:rPr>
        <w:t>high </w:t>
      </w:r>
      <w:r>
        <w:rPr>
          <w:w w:val="105"/>
        </w:rPr>
        <w:t>refunds, the </w:t>
      </w:r>
      <w:r>
        <w:rPr>
          <w:spacing w:val="2"/>
          <w:w w:val="105"/>
        </w:rPr>
        <w:t>Company estimated </w:t>
      </w:r>
      <w:r>
        <w:rPr>
          <w:w w:val="105"/>
        </w:rPr>
        <w:t>that </w:t>
      </w:r>
      <w:r>
        <w:rPr>
          <w:spacing w:val="9"/>
          <w:w w:val="105"/>
        </w:rPr>
        <w:t>approxi- </w:t>
      </w:r>
      <w:r>
        <w:rPr>
          <w:w w:val="105"/>
        </w:rPr>
        <w:t>mately $30 million of these refunds related </w:t>
      </w:r>
      <w:r>
        <w:rPr>
          <w:spacing w:val="4"/>
          <w:w w:val="105"/>
        </w:rPr>
        <w:t>to </w:t>
      </w:r>
      <w:r>
        <w:rPr>
          <w:spacing w:val="3"/>
          <w:w w:val="105"/>
        </w:rPr>
        <w:t>revenue </w:t>
      </w:r>
      <w:r>
        <w:rPr>
          <w:w w:val="105"/>
        </w:rPr>
        <w:t>previously </w:t>
      </w:r>
      <w:r>
        <w:rPr>
          <w:spacing w:val="2"/>
          <w:w w:val="105"/>
        </w:rPr>
        <w:t>recognized </w:t>
      </w:r>
      <w:r>
        <w:rPr>
          <w:w w:val="105"/>
        </w:rPr>
        <w:t>for </w:t>
      </w:r>
      <w:r>
        <w:rPr>
          <w:spacing w:val="8"/>
          <w:w w:val="105"/>
        </w:rPr>
        <w:t>estimated </w:t>
      </w:r>
      <w:r>
        <w:rPr>
          <w:w w:val="105"/>
        </w:rPr>
        <w:t>forfeited tickets. As a result, the </w:t>
      </w:r>
      <w:r>
        <w:rPr>
          <w:spacing w:val="9"/>
          <w:w w:val="105"/>
        </w:rPr>
        <w:t>Company </w:t>
      </w:r>
      <w:r>
        <w:rPr>
          <w:spacing w:val="2"/>
          <w:w w:val="105"/>
        </w:rPr>
        <w:t>reduced </w:t>
      </w:r>
      <w:r>
        <w:rPr>
          <w:w w:val="105"/>
        </w:rPr>
        <w:t>third  quarter  2001  </w:t>
      </w:r>
      <w:r>
        <w:rPr>
          <w:spacing w:val="5"/>
          <w:w w:val="105"/>
        </w:rPr>
        <w:t>“Passenger </w:t>
      </w:r>
      <w:r>
        <w:rPr>
          <w:spacing w:val="3"/>
          <w:w w:val="105"/>
        </w:rPr>
        <w:t>revenue”</w:t>
      </w:r>
      <w:r>
        <w:rPr>
          <w:spacing w:val="53"/>
          <w:w w:val="105"/>
        </w:rPr>
        <w:t> </w:t>
      </w:r>
      <w:r>
        <w:rPr>
          <w:w w:val="105"/>
        </w:rPr>
        <w:t>by  $30  million  and  restored  </w:t>
      </w:r>
      <w:r>
        <w:rPr>
          <w:spacing w:val="8"/>
          <w:w w:val="105"/>
        </w:rPr>
        <w:t>“Air </w:t>
      </w:r>
      <w:r>
        <w:rPr>
          <w:w w:val="105"/>
        </w:rPr>
        <w:t>traffic  liability”  accordingly.  Total  </w:t>
      </w:r>
      <w:r>
        <w:rPr>
          <w:spacing w:val="6"/>
          <w:w w:val="105"/>
        </w:rPr>
        <w:t>special </w:t>
      </w:r>
      <w:r>
        <w:rPr>
          <w:w w:val="105"/>
        </w:rPr>
        <w:t>charges also </w:t>
      </w:r>
      <w:r>
        <w:rPr>
          <w:spacing w:val="2"/>
          <w:w w:val="105"/>
        </w:rPr>
        <w:t>included </w:t>
      </w:r>
      <w:r>
        <w:rPr>
          <w:w w:val="105"/>
        </w:rPr>
        <w:t>$13 million in </w:t>
      </w:r>
      <w:r>
        <w:rPr>
          <w:spacing w:val="6"/>
          <w:w w:val="105"/>
        </w:rPr>
        <w:t>“Other </w:t>
      </w:r>
      <w:r>
        <w:rPr>
          <w:w w:val="105"/>
        </w:rPr>
        <w:t>operating expenses,” primarily related to </w:t>
      </w:r>
      <w:r>
        <w:rPr>
          <w:spacing w:val="4"/>
          <w:w w:val="105"/>
        </w:rPr>
        <w:t>write- </w:t>
      </w:r>
      <w:r>
        <w:rPr>
          <w:w w:val="105"/>
        </w:rPr>
        <w:t>downs of various assets due to  </w:t>
      </w:r>
      <w:r>
        <w:rPr>
          <w:spacing w:val="9"/>
          <w:w w:val="105"/>
        </w:rPr>
        <w:t>impairment. </w:t>
      </w:r>
      <w:r>
        <w:rPr>
          <w:w w:val="105"/>
        </w:rPr>
        <w:t>Other </w:t>
      </w:r>
      <w:r>
        <w:rPr>
          <w:spacing w:val="2"/>
          <w:w w:val="105"/>
        </w:rPr>
        <w:t>miscellaneous </w:t>
      </w:r>
      <w:r>
        <w:rPr>
          <w:w w:val="105"/>
        </w:rPr>
        <w:t>charges totaling </w:t>
      </w:r>
      <w:r>
        <w:rPr>
          <w:spacing w:val="9"/>
          <w:w w:val="105"/>
        </w:rPr>
        <w:t>approxi- </w:t>
      </w:r>
      <w:r>
        <w:rPr>
          <w:w w:val="105"/>
        </w:rPr>
        <w:t>mately $5 million were also </w:t>
      </w:r>
      <w:r>
        <w:rPr>
          <w:spacing w:val="2"/>
          <w:w w:val="105"/>
        </w:rPr>
        <w:t>included </w:t>
      </w:r>
      <w:r>
        <w:rPr>
          <w:w w:val="105"/>
        </w:rPr>
        <w:t>in </w:t>
      </w:r>
      <w:r>
        <w:rPr>
          <w:spacing w:val="6"/>
          <w:w w:val="105"/>
        </w:rPr>
        <w:t>“Other </w:t>
      </w:r>
      <w:r>
        <w:rPr>
          <w:w w:val="105"/>
        </w:rPr>
        <w:t>(gains)   losses, </w:t>
      </w:r>
      <w:r>
        <w:rPr>
          <w:spacing w:val="38"/>
          <w:w w:val="105"/>
        </w:rPr>
        <w:t> </w:t>
      </w:r>
      <w:r>
        <w:rPr>
          <w:w w:val="105"/>
        </w:rPr>
        <w:t>net.”</w:t>
      </w:r>
    </w:p>
    <w:p>
      <w:pPr>
        <w:pStyle w:val="BodyText"/>
        <w:spacing w:before="11"/>
        <w:rPr>
          <w:sz w:val="21"/>
        </w:rPr>
      </w:pPr>
    </w:p>
    <w:p>
      <w:pPr>
        <w:pStyle w:val="ListParagraph"/>
        <w:numPr>
          <w:ilvl w:val="0"/>
          <w:numId w:val="5"/>
        </w:numPr>
        <w:tabs>
          <w:tab w:pos="380" w:val="left" w:leader="none"/>
        </w:tabs>
        <w:spacing w:line="240" w:lineRule="auto" w:before="0" w:after="0"/>
        <w:ind w:left="380" w:right="0" w:hanging="280"/>
        <w:jc w:val="left"/>
        <w:rPr>
          <w:rFonts w:ascii="Franklin Gothic Medium"/>
          <w:sz w:val="20"/>
        </w:rPr>
      </w:pPr>
      <w:r>
        <w:rPr>
          <w:rFonts w:ascii="Franklin Gothic Medium"/>
          <w:spacing w:val="3"/>
          <w:sz w:val="20"/>
        </w:rPr>
        <w:t>Commitments</w:t>
      </w:r>
    </w:p>
    <w:p>
      <w:pPr>
        <w:pStyle w:val="BodyText"/>
        <w:spacing w:before="2"/>
        <w:rPr>
          <w:rFonts w:ascii="Franklin Gothic Medium"/>
          <w:sz w:val="25"/>
        </w:rPr>
      </w:pPr>
    </w:p>
    <w:p>
      <w:pPr>
        <w:pStyle w:val="BodyText"/>
        <w:spacing w:line="254" w:lineRule="auto"/>
        <w:ind w:left="380" w:right="115" w:firstLine="280"/>
        <w:jc w:val="both"/>
      </w:pPr>
      <w:r>
        <w:rPr>
          <w:spacing w:val="4"/>
          <w:w w:val="110"/>
        </w:rPr>
        <w:t>The </w:t>
      </w:r>
      <w:r>
        <w:rPr>
          <w:spacing w:val="6"/>
          <w:w w:val="110"/>
        </w:rPr>
        <w:t>Company’s </w:t>
      </w:r>
      <w:r>
        <w:rPr>
          <w:spacing w:val="5"/>
          <w:w w:val="110"/>
        </w:rPr>
        <w:t>contractual purchase </w:t>
      </w:r>
      <w:r>
        <w:rPr>
          <w:spacing w:val="8"/>
          <w:w w:val="110"/>
        </w:rPr>
        <w:t>commitments </w:t>
      </w:r>
      <w:r>
        <w:rPr>
          <w:spacing w:val="4"/>
          <w:w w:val="110"/>
        </w:rPr>
        <w:t>consist </w:t>
      </w:r>
      <w:r>
        <w:rPr>
          <w:spacing w:val="5"/>
          <w:w w:val="110"/>
        </w:rPr>
        <w:t>primarily </w:t>
      </w:r>
      <w:r>
        <w:rPr>
          <w:spacing w:val="6"/>
          <w:w w:val="110"/>
        </w:rPr>
        <w:t>of </w:t>
      </w:r>
      <w:r>
        <w:rPr>
          <w:spacing w:val="7"/>
          <w:w w:val="110"/>
        </w:rPr>
        <w:t>scheduled </w:t>
      </w:r>
      <w:r>
        <w:rPr>
          <w:spacing w:val="4"/>
          <w:w w:val="110"/>
        </w:rPr>
        <w:t>aircraft </w:t>
      </w:r>
      <w:r>
        <w:rPr>
          <w:spacing w:val="7"/>
          <w:w w:val="110"/>
        </w:rPr>
        <w:t>acquisitions </w:t>
      </w:r>
      <w:r>
        <w:rPr>
          <w:w w:val="110"/>
        </w:rPr>
        <w:t>from </w:t>
      </w:r>
      <w:r>
        <w:rPr>
          <w:spacing w:val="6"/>
          <w:w w:val="110"/>
        </w:rPr>
        <w:t>Boeing. </w:t>
      </w:r>
      <w:r>
        <w:rPr>
          <w:spacing w:val="8"/>
          <w:w w:val="110"/>
        </w:rPr>
        <w:t>The Company has </w:t>
      </w:r>
      <w:r>
        <w:rPr>
          <w:spacing w:val="5"/>
          <w:w w:val="110"/>
        </w:rPr>
        <w:t>contractual</w:t>
      </w:r>
      <w:r>
        <w:rPr>
          <w:spacing w:val="42"/>
          <w:w w:val="110"/>
        </w:rPr>
        <w:t> </w:t>
      </w:r>
      <w:r>
        <w:rPr>
          <w:spacing w:val="5"/>
          <w:w w:val="110"/>
        </w:rPr>
        <w:t>purchase </w:t>
      </w:r>
      <w:r>
        <w:rPr>
          <w:spacing w:val="8"/>
          <w:w w:val="110"/>
        </w:rPr>
        <w:t>commit-</w:t>
      </w:r>
      <w:r>
        <w:rPr>
          <w:w w:val="71"/>
        </w:rPr>
        <w:t> </w:t>
      </w:r>
      <w:r>
        <w:rPr>
          <w:spacing w:val="7"/>
          <w:w w:val="110"/>
        </w:rPr>
        <w:t>ments </w:t>
      </w:r>
      <w:r>
        <w:rPr>
          <w:spacing w:val="4"/>
          <w:w w:val="110"/>
        </w:rPr>
        <w:t>with </w:t>
      </w:r>
      <w:r>
        <w:rPr>
          <w:spacing w:val="7"/>
          <w:w w:val="110"/>
        </w:rPr>
        <w:t>Boeing </w:t>
      </w:r>
      <w:r>
        <w:rPr>
          <w:spacing w:val="4"/>
          <w:w w:val="110"/>
        </w:rPr>
        <w:t>for </w:t>
      </w:r>
      <w:r>
        <w:rPr>
          <w:w w:val="110"/>
        </w:rPr>
        <w:t>17 737-700 </w:t>
      </w:r>
      <w:r>
        <w:rPr>
          <w:spacing w:val="4"/>
          <w:w w:val="110"/>
        </w:rPr>
        <w:t>aircraft </w:t>
      </w:r>
      <w:r>
        <w:rPr>
          <w:spacing w:val="7"/>
          <w:w w:val="110"/>
        </w:rPr>
        <w:t>deliveries </w:t>
      </w:r>
      <w:r>
        <w:rPr>
          <w:spacing w:val="6"/>
          <w:w w:val="110"/>
        </w:rPr>
        <w:t>in </w:t>
      </w:r>
      <w:r>
        <w:rPr>
          <w:w w:val="110"/>
        </w:rPr>
        <w:t>2003, 23 </w:t>
      </w:r>
      <w:r>
        <w:rPr>
          <w:spacing w:val="5"/>
          <w:w w:val="110"/>
        </w:rPr>
        <w:t>scheduled </w:t>
      </w:r>
      <w:r>
        <w:rPr>
          <w:spacing w:val="4"/>
          <w:w w:val="110"/>
        </w:rPr>
        <w:t>for </w:t>
      </w:r>
      <w:r>
        <w:rPr>
          <w:spacing w:val="6"/>
          <w:w w:val="110"/>
        </w:rPr>
        <w:t>delivery</w:t>
      </w:r>
      <w:r>
        <w:rPr>
          <w:spacing w:val="61"/>
          <w:w w:val="110"/>
        </w:rPr>
        <w:t> </w:t>
      </w:r>
      <w:r>
        <w:rPr>
          <w:spacing w:val="6"/>
          <w:w w:val="110"/>
        </w:rPr>
        <w:t>in  </w:t>
      </w:r>
      <w:r>
        <w:rPr>
          <w:w w:val="110"/>
        </w:rPr>
        <w:t>2004, 24 </w:t>
      </w:r>
      <w:r>
        <w:rPr>
          <w:spacing w:val="6"/>
          <w:w w:val="110"/>
        </w:rPr>
        <w:t>in  </w:t>
      </w:r>
      <w:r>
        <w:rPr>
          <w:w w:val="110"/>
        </w:rPr>
        <w:t>2005,  22  </w:t>
      </w:r>
      <w:r>
        <w:rPr>
          <w:spacing w:val="6"/>
          <w:w w:val="110"/>
        </w:rPr>
        <w:t>in  </w:t>
      </w:r>
      <w:r>
        <w:rPr>
          <w:w w:val="110"/>
        </w:rPr>
        <w:t>2006,  25  </w:t>
      </w:r>
      <w:r>
        <w:rPr>
          <w:spacing w:val="6"/>
          <w:w w:val="110"/>
        </w:rPr>
        <w:t>in </w:t>
      </w:r>
      <w:r>
        <w:rPr>
          <w:spacing w:val="11"/>
          <w:w w:val="110"/>
        </w:rPr>
        <w:t> </w:t>
      </w:r>
      <w:r>
        <w:rPr>
          <w:w w:val="110"/>
        </w:rPr>
        <w:t>2007,</w:t>
      </w:r>
    </w:p>
    <w:p>
      <w:pPr>
        <w:pStyle w:val="BodyText"/>
        <w:spacing w:line="254" w:lineRule="auto" w:before="1"/>
        <w:ind w:left="380" w:right="103"/>
        <w:jc w:val="both"/>
      </w:pPr>
      <w:r>
        <w:rPr>
          <w:spacing w:val="8"/>
          <w:w w:val="110"/>
        </w:rPr>
        <w:t>and </w:t>
      </w:r>
      <w:r>
        <w:rPr>
          <w:spacing w:val="2"/>
          <w:w w:val="110"/>
        </w:rPr>
        <w:t>six </w:t>
      </w:r>
      <w:r>
        <w:rPr>
          <w:spacing w:val="6"/>
          <w:w w:val="110"/>
        </w:rPr>
        <w:t>in </w:t>
      </w:r>
      <w:r>
        <w:rPr>
          <w:w w:val="110"/>
        </w:rPr>
        <w:t>2008. </w:t>
      </w:r>
      <w:r>
        <w:rPr>
          <w:spacing w:val="4"/>
          <w:w w:val="110"/>
        </w:rPr>
        <w:t>In </w:t>
      </w:r>
      <w:r>
        <w:rPr>
          <w:spacing w:val="8"/>
          <w:w w:val="110"/>
        </w:rPr>
        <w:t>addition, </w:t>
      </w:r>
      <w:r>
        <w:rPr>
          <w:spacing w:val="2"/>
          <w:w w:val="110"/>
        </w:rPr>
        <w:t>the  </w:t>
      </w:r>
      <w:r>
        <w:rPr>
          <w:spacing w:val="10"/>
          <w:w w:val="110"/>
        </w:rPr>
        <w:t>Company </w:t>
      </w:r>
      <w:r>
        <w:rPr>
          <w:spacing w:val="8"/>
          <w:w w:val="110"/>
        </w:rPr>
        <w:t>has options </w:t>
      </w:r>
      <w:r>
        <w:rPr>
          <w:w w:val="110"/>
        </w:rPr>
        <w:t>to </w:t>
      </w:r>
      <w:r>
        <w:rPr>
          <w:spacing w:val="5"/>
          <w:w w:val="110"/>
        </w:rPr>
        <w:t>purchase </w:t>
      </w:r>
      <w:r>
        <w:rPr>
          <w:spacing w:val="6"/>
          <w:w w:val="110"/>
        </w:rPr>
        <w:t>up </w:t>
      </w:r>
      <w:r>
        <w:rPr>
          <w:w w:val="110"/>
        </w:rPr>
        <w:t>to 79 737-700s </w:t>
      </w:r>
      <w:r>
        <w:rPr>
          <w:spacing w:val="7"/>
          <w:w w:val="110"/>
        </w:rPr>
        <w:t>during </w:t>
      </w:r>
      <w:r>
        <w:rPr>
          <w:w w:val="110"/>
        </w:rPr>
        <w:t>2004–2008 </w:t>
      </w:r>
      <w:r>
        <w:rPr>
          <w:spacing w:val="8"/>
          <w:w w:val="110"/>
        </w:rPr>
        <w:t>and </w:t>
      </w:r>
      <w:r>
        <w:rPr>
          <w:spacing w:val="5"/>
          <w:w w:val="110"/>
        </w:rPr>
        <w:t>purchase </w:t>
      </w:r>
      <w:r>
        <w:rPr>
          <w:spacing w:val="2"/>
          <w:w w:val="110"/>
        </w:rPr>
        <w:t>rights </w:t>
      </w:r>
      <w:r>
        <w:rPr>
          <w:spacing w:val="4"/>
          <w:w w:val="110"/>
        </w:rPr>
        <w:t>for </w:t>
      </w:r>
      <w:r>
        <w:rPr>
          <w:spacing w:val="12"/>
          <w:w w:val="110"/>
        </w:rPr>
        <w:t>an </w:t>
      </w:r>
      <w:r>
        <w:rPr>
          <w:spacing w:val="9"/>
          <w:w w:val="110"/>
        </w:rPr>
        <w:t>additional </w:t>
      </w:r>
      <w:r>
        <w:rPr>
          <w:w w:val="110"/>
        </w:rPr>
        <w:t>217 737-700s </w:t>
      </w:r>
      <w:r>
        <w:rPr>
          <w:spacing w:val="7"/>
          <w:w w:val="110"/>
        </w:rPr>
        <w:t>during  </w:t>
      </w:r>
      <w:r>
        <w:rPr>
          <w:w w:val="110"/>
        </w:rPr>
        <w:t>2007–2012. </w:t>
      </w:r>
      <w:r>
        <w:rPr>
          <w:spacing w:val="4"/>
          <w:w w:val="110"/>
        </w:rPr>
        <w:t>The </w:t>
      </w:r>
      <w:r>
        <w:rPr>
          <w:spacing w:val="8"/>
          <w:w w:val="110"/>
        </w:rPr>
        <w:t>Company has </w:t>
      </w:r>
      <w:r>
        <w:rPr>
          <w:spacing w:val="2"/>
          <w:w w:val="110"/>
        </w:rPr>
        <w:t>the </w:t>
      </w:r>
      <w:r>
        <w:rPr>
          <w:spacing w:val="8"/>
          <w:w w:val="110"/>
        </w:rPr>
        <w:t>option, </w:t>
      </w:r>
      <w:r>
        <w:rPr>
          <w:spacing w:val="7"/>
          <w:w w:val="110"/>
        </w:rPr>
        <w:t>which </w:t>
      </w:r>
      <w:r>
        <w:rPr>
          <w:spacing w:val="6"/>
          <w:w w:val="110"/>
        </w:rPr>
        <w:t>must </w:t>
      </w:r>
      <w:r>
        <w:rPr>
          <w:spacing w:val="24"/>
          <w:w w:val="110"/>
        </w:rPr>
        <w:t> </w:t>
      </w:r>
      <w:r>
        <w:rPr>
          <w:spacing w:val="12"/>
          <w:w w:val="110"/>
        </w:rPr>
        <w:t>be</w:t>
      </w:r>
    </w:p>
    <w:p>
      <w:pPr>
        <w:spacing w:after="0" w:line="254" w:lineRule="auto"/>
        <w:jc w:val="both"/>
        <w:sectPr>
          <w:headerReference w:type="default" r:id="rId127"/>
          <w:footerReference w:type="default" r:id="rId128"/>
          <w:footerReference w:type="even" r:id="rId129"/>
          <w:pgSz w:w="11520" w:h="14400"/>
          <w:pgMar w:header="0" w:footer="706" w:top="960" w:bottom="900" w:left="980" w:right="840"/>
          <w:pgNumType w:start="39"/>
          <w:cols w:num="2" w:equalWidth="0">
            <w:col w:w="4457" w:space="403"/>
            <w:col w:w="4840"/>
          </w:cols>
        </w:sectPr>
      </w:pPr>
    </w:p>
    <w:p>
      <w:pPr>
        <w:pStyle w:val="BodyText"/>
        <w:spacing w:line="254" w:lineRule="auto" w:before="69"/>
        <w:ind w:left="380"/>
        <w:jc w:val="both"/>
      </w:pPr>
      <w:bookmarkStart w:name="Accrued Liabilites" w:id="44"/>
      <w:bookmarkEnd w:id="44"/>
      <w:r>
        <w:rPr/>
      </w:r>
      <w:bookmarkStart w:name="Short-Term Borrowings" w:id="45"/>
      <w:bookmarkEnd w:id="45"/>
      <w:r>
        <w:rPr/>
      </w:r>
      <w:r>
        <w:rPr>
          <w:spacing w:val="6"/>
          <w:w w:val="110"/>
        </w:rPr>
        <w:t>exercised </w:t>
      </w:r>
      <w:r>
        <w:rPr>
          <w:w w:val="110"/>
        </w:rPr>
        <w:t>two </w:t>
      </w:r>
      <w:r>
        <w:rPr>
          <w:spacing w:val="3"/>
          <w:w w:val="110"/>
        </w:rPr>
        <w:t>years </w:t>
      </w:r>
      <w:r>
        <w:rPr>
          <w:spacing w:val="6"/>
          <w:w w:val="110"/>
        </w:rPr>
        <w:t>prior </w:t>
      </w:r>
      <w:r>
        <w:rPr>
          <w:w w:val="110"/>
        </w:rPr>
        <w:t>to </w:t>
      </w:r>
      <w:r>
        <w:rPr>
          <w:spacing w:val="2"/>
          <w:w w:val="110"/>
        </w:rPr>
        <w:t>the </w:t>
      </w:r>
      <w:r>
        <w:rPr>
          <w:spacing w:val="6"/>
          <w:w w:val="110"/>
        </w:rPr>
        <w:t>contractual delivery</w:t>
      </w:r>
      <w:r>
        <w:rPr>
          <w:spacing w:val="61"/>
          <w:w w:val="110"/>
        </w:rPr>
        <w:t> </w:t>
      </w:r>
      <w:r>
        <w:rPr>
          <w:spacing w:val="6"/>
          <w:w w:val="110"/>
        </w:rPr>
        <w:t>date,</w:t>
      </w:r>
      <w:r>
        <w:rPr>
          <w:spacing w:val="61"/>
          <w:w w:val="110"/>
        </w:rPr>
        <w:t> </w:t>
      </w:r>
      <w:r>
        <w:rPr>
          <w:w w:val="110"/>
        </w:rPr>
        <w:t>to </w:t>
      </w:r>
      <w:r>
        <w:rPr>
          <w:spacing w:val="2"/>
          <w:w w:val="110"/>
        </w:rPr>
        <w:t>substitute </w:t>
      </w:r>
      <w:r>
        <w:rPr>
          <w:w w:val="110"/>
        </w:rPr>
        <w:t>737-600s </w:t>
      </w:r>
      <w:r>
        <w:rPr>
          <w:spacing w:val="6"/>
          <w:w w:val="110"/>
        </w:rPr>
        <w:t>or </w:t>
      </w:r>
      <w:r>
        <w:rPr>
          <w:w w:val="110"/>
        </w:rPr>
        <w:t>737-800s </w:t>
      </w:r>
      <w:r>
        <w:rPr>
          <w:spacing w:val="4"/>
          <w:w w:val="110"/>
        </w:rPr>
        <w:t>for </w:t>
      </w:r>
      <w:r>
        <w:rPr>
          <w:spacing w:val="2"/>
          <w:w w:val="110"/>
        </w:rPr>
        <w:t>the </w:t>
      </w:r>
      <w:r>
        <w:rPr>
          <w:w w:val="110"/>
        </w:rPr>
        <w:t>737-700s. </w:t>
      </w:r>
      <w:r>
        <w:rPr>
          <w:spacing w:val="4"/>
          <w:w w:val="110"/>
        </w:rPr>
        <w:t>As </w:t>
      </w:r>
      <w:r>
        <w:rPr>
          <w:spacing w:val="6"/>
          <w:w w:val="110"/>
        </w:rPr>
        <w:t>of </w:t>
      </w:r>
      <w:r>
        <w:rPr>
          <w:spacing w:val="5"/>
          <w:w w:val="110"/>
        </w:rPr>
        <w:t>February </w:t>
      </w:r>
      <w:r>
        <w:rPr>
          <w:w w:val="110"/>
        </w:rPr>
        <w:t>1, 2003, </w:t>
      </w:r>
      <w:r>
        <w:rPr>
          <w:spacing w:val="3"/>
          <w:w w:val="110"/>
        </w:rPr>
        <w:t>aggregate </w:t>
      </w:r>
      <w:r>
        <w:rPr>
          <w:spacing w:val="8"/>
          <w:w w:val="110"/>
        </w:rPr>
        <w:t>funding </w:t>
      </w:r>
      <w:r>
        <w:rPr>
          <w:spacing w:val="10"/>
          <w:w w:val="110"/>
        </w:rPr>
        <w:t>needed </w:t>
      </w:r>
      <w:r>
        <w:rPr>
          <w:spacing w:val="4"/>
          <w:w w:val="110"/>
        </w:rPr>
        <w:t>for </w:t>
      </w:r>
      <w:r>
        <w:rPr>
          <w:w w:val="110"/>
        </w:rPr>
        <w:t>firm </w:t>
      </w:r>
      <w:r>
        <w:rPr>
          <w:spacing w:val="8"/>
          <w:w w:val="110"/>
        </w:rPr>
        <w:t>commitments </w:t>
      </w:r>
      <w:r>
        <w:rPr>
          <w:spacing w:val="6"/>
          <w:w w:val="110"/>
        </w:rPr>
        <w:t>is </w:t>
      </w:r>
      <w:r>
        <w:rPr>
          <w:spacing w:val="7"/>
          <w:w w:val="110"/>
        </w:rPr>
        <w:t>approximately </w:t>
      </w:r>
      <w:r>
        <w:rPr>
          <w:w w:val="110"/>
        </w:rPr>
        <w:t>$3.2 </w:t>
      </w:r>
      <w:r>
        <w:rPr>
          <w:spacing w:val="7"/>
          <w:w w:val="110"/>
        </w:rPr>
        <w:t>billion, </w:t>
      </w:r>
      <w:r>
        <w:rPr>
          <w:spacing w:val="4"/>
          <w:w w:val="110"/>
        </w:rPr>
        <w:t>subject </w:t>
      </w:r>
      <w:r>
        <w:rPr>
          <w:w w:val="110"/>
        </w:rPr>
        <w:t>to </w:t>
      </w:r>
      <w:r>
        <w:rPr>
          <w:spacing w:val="5"/>
          <w:w w:val="110"/>
        </w:rPr>
        <w:t>adjustments </w:t>
      </w:r>
      <w:r>
        <w:rPr>
          <w:spacing w:val="4"/>
          <w:w w:val="110"/>
        </w:rPr>
        <w:t>for </w:t>
      </w:r>
      <w:r>
        <w:rPr>
          <w:spacing w:val="6"/>
          <w:w w:val="110"/>
        </w:rPr>
        <w:t>inflation, </w:t>
      </w:r>
      <w:r>
        <w:rPr>
          <w:spacing w:val="8"/>
          <w:w w:val="110"/>
        </w:rPr>
        <w:t>due </w:t>
      </w:r>
      <w:r>
        <w:rPr>
          <w:spacing w:val="12"/>
          <w:w w:val="110"/>
        </w:rPr>
        <w:t>as </w:t>
      </w:r>
      <w:r>
        <w:rPr>
          <w:w w:val="110"/>
        </w:rPr>
        <w:t>follows: $597 </w:t>
      </w:r>
      <w:r>
        <w:rPr>
          <w:spacing w:val="5"/>
          <w:w w:val="110"/>
        </w:rPr>
        <w:t>million </w:t>
      </w:r>
      <w:r>
        <w:rPr>
          <w:spacing w:val="6"/>
          <w:w w:val="110"/>
        </w:rPr>
        <w:t>in </w:t>
      </w:r>
      <w:r>
        <w:rPr>
          <w:w w:val="110"/>
        </w:rPr>
        <w:t>2003, $676 </w:t>
      </w:r>
      <w:r>
        <w:rPr>
          <w:spacing w:val="5"/>
          <w:w w:val="110"/>
        </w:rPr>
        <w:t>million </w:t>
      </w:r>
      <w:r>
        <w:rPr>
          <w:spacing w:val="12"/>
          <w:w w:val="110"/>
        </w:rPr>
        <w:t>in </w:t>
      </w:r>
      <w:r>
        <w:rPr>
          <w:w w:val="110"/>
        </w:rPr>
        <w:t>2004, $719 </w:t>
      </w:r>
      <w:r>
        <w:rPr>
          <w:spacing w:val="5"/>
          <w:w w:val="110"/>
        </w:rPr>
        <w:t>million </w:t>
      </w:r>
      <w:r>
        <w:rPr>
          <w:spacing w:val="6"/>
          <w:w w:val="110"/>
        </w:rPr>
        <w:t>in </w:t>
      </w:r>
      <w:r>
        <w:rPr>
          <w:w w:val="110"/>
        </w:rPr>
        <w:t>2005, $632 </w:t>
      </w:r>
      <w:r>
        <w:rPr>
          <w:spacing w:val="5"/>
          <w:w w:val="110"/>
        </w:rPr>
        <w:t>million </w:t>
      </w:r>
      <w:r>
        <w:rPr>
          <w:spacing w:val="12"/>
          <w:w w:val="110"/>
        </w:rPr>
        <w:t>in </w:t>
      </w:r>
      <w:r>
        <w:rPr>
          <w:w w:val="110"/>
        </w:rPr>
        <w:t>2006, $508 </w:t>
      </w:r>
      <w:r>
        <w:rPr>
          <w:spacing w:val="5"/>
          <w:w w:val="110"/>
        </w:rPr>
        <w:t>million </w:t>
      </w:r>
      <w:r>
        <w:rPr>
          <w:spacing w:val="6"/>
          <w:w w:val="110"/>
        </w:rPr>
        <w:t>in </w:t>
      </w:r>
      <w:r>
        <w:rPr>
          <w:w w:val="110"/>
        </w:rPr>
        <w:t>2007, </w:t>
      </w:r>
      <w:r>
        <w:rPr>
          <w:spacing w:val="8"/>
          <w:w w:val="110"/>
        </w:rPr>
        <w:t>and </w:t>
      </w:r>
      <w:r>
        <w:rPr>
          <w:w w:val="110"/>
        </w:rPr>
        <w:t>$105 </w:t>
      </w:r>
      <w:r>
        <w:rPr>
          <w:spacing w:val="5"/>
          <w:w w:val="110"/>
        </w:rPr>
        <w:t>million </w:t>
      </w:r>
      <w:r>
        <w:rPr>
          <w:spacing w:val="4"/>
          <w:w w:val="110"/>
        </w:rPr>
        <w:t>thereafter.</w:t>
      </w:r>
    </w:p>
    <w:p>
      <w:pPr>
        <w:pStyle w:val="BodyText"/>
        <w:spacing w:line="254" w:lineRule="auto"/>
        <w:ind w:left="380" w:firstLine="280"/>
        <w:jc w:val="both"/>
      </w:pPr>
      <w:r>
        <w:rPr>
          <w:spacing w:val="4"/>
          <w:w w:val="105"/>
        </w:rPr>
        <w:t>In </w:t>
      </w:r>
      <w:r>
        <w:rPr>
          <w:spacing w:val="10"/>
          <w:w w:val="105"/>
        </w:rPr>
        <w:t>November </w:t>
      </w:r>
      <w:r>
        <w:rPr>
          <w:w w:val="105"/>
        </w:rPr>
        <w:t>2001, </w:t>
      </w:r>
      <w:r>
        <w:rPr>
          <w:spacing w:val="6"/>
          <w:w w:val="105"/>
        </w:rPr>
        <w:t>in</w:t>
      </w:r>
      <w:r>
        <w:rPr>
          <w:spacing w:val="59"/>
          <w:w w:val="105"/>
        </w:rPr>
        <w:t> </w:t>
      </w:r>
      <w:r>
        <w:rPr>
          <w:spacing w:val="4"/>
          <w:w w:val="105"/>
        </w:rPr>
        <w:t>response  </w:t>
      </w:r>
      <w:r>
        <w:rPr>
          <w:w w:val="105"/>
        </w:rPr>
        <w:t>to </w:t>
      </w:r>
      <w:r>
        <w:rPr>
          <w:spacing w:val="6"/>
          <w:w w:val="105"/>
        </w:rPr>
        <w:t>decreased </w:t>
      </w:r>
      <w:r>
        <w:rPr>
          <w:spacing w:val="10"/>
          <w:w w:val="105"/>
        </w:rPr>
        <w:t>demand </w:t>
      </w:r>
      <w:r>
        <w:rPr>
          <w:spacing w:val="4"/>
          <w:w w:val="105"/>
        </w:rPr>
        <w:t>for </w:t>
      </w:r>
      <w:r>
        <w:rPr>
          <w:spacing w:val="8"/>
          <w:w w:val="105"/>
        </w:rPr>
        <w:t>air </w:t>
      </w:r>
      <w:r>
        <w:rPr>
          <w:spacing w:val="4"/>
          <w:w w:val="105"/>
        </w:rPr>
        <w:t>travel following </w:t>
      </w:r>
      <w:r>
        <w:rPr>
          <w:spacing w:val="6"/>
          <w:w w:val="105"/>
        </w:rPr>
        <w:t>the </w:t>
      </w:r>
      <w:r>
        <w:rPr>
          <w:w w:val="105"/>
        </w:rPr>
        <w:t>terrorist attacks, </w:t>
      </w:r>
      <w:r>
        <w:rPr>
          <w:spacing w:val="2"/>
          <w:w w:val="105"/>
        </w:rPr>
        <w:t>the </w:t>
      </w:r>
      <w:r>
        <w:rPr>
          <w:spacing w:val="8"/>
          <w:w w:val="105"/>
        </w:rPr>
        <w:t>Company </w:t>
      </w:r>
      <w:r>
        <w:rPr>
          <w:spacing w:val="9"/>
          <w:w w:val="105"/>
        </w:rPr>
        <w:t>modified </w:t>
      </w:r>
      <w:r>
        <w:rPr>
          <w:spacing w:val="2"/>
          <w:w w:val="105"/>
        </w:rPr>
        <w:t>its </w:t>
      </w:r>
      <w:r>
        <w:rPr>
          <w:spacing w:val="5"/>
          <w:w w:val="105"/>
        </w:rPr>
        <w:t>schedule </w:t>
      </w:r>
      <w:r>
        <w:rPr>
          <w:spacing w:val="4"/>
          <w:w w:val="105"/>
        </w:rPr>
        <w:t>for </w:t>
      </w:r>
      <w:r>
        <w:rPr>
          <w:spacing w:val="2"/>
          <w:w w:val="105"/>
        </w:rPr>
        <w:t>future </w:t>
      </w:r>
      <w:r>
        <w:rPr>
          <w:spacing w:val="4"/>
          <w:w w:val="105"/>
        </w:rPr>
        <w:t>aircraft </w:t>
      </w:r>
      <w:r>
        <w:rPr>
          <w:spacing w:val="7"/>
          <w:w w:val="105"/>
        </w:rPr>
        <w:t>deliveries </w:t>
      </w:r>
      <w:r>
        <w:rPr>
          <w:w w:val="105"/>
        </w:rPr>
        <w:t>to </w:t>
      </w:r>
      <w:r>
        <w:rPr>
          <w:spacing w:val="9"/>
          <w:w w:val="105"/>
        </w:rPr>
        <w:t>defer </w:t>
      </w:r>
      <w:r>
        <w:rPr>
          <w:spacing w:val="2"/>
          <w:w w:val="105"/>
        </w:rPr>
        <w:t>the </w:t>
      </w:r>
      <w:r>
        <w:rPr>
          <w:spacing w:val="7"/>
          <w:w w:val="105"/>
        </w:rPr>
        <w:t>acquisition </w:t>
      </w:r>
      <w:r>
        <w:rPr>
          <w:spacing w:val="6"/>
          <w:w w:val="105"/>
        </w:rPr>
        <w:t>of </w:t>
      </w:r>
      <w:r>
        <w:rPr>
          <w:w w:val="105"/>
        </w:rPr>
        <w:t>19 </w:t>
      </w:r>
      <w:r>
        <w:rPr>
          <w:spacing w:val="8"/>
          <w:w w:val="105"/>
        </w:rPr>
        <w:t>new </w:t>
      </w:r>
      <w:r>
        <w:rPr>
          <w:w w:val="105"/>
        </w:rPr>
        <w:t>737-700 </w:t>
      </w:r>
      <w:r>
        <w:rPr>
          <w:spacing w:val="4"/>
          <w:w w:val="105"/>
        </w:rPr>
        <w:t>aircraft </w:t>
      </w:r>
      <w:r>
        <w:rPr>
          <w:spacing w:val="5"/>
          <w:w w:val="105"/>
        </w:rPr>
        <w:t>that </w:t>
      </w:r>
      <w:r>
        <w:rPr>
          <w:spacing w:val="4"/>
          <w:w w:val="105"/>
        </w:rPr>
        <w:t>were </w:t>
      </w:r>
      <w:r>
        <w:rPr>
          <w:spacing w:val="7"/>
          <w:w w:val="105"/>
        </w:rPr>
        <w:t>either </w:t>
      </w:r>
      <w:r>
        <w:rPr>
          <w:spacing w:val="5"/>
          <w:w w:val="105"/>
        </w:rPr>
        <w:t>already </w:t>
      </w:r>
      <w:r>
        <w:rPr>
          <w:spacing w:val="6"/>
          <w:w w:val="105"/>
        </w:rPr>
        <w:t>in production at </w:t>
      </w:r>
      <w:r>
        <w:rPr>
          <w:spacing w:val="7"/>
          <w:w w:val="105"/>
        </w:rPr>
        <w:t>Boeing </w:t>
      </w:r>
      <w:r>
        <w:rPr>
          <w:spacing w:val="12"/>
          <w:w w:val="105"/>
        </w:rPr>
        <w:t>or </w:t>
      </w:r>
      <w:r>
        <w:rPr>
          <w:spacing w:val="4"/>
          <w:w w:val="105"/>
        </w:rPr>
        <w:t>were </w:t>
      </w:r>
      <w:r>
        <w:rPr>
          <w:spacing w:val="5"/>
          <w:w w:val="105"/>
        </w:rPr>
        <w:t>scheduled </w:t>
      </w:r>
      <w:r>
        <w:rPr>
          <w:w w:val="105"/>
        </w:rPr>
        <w:t>to </w:t>
      </w:r>
      <w:r>
        <w:rPr>
          <w:spacing w:val="6"/>
          <w:w w:val="105"/>
        </w:rPr>
        <w:t>be </w:t>
      </w:r>
      <w:r>
        <w:rPr>
          <w:spacing w:val="5"/>
          <w:w w:val="105"/>
        </w:rPr>
        <w:t>built </w:t>
      </w:r>
      <w:r>
        <w:rPr>
          <w:spacing w:val="4"/>
          <w:w w:val="105"/>
        </w:rPr>
        <w:t>through </w:t>
      </w:r>
      <w:r>
        <w:rPr>
          <w:spacing w:val="5"/>
          <w:w w:val="105"/>
        </w:rPr>
        <w:t>April </w:t>
      </w:r>
      <w:r>
        <w:rPr>
          <w:w w:val="105"/>
        </w:rPr>
        <w:t>2002. </w:t>
      </w:r>
      <w:r>
        <w:rPr>
          <w:spacing w:val="4"/>
          <w:w w:val="105"/>
        </w:rPr>
        <w:t>The </w:t>
      </w:r>
      <w:r>
        <w:rPr>
          <w:spacing w:val="8"/>
          <w:w w:val="105"/>
        </w:rPr>
        <w:t>Company </w:t>
      </w:r>
      <w:r>
        <w:rPr>
          <w:spacing w:val="7"/>
          <w:w w:val="105"/>
        </w:rPr>
        <w:t>accomplished </w:t>
      </w:r>
      <w:r>
        <w:rPr>
          <w:spacing w:val="5"/>
          <w:w w:val="105"/>
        </w:rPr>
        <w:t>this </w:t>
      </w:r>
      <w:r>
        <w:rPr>
          <w:spacing w:val="6"/>
          <w:w w:val="105"/>
        </w:rPr>
        <w:t>by </w:t>
      </w:r>
      <w:r>
        <w:rPr>
          <w:spacing w:val="8"/>
          <w:w w:val="105"/>
        </w:rPr>
        <w:t>entering </w:t>
      </w:r>
      <w:r>
        <w:rPr>
          <w:spacing w:val="5"/>
          <w:w w:val="105"/>
        </w:rPr>
        <w:t>into </w:t>
      </w:r>
      <w:r>
        <w:rPr>
          <w:w w:val="105"/>
        </w:rPr>
        <w:t>a trust </w:t>
      </w:r>
      <w:r>
        <w:rPr>
          <w:spacing w:val="7"/>
          <w:w w:val="105"/>
        </w:rPr>
        <w:t>arrangement  </w:t>
      </w:r>
      <w:r>
        <w:rPr>
          <w:spacing w:val="4"/>
          <w:w w:val="105"/>
        </w:rPr>
        <w:t>with  </w:t>
      </w:r>
      <w:r>
        <w:rPr>
          <w:w w:val="105"/>
        </w:rPr>
        <w:t>a  </w:t>
      </w:r>
      <w:r>
        <w:rPr>
          <w:spacing w:val="8"/>
          <w:w w:val="105"/>
        </w:rPr>
        <w:t>special </w:t>
      </w:r>
      <w:r>
        <w:rPr>
          <w:spacing w:val="5"/>
          <w:w w:val="105"/>
        </w:rPr>
        <w:t>purpose </w:t>
      </w:r>
      <w:r>
        <w:rPr>
          <w:spacing w:val="4"/>
          <w:w w:val="105"/>
        </w:rPr>
        <w:t>entity </w:t>
      </w:r>
      <w:r>
        <w:rPr>
          <w:w w:val="105"/>
        </w:rPr>
        <w:t>(the Trust) </w:t>
      </w:r>
      <w:r>
        <w:rPr>
          <w:spacing w:val="8"/>
          <w:w w:val="105"/>
        </w:rPr>
        <w:t>and </w:t>
      </w:r>
      <w:r>
        <w:rPr>
          <w:spacing w:val="5"/>
          <w:w w:val="105"/>
        </w:rPr>
        <w:t>assigned </w:t>
      </w:r>
      <w:r>
        <w:rPr>
          <w:spacing w:val="2"/>
          <w:w w:val="105"/>
        </w:rPr>
        <w:t>its </w:t>
      </w:r>
      <w:r>
        <w:rPr>
          <w:spacing w:val="5"/>
          <w:w w:val="105"/>
        </w:rPr>
        <w:t>purchase </w:t>
      </w:r>
      <w:r>
        <w:rPr>
          <w:spacing w:val="8"/>
          <w:w w:val="105"/>
        </w:rPr>
        <w:t>agreement </w:t>
      </w:r>
      <w:r>
        <w:rPr>
          <w:spacing w:val="4"/>
          <w:w w:val="105"/>
        </w:rPr>
        <w:t>with </w:t>
      </w:r>
      <w:r>
        <w:rPr>
          <w:spacing w:val="7"/>
          <w:w w:val="105"/>
        </w:rPr>
        <w:t>Boeing </w:t>
      </w:r>
      <w:r>
        <w:rPr>
          <w:w w:val="105"/>
        </w:rPr>
        <w:t>to </w:t>
      </w:r>
      <w:r>
        <w:rPr>
          <w:spacing w:val="2"/>
          <w:w w:val="105"/>
        </w:rPr>
        <w:t>the </w:t>
      </w:r>
      <w:r>
        <w:rPr>
          <w:w w:val="105"/>
        </w:rPr>
        <w:t>Trust </w:t>
      </w:r>
      <w:r>
        <w:rPr>
          <w:spacing w:val="4"/>
          <w:w w:val="105"/>
        </w:rPr>
        <w:t>with respect </w:t>
      </w:r>
      <w:r>
        <w:rPr>
          <w:w w:val="105"/>
        </w:rPr>
        <w:t>to </w:t>
      </w:r>
      <w:r>
        <w:rPr>
          <w:spacing w:val="2"/>
          <w:w w:val="105"/>
        </w:rPr>
        <w:t>the </w:t>
      </w:r>
      <w:r>
        <w:rPr>
          <w:w w:val="105"/>
        </w:rPr>
        <w:t>19 </w:t>
      </w:r>
      <w:r>
        <w:rPr>
          <w:spacing w:val="4"/>
          <w:w w:val="105"/>
        </w:rPr>
        <w:t>aircraft originally </w:t>
      </w:r>
      <w:r>
        <w:rPr>
          <w:spacing w:val="5"/>
          <w:w w:val="105"/>
        </w:rPr>
        <w:t>scheduled </w:t>
      </w:r>
      <w:r>
        <w:rPr>
          <w:spacing w:val="4"/>
          <w:w w:val="105"/>
        </w:rPr>
        <w:t>for </w:t>
      </w:r>
      <w:r>
        <w:rPr>
          <w:spacing w:val="6"/>
          <w:w w:val="105"/>
        </w:rPr>
        <w:t>delivery</w:t>
      </w:r>
      <w:r>
        <w:rPr>
          <w:spacing w:val="59"/>
          <w:w w:val="105"/>
        </w:rPr>
        <w:t> </w:t>
      </w:r>
      <w:r>
        <w:rPr>
          <w:spacing w:val="7"/>
          <w:w w:val="105"/>
        </w:rPr>
        <w:t>between </w:t>
      </w:r>
      <w:r>
        <w:rPr>
          <w:spacing w:val="8"/>
          <w:w w:val="105"/>
        </w:rPr>
        <w:t>September </w:t>
      </w:r>
      <w:r>
        <w:rPr>
          <w:w w:val="105"/>
        </w:rPr>
        <w:t>2001 </w:t>
      </w:r>
      <w:r>
        <w:rPr>
          <w:spacing w:val="8"/>
          <w:w w:val="105"/>
        </w:rPr>
        <w:t>and </w:t>
      </w:r>
      <w:r>
        <w:rPr>
          <w:spacing w:val="5"/>
          <w:w w:val="105"/>
        </w:rPr>
        <w:t>April </w:t>
      </w:r>
      <w:r>
        <w:rPr>
          <w:w w:val="105"/>
        </w:rPr>
        <w:t>2002. </w:t>
      </w:r>
      <w:r>
        <w:rPr>
          <w:spacing w:val="4"/>
          <w:w w:val="105"/>
        </w:rPr>
        <w:t>Southwest </w:t>
      </w:r>
      <w:r>
        <w:rPr>
          <w:spacing w:val="5"/>
          <w:w w:val="105"/>
        </w:rPr>
        <w:t>subsequently entered  into  </w:t>
      </w:r>
      <w:r>
        <w:rPr>
          <w:w w:val="105"/>
        </w:rPr>
        <w:t>a  </w:t>
      </w:r>
      <w:r>
        <w:rPr>
          <w:spacing w:val="5"/>
          <w:w w:val="105"/>
        </w:rPr>
        <w:t>purchase  </w:t>
      </w:r>
      <w:r>
        <w:rPr>
          <w:spacing w:val="8"/>
          <w:w w:val="105"/>
        </w:rPr>
        <w:t>agreement  </w:t>
      </w:r>
      <w:r>
        <w:rPr>
          <w:spacing w:val="4"/>
          <w:w w:val="105"/>
        </w:rPr>
        <w:t>with  </w:t>
      </w:r>
      <w:r>
        <w:rPr>
          <w:spacing w:val="6"/>
          <w:w w:val="105"/>
        </w:rPr>
        <w:t>the</w:t>
      </w:r>
    </w:p>
    <w:p>
      <w:pPr>
        <w:pStyle w:val="BodyText"/>
        <w:spacing w:line="254" w:lineRule="auto" w:before="69"/>
        <w:ind w:left="380" w:right="119"/>
        <w:jc w:val="both"/>
      </w:pPr>
      <w:r>
        <w:rPr/>
        <w:br w:type="column"/>
      </w:r>
      <w:r>
        <w:rPr>
          <w:w w:val="105"/>
        </w:rPr>
        <w:t>Trust to </w:t>
      </w:r>
      <w:r>
        <w:rPr>
          <w:spacing w:val="5"/>
          <w:w w:val="105"/>
        </w:rPr>
        <w:t>purchase </w:t>
      </w:r>
      <w:r>
        <w:rPr>
          <w:spacing w:val="2"/>
          <w:w w:val="105"/>
        </w:rPr>
        <w:t>the </w:t>
      </w:r>
      <w:r>
        <w:rPr>
          <w:spacing w:val="4"/>
          <w:w w:val="105"/>
        </w:rPr>
        <w:t>aircraft </w:t>
      </w:r>
      <w:r>
        <w:rPr>
          <w:spacing w:val="6"/>
          <w:w w:val="105"/>
        </w:rPr>
        <w:t>at </w:t>
      </w:r>
      <w:r>
        <w:rPr>
          <w:spacing w:val="8"/>
          <w:w w:val="105"/>
        </w:rPr>
        <w:t>new </w:t>
      </w:r>
      <w:r>
        <w:rPr>
          <w:spacing w:val="6"/>
          <w:w w:val="105"/>
        </w:rPr>
        <w:t>delivery dates </w:t>
      </w:r>
      <w:r>
        <w:rPr>
          <w:w w:val="105"/>
        </w:rPr>
        <w:t>from </w:t>
      </w:r>
      <w:r>
        <w:rPr>
          <w:spacing w:val="6"/>
          <w:w w:val="105"/>
        </w:rPr>
        <w:t>January </w:t>
      </w:r>
      <w:r>
        <w:rPr>
          <w:w w:val="105"/>
        </w:rPr>
        <w:t>2002 to </w:t>
      </w:r>
      <w:r>
        <w:rPr>
          <w:spacing w:val="5"/>
          <w:w w:val="105"/>
        </w:rPr>
        <w:t>April  </w:t>
      </w:r>
      <w:r>
        <w:rPr>
          <w:w w:val="105"/>
        </w:rPr>
        <w:t>2003.  </w:t>
      </w:r>
      <w:r>
        <w:rPr>
          <w:spacing w:val="4"/>
          <w:w w:val="105"/>
        </w:rPr>
        <w:t>The </w:t>
      </w:r>
      <w:r>
        <w:rPr>
          <w:w w:val="105"/>
        </w:rPr>
        <w:t>Trust </w:t>
      </w:r>
      <w:r>
        <w:rPr>
          <w:spacing w:val="6"/>
          <w:w w:val="105"/>
        </w:rPr>
        <w:t>was formed</w:t>
      </w:r>
      <w:r>
        <w:rPr>
          <w:spacing w:val="59"/>
          <w:w w:val="105"/>
        </w:rPr>
        <w:t> </w:t>
      </w:r>
      <w:r>
        <w:rPr>
          <w:spacing w:val="5"/>
          <w:w w:val="105"/>
        </w:rPr>
        <w:t>primarily </w:t>
      </w:r>
      <w:r>
        <w:rPr>
          <w:w w:val="105"/>
        </w:rPr>
        <w:t>to </w:t>
      </w:r>
      <w:r>
        <w:rPr>
          <w:spacing w:val="3"/>
          <w:w w:val="105"/>
        </w:rPr>
        <w:t>facilitate </w:t>
      </w:r>
      <w:r>
        <w:rPr>
          <w:spacing w:val="2"/>
          <w:w w:val="105"/>
        </w:rPr>
        <w:t>the </w:t>
      </w:r>
      <w:r>
        <w:rPr>
          <w:spacing w:val="8"/>
          <w:w w:val="105"/>
        </w:rPr>
        <w:t>financing </w:t>
      </w:r>
      <w:r>
        <w:rPr>
          <w:spacing w:val="6"/>
          <w:w w:val="105"/>
        </w:rPr>
        <w:t>of </w:t>
      </w:r>
      <w:r>
        <w:rPr>
          <w:spacing w:val="2"/>
          <w:w w:val="105"/>
        </w:rPr>
        <w:t>the </w:t>
      </w:r>
      <w:r>
        <w:rPr>
          <w:spacing w:val="6"/>
          <w:w w:val="105"/>
        </w:rPr>
        <w:t>Company’s </w:t>
      </w:r>
      <w:r>
        <w:rPr>
          <w:spacing w:val="3"/>
          <w:w w:val="105"/>
        </w:rPr>
        <w:t>near-term </w:t>
      </w:r>
      <w:r>
        <w:rPr>
          <w:spacing w:val="4"/>
          <w:w w:val="105"/>
        </w:rPr>
        <w:t>aircraft </w:t>
      </w:r>
      <w:r>
        <w:rPr>
          <w:spacing w:val="5"/>
          <w:w w:val="105"/>
        </w:rPr>
        <w:t>purchase </w:t>
      </w:r>
      <w:r>
        <w:rPr>
          <w:spacing w:val="6"/>
          <w:w w:val="105"/>
        </w:rPr>
        <w:t>obligations </w:t>
      </w:r>
      <w:r>
        <w:rPr>
          <w:spacing w:val="4"/>
          <w:w w:val="105"/>
        </w:rPr>
        <w:t>with </w:t>
      </w:r>
      <w:r>
        <w:rPr>
          <w:spacing w:val="6"/>
          <w:w w:val="105"/>
        </w:rPr>
        <w:t>Boeing. </w:t>
      </w:r>
      <w:r>
        <w:rPr>
          <w:spacing w:val="4"/>
          <w:w w:val="105"/>
        </w:rPr>
        <w:t>The </w:t>
      </w:r>
      <w:r>
        <w:rPr>
          <w:w w:val="105"/>
        </w:rPr>
        <w:t>Trust </w:t>
      </w:r>
      <w:r>
        <w:rPr>
          <w:spacing w:val="6"/>
          <w:w w:val="105"/>
        </w:rPr>
        <w:t>purchased </w:t>
      </w:r>
      <w:r>
        <w:rPr>
          <w:w w:val="105"/>
        </w:rPr>
        <w:t>11 </w:t>
      </w:r>
      <w:r>
        <w:rPr>
          <w:spacing w:val="6"/>
          <w:w w:val="105"/>
        </w:rPr>
        <w:t>of </w:t>
      </w:r>
      <w:r>
        <w:rPr>
          <w:spacing w:val="2"/>
          <w:w w:val="105"/>
        </w:rPr>
        <w:t>the </w:t>
      </w:r>
      <w:r>
        <w:rPr>
          <w:spacing w:val="4"/>
          <w:w w:val="105"/>
        </w:rPr>
        <w:t>aircraft </w:t>
      </w:r>
      <w:r>
        <w:rPr>
          <w:spacing w:val="6"/>
          <w:w w:val="105"/>
        </w:rPr>
        <w:t>in </w:t>
      </w:r>
      <w:r>
        <w:rPr>
          <w:w w:val="105"/>
        </w:rPr>
        <w:t>2001 </w:t>
      </w:r>
      <w:r>
        <w:rPr>
          <w:spacing w:val="8"/>
          <w:w w:val="105"/>
        </w:rPr>
        <w:t>and </w:t>
      </w:r>
      <w:r>
        <w:rPr>
          <w:spacing w:val="9"/>
          <w:w w:val="105"/>
        </w:rPr>
        <w:t>eight </w:t>
      </w:r>
      <w:r>
        <w:rPr>
          <w:spacing w:val="4"/>
          <w:w w:val="105"/>
        </w:rPr>
        <w:t>aircraft </w:t>
      </w:r>
      <w:r>
        <w:rPr>
          <w:spacing w:val="6"/>
          <w:w w:val="105"/>
        </w:rPr>
        <w:t>in </w:t>
      </w:r>
      <w:r>
        <w:rPr>
          <w:w w:val="105"/>
        </w:rPr>
        <w:t>2002. </w:t>
      </w:r>
      <w:r>
        <w:rPr>
          <w:spacing w:val="5"/>
          <w:w w:val="105"/>
        </w:rPr>
        <w:t>For </w:t>
      </w:r>
      <w:r>
        <w:rPr>
          <w:spacing w:val="3"/>
          <w:w w:val="105"/>
        </w:rPr>
        <w:t>these </w:t>
      </w:r>
      <w:r>
        <w:rPr>
          <w:w w:val="105"/>
        </w:rPr>
        <w:t>19 Trust </w:t>
      </w:r>
      <w:r>
        <w:rPr>
          <w:spacing w:val="3"/>
          <w:w w:val="105"/>
        </w:rPr>
        <w:t>aircraft, </w:t>
      </w:r>
      <w:r>
        <w:rPr>
          <w:spacing w:val="2"/>
          <w:w w:val="105"/>
        </w:rPr>
        <w:t>the </w:t>
      </w:r>
      <w:r>
        <w:rPr>
          <w:spacing w:val="8"/>
          <w:w w:val="105"/>
        </w:rPr>
        <w:t>Company </w:t>
      </w:r>
      <w:r>
        <w:rPr>
          <w:spacing w:val="5"/>
          <w:w w:val="105"/>
        </w:rPr>
        <w:t>recorded </w:t>
      </w:r>
      <w:r>
        <w:rPr>
          <w:spacing w:val="2"/>
          <w:w w:val="105"/>
        </w:rPr>
        <w:t>the  </w:t>
      </w:r>
      <w:r>
        <w:rPr>
          <w:spacing w:val="5"/>
          <w:w w:val="105"/>
        </w:rPr>
        <w:t>associated  </w:t>
      </w:r>
      <w:r>
        <w:rPr>
          <w:w w:val="105"/>
        </w:rPr>
        <w:t>assets </w:t>
      </w:r>
      <w:r>
        <w:rPr>
          <w:spacing w:val="3"/>
          <w:w w:val="105"/>
        </w:rPr>
        <w:t>(“Flight </w:t>
      </w:r>
      <w:r>
        <w:rPr>
          <w:spacing w:val="9"/>
          <w:w w:val="105"/>
        </w:rPr>
        <w:t>equipment”) </w:t>
      </w:r>
      <w:r>
        <w:rPr>
          <w:spacing w:val="8"/>
          <w:w w:val="105"/>
        </w:rPr>
        <w:t>and </w:t>
      </w:r>
      <w:r>
        <w:rPr>
          <w:spacing w:val="5"/>
          <w:w w:val="105"/>
        </w:rPr>
        <w:t>liabilities </w:t>
      </w:r>
      <w:r>
        <w:rPr>
          <w:spacing w:val="3"/>
          <w:w w:val="105"/>
        </w:rPr>
        <w:t>(“Aircraft </w:t>
      </w:r>
      <w:r>
        <w:rPr>
          <w:spacing w:val="5"/>
          <w:w w:val="105"/>
        </w:rPr>
        <w:t>purchase obligations”) </w:t>
      </w:r>
      <w:r>
        <w:rPr>
          <w:spacing w:val="6"/>
          <w:w w:val="105"/>
        </w:rPr>
        <w:t>in</w:t>
      </w:r>
      <w:r>
        <w:rPr>
          <w:spacing w:val="59"/>
          <w:w w:val="105"/>
        </w:rPr>
        <w:t> </w:t>
      </w:r>
      <w:r>
        <w:rPr>
          <w:spacing w:val="2"/>
          <w:w w:val="105"/>
        </w:rPr>
        <w:t>its </w:t>
      </w:r>
      <w:r>
        <w:rPr>
          <w:spacing w:val="9"/>
          <w:w w:val="105"/>
        </w:rPr>
        <w:t>financial </w:t>
      </w:r>
      <w:r>
        <w:rPr>
          <w:spacing w:val="4"/>
          <w:w w:val="105"/>
        </w:rPr>
        <w:t>statements </w:t>
      </w:r>
      <w:r>
        <w:rPr>
          <w:spacing w:val="6"/>
          <w:w w:val="105"/>
        </w:rPr>
        <w:t>as </w:t>
      </w:r>
      <w:r>
        <w:rPr>
          <w:spacing w:val="2"/>
          <w:w w:val="105"/>
        </w:rPr>
        <w:t>the </w:t>
      </w:r>
      <w:r>
        <w:rPr>
          <w:spacing w:val="4"/>
          <w:w w:val="105"/>
        </w:rPr>
        <w:t>aircraft were </w:t>
      </w:r>
      <w:r>
        <w:rPr>
          <w:spacing w:val="6"/>
          <w:w w:val="105"/>
        </w:rPr>
        <w:t>completed </w:t>
      </w:r>
      <w:r>
        <w:rPr>
          <w:spacing w:val="12"/>
          <w:w w:val="105"/>
        </w:rPr>
        <w:t>by </w:t>
      </w:r>
      <w:r>
        <w:rPr>
          <w:spacing w:val="7"/>
          <w:w w:val="105"/>
        </w:rPr>
        <w:t>Boeing </w:t>
      </w:r>
      <w:r>
        <w:rPr>
          <w:spacing w:val="8"/>
          <w:w w:val="105"/>
        </w:rPr>
        <w:t>and </w:t>
      </w:r>
      <w:r>
        <w:rPr>
          <w:spacing w:val="6"/>
          <w:w w:val="105"/>
        </w:rPr>
        <w:t>delivered</w:t>
      </w:r>
      <w:r>
        <w:rPr>
          <w:spacing w:val="59"/>
          <w:w w:val="105"/>
        </w:rPr>
        <w:t> </w:t>
      </w:r>
      <w:r>
        <w:rPr>
          <w:w w:val="105"/>
        </w:rPr>
        <w:t>to </w:t>
      </w:r>
      <w:r>
        <w:rPr>
          <w:spacing w:val="2"/>
          <w:w w:val="105"/>
        </w:rPr>
        <w:t>the </w:t>
      </w:r>
      <w:r>
        <w:rPr>
          <w:w w:val="105"/>
        </w:rPr>
        <w:t>Trust. </w:t>
      </w:r>
      <w:r>
        <w:rPr>
          <w:spacing w:val="4"/>
          <w:w w:val="105"/>
        </w:rPr>
        <w:t>In </w:t>
      </w:r>
      <w:r>
        <w:rPr>
          <w:spacing w:val="6"/>
          <w:w w:val="105"/>
        </w:rPr>
        <w:t>the </w:t>
      </w:r>
      <w:r>
        <w:rPr>
          <w:spacing w:val="5"/>
          <w:w w:val="105"/>
        </w:rPr>
        <w:t>Consolidated Statement </w:t>
      </w:r>
      <w:r>
        <w:rPr>
          <w:spacing w:val="6"/>
          <w:w w:val="105"/>
        </w:rPr>
        <w:t>of</w:t>
      </w:r>
      <w:r>
        <w:rPr>
          <w:spacing w:val="59"/>
          <w:w w:val="105"/>
        </w:rPr>
        <w:t> </w:t>
      </w:r>
      <w:r>
        <w:rPr>
          <w:w w:val="105"/>
        </w:rPr>
        <w:t>Cash </w:t>
      </w:r>
      <w:r>
        <w:rPr>
          <w:spacing w:val="2"/>
          <w:w w:val="105"/>
        </w:rPr>
        <w:t>Flows, </w:t>
      </w:r>
      <w:r>
        <w:rPr>
          <w:spacing w:val="6"/>
          <w:w w:val="105"/>
        </w:rPr>
        <w:t>the </w:t>
      </w:r>
      <w:r>
        <w:rPr>
          <w:w w:val="105"/>
        </w:rPr>
        <w:t>Trust’s </w:t>
      </w:r>
      <w:r>
        <w:rPr>
          <w:spacing w:val="6"/>
          <w:w w:val="105"/>
        </w:rPr>
        <w:t>receipt of </w:t>
      </w:r>
      <w:r>
        <w:rPr>
          <w:spacing w:val="3"/>
          <w:w w:val="105"/>
        </w:rPr>
        <w:t>these  </w:t>
      </w:r>
      <w:r>
        <w:rPr>
          <w:spacing w:val="4"/>
          <w:w w:val="105"/>
        </w:rPr>
        <w:t>aircraft  </w:t>
      </w:r>
      <w:r>
        <w:rPr>
          <w:spacing w:val="6"/>
          <w:w w:val="105"/>
        </w:rPr>
        <w:t>was  </w:t>
      </w:r>
      <w:r>
        <w:rPr>
          <w:spacing w:val="7"/>
          <w:w w:val="105"/>
        </w:rPr>
        <w:t>recorded </w:t>
      </w:r>
      <w:r>
        <w:rPr>
          <w:spacing w:val="6"/>
          <w:w w:val="105"/>
        </w:rPr>
        <w:t>as “Purchases of</w:t>
      </w:r>
      <w:r>
        <w:rPr>
          <w:spacing w:val="59"/>
          <w:w w:val="105"/>
        </w:rPr>
        <w:t> </w:t>
      </w:r>
      <w:r>
        <w:rPr>
          <w:spacing w:val="4"/>
          <w:w w:val="105"/>
        </w:rPr>
        <w:t>property  </w:t>
      </w:r>
      <w:r>
        <w:rPr>
          <w:spacing w:val="8"/>
          <w:w w:val="105"/>
        </w:rPr>
        <w:t>and</w:t>
      </w:r>
      <w:r>
        <w:rPr>
          <w:spacing w:val="63"/>
          <w:w w:val="105"/>
        </w:rPr>
        <w:t> </w:t>
      </w:r>
      <w:r>
        <w:rPr>
          <w:spacing w:val="9"/>
          <w:w w:val="105"/>
        </w:rPr>
        <w:t>equipment” </w:t>
      </w:r>
      <w:r>
        <w:rPr>
          <w:spacing w:val="8"/>
          <w:w w:val="105"/>
        </w:rPr>
        <w:t>and</w:t>
      </w:r>
      <w:r>
        <w:rPr>
          <w:spacing w:val="63"/>
          <w:w w:val="105"/>
        </w:rPr>
        <w:t> </w:t>
      </w:r>
      <w:r>
        <w:rPr>
          <w:spacing w:val="7"/>
          <w:w w:val="105"/>
        </w:rPr>
        <w:t>“Proceeds  </w:t>
      </w:r>
      <w:r>
        <w:rPr>
          <w:w w:val="105"/>
        </w:rPr>
        <w:t>from  trust  </w:t>
      </w:r>
      <w:r>
        <w:rPr>
          <w:spacing w:val="5"/>
          <w:w w:val="105"/>
        </w:rPr>
        <w:t>arrangement.” </w:t>
      </w:r>
      <w:r>
        <w:rPr>
          <w:spacing w:val="6"/>
          <w:w w:val="105"/>
        </w:rPr>
        <w:t>During </w:t>
      </w:r>
      <w:r>
        <w:rPr>
          <w:w w:val="105"/>
        </w:rPr>
        <w:t>2002, </w:t>
      </w:r>
      <w:r>
        <w:rPr>
          <w:spacing w:val="2"/>
          <w:w w:val="105"/>
        </w:rPr>
        <w:t>the </w:t>
      </w:r>
      <w:r>
        <w:rPr>
          <w:spacing w:val="8"/>
          <w:w w:val="105"/>
        </w:rPr>
        <w:t>Company </w:t>
      </w:r>
      <w:r>
        <w:rPr>
          <w:spacing w:val="4"/>
          <w:w w:val="105"/>
        </w:rPr>
        <w:t>accelerated </w:t>
      </w:r>
      <w:r>
        <w:rPr>
          <w:spacing w:val="6"/>
          <w:w w:val="105"/>
        </w:rPr>
        <w:t>the </w:t>
      </w:r>
      <w:r>
        <w:rPr>
          <w:spacing w:val="7"/>
          <w:w w:val="105"/>
        </w:rPr>
        <w:t>deliveries </w:t>
      </w:r>
      <w:r>
        <w:rPr>
          <w:w w:val="105"/>
        </w:rPr>
        <w:t>from </w:t>
      </w:r>
      <w:r>
        <w:rPr>
          <w:spacing w:val="2"/>
          <w:w w:val="105"/>
        </w:rPr>
        <w:t>the </w:t>
      </w:r>
      <w:r>
        <w:rPr>
          <w:w w:val="105"/>
        </w:rPr>
        <w:t>Trust  </w:t>
      </w:r>
      <w:r>
        <w:rPr>
          <w:spacing w:val="8"/>
          <w:w w:val="105"/>
        </w:rPr>
        <w:t>and</w:t>
      </w:r>
      <w:r>
        <w:rPr>
          <w:spacing w:val="63"/>
          <w:w w:val="105"/>
        </w:rPr>
        <w:t> </w:t>
      </w:r>
      <w:r>
        <w:rPr>
          <w:spacing w:val="8"/>
          <w:w w:val="105"/>
        </w:rPr>
        <w:t>accepted  </w:t>
      </w:r>
      <w:r>
        <w:rPr>
          <w:spacing w:val="6"/>
          <w:w w:val="105"/>
        </w:rPr>
        <w:t>delivery of </w:t>
      </w:r>
      <w:r>
        <w:rPr>
          <w:w w:val="105"/>
        </w:rPr>
        <w:t>all 19 </w:t>
      </w:r>
      <w:r>
        <w:rPr>
          <w:spacing w:val="3"/>
          <w:w w:val="105"/>
        </w:rPr>
        <w:t>aircraft, </w:t>
      </w:r>
      <w:r>
        <w:rPr>
          <w:spacing w:val="5"/>
          <w:w w:val="105"/>
        </w:rPr>
        <w:t>thereby </w:t>
      </w:r>
      <w:r>
        <w:rPr>
          <w:spacing w:val="8"/>
          <w:w w:val="105"/>
        </w:rPr>
        <w:t>terminating </w:t>
      </w:r>
      <w:r>
        <w:rPr>
          <w:spacing w:val="2"/>
          <w:w w:val="105"/>
        </w:rPr>
        <w:t>the </w:t>
      </w:r>
      <w:r>
        <w:rPr>
          <w:w w:val="105"/>
        </w:rPr>
        <w:t>Trust. </w:t>
      </w:r>
      <w:r>
        <w:rPr>
          <w:spacing w:val="4"/>
          <w:w w:val="105"/>
        </w:rPr>
        <w:t>The </w:t>
      </w:r>
      <w:r>
        <w:rPr>
          <w:spacing w:val="6"/>
          <w:w w:val="105"/>
        </w:rPr>
        <w:t>receipt of </w:t>
      </w:r>
      <w:r>
        <w:rPr>
          <w:spacing w:val="2"/>
          <w:w w:val="105"/>
        </w:rPr>
        <w:t>the </w:t>
      </w:r>
      <w:r>
        <w:rPr>
          <w:spacing w:val="4"/>
          <w:w w:val="105"/>
        </w:rPr>
        <w:t>aircraft </w:t>
      </w:r>
      <w:r>
        <w:rPr>
          <w:w w:val="105"/>
        </w:rPr>
        <w:t>from </w:t>
      </w:r>
      <w:r>
        <w:rPr>
          <w:spacing w:val="6"/>
          <w:w w:val="105"/>
        </w:rPr>
        <w:t>the </w:t>
      </w:r>
      <w:r>
        <w:rPr>
          <w:w w:val="105"/>
        </w:rPr>
        <w:t>Trust </w:t>
      </w:r>
      <w:r>
        <w:rPr>
          <w:spacing w:val="6"/>
          <w:w w:val="105"/>
        </w:rPr>
        <w:t>was </w:t>
      </w:r>
      <w:r>
        <w:rPr>
          <w:spacing w:val="2"/>
          <w:w w:val="105"/>
        </w:rPr>
        <w:t>reflected </w:t>
      </w:r>
      <w:r>
        <w:rPr>
          <w:spacing w:val="6"/>
          <w:w w:val="105"/>
        </w:rPr>
        <w:t>in </w:t>
      </w:r>
      <w:r>
        <w:rPr>
          <w:spacing w:val="2"/>
          <w:w w:val="105"/>
        </w:rPr>
        <w:t>the </w:t>
      </w:r>
      <w:r>
        <w:rPr>
          <w:spacing w:val="6"/>
          <w:w w:val="105"/>
        </w:rPr>
        <w:t>Consolidated </w:t>
      </w:r>
      <w:r>
        <w:rPr>
          <w:spacing w:val="5"/>
          <w:w w:val="105"/>
        </w:rPr>
        <w:t>Statement </w:t>
      </w:r>
      <w:r>
        <w:rPr>
          <w:spacing w:val="6"/>
          <w:w w:val="105"/>
        </w:rPr>
        <w:t>of </w:t>
      </w:r>
      <w:r>
        <w:rPr>
          <w:w w:val="105"/>
        </w:rPr>
        <w:t>Cash </w:t>
      </w:r>
      <w:r>
        <w:rPr>
          <w:spacing w:val="3"/>
          <w:w w:val="105"/>
        </w:rPr>
        <w:t>Flows </w:t>
      </w:r>
      <w:r>
        <w:rPr>
          <w:spacing w:val="6"/>
          <w:w w:val="105"/>
        </w:rPr>
        <w:t>as “Payments of </w:t>
      </w:r>
      <w:r>
        <w:rPr>
          <w:w w:val="105"/>
        </w:rPr>
        <w:t>trust </w:t>
      </w:r>
      <w:r>
        <w:rPr>
          <w:spacing w:val="5"/>
          <w:w w:val="105"/>
        </w:rPr>
        <w:t>arrangement.” </w:t>
      </w:r>
      <w:r>
        <w:rPr>
          <w:spacing w:val="4"/>
          <w:w w:val="105"/>
        </w:rPr>
        <w:t>The </w:t>
      </w:r>
      <w:r>
        <w:rPr>
          <w:spacing w:val="3"/>
          <w:w w:val="105"/>
        </w:rPr>
        <w:t>cost </w:t>
      </w:r>
      <w:r>
        <w:rPr>
          <w:spacing w:val="6"/>
          <w:w w:val="105"/>
        </w:rPr>
        <w:t>of</w:t>
      </w:r>
      <w:r>
        <w:rPr>
          <w:spacing w:val="59"/>
          <w:w w:val="105"/>
        </w:rPr>
        <w:t> </w:t>
      </w:r>
      <w:r>
        <w:rPr>
          <w:spacing w:val="8"/>
          <w:w w:val="105"/>
        </w:rPr>
        <w:t>financing </w:t>
      </w:r>
      <w:r>
        <w:rPr>
          <w:spacing w:val="3"/>
          <w:w w:val="105"/>
        </w:rPr>
        <w:t>these </w:t>
      </w:r>
      <w:r>
        <w:rPr>
          <w:spacing w:val="4"/>
          <w:w w:val="105"/>
        </w:rPr>
        <w:t>aircraft </w:t>
      </w:r>
      <w:r>
        <w:rPr>
          <w:spacing w:val="5"/>
          <w:w w:val="105"/>
        </w:rPr>
        <w:t>obligations, </w:t>
      </w:r>
      <w:r>
        <w:rPr>
          <w:spacing w:val="7"/>
          <w:w w:val="105"/>
        </w:rPr>
        <w:t>approximately </w:t>
      </w:r>
      <w:r>
        <w:rPr>
          <w:w w:val="105"/>
        </w:rPr>
        <w:t>$5 </w:t>
      </w:r>
      <w:r>
        <w:rPr>
          <w:spacing w:val="7"/>
          <w:w w:val="105"/>
        </w:rPr>
        <w:t>million, </w:t>
      </w:r>
      <w:r>
        <w:rPr>
          <w:spacing w:val="6"/>
          <w:w w:val="105"/>
        </w:rPr>
        <w:t>was</w:t>
      </w:r>
      <w:r>
        <w:rPr>
          <w:spacing w:val="52"/>
          <w:w w:val="105"/>
        </w:rPr>
        <w:t> </w:t>
      </w:r>
      <w:r>
        <w:rPr>
          <w:spacing w:val="10"/>
          <w:w w:val="105"/>
        </w:rPr>
        <w:t>expensed.</w:t>
      </w:r>
    </w:p>
    <w:p>
      <w:pPr>
        <w:spacing w:after="0" w:line="254" w:lineRule="auto"/>
        <w:jc w:val="both"/>
        <w:sectPr>
          <w:headerReference w:type="default" r:id="rId130"/>
          <w:pgSz w:w="11520" w:h="14400"/>
          <w:pgMar w:header="0" w:footer="706" w:top="960" w:bottom="900" w:left="700" w:right="820"/>
          <w:cols w:num="2" w:equalWidth="0">
            <w:col w:w="4741" w:space="399"/>
            <w:col w:w="4860"/>
          </w:cols>
        </w:sectPr>
      </w:pPr>
    </w:p>
    <w:p>
      <w:pPr>
        <w:pStyle w:val="BodyText"/>
        <w:spacing w:before="1"/>
        <w:rPr>
          <w:sz w:val="14"/>
        </w:rPr>
      </w:pPr>
    </w:p>
    <w:p>
      <w:pPr>
        <w:pStyle w:val="ListParagraph"/>
        <w:numPr>
          <w:ilvl w:val="0"/>
          <w:numId w:val="5"/>
        </w:numPr>
        <w:tabs>
          <w:tab w:pos="340" w:val="left" w:leader="none"/>
        </w:tabs>
        <w:spacing w:line="240" w:lineRule="auto" w:before="95" w:after="0"/>
        <w:ind w:left="340" w:right="0" w:hanging="240"/>
        <w:jc w:val="left"/>
        <w:rPr>
          <w:rFonts w:ascii="Franklin Gothic Medium"/>
          <w:sz w:val="20"/>
        </w:rPr>
      </w:pPr>
      <w:r>
        <w:rPr>
          <w:rFonts w:ascii="Franklin Gothic Medium"/>
          <w:sz w:val="20"/>
        </w:rPr>
        <w:t>Accrued</w:t>
      </w:r>
      <w:r>
        <w:rPr>
          <w:rFonts w:ascii="Franklin Gothic Medium"/>
          <w:spacing w:val="39"/>
          <w:sz w:val="20"/>
        </w:rPr>
        <w:t> </w:t>
      </w:r>
      <w:r>
        <w:rPr>
          <w:rFonts w:ascii="Franklin Gothic Medium"/>
          <w:spacing w:val="5"/>
          <w:sz w:val="20"/>
        </w:rPr>
        <w:t>Liabilites</w:t>
      </w:r>
    </w:p>
    <w:p>
      <w:pPr>
        <w:pStyle w:val="BodyText"/>
        <w:spacing w:before="4" w:after="1"/>
        <w:rPr>
          <w:rFonts w:ascii="Franklin Gothic Medium"/>
          <w:sz w:val="23"/>
        </w:rPr>
      </w:pPr>
    </w:p>
    <w:tbl>
      <w:tblPr>
        <w:tblW w:w="0" w:type="auto"/>
        <w:jc w:val="left"/>
        <w:tblInd w:w="3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32"/>
        <w:gridCol w:w="3601"/>
        <w:gridCol w:w="2065"/>
      </w:tblGrid>
      <w:tr>
        <w:trPr>
          <w:trHeight w:val="300" w:hRule="exact"/>
        </w:trPr>
        <w:tc>
          <w:tcPr>
            <w:tcW w:w="3732" w:type="dxa"/>
            <w:tcBorders>
              <w:top w:val="single" w:sz="8" w:space="0" w:color="000000"/>
              <w:bottom w:val="single" w:sz="8" w:space="0" w:color="000000"/>
            </w:tcBorders>
          </w:tcPr>
          <w:p>
            <w:pPr>
              <w:pStyle w:val="TableParagraph"/>
              <w:spacing w:before="87"/>
              <w:ind w:left="20"/>
              <w:rPr>
                <w:i/>
                <w:sz w:val="16"/>
              </w:rPr>
            </w:pPr>
            <w:r>
              <w:rPr>
                <w:i/>
                <w:w w:val="105"/>
                <w:sz w:val="16"/>
              </w:rPr>
              <w:t>(In  thousands)</w:t>
            </w:r>
          </w:p>
        </w:tc>
        <w:tc>
          <w:tcPr>
            <w:tcW w:w="3601" w:type="dxa"/>
            <w:tcBorders>
              <w:top w:val="single" w:sz="8" w:space="0" w:color="000000"/>
              <w:bottom w:val="single" w:sz="8" w:space="0" w:color="000000"/>
            </w:tcBorders>
          </w:tcPr>
          <w:p>
            <w:pPr>
              <w:pStyle w:val="TableParagraph"/>
              <w:spacing w:before="56"/>
              <w:ind w:left="2008"/>
              <w:rPr>
                <w:rFonts w:ascii="Franklin Gothic Medium"/>
                <w:sz w:val="20"/>
              </w:rPr>
            </w:pPr>
            <w:r>
              <w:rPr>
                <w:rFonts w:ascii="Franklin Gothic Medium"/>
                <w:sz w:val="20"/>
              </w:rPr>
              <w:t>2002</w:t>
            </w:r>
          </w:p>
        </w:tc>
        <w:tc>
          <w:tcPr>
            <w:tcW w:w="2065" w:type="dxa"/>
            <w:tcBorders>
              <w:top w:val="single" w:sz="8" w:space="0" w:color="000000"/>
              <w:bottom w:val="single" w:sz="8" w:space="0" w:color="000000"/>
            </w:tcBorders>
          </w:tcPr>
          <w:p>
            <w:pPr>
              <w:pStyle w:val="TableParagraph"/>
              <w:spacing w:before="56"/>
              <w:ind w:left="775" w:right="779"/>
              <w:jc w:val="center"/>
              <w:rPr>
                <w:rFonts w:ascii="Franklin Gothic Medium"/>
                <w:sz w:val="20"/>
              </w:rPr>
            </w:pPr>
            <w:r>
              <w:rPr>
                <w:rFonts w:ascii="Franklin Gothic Medium"/>
                <w:sz w:val="20"/>
              </w:rPr>
              <w:t>2001</w:t>
            </w:r>
          </w:p>
        </w:tc>
      </w:tr>
      <w:tr>
        <w:trPr>
          <w:trHeight w:val="324" w:hRule="exact"/>
        </w:trPr>
        <w:tc>
          <w:tcPr>
            <w:tcW w:w="3732" w:type="dxa"/>
            <w:tcBorders>
              <w:top w:val="single" w:sz="8" w:space="0" w:color="000000"/>
            </w:tcBorders>
          </w:tcPr>
          <w:p>
            <w:pPr>
              <w:pStyle w:val="TableParagraph"/>
              <w:spacing w:before="49"/>
              <w:ind w:left="20"/>
              <w:rPr>
                <w:sz w:val="20"/>
              </w:rPr>
            </w:pPr>
            <w:r>
              <w:rPr>
                <w:w w:val="105"/>
                <w:sz w:val="20"/>
              </w:rPr>
              <w:t>Retirement  plans  (Note  13)</w:t>
            </w:r>
          </w:p>
        </w:tc>
        <w:tc>
          <w:tcPr>
            <w:tcW w:w="3601" w:type="dxa"/>
            <w:tcBorders>
              <w:top w:val="single" w:sz="8" w:space="0" w:color="000000"/>
            </w:tcBorders>
          </w:tcPr>
          <w:p>
            <w:pPr>
              <w:pStyle w:val="TableParagraph"/>
              <w:tabs>
                <w:tab w:pos="1988" w:val="left" w:leader="none"/>
              </w:tabs>
              <w:spacing w:before="56"/>
              <w:ind w:left="1668"/>
              <w:rPr>
                <w:rFonts w:ascii="Franklin Gothic Medium"/>
                <w:sz w:val="20"/>
              </w:rPr>
            </w:pPr>
            <w:r>
              <w:rPr>
                <w:rFonts w:ascii="Franklin Gothic Medium"/>
                <w:sz w:val="20"/>
              </w:rPr>
              <w:t>$</w:t>
              <w:tab/>
              <w:t>71,233</w:t>
            </w:r>
          </w:p>
        </w:tc>
        <w:tc>
          <w:tcPr>
            <w:tcW w:w="2065" w:type="dxa"/>
            <w:tcBorders>
              <w:top w:val="single" w:sz="8" w:space="0" w:color="000000"/>
            </w:tcBorders>
          </w:tcPr>
          <w:p>
            <w:pPr>
              <w:pStyle w:val="TableParagraph"/>
              <w:spacing w:before="49"/>
              <w:ind w:left="767"/>
              <w:rPr>
                <w:sz w:val="20"/>
              </w:rPr>
            </w:pPr>
            <w:r>
              <w:rPr>
                <w:w w:val="120"/>
                <w:sz w:val="20"/>
              </w:rPr>
              <w:t>$ 147,110</w:t>
            </w:r>
          </w:p>
        </w:tc>
      </w:tr>
      <w:tr>
        <w:trPr>
          <w:trHeight w:val="280" w:hRule="exact"/>
        </w:trPr>
        <w:tc>
          <w:tcPr>
            <w:tcW w:w="3732" w:type="dxa"/>
          </w:tcPr>
          <w:p>
            <w:pPr>
              <w:pStyle w:val="TableParagraph"/>
              <w:spacing w:before="16"/>
              <w:ind w:left="20"/>
              <w:rPr>
                <w:sz w:val="20"/>
              </w:rPr>
            </w:pPr>
            <w:r>
              <w:rPr>
                <w:w w:val="105"/>
                <w:sz w:val="20"/>
              </w:rPr>
              <w:t>Aircraft rentals</w:t>
            </w:r>
          </w:p>
        </w:tc>
        <w:tc>
          <w:tcPr>
            <w:tcW w:w="3601" w:type="dxa"/>
          </w:tcPr>
          <w:p>
            <w:pPr>
              <w:pStyle w:val="TableParagraph"/>
              <w:spacing w:before="23"/>
              <w:ind w:left="1848"/>
              <w:rPr>
                <w:rFonts w:ascii="Franklin Gothic Medium"/>
                <w:sz w:val="20"/>
              </w:rPr>
            </w:pPr>
            <w:r>
              <w:rPr>
                <w:rFonts w:ascii="Franklin Gothic Medium"/>
                <w:sz w:val="20"/>
              </w:rPr>
              <w:t>120,856</w:t>
            </w:r>
          </w:p>
        </w:tc>
        <w:tc>
          <w:tcPr>
            <w:tcW w:w="2065" w:type="dxa"/>
          </w:tcPr>
          <w:p>
            <w:pPr>
              <w:pStyle w:val="TableParagraph"/>
              <w:spacing w:before="16"/>
              <w:ind w:left="947"/>
              <w:rPr>
                <w:sz w:val="20"/>
              </w:rPr>
            </w:pPr>
            <w:r>
              <w:rPr>
                <w:w w:val="120"/>
                <w:sz w:val="20"/>
              </w:rPr>
              <w:t>120,554</w:t>
            </w:r>
          </w:p>
        </w:tc>
      </w:tr>
      <w:tr>
        <w:trPr>
          <w:trHeight w:val="280" w:hRule="exact"/>
        </w:trPr>
        <w:tc>
          <w:tcPr>
            <w:tcW w:w="3732" w:type="dxa"/>
          </w:tcPr>
          <w:p>
            <w:pPr>
              <w:pStyle w:val="TableParagraph"/>
              <w:spacing w:before="16"/>
              <w:ind w:left="20"/>
              <w:rPr>
                <w:sz w:val="20"/>
              </w:rPr>
            </w:pPr>
            <w:r>
              <w:rPr>
                <w:w w:val="105"/>
                <w:sz w:val="20"/>
              </w:rPr>
              <w:t>Vacation  pay</w:t>
            </w:r>
          </w:p>
        </w:tc>
        <w:tc>
          <w:tcPr>
            <w:tcW w:w="3601" w:type="dxa"/>
          </w:tcPr>
          <w:p>
            <w:pPr>
              <w:pStyle w:val="TableParagraph"/>
              <w:spacing w:before="23"/>
              <w:ind w:left="1968"/>
              <w:rPr>
                <w:rFonts w:ascii="Franklin Gothic Medium"/>
                <w:sz w:val="20"/>
              </w:rPr>
            </w:pPr>
            <w:r>
              <w:rPr>
                <w:rFonts w:ascii="Franklin Gothic Medium"/>
                <w:sz w:val="20"/>
              </w:rPr>
              <w:t>95,664</w:t>
            </w:r>
          </w:p>
        </w:tc>
        <w:tc>
          <w:tcPr>
            <w:tcW w:w="2065" w:type="dxa"/>
          </w:tcPr>
          <w:p>
            <w:pPr>
              <w:pStyle w:val="TableParagraph"/>
              <w:spacing w:before="16"/>
              <w:ind w:left="1067"/>
              <w:rPr>
                <w:sz w:val="20"/>
              </w:rPr>
            </w:pPr>
            <w:r>
              <w:rPr>
                <w:w w:val="120"/>
                <w:sz w:val="20"/>
              </w:rPr>
              <w:t>83,105</w:t>
            </w:r>
          </w:p>
        </w:tc>
      </w:tr>
      <w:tr>
        <w:trPr>
          <w:trHeight w:val="280" w:hRule="exact"/>
        </w:trPr>
        <w:tc>
          <w:tcPr>
            <w:tcW w:w="3732" w:type="dxa"/>
          </w:tcPr>
          <w:p>
            <w:pPr>
              <w:pStyle w:val="TableParagraph"/>
              <w:spacing w:before="16"/>
              <w:ind w:left="20"/>
              <w:rPr>
                <w:sz w:val="20"/>
              </w:rPr>
            </w:pPr>
            <w:r>
              <w:rPr>
                <w:w w:val="110"/>
                <w:sz w:val="20"/>
              </w:rPr>
              <w:t>Advances  and deposits</w:t>
            </w:r>
          </w:p>
        </w:tc>
        <w:tc>
          <w:tcPr>
            <w:tcW w:w="3601" w:type="dxa"/>
          </w:tcPr>
          <w:p>
            <w:pPr>
              <w:pStyle w:val="TableParagraph"/>
              <w:spacing w:before="23"/>
              <w:ind w:left="1968"/>
              <w:rPr>
                <w:rFonts w:ascii="Franklin Gothic Medium"/>
                <w:sz w:val="20"/>
              </w:rPr>
            </w:pPr>
            <w:r>
              <w:rPr>
                <w:rFonts w:ascii="Franklin Gothic Medium"/>
                <w:sz w:val="20"/>
              </w:rPr>
              <w:t>80,458</w:t>
            </w:r>
          </w:p>
        </w:tc>
        <w:tc>
          <w:tcPr>
            <w:tcW w:w="2065" w:type="dxa"/>
          </w:tcPr>
          <w:p>
            <w:pPr>
              <w:pStyle w:val="TableParagraph"/>
              <w:spacing w:before="16"/>
              <w:ind w:left="1187"/>
              <w:rPr>
                <w:sz w:val="20"/>
              </w:rPr>
            </w:pPr>
            <w:r>
              <w:rPr>
                <w:w w:val="120"/>
                <w:sz w:val="20"/>
              </w:rPr>
              <w:t>4,557</w:t>
            </w:r>
          </w:p>
        </w:tc>
      </w:tr>
      <w:tr>
        <w:trPr>
          <w:trHeight w:val="300" w:hRule="exact"/>
        </w:trPr>
        <w:tc>
          <w:tcPr>
            <w:tcW w:w="3732" w:type="dxa"/>
          </w:tcPr>
          <w:p>
            <w:pPr>
              <w:pStyle w:val="TableParagraph"/>
              <w:spacing w:before="16"/>
              <w:ind w:left="20"/>
              <w:rPr>
                <w:sz w:val="20"/>
              </w:rPr>
            </w:pPr>
            <w:r>
              <w:rPr>
                <w:sz w:val="20"/>
              </w:rPr>
              <w:t>Other</w:t>
            </w:r>
          </w:p>
        </w:tc>
        <w:tc>
          <w:tcPr>
            <w:tcW w:w="3601" w:type="dxa"/>
          </w:tcPr>
          <w:p>
            <w:pPr>
              <w:pStyle w:val="TableParagraph"/>
              <w:tabs>
                <w:tab w:pos="639" w:val="left" w:leader="none"/>
                <w:tab w:pos="2224" w:val="left" w:leader="none"/>
              </w:tabs>
              <w:spacing w:before="23"/>
              <w:ind w:right="165"/>
              <w:jc w:val="right"/>
              <w:rPr>
                <w:rFonts w:ascii="Franklin Gothic Medium"/>
                <w:sz w:val="20"/>
              </w:rPr>
            </w:pPr>
            <w:r>
              <w:rPr>
                <w:rFonts w:ascii="Franklin Gothic Medium"/>
                <w:w w:val="116"/>
                <w:sz w:val="20"/>
                <w:u w:val="single"/>
              </w:rPr>
              <w:t> </w:t>
            </w:r>
            <w:r>
              <w:rPr>
                <w:rFonts w:ascii="Franklin Gothic Medium"/>
                <w:sz w:val="20"/>
                <w:u w:val="single"/>
              </w:rPr>
              <w:tab/>
            </w:r>
            <w:r>
              <w:rPr>
                <w:rFonts w:ascii="Franklin Gothic Medium"/>
                <w:spacing w:val="3"/>
                <w:sz w:val="20"/>
                <w:u w:val="single"/>
              </w:rPr>
              <w:t>160,898</w:t>
              <w:tab/>
            </w:r>
          </w:p>
        </w:tc>
        <w:tc>
          <w:tcPr>
            <w:tcW w:w="2065" w:type="dxa"/>
          </w:tcPr>
          <w:p>
            <w:pPr>
              <w:pStyle w:val="TableParagraph"/>
              <w:tabs>
                <w:tab w:pos="779" w:val="left" w:leader="none"/>
                <w:tab w:pos="1864" w:val="left" w:leader="none"/>
              </w:tabs>
              <w:spacing w:before="16"/>
              <w:ind w:right="30"/>
              <w:jc w:val="right"/>
              <w:rPr>
                <w:sz w:val="20"/>
              </w:rPr>
            </w:pPr>
            <w:r>
              <w:rPr>
                <w:w w:val="132"/>
                <w:sz w:val="20"/>
                <w:u w:val="single"/>
              </w:rPr>
              <w:t> </w:t>
            </w:r>
            <w:r>
              <w:rPr>
                <w:sz w:val="20"/>
                <w:u w:val="single"/>
              </w:rPr>
              <w:tab/>
            </w:r>
            <w:r>
              <w:rPr>
                <w:w w:val="115"/>
                <w:sz w:val="20"/>
                <w:u w:val="single"/>
              </w:rPr>
              <w:t>192,214</w:t>
            </w:r>
            <w:r>
              <w:rPr>
                <w:sz w:val="20"/>
                <w:u w:val="single"/>
              </w:rPr>
              <w:tab/>
            </w:r>
          </w:p>
        </w:tc>
      </w:tr>
      <w:tr>
        <w:trPr>
          <w:trHeight w:val="276" w:hRule="exact"/>
        </w:trPr>
        <w:tc>
          <w:tcPr>
            <w:tcW w:w="3732" w:type="dxa"/>
          </w:tcPr>
          <w:p>
            <w:pPr/>
          </w:p>
        </w:tc>
        <w:tc>
          <w:tcPr>
            <w:tcW w:w="3601" w:type="dxa"/>
          </w:tcPr>
          <w:p>
            <w:pPr>
              <w:pStyle w:val="TableParagraph"/>
              <w:tabs>
                <w:tab w:pos="459" w:val="left" w:leader="none"/>
                <w:tab w:pos="2219" w:val="left" w:leader="none"/>
              </w:tabs>
              <w:spacing w:before="43"/>
              <w:ind w:right="170"/>
              <w:jc w:val="right"/>
              <w:rPr>
                <w:rFonts w:ascii="Franklin Gothic Medium"/>
                <w:sz w:val="20"/>
              </w:rPr>
            </w:pPr>
            <w:r>
              <w:rPr>
                <w:rFonts w:ascii="Franklin Gothic Medium"/>
                <w:w w:val="116"/>
                <w:sz w:val="20"/>
                <w:u w:val="single"/>
              </w:rPr>
              <w:t> </w:t>
            </w:r>
            <w:r>
              <w:rPr>
                <w:rFonts w:ascii="Franklin Gothic Medium"/>
                <w:sz w:val="20"/>
                <w:u w:val="single"/>
              </w:rPr>
              <w:tab/>
              <w:t>$</w:t>
            </w:r>
            <w:r>
              <w:rPr>
                <w:rFonts w:ascii="Franklin Gothic Medium"/>
                <w:spacing w:val="36"/>
                <w:sz w:val="20"/>
                <w:u w:val="single"/>
              </w:rPr>
              <w:t> </w:t>
            </w:r>
            <w:r>
              <w:rPr>
                <w:rFonts w:ascii="Franklin Gothic Medium"/>
                <w:sz w:val="20"/>
                <w:u w:val="single"/>
              </w:rPr>
              <w:t>529,109</w:t>
              <w:tab/>
            </w:r>
          </w:p>
        </w:tc>
        <w:tc>
          <w:tcPr>
            <w:tcW w:w="2065" w:type="dxa"/>
          </w:tcPr>
          <w:p>
            <w:pPr>
              <w:pStyle w:val="TableParagraph"/>
              <w:tabs>
                <w:tab w:pos="599" w:val="left" w:leader="none"/>
                <w:tab w:pos="1859" w:val="left" w:leader="none"/>
              </w:tabs>
              <w:spacing w:before="36"/>
              <w:ind w:right="35"/>
              <w:jc w:val="right"/>
              <w:rPr>
                <w:sz w:val="20"/>
              </w:rPr>
            </w:pPr>
            <w:r>
              <w:rPr>
                <w:w w:val="132"/>
                <w:sz w:val="20"/>
                <w:u w:val="single"/>
              </w:rPr>
              <w:t> </w:t>
            </w:r>
            <w:r>
              <w:rPr>
                <w:sz w:val="20"/>
                <w:u w:val="single"/>
              </w:rPr>
              <w:tab/>
            </w:r>
            <w:r>
              <w:rPr>
                <w:w w:val="120"/>
                <w:sz w:val="20"/>
                <w:u w:val="single"/>
              </w:rPr>
              <w:t>$</w:t>
            </w:r>
            <w:r>
              <w:rPr>
                <w:spacing w:val="-7"/>
                <w:w w:val="120"/>
                <w:sz w:val="20"/>
                <w:u w:val="single"/>
              </w:rPr>
              <w:t> </w:t>
            </w:r>
            <w:r>
              <w:rPr>
                <w:w w:val="120"/>
                <w:sz w:val="20"/>
                <w:u w:val="single"/>
              </w:rPr>
              <w:t>547,540</w:t>
            </w:r>
            <w:r>
              <w:rPr>
                <w:sz w:val="20"/>
                <w:u w:val="single"/>
              </w:rPr>
              <w:tab/>
            </w:r>
          </w:p>
        </w:tc>
      </w:tr>
    </w:tbl>
    <w:p>
      <w:pPr>
        <w:pStyle w:val="BodyText"/>
        <w:rPr>
          <w:rFonts w:ascii="Franklin Gothic Medium"/>
          <w:sz w:val="27"/>
        </w:rPr>
      </w:pPr>
    </w:p>
    <w:p>
      <w:pPr>
        <w:pStyle w:val="ListParagraph"/>
        <w:numPr>
          <w:ilvl w:val="0"/>
          <w:numId w:val="5"/>
        </w:numPr>
        <w:tabs>
          <w:tab w:pos="381" w:val="left" w:leader="none"/>
        </w:tabs>
        <w:spacing w:line="240" w:lineRule="auto" w:before="0" w:after="0"/>
        <w:ind w:left="380" w:right="0" w:hanging="280"/>
        <w:jc w:val="left"/>
        <w:rPr>
          <w:rFonts w:ascii="Franklin Gothic Medium"/>
          <w:sz w:val="20"/>
        </w:rPr>
      </w:pPr>
      <w:r>
        <w:rPr>
          <w:rFonts w:ascii="Franklin Gothic Medium"/>
          <w:sz w:val="20"/>
        </w:rPr>
        <w:t>Short-Term</w:t>
      </w:r>
      <w:r>
        <w:rPr>
          <w:rFonts w:ascii="Franklin Gothic Medium"/>
          <w:spacing w:val="36"/>
          <w:sz w:val="20"/>
        </w:rPr>
        <w:t> </w:t>
      </w:r>
      <w:r>
        <w:rPr>
          <w:rFonts w:ascii="Franklin Gothic Medium"/>
          <w:spacing w:val="3"/>
          <w:sz w:val="20"/>
        </w:rPr>
        <w:t>Borrowings</w:t>
      </w:r>
    </w:p>
    <w:p>
      <w:pPr>
        <w:pStyle w:val="BodyText"/>
        <w:rPr>
          <w:rFonts w:ascii="Franklin Gothic Medium"/>
          <w:sz w:val="17"/>
        </w:rPr>
      </w:pPr>
    </w:p>
    <w:p>
      <w:pPr>
        <w:spacing w:after="0"/>
        <w:rPr>
          <w:rFonts w:ascii="Franklin Gothic Medium"/>
          <w:sz w:val="17"/>
        </w:rPr>
        <w:sectPr>
          <w:type w:val="continuous"/>
          <w:pgSz w:w="11520" w:h="14400"/>
          <w:pgMar w:top="0" w:bottom="280" w:left="700" w:right="820"/>
        </w:sectPr>
      </w:pPr>
    </w:p>
    <w:p>
      <w:pPr>
        <w:pStyle w:val="BodyText"/>
        <w:tabs>
          <w:tab w:pos="1159" w:val="left" w:leader="none"/>
          <w:tab w:pos="1699" w:val="left" w:leader="none"/>
          <w:tab w:pos="2799" w:val="left" w:leader="none"/>
          <w:tab w:pos="3899" w:val="left" w:leader="none"/>
          <w:tab w:pos="4459" w:val="left" w:leader="none"/>
        </w:tabs>
        <w:spacing w:line="254" w:lineRule="auto" w:before="92"/>
        <w:ind w:left="380" w:right="2" w:firstLine="280"/>
      </w:pPr>
      <w:r>
        <w:rPr>
          <w:spacing w:val="4"/>
          <w:w w:val="105"/>
        </w:rPr>
        <w:t>Following </w:t>
      </w:r>
      <w:r>
        <w:rPr>
          <w:spacing w:val="2"/>
          <w:w w:val="105"/>
        </w:rPr>
        <w:t>the </w:t>
      </w:r>
      <w:r>
        <w:rPr>
          <w:w w:val="105"/>
        </w:rPr>
        <w:t>terrorist </w:t>
      </w:r>
      <w:r>
        <w:rPr>
          <w:spacing w:val="2"/>
          <w:w w:val="105"/>
        </w:rPr>
        <w:t>attacks </w:t>
      </w:r>
      <w:r>
        <w:rPr>
          <w:spacing w:val="6"/>
          <w:w w:val="105"/>
        </w:rPr>
        <w:t>in </w:t>
      </w:r>
      <w:r>
        <w:rPr>
          <w:spacing w:val="7"/>
          <w:w w:val="105"/>
        </w:rPr>
        <w:t>September </w:t>
      </w:r>
      <w:r>
        <w:rPr>
          <w:w w:val="105"/>
        </w:rPr>
        <w:t>2001,</w:t>
        <w:tab/>
      </w:r>
      <w:r>
        <w:rPr>
          <w:spacing w:val="2"/>
          <w:w w:val="105"/>
        </w:rPr>
        <w:t>the</w:t>
        <w:tab/>
      </w:r>
      <w:r>
        <w:rPr>
          <w:spacing w:val="8"/>
          <w:w w:val="105"/>
        </w:rPr>
        <w:t>Company</w:t>
        <w:tab/>
      </w:r>
      <w:r>
        <w:rPr>
          <w:spacing w:val="6"/>
          <w:w w:val="105"/>
        </w:rPr>
        <w:t>borrowed</w:t>
        <w:tab/>
      </w:r>
      <w:r>
        <w:rPr>
          <w:spacing w:val="2"/>
          <w:w w:val="105"/>
        </w:rPr>
        <w:t>the</w:t>
        <w:tab/>
      </w:r>
      <w:r>
        <w:rPr/>
        <w:t>full</w:t>
      </w:r>
    </w:p>
    <w:p>
      <w:pPr>
        <w:pStyle w:val="BodyText"/>
        <w:spacing w:line="254" w:lineRule="auto"/>
        <w:ind w:left="380"/>
        <w:jc w:val="both"/>
      </w:pPr>
      <w:r>
        <w:rPr>
          <w:w w:val="105"/>
        </w:rPr>
        <w:t>$475 </w:t>
      </w:r>
      <w:r>
        <w:rPr>
          <w:spacing w:val="5"/>
          <w:w w:val="105"/>
        </w:rPr>
        <w:t>million </w:t>
      </w:r>
      <w:r>
        <w:rPr>
          <w:spacing w:val="6"/>
          <w:w w:val="105"/>
        </w:rPr>
        <w:t>available</w:t>
      </w:r>
      <w:r>
        <w:rPr>
          <w:spacing w:val="59"/>
          <w:w w:val="105"/>
        </w:rPr>
        <w:t> </w:t>
      </w:r>
      <w:r>
        <w:rPr>
          <w:spacing w:val="9"/>
          <w:w w:val="105"/>
        </w:rPr>
        <w:t>under </w:t>
      </w:r>
      <w:r>
        <w:rPr>
          <w:spacing w:val="2"/>
          <w:w w:val="105"/>
        </w:rPr>
        <w:t>its </w:t>
      </w:r>
      <w:r>
        <w:rPr>
          <w:spacing w:val="7"/>
          <w:w w:val="105"/>
        </w:rPr>
        <w:t>unsecured </w:t>
      </w:r>
      <w:r>
        <w:rPr>
          <w:spacing w:val="6"/>
          <w:w w:val="105"/>
        </w:rPr>
        <w:t>revolving credit </w:t>
      </w:r>
      <w:r>
        <w:rPr>
          <w:spacing w:val="4"/>
          <w:w w:val="105"/>
        </w:rPr>
        <w:t>line with </w:t>
      </w:r>
      <w:r>
        <w:rPr>
          <w:w w:val="105"/>
        </w:rPr>
        <w:t>a </w:t>
      </w:r>
      <w:r>
        <w:rPr>
          <w:spacing w:val="4"/>
          <w:w w:val="105"/>
        </w:rPr>
        <w:t>group </w:t>
      </w:r>
      <w:r>
        <w:rPr>
          <w:spacing w:val="6"/>
          <w:w w:val="105"/>
        </w:rPr>
        <w:t>of </w:t>
      </w:r>
      <w:r>
        <w:rPr>
          <w:spacing w:val="5"/>
          <w:w w:val="105"/>
        </w:rPr>
        <w:t>banks. </w:t>
      </w:r>
      <w:r>
        <w:rPr>
          <w:spacing w:val="4"/>
          <w:w w:val="105"/>
        </w:rPr>
        <w:t>Borrowings </w:t>
      </w:r>
      <w:r>
        <w:rPr>
          <w:spacing w:val="9"/>
          <w:w w:val="105"/>
        </w:rPr>
        <w:t>under </w:t>
      </w:r>
      <w:r>
        <w:rPr>
          <w:spacing w:val="2"/>
          <w:w w:val="105"/>
        </w:rPr>
        <w:t>the </w:t>
      </w:r>
      <w:r>
        <w:rPr>
          <w:spacing w:val="6"/>
          <w:w w:val="105"/>
        </w:rPr>
        <w:t>credit </w:t>
      </w:r>
      <w:r>
        <w:rPr>
          <w:spacing w:val="4"/>
          <w:w w:val="105"/>
        </w:rPr>
        <w:t>line </w:t>
      </w:r>
      <w:r>
        <w:rPr>
          <w:spacing w:val="5"/>
          <w:w w:val="105"/>
        </w:rPr>
        <w:t>bore </w:t>
      </w:r>
      <w:r>
        <w:rPr>
          <w:spacing w:val="4"/>
          <w:w w:val="105"/>
        </w:rPr>
        <w:t>interest </w:t>
      </w:r>
      <w:r>
        <w:rPr>
          <w:spacing w:val="6"/>
          <w:w w:val="105"/>
        </w:rPr>
        <w:t>at </w:t>
      </w:r>
      <w:r>
        <w:rPr>
          <w:spacing w:val="5"/>
          <w:w w:val="105"/>
        </w:rPr>
        <w:t>six-month </w:t>
      </w:r>
      <w:r>
        <w:rPr>
          <w:spacing w:val="2"/>
          <w:w w:val="105"/>
        </w:rPr>
        <w:t>LIBOR </w:t>
      </w:r>
      <w:r>
        <w:rPr>
          <w:spacing w:val="4"/>
          <w:w w:val="105"/>
        </w:rPr>
        <w:t>plus </w:t>
      </w:r>
      <w:r>
        <w:rPr>
          <w:w w:val="105"/>
        </w:rPr>
        <w:t>15.5 </w:t>
      </w:r>
      <w:r>
        <w:rPr>
          <w:spacing w:val="6"/>
          <w:w w:val="105"/>
        </w:rPr>
        <w:t>basis </w:t>
      </w:r>
      <w:r>
        <w:rPr>
          <w:spacing w:val="5"/>
          <w:w w:val="105"/>
        </w:rPr>
        <w:t>points. </w:t>
      </w:r>
      <w:r>
        <w:rPr>
          <w:spacing w:val="8"/>
          <w:w w:val="105"/>
        </w:rPr>
        <w:t>The Company   </w:t>
      </w:r>
      <w:r>
        <w:rPr>
          <w:spacing w:val="7"/>
          <w:w w:val="105"/>
        </w:rPr>
        <w:t>repaid    </w:t>
      </w:r>
      <w:r>
        <w:rPr>
          <w:spacing w:val="5"/>
          <w:w w:val="105"/>
        </w:rPr>
        <w:t>this   </w:t>
      </w:r>
      <w:r>
        <w:rPr>
          <w:spacing w:val="6"/>
          <w:w w:val="105"/>
        </w:rPr>
        <w:t>unsecured   </w:t>
      </w:r>
      <w:r>
        <w:rPr>
          <w:spacing w:val="13"/>
          <w:w w:val="105"/>
        </w:rPr>
        <w:t> </w:t>
      </w:r>
      <w:r>
        <w:rPr>
          <w:spacing w:val="8"/>
          <w:w w:val="105"/>
        </w:rPr>
        <w:t>revolving</w:t>
      </w:r>
    </w:p>
    <w:p>
      <w:pPr>
        <w:pStyle w:val="BodyText"/>
        <w:spacing w:line="254" w:lineRule="auto" w:before="92"/>
        <w:ind w:left="380" w:right="123"/>
        <w:jc w:val="both"/>
      </w:pPr>
      <w:r>
        <w:rPr/>
        <w:br w:type="column"/>
      </w:r>
      <w:r>
        <w:rPr>
          <w:spacing w:val="6"/>
          <w:w w:val="105"/>
        </w:rPr>
        <w:t>credit </w:t>
      </w:r>
      <w:r>
        <w:rPr>
          <w:spacing w:val="4"/>
          <w:w w:val="105"/>
        </w:rPr>
        <w:t>line </w:t>
      </w:r>
      <w:r>
        <w:rPr>
          <w:spacing w:val="6"/>
          <w:w w:val="105"/>
        </w:rPr>
        <w:t>in </w:t>
      </w:r>
      <w:r>
        <w:rPr>
          <w:w w:val="105"/>
        </w:rPr>
        <w:t>full, </w:t>
      </w:r>
      <w:r>
        <w:rPr>
          <w:spacing w:val="4"/>
          <w:w w:val="105"/>
        </w:rPr>
        <w:t>plus </w:t>
      </w:r>
      <w:r>
        <w:rPr>
          <w:spacing w:val="5"/>
          <w:w w:val="105"/>
        </w:rPr>
        <w:t>accrued  </w:t>
      </w:r>
      <w:r>
        <w:rPr>
          <w:spacing w:val="3"/>
          <w:w w:val="105"/>
        </w:rPr>
        <w:t>interest,</w:t>
      </w:r>
      <w:r>
        <w:rPr>
          <w:spacing w:val="53"/>
          <w:w w:val="105"/>
        </w:rPr>
        <w:t> </w:t>
      </w:r>
      <w:r>
        <w:rPr>
          <w:spacing w:val="12"/>
          <w:w w:val="105"/>
        </w:rPr>
        <w:t>in </w:t>
      </w:r>
      <w:r>
        <w:rPr>
          <w:spacing w:val="5"/>
          <w:w w:val="105"/>
        </w:rPr>
        <w:t>March </w:t>
      </w:r>
      <w:r>
        <w:rPr>
          <w:w w:val="105"/>
        </w:rPr>
        <w:t>2002. </w:t>
      </w:r>
      <w:r>
        <w:rPr>
          <w:spacing w:val="4"/>
          <w:w w:val="105"/>
        </w:rPr>
        <w:t>The </w:t>
      </w:r>
      <w:r>
        <w:rPr>
          <w:w w:val="105"/>
        </w:rPr>
        <w:t>$475 </w:t>
      </w:r>
      <w:r>
        <w:rPr>
          <w:spacing w:val="5"/>
          <w:w w:val="105"/>
        </w:rPr>
        <w:t>million </w:t>
      </w:r>
      <w:r>
        <w:rPr>
          <w:spacing w:val="6"/>
          <w:w w:val="105"/>
        </w:rPr>
        <w:t>borrowing </w:t>
      </w:r>
      <w:r>
        <w:rPr>
          <w:spacing w:val="10"/>
          <w:w w:val="105"/>
        </w:rPr>
        <w:t>was </w:t>
      </w:r>
      <w:r>
        <w:rPr>
          <w:spacing w:val="3"/>
          <w:w w:val="105"/>
        </w:rPr>
        <w:t>classified </w:t>
      </w:r>
      <w:r>
        <w:rPr>
          <w:spacing w:val="6"/>
          <w:w w:val="105"/>
        </w:rPr>
        <w:t>as </w:t>
      </w:r>
      <w:r>
        <w:rPr>
          <w:w w:val="105"/>
        </w:rPr>
        <w:t>a </w:t>
      </w:r>
      <w:r>
        <w:rPr>
          <w:spacing w:val="4"/>
          <w:w w:val="105"/>
        </w:rPr>
        <w:t>current liability </w:t>
      </w:r>
      <w:r>
        <w:rPr>
          <w:spacing w:val="6"/>
          <w:w w:val="105"/>
        </w:rPr>
        <w:t>in the </w:t>
      </w:r>
      <w:r>
        <w:rPr>
          <w:spacing w:val="5"/>
          <w:w w:val="105"/>
        </w:rPr>
        <w:t>Consolidated </w:t>
      </w:r>
      <w:r>
        <w:rPr>
          <w:spacing w:val="4"/>
          <w:w w:val="105"/>
        </w:rPr>
        <w:t>Balance </w:t>
      </w:r>
      <w:r>
        <w:rPr>
          <w:spacing w:val="6"/>
          <w:w w:val="105"/>
        </w:rPr>
        <w:t>Sheet at </w:t>
      </w:r>
      <w:r>
        <w:rPr>
          <w:spacing w:val="9"/>
          <w:w w:val="105"/>
        </w:rPr>
        <w:t>December </w:t>
      </w:r>
      <w:r>
        <w:rPr>
          <w:w w:val="105"/>
        </w:rPr>
        <w:t>31, 2001. </w:t>
      </w:r>
      <w:r>
        <w:rPr>
          <w:spacing w:val="4"/>
          <w:w w:val="105"/>
        </w:rPr>
        <w:t>There were </w:t>
      </w:r>
      <w:r>
        <w:rPr>
          <w:spacing w:val="6"/>
          <w:w w:val="105"/>
        </w:rPr>
        <w:t>no outstanding borrowings </w:t>
      </w:r>
      <w:r>
        <w:rPr>
          <w:spacing w:val="9"/>
          <w:w w:val="105"/>
        </w:rPr>
        <w:t>under </w:t>
      </w:r>
      <w:r>
        <w:rPr>
          <w:spacing w:val="5"/>
          <w:w w:val="105"/>
        </w:rPr>
        <w:t>this </w:t>
      </w:r>
      <w:r>
        <w:rPr>
          <w:spacing w:val="6"/>
          <w:w w:val="105"/>
        </w:rPr>
        <w:t>credit</w:t>
      </w:r>
      <w:r>
        <w:rPr>
          <w:spacing w:val="59"/>
          <w:w w:val="105"/>
        </w:rPr>
        <w:t> </w:t>
      </w:r>
      <w:r>
        <w:rPr>
          <w:spacing w:val="3"/>
          <w:w w:val="105"/>
        </w:rPr>
        <w:t>facility </w:t>
      </w:r>
      <w:r>
        <w:rPr>
          <w:spacing w:val="6"/>
          <w:w w:val="105"/>
        </w:rPr>
        <w:t>at</w:t>
      </w:r>
      <w:r>
        <w:rPr>
          <w:spacing w:val="59"/>
          <w:w w:val="105"/>
        </w:rPr>
        <w:t> </w:t>
      </w:r>
      <w:r>
        <w:rPr>
          <w:spacing w:val="9"/>
          <w:w w:val="105"/>
        </w:rPr>
        <w:t>December  </w:t>
      </w:r>
      <w:r>
        <w:rPr>
          <w:w w:val="105"/>
        </w:rPr>
        <w:t>31, 2000. </w:t>
      </w:r>
      <w:r>
        <w:rPr>
          <w:spacing w:val="6"/>
          <w:w w:val="105"/>
        </w:rPr>
        <w:t>This</w:t>
      </w:r>
      <w:r>
        <w:rPr>
          <w:spacing w:val="59"/>
          <w:w w:val="105"/>
        </w:rPr>
        <w:t> </w:t>
      </w:r>
      <w:r>
        <w:rPr>
          <w:spacing w:val="6"/>
          <w:w w:val="105"/>
        </w:rPr>
        <w:t>credit </w:t>
      </w:r>
      <w:r>
        <w:rPr>
          <w:spacing w:val="59"/>
          <w:w w:val="105"/>
        </w:rPr>
        <w:t> </w:t>
      </w:r>
      <w:r>
        <w:rPr>
          <w:spacing w:val="3"/>
          <w:w w:val="105"/>
        </w:rPr>
        <w:t>facility</w:t>
      </w:r>
      <w:r>
        <w:rPr>
          <w:spacing w:val="53"/>
          <w:w w:val="105"/>
        </w:rPr>
        <w:t> </w:t>
      </w:r>
      <w:r>
        <w:rPr>
          <w:spacing w:val="6"/>
          <w:w w:val="105"/>
        </w:rPr>
        <w:t>was </w:t>
      </w:r>
      <w:r>
        <w:rPr>
          <w:spacing w:val="59"/>
          <w:w w:val="105"/>
        </w:rPr>
        <w:t> </w:t>
      </w:r>
      <w:r>
        <w:rPr>
          <w:spacing w:val="5"/>
          <w:w w:val="105"/>
        </w:rPr>
        <w:t>replaced  </w:t>
      </w:r>
      <w:r>
        <w:rPr>
          <w:spacing w:val="12"/>
          <w:w w:val="105"/>
        </w:rPr>
        <w:t>in </w:t>
      </w:r>
      <w:r>
        <w:rPr>
          <w:spacing w:val="5"/>
          <w:w w:val="105"/>
        </w:rPr>
        <w:t>April </w:t>
      </w:r>
      <w:r>
        <w:rPr>
          <w:w w:val="105"/>
        </w:rPr>
        <w:t>2002.</w:t>
      </w:r>
    </w:p>
    <w:p>
      <w:pPr>
        <w:spacing w:after="0" w:line="254" w:lineRule="auto"/>
        <w:jc w:val="both"/>
        <w:sectPr>
          <w:type w:val="continuous"/>
          <w:pgSz w:w="11520" w:h="14400"/>
          <w:pgMar w:top="0" w:bottom="280" w:left="700" w:right="820"/>
          <w:cols w:num="2" w:equalWidth="0">
            <w:col w:w="4733" w:space="407"/>
            <w:col w:w="4860"/>
          </w:cols>
        </w:sectPr>
      </w:pPr>
    </w:p>
    <w:p>
      <w:pPr>
        <w:pStyle w:val="BodyText"/>
        <w:spacing w:line="254" w:lineRule="auto" w:before="69"/>
        <w:ind w:left="380" w:firstLine="280"/>
        <w:jc w:val="both"/>
      </w:pPr>
      <w:bookmarkStart w:name="Long-Term Debt" w:id="46"/>
      <w:bookmarkEnd w:id="46"/>
      <w:r>
        <w:rPr/>
      </w:r>
      <w:r>
        <w:rPr>
          <w:spacing w:val="4"/>
          <w:w w:val="105"/>
        </w:rPr>
        <w:t>In </w:t>
      </w:r>
      <w:r>
        <w:rPr>
          <w:spacing w:val="5"/>
          <w:w w:val="105"/>
        </w:rPr>
        <w:t>April </w:t>
      </w:r>
      <w:r>
        <w:rPr>
          <w:w w:val="105"/>
        </w:rPr>
        <w:t>2002, </w:t>
      </w:r>
      <w:r>
        <w:rPr>
          <w:spacing w:val="2"/>
          <w:w w:val="105"/>
        </w:rPr>
        <w:t>the </w:t>
      </w:r>
      <w:r>
        <w:rPr>
          <w:spacing w:val="8"/>
          <w:w w:val="105"/>
        </w:rPr>
        <w:t>Company </w:t>
      </w:r>
      <w:r>
        <w:rPr>
          <w:spacing w:val="5"/>
          <w:w w:val="105"/>
        </w:rPr>
        <w:t>entered  into  </w:t>
      </w:r>
      <w:r>
        <w:rPr>
          <w:spacing w:val="8"/>
          <w:w w:val="105"/>
        </w:rPr>
        <w:t>new </w:t>
      </w:r>
      <w:r>
        <w:rPr>
          <w:spacing w:val="6"/>
          <w:w w:val="105"/>
        </w:rPr>
        <w:t>unsecured revolving credit </w:t>
      </w:r>
      <w:r>
        <w:rPr>
          <w:spacing w:val="3"/>
          <w:w w:val="105"/>
        </w:rPr>
        <w:t>facility </w:t>
      </w:r>
      <w:r>
        <w:rPr>
          <w:spacing w:val="6"/>
          <w:w w:val="105"/>
        </w:rPr>
        <w:t>agreements  </w:t>
      </w:r>
      <w:r>
        <w:rPr>
          <w:w w:val="105"/>
        </w:rPr>
        <w:t>from  </w:t>
      </w:r>
      <w:r>
        <w:rPr>
          <w:spacing w:val="7"/>
          <w:w w:val="105"/>
        </w:rPr>
        <w:t>which  </w:t>
      </w:r>
      <w:r>
        <w:rPr>
          <w:spacing w:val="6"/>
          <w:w w:val="105"/>
        </w:rPr>
        <w:t>it  </w:t>
      </w:r>
      <w:r>
        <w:rPr>
          <w:spacing w:val="5"/>
          <w:w w:val="105"/>
        </w:rPr>
        <w:t>can  </w:t>
      </w:r>
      <w:r>
        <w:rPr>
          <w:spacing w:val="4"/>
          <w:w w:val="105"/>
        </w:rPr>
        <w:t>borrow  </w:t>
      </w:r>
      <w:r>
        <w:rPr>
          <w:spacing w:val="6"/>
          <w:w w:val="105"/>
        </w:rPr>
        <w:t>up </w:t>
      </w:r>
      <w:r>
        <w:rPr>
          <w:spacing w:val="51"/>
          <w:w w:val="105"/>
        </w:rPr>
        <w:t> </w:t>
      </w:r>
      <w:r>
        <w:rPr>
          <w:w w:val="105"/>
        </w:rPr>
        <w:t>to</w:t>
      </w:r>
    </w:p>
    <w:p>
      <w:pPr>
        <w:pStyle w:val="BodyText"/>
        <w:spacing w:line="254" w:lineRule="auto"/>
        <w:ind w:left="380" w:right="3"/>
        <w:jc w:val="both"/>
      </w:pPr>
      <w:r>
        <w:rPr>
          <w:w w:val="105"/>
        </w:rPr>
        <w:t>$575 </w:t>
      </w:r>
      <w:r>
        <w:rPr>
          <w:spacing w:val="5"/>
          <w:w w:val="105"/>
        </w:rPr>
        <w:t>million </w:t>
      </w:r>
      <w:r>
        <w:rPr>
          <w:w w:val="105"/>
        </w:rPr>
        <w:t>from a  </w:t>
      </w:r>
      <w:r>
        <w:rPr>
          <w:spacing w:val="4"/>
          <w:w w:val="105"/>
        </w:rPr>
        <w:t>group  </w:t>
      </w:r>
      <w:r>
        <w:rPr>
          <w:spacing w:val="6"/>
          <w:w w:val="105"/>
        </w:rPr>
        <w:t>of  </w:t>
      </w:r>
      <w:r>
        <w:rPr>
          <w:spacing w:val="5"/>
          <w:w w:val="105"/>
        </w:rPr>
        <w:t>banks.  One-half </w:t>
      </w:r>
      <w:r>
        <w:rPr>
          <w:spacing w:val="6"/>
          <w:w w:val="105"/>
        </w:rPr>
        <w:t>of </w:t>
      </w:r>
      <w:r>
        <w:rPr>
          <w:spacing w:val="2"/>
          <w:w w:val="105"/>
        </w:rPr>
        <w:t>the </w:t>
      </w:r>
      <w:r>
        <w:rPr>
          <w:spacing w:val="3"/>
          <w:w w:val="105"/>
        </w:rPr>
        <w:t>facility </w:t>
      </w:r>
      <w:r>
        <w:rPr>
          <w:spacing w:val="6"/>
          <w:w w:val="105"/>
        </w:rPr>
        <w:t>is </w:t>
      </w:r>
      <w:r>
        <w:rPr>
          <w:spacing w:val="3"/>
          <w:w w:val="105"/>
        </w:rPr>
        <w:t>short </w:t>
      </w:r>
      <w:r>
        <w:rPr>
          <w:w w:val="105"/>
        </w:rPr>
        <w:t>term  </w:t>
      </w:r>
      <w:r>
        <w:rPr>
          <w:spacing w:val="8"/>
          <w:w w:val="105"/>
        </w:rPr>
        <w:t>and  expires  </w:t>
      </w:r>
      <w:r>
        <w:rPr>
          <w:spacing w:val="12"/>
          <w:w w:val="105"/>
        </w:rPr>
        <w:t>on  </w:t>
      </w:r>
      <w:r>
        <w:rPr>
          <w:spacing w:val="5"/>
          <w:w w:val="105"/>
        </w:rPr>
        <w:t>April </w:t>
      </w:r>
      <w:r>
        <w:rPr>
          <w:w w:val="105"/>
        </w:rPr>
        <w:t>23, 2003, </w:t>
      </w:r>
      <w:r>
        <w:rPr>
          <w:spacing w:val="6"/>
          <w:w w:val="105"/>
        </w:rPr>
        <w:t>if </w:t>
      </w:r>
      <w:r>
        <w:rPr>
          <w:spacing w:val="8"/>
          <w:w w:val="105"/>
        </w:rPr>
        <w:t>not </w:t>
      </w:r>
      <w:r>
        <w:rPr>
          <w:spacing w:val="5"/>
          <w:w w:val="105"/>
        </w:rPr>
        <w:t>drawn before that </w:t>
      </w:r>
      <w:r>
        <w:rPr>
          <w:spacing w:val="6"/>
          <w:w w:val="105"/>
        </w:rPr>
        <w:t>date. </w:t>
      </w:r>
      <w:r>
        <w:rPr>
          <w:spacing w:val="4"/>
          <w:w w:val="105"/>
        </w:rPr>
        <w:t>The </w:t>
      </w:r>
      <w:r>
        <w:rPr>
          <w:spacing w:val="6"/>
          <w:w w:val="105"/>
        </w:rPr>
        <w:t>other one-half </w:t>
      </w:r>
      <w:r>
        <w:rPr>
          <w:spacing w:val="8"/>
          <w:w w:val="105"/>
        </w:rPr>
        <w:t>expires </w:t>
      </w:r>
      <w:r>
        <w:rPr>
          <w:spacing w:val="6"/>
          <w:w w:val="105"/>
        </w:rPr>
        <w:t>on </w:t>
      </w:r>
      <w:r>
        <w:rPr>
          <w:spacing w:val="5"/>
          <w:w w:val="105"/>
        </w:rPr>
        <w:t>April </w:t>
      </w:r>
      <w:r>
        <w:rPr>
          <w:w w:val="105"/>
        </w:rPr>
        <w:t>23, 2005. </w:t>
      </w:r>
      <w:r>
        <w:rPr>
          <w:spacing w:val="4"/>
          <w:w w:val="105"/>
        </w:rPr>
        <w:t>The  </w:t>
      </w:r>
      <w:r>
        <w:rPr>
          <w:spacing w:val="8"/>
          <w:w w:val="105"/>
        </w:rPr>
        <w:t>Company  </w:t>
      </w:r>
      <w:r>
        <w:rPr>
          <w:spacing w:val="6"/>
          <w:w w:val="105"/>
        </w:rPr>
        <w:t>expects  </w:t>
      </w:r>
      <w:r>
        <w:rPr>
          <w:spacing w:val="5"/>
          <w:w w:val="105"/>
        </w:rPr>
        <w:t>that  </w:t>
      </w:r>
      <w:r>
        <w:rPr>
          <w:spacing w:val="6"/>
          <w:w w:val="105"/>
        </w:rPr>
        <w:t>it  </w:t>
      </w:r>
      <w:r>
        <w:rPr>
          <w:spacing w:val="3"/>
          <w:w w:val="105"/>
        </w:rPr>
        <w:t>will  </w:t>
      </w:r>
      <w:r>
        <w:rPr>
          <w:spacing w:val="6"/>
          <w:w w:val="105"/>
        </w:rPr>
        <w:t>be  </w:t>
      </w:r>
      <w:r>
        <w:rPr>
          <w:spacing w:val="4"/>
          <w:w w:val="105"/>
        </w:rPr>
        <w:t>able </w:t>
      </w:r>
      <w:r>
        <w:rPr>
          <w:w w:val="105"/>
        </w:rPr>
        <w:t>to</w:t>
      </w:r>
    </w:p>
    <w:p>
      <w:pPr>
        <w:pStyle w:val="BodyText"/>
        <w:spacing w:line="254" w:lineRule="auto" w:before="69"/>
        <w:ind w:left="380" w:right="115"/>
        <w:jc w:val="both"/>
      </w:pPr>
      <w:r>
        <w:rPr/>
        <w:br w:type="column"/>
      </w:r>
      <w:r>
        <w:rPr>
          <w:spacing w:val="6"/>
          <w:w w:val="105"/>
        </w:rPr>
        <w:t>renew</w:t>
      </w:r>
      <w:r>
        <w:rPr>
          <w:spacing w:val="59"/>
          <w:w w:val="105"/>
        </w:rPr>
        <w:t> </w:t>
      </w:r>
      <w:r>
        <w:rPr>
          <w:spacing w:val="2"/>
          <w:w w:val="105"/>
        </w:rPr>
        <w:t>the </w:t>
      </w:r>
      <w:r>
        <w:rPr>
          <w:spacing w:val="8"/>
          <w:w w:val="105"/>
        </w:rPr>
        <w:t>expiring </w:t>
      </w:r>
      <w:r>
        <w:rPr>
          <w:spacing w:val="2"/>
          <w:w w:val="105"/>
        </w:rPr>
        <w:t>365-day </w:t>
      </w:r>
      <w:r>
        <w:rPr>
          <w:spacing w:val="3"/>
          <w:w w:val="105"/>
        </w:rPr>
        <w:t>facility </w:t>
      </w:r>
      <w:r>
        <w:rPr>
          <w:spacing w:val="4"/>
          <w:w w:val="105"/>
        </w:rPr>
        <w:t>for </w:t>
      </w:r>
      <w:r>
        <w:rPr>
          <w:spacing w:val="6"/>
          <w:w w:val="105"/>
        </w:rPr>
        <w:t>an </w:t>
      </w:r>
      <w:r>
        <w:rPr>
          <w:spacing w:val="9"/>
          <w:w w:val="105"/>
        </w:rPr>
        <w:t>additional </w:t>
      </w:r>
      <w:r>
        <w:rPr>
          <w:spacing w:val="2"/>
          <w:w w:val="105"/>
        </w:rPr>
        <w:t>365-day  </w:t>
      </w:r>
      <w:r>
        <w:rPr>
          <w:spacing w:val="7"/>
          <w:w w:val="105"/>
        </w:rPr>
        <w:t>period  </w:t>
      </w:r>
      <w:r>
        <w:rPr>
          <w:spacing w:val="6"/>
          <w:w w:val="105"/>
        </w:rPr>
        <w:t>at</w:t>
      </w:r>
      <w:r>
        <w:rPr>
          <w:spacing w:val="59"/>
          <w:w w:val="105"/>
        </w:rPr>
        <w:t> </w:t>
      </w:r>
      <w:r>
        <w:rPr>
          <w:spacing w:val="5"/>
          <w:w w:val="105"/>
        </w:rPr>
        <w:t>reasonable </w:t>
      </w:r>
      <w:r>
        <w:rPr>
          <w:spacing w:val="2"/>
          <w:w w:val="105"/>
        </w:rPr>
        <w:t>terms. </w:t>
      </w:r>
      <w:r>
        <w:rPr>
          <w:spacing w:val="4"/>
          <w:w w:val="105"/>
        </w:rPr>
        <w:t>If </w:t>
      </w:r>
      <w:r>
        <w:rPr>
          <w:spacing w:val="2"/>
          <w:w w:val="105"/>
        </w:rPr>
        <w:t>the </w:t>
      </w:r>
      <w:r>
        <w:rPr>
          <w:spacing w:val="8"/>
          <w:w w:val="105"/>
        </w:rPr>
        <w:t>Company </w:t>
      </w:r>
      <w:r>
        <w:rPr>
          <w:spacing w:val="6"/>
          <w:w w:val="105"/>
        </w:rPr>
        <w:t>is unable </w:t>
      </w:r>
      <w:r>
        <w:rPr>
          <w:w w:val="105"/>
        </w:rPr>
        <w:t>to </w:t>
      </w:r>
      <w:r>
        <w:rPr>
          <w:spacing w:val="6"/>
          <w:w w:val="105"/>
        </w:rPr>
        <w:t>renew, the Company’s</w:t>
      </w:r>
      <w:r>
        <w:rPr>
          <w:spacing w:val="59"/>
          <w:w w:val="105"/>
        </w:rPr>
        <w:t> </w:t>
      </w:r>
      <w:r>
        <w:rPr>
          <w:spacing w:val="6"/>
          <w:w w:val="105"/>
        </w:rPr>
        <w:t>available</w:t>
      </w:r>
      <w:r>
        <w:rPr>
          <w:spacing w:val="59"/>
          <w:w w:val="105"/>
        </w:rPr>
        <w:t> </w:t>
      </w:r>
      <w:r>
        <w:rPr>
          <w:spacing w:val="6"/>
          <w:w w:val="105"/>
        </w:rPr>
        <w:t>credit</w:t>
      </w:r>
      <w:r>
        <w:rPr>
          <w:spacing w:val="59"/>
          <w:w w:val="105"/>
        </w:rPr>
        <w:t> </w:t>
      </w:r>
      <w:r>
        <w:rPr>
          <w:spacing w:val="3"/>
          <w:w w:val="105"/>
        </w:rPr>
        <w:t>facility will </w:t>
      </w:r>
      <w:r>
        <w:rPr>
          <w:spacing w:val="12"/>
          <w:w w:val="105"/>
        </w:rPr>
        <w:t>be </w:t>
      </w:r>
      <w:r>
        <w:rPr>
          <w:spacing w:val="7"/>
          <w:w w:val="105"/>
        </w:rPr>
        <w:t>reduced. </w:t>
      </w:r>
      <w:r>
        <w:rPr>
          <w:w w:val="105"/>
        </w:rPr>
        <w:t>The effective </w:t>
      </w:r>
      <w:r>
        <w:rPr>
          <w:spacing w:val="2"/>
          <w:w w:val="105"/>
        </w:rPr>
        <w:t>borrowing </w:t>
      </w:r>
      <w:r>
        <w:rPr>
          <w:w w:val="105"/>
        </w:rPr>
        <w:t>rate of </w:t>
      </w:r>
      <w:r>
        <w:rPr>
          <w:spacing w:val="6"/>
          <w:w w:val="105"/>
        </w:rPr>
        <w:t>the </w:t>
      </w:r>
      <w:r>
        <w:rPr>
          <w:w w:val="105"/>
        </w:rPr>
        <w:t>credit facility  would  vary  </w:t>
      </w:r>
      <w:r>
        <w:rPr>
          <w:spacing w:val="4"/>
          <w:w w:val="105"/>
        </w:rPr>
        <w:t>depending  </w:t>
      </w:r>
      <w:r>
        <w:rPr>
          <w:w w:val="105"/>
        </w:rPr>
        <w:t>on  factors in place at the time funds  were  drawn,  </w:t>
      </w:r>
      <w:r>
        <w:rPr>
          <w:spacing w:val="4"/>
          <w:w w:val="105"/>
        </w:rPr>
        <w:t>as </w:t>
      </w:r>
      <w:r>
        <w:rPr>
          <w:spacing w:val="2"/>
          <w:w w:val="105"/>
        </w:rPr>
        <w:t>defined  </w:t>
      </w:r>
      <w:r>
        <w:rPr>
          <w:w w:val="105"/>
        </w:rPr>
        <w:t>in  the </w:t>
      </w:r>
      <w:r>
        <w:rPr>
          <w:spacing w:val="36"/>
          <w:w w:val="105"/>
        </w:rPr>
        <w:t> </w:t>
      </w:r>
      <w:r>
        <w:rPr>
          <w:spacing w:val="3"/>
          <w:w w:val="105"/>
        </w:rPr>
        <w:t>agreements.</w:t>
      </w:r>
    </w:p>
    <w:p>
      <w:pPr>
        <w:spacing w:after="0" w:line="254" w:lineRule="auto"/>
        <w:jc w:val="both"/>
        <w:sectPr>
          <w:headerReference w:type="default" r:id="rId131"/>
          <w:footerReference w:type="default" r:id="rId132"/>
          <w:footerReference w:type="even" r:id="rId133"/>
          <w:pgSz w:w="11520" w:h="14400"/>
          <w:pgMar w:header="0" w:footer="706" w:top="960" w:bottom="900" w:left="700" w:right="840"/>
          <w:pgNumType w:start="41"/>
          <w:cols w:num="2" w:equalWidth="0">
            <w:col w:w="4725" w:space="415"/>
            <w:col w:w="4840"/>
          </w:cols>
        </w:sectPr>
      </w:pPr>
    </w:p>
    <w:p>
      <w:pPr>
        <w:pStyle w:val="BodyText"/>
        <w:spacing w:before="1"/>
        <w:rPr>
          <w:sz w:val="14"/>
        </w:rPr>
      </w:pPr>
    </w:p>
    <w:p>
      <w:pPr>
        <w:pStyle w:val="ListParagraph"/>
        <w:numPr>
          <w:ilvl w:val="0"/>
          <w:numId w:val="5"/>
        </w:numPr>
        <w:tabs>
          <w:tab w:pos="340" w:val="left" w:leader="none"/>
        </w:tabs>
        <w:spacing w:line="240" w:lineRule="auto" w:before="95" w:after="0"/>
        <w:ind w:left="339" w:right="0" w:hanging="239"/>
        <w:jc w:val="left"/>
        <w:rPr>
          <w:rFonts w:ascii="Franklin Gothic Medium"/>
          <w:sz w:val="20"/>
        </w:rPr>
      </w:pPr>
      <w:r>
        <w:rPr>
          <w:rFonts w:ascii="Franklin Gothic Medium"/>
          <w:spacing w:val="2"/>
          <w:sz w:val="20"/>
        </w:rPr>
        <w:t>Long-Term</w:t>
      </w:r>
      <w:r>
        <w:rPr>
          <w:rFonts w:ascii="Franklin Gothic Medium"/>
          <w:spacing w:val="21"/>
          <w:sz w:val="20"/>
        </w:rPr>
        <w:t> </w:t>
      </w:r>
      <w:r>
        <w:rPr>
          <w:rFonts w:ascii="Franklin Gothic Medium"/>
          <w:spacing w:val="4"/>
          <w:sz w:val="20"/>
        </w:rPr>
        <w:t>Debt</w:t>
      </w:r>
    </w:p>
    <w:p>
      <w:pPr>
        <w:pStyle w:val="BodyText"/>
        <w:spacing w:before="4" w:after="1"/>
        <w:rPr>
          <w:rFonts w:ascii="Franklin Gothic Medium"/>
          <w:sz w:val="23"/>
        </w:rPr>
      </w:pPr>
    </w:p>
    <w:tbl>
      <w:tblPr>
        <w:tblW w:w="0" w:type="auto"/>
        <w:jc w:val="left"/>
        <w:tblInd w:w="10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01"/>
        <w:gridCol w:w="2422"/>
        <w:gridCol w:w="1975"/>
      </w:tblGrid>
      <w:tr>
        <w:trPr>
          <w:trHeight w:val="300" w:hRule="exact"/>
        </w:trPr>
        <w:tc>
          <w:tcPr>
            <w:tcW w:w="3601"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422" w:type="dxa"/>
            <w:tcBorders>
              <w:top w:val="single" w:sz="8" w:space="0" w:color="000000"/>
              <w:bottom w:val="single" w:sz="8" w:space="0" w:color="000000"/>
            </w:tcBorders>
          </w:tcPr>
          <w:p>
            <w:pPr>
              <w:pStyle w:val="TableParagraph"/>
              <w:spacing w:before="56"/>
              <w:ind w:left="1109" w:right="802"/>
              <w:jc w:val="center"/>
              <w:rPr>
                <w:rFonts w:ascii="Franklin Gothic Medium"/>
                <w:sz w:val="20"/>
              </w:rPr>
            </w:pPr>
            <w:r>
              <w:rPr>
                <w:rFonts w:ascii="Franklin Gothic Medium"/>
                <w:sz w:val="20"/>
              </w:rPr>
              <w:t>2002</w:t>
            </w:r>
          </w:p>
        </w:tc>
        <w:tc>
          <w:tcPr>
            <w:tcW w:w="1975" w:type="dxa"/>
            <w:tcBorders>
              <w:top w:val="single" w:sz="8" w:space="0" w:color="000000"/>
              <w:bottom w:val="single" w:sz="8" w:space="0" w:color="000000"/>
            </w:tcBorders>
          </w:tcPr>
          <w:p>
            <w:pPr>
              <w:pStyle w:val="TableParagraph"/>
              <w:spacing w:before="49"/>
              <w:ind w:left="705" w:right="565"/>
              <w:jc w:val="center"/>
              <w:rPr>
                <w:sz w:val="20"/>
              </w:rPr>
            </w:pPr>
            <w:r>
              <w:rPr>
                <w:w w:val="120"/>
                <w:sz w:val="20"/>
              </w:rPr>
              <w:t>2001</w:t>
            </w:r>
          </w:p>
        </w:tc>
      </w:tr>
      <w:tr>
        <w:trPr>
          <w:trHeight w:val="330" w:hRule="exact"/>
        </w:trPr>
        <w:tc>
          <w:tcPr>
            <w:tcW w:w="3601" w:type="dxa"/>
            <w:tcBorders>
              <w:top w:val="single" w:sz="8" w:space="0" w:color="000000"/>
            </w:tcBorders>
          </w:tcPr>
          <w:p>
            <w:pPr>
              <w:pStyle w:val="TableParagraph"/>
              <w:spacing w:before="68"/>
              <w:ind w:left="300"/>
              <w:rPr>
                <w:sz w:val="18"/>
              </w:rPr>
            </w:pPr>
            <w:r>
              <w:rPr>
                <w:w w:val="115"/>
                <w:sz w:val="18"/>
              </w:rPr>
              <w:t>8 3/4% Notes due 2003</w:t>
            </w:r>
          </w:p>
        </w:tc>
        <w:tc>
          <w:tcPr>
            <w:tcW w:w="2422" w:type="dxa"/>
            <w:tcBorders>
              <w:top w:val="single" w:sz="8" w:space="0" w:color="000000"/>
            </w:tcBorders>
          </w:tcPr>
          <w:p>
            <w:pPr>
              <w:pStyle w:val="TableParagraph"/>
              <w:spacing w:before="75"/>
              <w:ind w:left="939"/>
              <w:rPr>
                <w:rFonts w:ascii="Franklin Gothic Medium"/>
                <w:sz w:val="18"/>
              </w:rPr>
            </w:pPr>
            <w:r>
              <w:rPr>
                <w:rFonts w:ascii="Franklin Gothic Medium"/>
                <w:sz w:val="18"/>
              </w:rPr>
              <w:t>$   100,000</w:t>
            </w:r>
          </w:p>
        </w:tc>
        <w:tc>
          <w:tcPr>
            <w:tcW w:w="1975" w:type="dxa"/>
            <w:tcBorders>
              <w:top w:val="single" w:sz="8" w:space="0" w:color="000000"/>
            </w:tcBorders>
          </w:tcPr>
          <w:p>
            <w:pPr>
              <w:pStyle w:val="TableParagraph"/>
              <w:tabs>
                <w:tab w:pos="857" w:val="left" w:leader="none"/>
              </w:tabs>
              <w:spacing w:before="68"/>
              <w:ind w:left="517"/>
              <w:rPr>
                <w:sz w:val="18"/>
              </w:rPr>
            </w:pPr>
            <w:r>
              <w:rPr>
                <w:w w:val="120"/>
                <w:sz w:val="18"/>
              </w:rPr>
              <w:t>$</w:t>
              <w:tab/>
              <w:t>100,000</w:t>
            </w:r>
          </w:p>
        </w:tc>
      </w:tr>
      <w:tr>
        <w:trPr>
          <w:trHeight w:val="280" w:hRule="exact"/>
        </w:trPr>
        <w:tc>
          <w:tcPr>
            <w:tcW w:w="3601" w:type="dxa"/>
          </w:tcPr>
          <w:p>
            <w:pPr>
              <w:pStyle w:val="TableParagraph"/>
              <w:spacing w:before="28"/>
              <w:ind w:left="300"/>
              <w:rPr>
                <w:sz w:val="18"/>
              </w:rPr>
            </w:pPr>
            <w:r>
              <w:rPr>
                <w:w w:val="110"/>
                <w:sz w:val="18"/>
              </w:rPr>
              <w:t>Aircraft  Secured  Notes  due 2004</w:t>
            </w:r>
          </w:p>
        </w:tc>
        <w:tc>
          <w:tcPr>
            <w:tcW w:w="2422" w:type="dxa"/>
          </w:tcPr>
          <w:p>
            <w:pPr>
              <w:pStyle w:val="TableParagraph"/>
              <w:spacing w:before="34"/>
              <w:ind w:left="1219"/>
              <w:rPr>
                <w:rFonts w:ascii="Franklin Gothic Medium"/>
                <w:sz w:val="18"/>
              </w:rPr>
            </w:pPr>
            <w:r>
              <w:rPr>
                <w:rFonts w:ascii="Franklin Gothic Medium"/>
                <w:sz w:val="18"/>
              </w:rPr>
              <w:t>175,000</w:t>
            </w:r>
          </w:p>
        </w:tc>
        <w:tc>
          <w:tcPr>
            <w:tcW w:w="1975" w:type="dxa"/>
          </w:tcPr>
          <w:p>
            <w:pPr>
              <w:pStyle w:val="TableParagraph"/>
              <w:spacing w:before="28"/>
              <w:ind w:left="857"/>
              <w:rPr>
                <w:sz w:val="18"/>
              </w:rPr>
            </w:pPr>
            <w:r>
              <w:rPr>
                <w:w w:val="120"/>
                <w:sz w:val="18"/>
              </w:rPr>
              <w:t>200,000</w:t>
            </w:r>
          </w:p>
        </w:tc>
      </w:tr>
      <w:tr>
        <w:trPr>
          <w:trHeight w:val="280" w:hRule="exact"/>
        </w:trPr>
        <w:tc>
          <w:tcPr>
            <w:tcW w:w="3601" w:type="dxa"/>
          </w:tcPr>
          <w:p>
            <w:pPr>
              <w:pStyle w:val="TableParagraph"/>
              <w:spacing w:before="28"/>
              <w:ind w:left="299"/>
              <w:rPr>
                <w:sz w:val="18"/>
              </w:rPr>
            </w:pPr>
            <w:r>
              <w:rPr>
                <w:w w:val="110"/>
                <w:sz w:val="18"/>
              </w:rPr>
              <w:t>8%  Notes  due 2005</w:t>
            </w:r>
          </w:p>
        </w:tc>
        <w:tc>
          <w:tcPr>
            <w:tcW w:w="2422" w:type="dxa"/>
          </w:tcPr>
          <w:p>
            <w:pPr>
              <w:pStyle w:val="TableParagraph"/>
              <w:spacing w:before="34"/>
              <w:ind w:left="1219"/>
              <w:rPr>
                <w:rFonts w:ascii="Franklin Gothic Medium"/>
                <w:sz w:val="18"/>
              </w:rPr>
            </w:pPr>
            <w:r>
              <w:rPr>
                <w:rFonts w:ascii="Franklin Gothic Medium"/>
                <w:sz w:val="18"/>
              </w:rPr>
              <w:t>100,000</w:t>
            </w:r>
          </w:p>
        </w:tc>
        <w:tc>
          <w:tcPr>
            <w:tcW w:w="1975" w:type="dxa"/>
          </w:tcPr>
          <w:p>
            <w:pPr>
              <w:pStyle w:val="TableParagraph"/>
              <w:spacing w:before="28"/>
              <w:ind w:left="857"/>
              <w:rPr>
                <w:sz w:val="18"/>
              </w:rPr>
            </w:pPr>
            <w:r>
              <w:rPr>
                <w:w w:val="120"/>
                <w:sz w:val="18"/>
              </w:rPr>
              <w:t>100,000</w:t>
            </w:r>
          </w:p>
        </w:tc>
      </w:tr>
      <w:tr>
        <w:trPr>
          <w:trHeight w:val="280" w:hRule="exact"/>
        </w:trPr>
        <w:tc>
          <w:tcPr>
            <w:tcW w:w="3601" w:type="dxa"/>
          </w:tcPr>
          <w:p>
            <w:pPr>
              <w:pStyle w:val="TableParagraph"/>
              <w:spacing w:before="28"/>
              <w:ind w:left="299"/>
              <w:rPr>
                <w:sz w:val="18"/>
              </w:rPr>
            </w:pPr>
            <w:r>
              <w:rPr>
                <w:w w:val="110"/>
                <w:sz w:val="18"/>
              </w:rPr>
              <w:t>Pass Through Certificates</w:t>
            </w:r>
          </w:p>
        </w:tc>
        <w:tc>
          <w:tcPr>
            <w:tcW w:w="2422" w:type="dxa"/>
          </w:tcPr>
          <w:p>
            <w:pPr>
              <w:pStyle w:val="TableParagraph"/>
              <w:spacing w:before="34"/>
              <w:ind w:left="1219"/>
              <w:rPr>
                <w:rFonts w:ascii="Franklin Gothic Medium"/>
                <w:sz w:val="18"/>
              </w:rPr>
            </w:pPr>
            <w:r>
              <w:rPr>
                <w:rFonts w:ascii="Franklin Gothic Medium"/>
                <w:sz w:val="18"/>
              </w:rPr>
              <w:t>585,661</w:t>
            </w:r>
          </w:p>
        </w:tc>
        <w:tc>
          <w:tcPr>
            <w:tcW w:w="1975" w:type="dxa"/>
          </w:tcPr>
          <w:p>
            <w:pPr>
              <w:pStyle w:val="TableParagraph"/>
              <w:spacing w:before="28"/>
              <w:ind w:left="857"/>
              <w:rPr>
                <w:sz w:val="18"/>
              </w:rPr>
            </w:pPr>
            <w:r>
              <w:rPr>
                <w:w w:val="120"/>
                <w:sz w:val="18"/>
              </w:rPr>
              <w:t>614,250</w:t>
            </w:r>
          </w:p>
        </w:tc>
      </w:tr>
      <w:tr>
        <w:trPr>
          <w:trHeight w:val="280" w:hRule="exact"/>
        </w:trPr>
        <w:tc>
          <w:tcPr>
            <w:tcW w:w="3601" w:type="dxa"/>
          </w:tcPr>
          <w:p>
            <w:pPr>
              <w:pStyle w:val="TableParagraph"/>
              <w:spacing w:before="28"/>
              <w:ind w:left="299"/>
              <w:rPr>
                <w:sz w:val="18"/>
              </w:rPr>
            </w:pPr>
            <w:r>
              <w:rPr>
                <w:w w:val="115"/>
                <w:sz w:val="18"/>
              </w:rPr>
              <w:t>7 7/8% Notes due 2007</w:t>
            </w:r>
          </w:p>
        </w:tc>
        <w:tc>
          <w:tcPr>
            <w:tcW w:w="2422" w:type="dxa"/>
          </w:tcPr>
          <w:p>
            <w:pPr>
              <w:pStyle w:val="TableParagraph"/>
              <w:spacing w:before="34"/>
              <w:ind w:left="1219"/>
              <w:rPr>
                <w:rFonts w:ascii="Franklin Gothic Medium"/>
                <w:sz w:val="18"/>
              </w:rPr>
            </w:pPr>
            <w:r>
              <w:rPr>
                <w:rFonts w:ascii="Franklin Gothic Medium"/>
                <w:sz w:val="18"/>
              </w:rPr>
              <w:t>100,000</w:t>
            </w:r>
          </w:p>
        </w:tc>
        <w:tc>
          <w:tcPr>
            <w:tcW w:w="1975" w:type="dxa"/>
          </w:tcPr>
          <w:p>
            <w:pPr>
              <w:pStyle w:val="TableParagraph"/>
              <w:spacing w:before="28"/>
              <w:ind w:left="857"/>
              <w:rPr>
                <w:sz w:val="18"/>
              </w:rPr>
            </w:pPr>
            <w:r>
              <w:rPr>
                <w:w w:val="120"/>
                <w:sz w:val="18"/>
              </w:rPr>
              <w:t>100,000</w:t>
            </w:r>
          </w:p>
        </w:tc>
      </w:tr>
      <w:tr>
        <w:trPr>
          <w:trHeight w:val="300" w:hRule="exact"/>
        </w:trPr>
        <w:tc>
          <w:tcPr>
            <w:tcW w:w="3601" w:type="dxa"/>
          </w:tcPr>
          <w:p>
            <w:pPr>
              <w:pStyle w:val="TableParagraph"/>
              <w:spacing w:before="28"/>
              <w:ind w:left="299"/>
              <w:rPr>
                <w:sz w:val="18"/>
              </w:rPr>
            </w:pPr>
            <w:r>
              <w:rPr>
                <w:w w:val="105"/>
                <w:sz w:val="18"/>
              </w:rPr>
              <w:t>French  Credit  Agreements</w:t>
            </w:r>
          </w:p>
        </w:tc>
        <w:tc>
          <w:tcPr>
            <w:tcW w:w="2422" w:type="dxa"/>
          </w:tcPr>
          <w:p>
            <w:pPr>
              <w:pStyle w:val="TableParagraph"/>
              <w:spacing w:before="34"/>
              <w:ind w:left="1319"/>
              <w:rPr>
                <w:rFonts w:ascii="Franklin Gothic Medium"/>
                <w:sz w:val="18"/>
              </w:rPr>
            </w:pPr>
            <w:r>
              <w:rPr>
                <w:rFonts w:ascii="Franklin Gothic Medium"/>
                <w:sz w:val="18"/>
              </w:rPr>
              <w:t>50,024</w:t>
            </w:r>
          </w:p>
        </w:tc>
        <w:tc>
          <w:tcPr>
            <w:tcW w:w="1975" w:type="dxa"/>
          </w:tcPr>
          <w:p>
            <w:pPr>
              <w:pStyle w:val="TableParagraph"/>
              <w:spacing w:before="28"/>
              <w:ind w:left="957"/>
              <w:rPr>
                <w:sz w:val="18"/>
              </w:rPr>
            </w:pPr>
            <w:r>
              <w:rPr>
                <w:w w:val="120"/>
                <w:sz w:val="18"/>
              </w:rPr>
              <w:t>52,310</w:t>
            </w:r>
          </w:p>
        </w:tc>
      </w:tr>
      <w:tr>
        <w:trPr>
          <w:trHeight w:val="320" w:hRule="exact"/>
        </w:trPr>
        <w:tc>
          <w:tcPr>
            <w:tcW w:w="3601" w:type="dxa"/>
          </w:tcPr>
          <w:p>
            <w:pPr>
              <w:pStyle w:val="TableParagraph"/>
              <w:spacing w:before="48"/>
              <w:ind w:left="299"/>
              <w:rPr>
                <w:sz w:val="18"/>
              </w:rPr>
            </w:pPr>
            <w:r>
              <w:rPr>
                <w:w w:val="115"/>
                <w:sz w:val="18"/>
              </w:rPr>
              <w:t>6 1/2% Notes due 2012</w:t>
            </w:r>
          </w:p>
        </w:tc>
        <w:tc>
          <w:tcPr>
            <w:tcW w:w="2422" w:type="dxa"/>
          </w:tcPr>
          <w:p>
            <w:pPr>
              <w:pStyle w:val="TableParagraph"/>
              <w:spacing w:before="54"/>
              <w:ind w:left="1219"/>
              <w:rPr>
                <w:rFonts w:ascii="Franklin Gothic Medium"/>
                <w:sz w:val="18"/>
              </w:rPr>
            </w:pPr>
            <w:r>
              <w:rPr>
                <w:rFonts w:ascii="Franklin Gothic Medium"/>
                <w:sz w:val="18"/>
              </w:rPr>
              <w:t>385,000</w:t>
            </w:r>
          </w:p>
        </w:tc>
        <w:tc>
          <w:tcPr>
            <w:tcW w:w="1975" w:type="dxa"/>
          </w:tcPr>
          <w:p>
            <w:pPr>
              <w:pStyle w:val="TableParagraph"/>
              <w:spacing w:before="48"/>
              <w:ind w:left="379"/>
              <w:jc w:val="center"/>
              <w:rPr>
                <w:sz w:val="18"/>
              </w:rPr>
            </w:pPr>
            <w:r>
              <w:rPr>
                <w:w w:val="71"/>
                <w:sz w:val="18"/>
              </w:rPr>
              <w:t>-</w:t>
            </w:r>
          </w:p>
        </w:tc>
      </w:tr>
      <w:tr>
        <w:trPr>
          <w:trHeight w:val="300" w:hRule="exact"/>
        </w:trPr>
        <w:tc>
          <w:tcPr>
            <w:tcW w:w="3601" w:type="dxa"/>
          </w:tcPr>
          <w:p>
            <w:pPr>
              <w:pStyle w:val="TableParagraph"/>
              <w:spacing w:before="48"/>
              <w:ind w:left="299"/>
              <w:rPr>
                <w:sz w:val="18"/>
              </w:rPr>
            </w:pPr>
            <w:r>
              <w:rPr>
                <w:w w:val="110"/>
                <w:sz w:val="18"/>
              </w:rPr>
              <w:t>7 3/8% Debentures due   2027</w:t>
            </w:r>
          </w:p>
        </w:tc>
        <w:tc>
          <w:tcPr>
            <w:tcW w:w="2422" w:type="dxa"/>
          </w:tcPr>
          <w:p>
            <w:pPr>
              <w:pStyle w:val="TableParagraph"/>
              <w:spacing w:before="54"/>
              <w:ind w:left="1219"/>
              <w:rPr>
                <w:rFonts w:ascii="Franklin Gothic Medium"/>
                <w:sz w:val="18"/>
              </w:rPr>
            </w:pPr>
            <w:r>
              <w:rPr>
                <w:rFonts w:ascii="Franklin Gothic Medium"/>
                <w:sz w:val="18"/>
              </w:rPr>
              <w:t>100,000</w:t>
            </w:r>
          </w:p>
        </w:tc>
        <w:tc>
          <w:tcPr>
            <w:tcW w:w="1975" w:type="dxa"/>
          </w:tcPr>
          <w:p>
            <w:pPr>
              <w:pStyle w:val="TableParagraph"/>
              <w:spacing w:before="48"/>
              <w:ind w:left="877"/>
              <w:rPr>
                <w:sz w:val="18"/>
              </w:rPr>
            </w:pPr>
            <w:r>
              <w:rPr>
                <w:w w:val="120"/>
                <w:sz w:val="18"/>
              </w:rPr>
              <w:t>100,000</w:t>
            </w:r>
          </w:p>
        </w:tc>
      </w:tr>
      <w:tr>
        <w:trPr>
          <w:trHeight w:val="290" w:hRule="exact"/>
        </w:trPr>
        <w:tc>
          <w:tcPr>
            <w:tcW w:w="3601" w:type="dxa"/>
          </w:tcPr>
          <w:p>
            <w:pPr>
              <w:pStyle w:val="TableParagraph"/>
              <w:spacing w:before="28"/>
              <w:ind w:left="299"/>
              <w:rPr>
                <w:sz w:val="18"/>
              </w:rPr>
            </w:pPr>
            <w:r>
              <w:rPr>
                <w:w w:val="110"/>
                <w:sz w:val="18"/>
              </w:rPr>
              <w:t>Capital  leases  (Note 8)</w:t>
            </w:r>
          </w:p>
        </w:tc>
        <w:tc>
          <w:tcPr>
            <w:tcW w:w="2422" w:type="dxa"/>
          </w:tcPr>
          <w:p>
            <w:pPr>
              <w:pStyle w:val="TableParagraph"/>
              <w:tabs>
                <w:tab w:pos="879" w:val="left" w:leader="none"/>
                <w:tab w:pos="1924" w:val="left" w:leader="none"/>
              </w:tabs>
              <w:spacing w:before="34"/>
              <w:ind w:right="15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100,563</w:t>
              <w:tab/>
            </w:r>
          </w:p>
        </w:tc>
        <w:tc>
          <w:tcPr>
            <w:tcW w:w="1975" w:type="dxa"/>
          </w:tcPr>
          <w:p>
            <w:pPr>
              <w:pStyle w:val="TableParagraph"/>
              <w:tabs>
                <w:tab w:pos="699" w:val="left" w:leader="none"/>
                <w:tab w:pos="1784" w:val="left" w:leader="none"/>
              </w:tabs>
              <w:spacing w:before="28"/>
              <w:ind w:right="30"/>
              <w:jc w:val="right"/>
              <w:rPr>
                <w:sz w:val="18"/>
              </w:rPr>
            </w:pPr>
            <w:r>
              <w:rPr>
                <w:w w:val="132"/>
                <w:sz w:val="18"/>
                <w:u w:val="single"/>
              </w:rPr>
              <w:t> </w:t>
            </w:r>
            <w:r>
              <w:rPr>
                <w:sz w:val="18"/>
                <w:u w:val="single"/>
              </w:rPr>
              <w:tab/>
            </w:r>
            <w:r>
              <w:rPr>
                <w:spacing w:val="-1"/>
                <w:w w:val="115"/>
                <w:sz w:val="18"/>
                <w:u w:val="single"/>
              </w:rPr>
              <w:t>109,268</w:t>
            </w:r>
            <w:r>
              <w:rPr>
                <w:spacing w:val="-1"/>
                <w:sz w:val="18"/>
                <w:u w:val="single"/>
              </w:rPr>
              <w:tab/>
            </w:r>
          </w:p>
        </w:tc>
      </w:tr>
      <w:tr>
        <w:trPr>
          <w:trHeight w:val="290" w:hRule="exact"/>
        </w:trPr>
        <w:tc>
          <w:tcPr>
            <w:tcW w:w="3601" w:type="dxa"/>
          </w:tcPr>
          <w:p>
            <w:pPr/>
          </w:p>
        </w:tc>
        <w:tc>
          <w:tcPr>
            <w:tcW w:w="2422" w:type="dxa"/>
          </w:tcPr>
          <w:p>
            <w:pPr>
              <w:pStyle w:val="TableParagraph"/>
              <w:spacing w:before="44"/>
              <w:ind w:left="1059"/>
              <w:rPr>
                <w:rFonts w:ascii="Franklin Gothic Medium"/>
                <w:sz w:val="18"/>
              </w:rPr>
            </w:pPr>
            <w:r>
              <w:rPr>
                <w:rFonts w:ascii="Franklin Gothic Medium"/>
                <w:sz w:val="18"/>
              </w:rPr>
              <w:t>1,696,248</w:t>
            </w:r>
          </w:p>
        </w:tc>
        <w:tc>
          <w:tcPr>
            <w:tcW w:w="1975" w:type="dxa"/>
          </w:tcPr>
          <w:p>
            <w:pPr>
              <w:pStyle w:val="TableParagraph"/>
              <w:spacing w:before="38"/>
              <w:ind w:left="697"/>
              <w:rPr>
                <w:sz w:val="18"/>
              </w:rPr>
            </w:pPr>
            <w:r>
              <w:rPr>
                <w:w w:val="120"/>
                <w:sz w:val="18"/>
              </w:rPr>
              <w:t>1,375,828</w:t>
            </w:r>
          </w:p>
        </w:tc>
      </w:tr>
      <w:tr>
        <w:trPr>
          <w:trHeight w:val="280" w:hRule="exact"/>
        </w:trPr>
        <w:tc>
          <w:tcPr>
            <w:tcW w:w="3601" w:type="dxa"/>
          </w:tcPr>
          <w:p>
            <w:pPr>
              <w:pStyle w:val="TableParagraph"/>
              <w:spacing w:before="28"/>
              <w:ind w:left="300"/>
              <w:rPr>
                <w:sz w:val="18"/>
              </w:rPr>
            </w:pPr>
            <w:r>
              <w:rPr>
                <w:w w:val="110"/>
                <w:sz w:val="18"/>
              </w:rPr>
              <w:t>Less current  maturities</w:t>
            </w:r>
          </w:p>
        </w:tc>
        <w:tc>
          <w:tcPr>
            <w:tcW w:w="2422" w:type="dxa"/>
          </w:tcPr>
          <w:p>
            <w:pPr>
              <w:pStyle w:val="TableParagraph"/>
              <w:spacing w:before="34"/>
              <w:ind w:left="1219"/>
              <w:rPr>
                <w:rFonts w:ascii="Franklin Gothic Medium"/>
                <w:sz w:val="18"/>
              </w:rPr>
            </w:pPr>
            <w:r>
              <w:rPr>
                <w:rFonts w:ascii="Franklin Gothic Medium"/>
                <w:sz w:val="18"/>
              </w:rPr>
              <w:t>130,454</w:t>
            </w:r>
          </w:p>
        </w:tc>
        <w:tc>
          <w:tcPr>
            <w:tcW w:w="1975" w:type="dxa"/>
          </w:tcPr>
          <w:p>
            <w:pPr>
              <w:pStyle w:val="TableParagraph"/>
              <w:spacing w:before="28"/>
              <w:ind w:left="957"/>
              <w:rPr>
                <w:sz w:val="18"/>
              </w:rPr>
            </w:pPr>
            <w:r>
              <w:rPr>
                <w:w w:val="120"/>
                <w:sz w:val="18"/>
              </w:rPr>
              <w:t>39,567</w:t>
            </w:r>
          </w:p>
        </w:tc>
      </w:tr>
      <w:tr>
        <w:trPr>
          <w:trHeight w:val="290" w:hRule="exact"/>
        </w:trPr>
        <w:tc>
          <w:tcPr>
            <w:tcW w:w="3601" w:type="dxa"/>
          </w:tcPr>
          <w:p>
            <w:pPr>
              <w:pStyle w:val="TableParagraph"/>
              <w:spacing w:before="28"/>
              <w:ind w:left="300"/>
              <w:rPr>
                <w:sz w:val="18"/>
              </w:rPr>
            </w:pPr>
            <w:r>
              <w:rPr>
                <w:w w:val="115"/>
                <w:sz w:val="18"/>
              </w:rPr>
              <w:t>Less debt discount  and issue costs</w:t>
            </w:r>
          </w:p>
        </w:tc>
        <w:tc>
          <w:tcPr>
            <w:tcW w:w="2422" w:type="dxa"/>
          </w:tcPr>
          <w:p>
            <w:pPr>
              <w:pStyle w:val="TableParagraph"/>
              <w:tabs>
                <w:tab w:pos="979" w:val="left" w:leader="none"/>
                <w:tab w:pos="1924" w:val="left" w:leader="none"/>
              </w:tabs>
              <w:spacing w:before="34"/>
              <w:ind w:right="155"/>
              <w:jc w:val="right"/>
              <w:rPr>
                <w:rFonts w:ascii="Franklin Gothic Medium"/>
                <w:sz w:val="18"/>
              </w:rPr>
            </w:pPr>
            <w:r>
              <w:rPr>
                <w:rFonts w:ascii="Franklin Gothic Medium"/>
                <w:w w:val="116"/>
                <w:sz w:val="18"/>
                <w:u w:val="single"/>
              </w:rPr>
              <w:t> </w:t>
            </w:r>
            <w:r>
              <w:rPr>
                <w:rFonts w:ascii="Franklin Gothic Medium"/>
                <w:sz w:val="18"/>
                <w:u w:val="single"/>
              </w:rPr>
              <w:tab/>
              <w:t>13,013</w:t>
              <w:tab/>
            </w:r>
          </w:p>
        </w:tc>
        <w:tc>
          <w:tcPr>
            <w:tcW w:w="1975" w:type="dxa"/>
          </w:tcPr>
          <w:p>
            <w:pPr>
              <w:pStyle w:val="TableParagraph"/>
              <w:tabs>
                <w:tab w:pos="919" w:val="left" w:leader="none"/>
                <w:tab w:pos="1784" w:val="left" w:leader="none"/>
              </w:tabs>
              <w:spacing w:before="28"/>
              <w:ind w:right="30"/>
              <w:jc w:val="right"/>
              <w:rPr>
                <w:sz w:val="18"/>
              </w:rPr>
            </w:pPr>
            <w:r>
              <w:rPr>
                <w:w w:val="132"/>
                <w:sz w:val="18"/>
                <w:u w:val="single"/>
              </w:rPr>
              <w:t> </w:t>
            </w:r>
            <w:r>
              <w:rPr>
                <w:sz w:val="18"/>
                <w:u w:val="single"/>
              </w:rPr>
              <w:tab/>
            </w:r>
            <w:r>
              <w:rPr>
                <w:spacing w:val="-2"/>
                <w:w w:val="115"/>
                <w:sz w:val="18"/>
                <w:u w:val="single"/>
              </w:rPr>
              <w:t>9,103</w:t>
            </w:r>
            <w:r>
              <w:rPr>
                <w:spacing w:val="-2"/>
                <w:sz w:val="18"/>
                <w:u w:val="single"/>
              </w:rPr>
              <w:tab/>
            </w:r>
          </w:p>
        </w:tc>
      </w:tr>
      <w:tr>
        <w:trPr>
          <w:trHeight w:val="255" w:hRule="exact"/>
        </w:trPr>
        <w:tc>
          <w:tcPr>
            <w:tcW w:w="3601" w:type="dxa"/>
          </w:tcPr>
          <w:p>
            <w:pPr/>
          </w:p>
        </w:tc>
        <w:tc>
          <w:tcPr>
            <w:tcW w:w="2422" w:type="dxa"/>
          </w:tcPr>
          <w:p>
            <w:pPr>
              <w:pStyle w:val="TableParagraph"/>
              <w:tabs>
                <w:tab w:pos="559" w:val="left" w:leader="none"/>
                <w:tab w:pos="1919" w:val="left" w:leader="none"/>
              </w:tabs>
              <w:spacing w:before="44"/>
              <w:ind w:right="16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18"/>
                <w:sz w:val="18"/>
                <w:u w:val="single"/>
              </w:rPr>
              <w:t> </w:t>
            </w:r>
            <w:r>
              <w:rPr>
                <w:rFonts w:ascii="Franklin Gothic Medium"/>
                <w:sz w:val="18"/>
                <w:u w:val="single"/>
              </w:rPr>
              <w:t>1,552,781</w:t>
              <w:tab/>
            </w:r>
          </w:p>
        </w:tc>
        <w:tc>
          <w:tcPr>
            <w:tcW w:w="1975" w:type="dxa"/>
          </w:tcPr>
          <w:p>
            <w:pPr>
              <w:pStyle w:val="TableParagraph"/>
              <w:tabs>
                <w:tab w:pos="379" w:val="left" w:leader="none"/>
                <w:tab w:pos="1779"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16"/>
                <w:w w:val="120"/>
                <w:sz w:val="18"/>
                <w:u w:val="single"/>
              </w:rPr>
              <w:t> </w:t>
            </w:r>
            <w:r>
              <w:rPr>
                <w:w w:val="120"/>
                <w:sz w:val="18"/>
                <w:u w:val="single"/>
              </w:rPr>
              <w:t>1,327,158</w:t>
            </w:r>
            <w:r>
              <w:rPr>
                <w:sz w:val="18"/>
                <w:u w:val="single"/>
              </w:rPr>
              <w:tab/>
            </w:r>
          </w:p>
        </w:tc>
      </w:tr>
    </w:tbl>
    <w:p>
      <w:pPr>
        <w:pStyle w:val="BodyText"/>
        <w:spacing w:before="5"/>
        <w:rPr>
          <w:rFonts w:ascii="Franklin Gothic Medium"/>
        </w:rPr>
      </w:pPr>
    </w:p>
    <w:p>
      <w:pPr>
        <w:spacing w:after="0"/>
        <w:rPr>
          <w:rFonts w:ascii="Franklin Gothic Medium"/>
        </w:rPr>
        <w:sectPr>
          <w:type w:val="continuous"/>
          <w:pgSz w:w="11520" w:h="14400"/>
          <w:pgMar w:top="0" w:bottom="280" w:left="700" w:right="840"/>
        </w:sectPr>
      </w:pPr>
    </w:p>
    <w:p>
      <w:pPr>
        <w:pStyle w:val="BodyText"/>
        <w:spacing w:before="93"/>
        <w:ind w:left="660"/>
      </w:pPr>
      <w:r>
        <w:rPr>
          <w:w w:val="110"/>
        </w:rPr>
        <w:t>On  March  1,  2002,  the  Company   issued</w:t>
      </w:r>
    </w:p>
    <w:p>
      <w:pPr>
        <w:pStyle w:val="BodyText"/>
        <w:spacing w:line="254" w:lineRule="auto" w:before="16"/>
        <w:ind w:left="380" w:right="13"/>
        <w:jc w:val="both"/>
      </w:pPr>
      <w:r>
        <w:rPr>
          <w:w w:val="105"/>
        </w:rPr>
        <w:t>$385 million senior unsecured Notes (Notes) due  March  1, 2012.  The  Notes  bear  interest at</w:t>
      </w:r>
    </w:p>
    <w:p>
      <w:pPr>
        <w:pStyle w:val="BodyText"/>
        <w:spacing w:line="254" w:lineRule="auto" w:before="1"/>
        <w:ind w:left="379" w:right="3"/>
        <w:jc w:val="both"/>
      </w:pPr>
      <w:r>
        <w:rPr>
          <w:w w:val="105"/>
        </w:rPr>
        <w:t>6.5  percent,  payable  semi-annually  </w:t>
      </w:r>
      <w:r>
        <w:rPr>
          <w:spacing w:val="10"/>
          <w:w w:val="105"/>
        </w:rPr>
        <w:t>beginning </w:t>
      </w:r>
      <w:r>
        <w:rPr>
          <w:w w:val="105"/>
        </w:rPr>
        <w:t>on  </w:t>
      </w:r>
      <w:r>
        <w:rPr>
          <w:spacing w:val="2"/>
          <w:w w:val="105"/>
        </w:rPr>
        <w:t>September  </w:t>
      </w:r>
      <w:r>
        <w:rPr>
          <w:w w:val="105"/>
        </w:rPr>
        <w:t>1,  2002.  Southwest  used  </w:t>
      </w:r>
      <w:r>
        <w:rPr>
          <w:spacing w:val="6"/>
          <w:w w:val="105"/>
        </w:rPr>
        <w:t>the  </w:t>
      </w:r>
      <w:r>
        <w:rPr>
          <w:w w:val="105"/>
        </w:rPr>
        <w:t>net proceeds from the </w:t>
      </w:r>
      <w:r>
        <w:rPr>
          <w:spacing w:val="2"/>
          <w:w w:val="105"/>
        </w:rPr>
        <w:t>issuance </w:t>
      </w:r>
      <w:r>
        <w:rPr>
          <w:w w:val="105"/>
        </w:rPr>
        <w:t>of the </w:t>
      </w:r>
      <w:r>
        <w:rPr>
          <w:spacing w:val="4"/>
          <w:w w:val="105"/>
        </w:rPr>
        <w:t>Notes, </w:t>
      </w:r>
      <w:r>
        <w:rPr>
          <w:spacing w:val="3"/>
          <w:w w:val="105"/>
        </w:rPr>
        <w:t>approximately </w:t>
      </w:r>
      <w:r>
        <w:rPr>
          <w:w w:val="105"/>
        </w:rPr>
        <w:t>$380.2 million, for </w:t>
      </w:r>
      <w:r>
        <w:rPr>
          <w:spacing w:val="6"/>
          <w:w w:val="105"/>
        </w:rPr>
        <w:t>general </w:t>
      </w:r>
      <w:r>
        <w:rPr>
          <w:w w:val="105"/>
        </w:rPr>
        <w:t>corporate  purposes,  </w:t>
      </w:r>
      <w:r>
        <w:rPr>
          <w:spacing w:val="2"/>
          <w:w w:val="105"/>
        </w:rPr>
        <w:t>including   </w:t>
      </w:r>
      <w:r>
        <w:rPr>
          <w:w w:val="105"/>
        </w:rPr>
        <w:t>the   </w:t>
      </w:r>
      <w:r>
        <w:rPr>
          <w:spacing w:val="8"/>
          <w:w w:val="105"/>
        </w:rPr>
        <w:t>repayment </w:t>
      </w:r>
      <w:r>
        <w:rPr>
          <w:w w:val="105"/>
        </w:rPr>
        <w:t>of the Company’s credit facility in  March  2002. See  Note </w:t>
      </w:r>
      <w:r>
        <w:rPr>
          <w:spacing w:val="19"/>
          <w:w w:val="105"/>
        </w:rPr>
        <w:t> </w:t>
      </w:r>
      <w:r>
        <w:rPr>
          <w:w w:val="105"/>
        </w:rPr>
        <w:t>6.</w:t>
      </w:r>
    </w:p>
    <w:p>
      <w:pPr>
        <w:pStyle w:val="BodyText"/>
        <w:spacing w:before="1"/>
        <w:ind w:left="659"/>
      </w:pPr>
      <w:r>
        <w:rPr>
          <w:w w:val="110"/>
        </w:rPr>
        <w:t>On October 30, 2001, the  Company  issued</w:t>
      </w:r>
    </w:p>
    <w:p>
      <w:pPr>
        <w:pStyle w:val="BodyText"/>
        <w:spacing w:line="254" w:lineRule="auto" w:before="16"/>
        <w:ind w:left="379"/>
        <w:jc w:val="both"/>
      </w:pPr>
      <w:r>
        <w:rPr>
          <w:w w:val="110"/>
        </w:rPr>
        <w:t>$614.3 million Pass Through Certificates consisting of $150.0 million 5.1% Class A-1 certificates, $375.0 million 5.5% Class A-2 certificates, and $89.3 million 6.1% Class B certificates. A separate trust was established for each class of certificates. The  trusts  used the  proceeds  from  the  sale  of  certificates  to</w:t>
      </w:r>
    </w:p>
    <w:p>
      <w:pPr>
        <w:pStyle w:val="BodyText"/>
        <w:spacing w:line="254" w:lineRule="auto" w:before="93"/>
        <w:ind w:left="379" w:right="105"/>
        <w:jc w:val="both"/>
      </w:pPr>
      <w:r>
        <w:rPr/>
        <w:br w:type="column"/>
      </w:r>
      <w:r>
        <w:rPr>
          <w:spacing w:val="2"/>
          <w:w w:val="105"/>
        </w:rPr>
        <w:t>acquire  </w:t>
      </w:r>
      <w:r>
        <w:rPr>
          <w:spacing w:val="4"/>
          <w:w w:val="105"/>
        </w:rPr>
        <w:t>equipment  </w:t>
      </w:r>
      <w:r>
        <w:rPr>
          <w:w w:val="105"/>
        </w:rPr>
        <w:t>notes,  which  were  </w:t>
      </w:r>
      <w:r>
        <w:rPr>
          <w:spacing w:val="8"/>
          <w:w w:val="105"/>
        </w:rPr>
        <w:t>issued </w:t>
      </w:r>
      <w:r>
        <w:rPr>
          <w:w w:val="105"/>
        </w:rPr>
        <w:t>by  Southwest  on  a  full  recourse  </w:t>
      </w:r>
      <w:r>
        <w:rPr>
          <w:spacing w:val="5"/>
          <w:w w:val="105"/>
        </w:rPr>
        <w:t>basis. </w:t>
      </w:r>
      <w:r>
        <w:rPr>
          <w:w w:val="105"/>
        </w:rPr>
        <w:t>Payments  on  the  </w:t>
      </w:r>
      <w:r>
        <w:rPr>
          <w:spacing w:val="4"/>
          <w:w w:val="105"/>
        </w:rPr>
        <w:t>equipment  </w:t>
      </w:r>
      <w:r>
        <w:rPr>
          <w:w w:val="105"/>
        </w:rPr>
        <w:t>notes  held   </w:t>
      </w:r>
      <w:r>
        <w:rPr>
          <w:spacing w:val="11"/>
          <w:w w:val="105"/>
        </w:rPr>
        <w:t>in </w:t>
      </w:r>
      <w:r>
        <w:rPr>
          <w:w w:val="105"/>
        </w:rPr>
        <w:t>each  trust  will  be  passed  through  to  </w:t>
      </w:r>
      <w:r>
        <w:rPr>
          <w:spacing w:val="6"/>
          <w:w w:val="105"/>
        </w:rPr>
        <w:t>the </w:t>
      </w:r>
      <w:r>
        <w:rPr>
          <w:w w:val="105"/>
        </w:rPr>
        <w:t>holders of certificates of such trust. </w:t>
      </w:r>
      <w:r>
        <w:rPr>
          <w:spacing w:val="8"/>
          <w:w w:val="105"/>
        </w:rPr>
        <w:t>The </w:t>
      </w:r>
      <w:r>
        <w:rPr>
          <w:spacing w:val="4"/>
          <w:w w:val="105"/>
        </w:rPr>
        <w:t>equipment </w:t>
      </w:r>
      <w:r>
        <w:rPr>
          <w:w w:val="105"/>
        </w:rPr>
        <w:t>notes were issued for each of 29 Boeing 737-700 aircraft  </w:t>
      </w:r>
      <w:r>
        <w:rPr>
          <w:spacing w:val="2"/>
          <w:w w:val="105"/>
        </w:rPr>
        <w:t>owned  </w:t>
      </w:r>
      <w:r>
        <w:rPr>
          <w:w w:val="105"/>
        </w:rPr>
        <w:t>by  </w:t>
      </w:r>
      <w:r>
        <w:rPr>
          <w:spacing w:val="5"/>
          <w:w w:val="105"/>
        </w:rPr>
        <w:t>Southwest </w:t>
      </w:r>
      <w:r>
        <w:rPr>
          <w:w w:val="105"/>
        </w:rPr>
        <w:t>and  are  secured  by  a  mortgage  on  </w:t>
      </w:r>
      <w:r>
        <w:rPr>
          <w:spacing w:val="8"/>
          <w:w w:val="105"/>
        </w:rPr>
        <w:t>such </w:t>
      </w:r>
      <w:r>
        <w:rPr>
          <w:w w:val="105"/>
        </w:rPr>
        <w:t>aircraft. Interest on the  </w:t>
      </w:r>
      <w:r>
        <w:rPr>
          <w:spacing w:val="4"/>
          <w:w w:val="105"/>
        </w:rPr>
        <w:t>equipment  </w:t>
      </w:r>
      <w:r>
        <w:rPr>
          <w:w w:val="105"/>
        </w:rPr>
        <w:t>notes  </w:t>
      </w:r>
      <w:r>
        <w:rPr>
          <w:spacing w:val="9"/>
          <w:w w:val="105"/>
        </w:rPr>
        <w:t>held </w:t>
      </w:r>
      <w:r>
        <w:rPr>
          <w:w w:val="105"/>
        </w:rPr>
        <w:t>for the certificates is payable </w:t>
      </w:r>
      <w:r>
        <w:rPr>
          <w:spacing w:val="5"/>
          <w:w w:val="105"/>
        </w:rPr>
        <w:t>semi-annually, </w:t>
      </w:r>
      <w:r>
        <w:rPr>
          <w:spacing w:val="3"/>
          <w:w w:val="105"/>
        </w:rPr>
        <w:t>beginning</w:t>
      </w:r>
      <w:r>
        <w:rPr>
          <w:spacing w:val="53"/>
          <w:w w:val="105"/>
        </w:rPr>
        <w:t> </w:t>
      </w:r>
      <w:r>
        <w:rPr>
          <w:w w:val="105"/>
        </w:rPr>
        <w:t>May  1,  2002.  </w:t>
      </w:r>
      <w:r>
        <w:rPr>
          <w:spacing w:val="2"/>
          <w:w w:val="105"/>
        </w:rPr>
        <w:t>Beginning  </w:t>
      </w:r>
      <w:r>
        <w:rPr>
          <w:w w:val="105"/>
        </w:rPr>
        <w:t>May   1, 2002, </w:t>
      </w:r>
      <w:r>
        <w:rPr>
          <w:spacing w:val="2"/>
          <w:w w:val="105"/>
        </w:rPr>
        <w:t>principal payments </w:t>
      </w:r>
      <w:r>
        <w:rPr>
          <w:w w:val="105"/>
        </w:rPr>
        <w:t>on the </w:t>
      </w:r>
      <w:r>
        <w:rPr>
          <w:spacing w:val="12"/>
          <w:w w:val="105"/>
        </w:rPr>
        <w:t>equipment </w:t>
      </w:r>
      <w:r>
        <w:rPr>
          <w:w w:val="105"/>
        </w:rPr>
        <w:t>notes  held  for  the  Class  A-1  certificates   </w:t>
      </w:r>
      <w:r>
        <w:rPr>
          <w:spacing w:val="6"/>
          <w:w w:val="105"/>
        </w:rPr>
        <w:t>are </w:t>
      </w:r>
      <w:r>
        <w:rPr>
          <w:w w:val="105"/>
        </w:rPr>
        <w:t>due </w:t>
      </w:r>
      <w:r>
        <w:rPr>
          <w:spacing w:val="2"/>
          <w:w w:val="105"/>
        </w:rPr>
        <w:t>semi-annually </w:t>
      </w:r>
      <w:r>
        <w:rPr>
          <w:w w:val="105"/>
        </w:rPr>
        <w:t>until the </w:t>
      </w:r>
      <w:r>
        <w:rPr>
          <w:spacing w:val="2"/>
          <w:w w:val="105"/>
        </w:rPr>
        <w:t>balance </w:t>
      </w:r>
      <w:r>
        <w:rPr>
          <w:w w:val="105"/>
        </w:rPr>
        <w:t>of </w:t>
      </w:r>
      <w:r>
        <w:rPr>
          <w:spacing w:val="6"/>
          <w:w w:val="105"/>
        </w:rPr>
        <w:t>the </w:t>
      </w:r>
      <w:r>
        <w:rPr>
          <w:w w:val="105"/>
        </w:rPr>
        <w:t>certificates mature on May 1, 2006. The </w:t>
      </w:r>
      <w:r>
        <w:rPr>
          <w:spacing w:val="8"/>
          <w:w w:val="105"/>
        </w:rPr>
        <w:t>entire </w:t>
      </w:r>
      <w:r>
        <w:rPr>
          <w:w w:val="105"/>
        </w:rPr>
        <w:t>principal of the equipment  notes  for  the  Class A-2 and Class B certificates are </w:t>
      </w:r>
      <w:r>
        <w:rPr>
          <w:spacing w:val="2"/>
          <w:w w:val="105"/>
        </w:rPr>
        <w:t>scheduled </w:t>
      </w:r>
      <w:r>
        <w:rPr>
          <w:w w:val="105"/>
        </w:rPr>
        <w:t>for payment  on  November  1,   2006.</w:t>
      </w:r>
    </w:p>
    <w:p>
      <w:pPr>
        <w:spacing w:after="0" w:line="254" w:lineRule="auto"/>
        <w:jc w:val="both"/>
        <w:sectPr>
          <w:type w:val="continuous"/>
          <w:pgSz w:w="11520" w:h="14400"/>
          <w:pgMar w:top="0" w:bottom="280" w:left="700" w:right="840"/>
          <w:cols w:num="2" w:equalWidth="0">
            <w:col w:w="4736" w:space="404"/>
            <w:col w:w="4840"/>
          </w:cols>
        </w:sectPr>
      </w:pPr>
    </w:p>
    <w:p>
      <w:pPr>
        <w:pStyle w:val="BodyText"/>
        <w:spacing w:before="69"/>
        <w:ind w:left="660"/>
      </w:pPr>
      <w:r>
        <w:rPr>
          <w:w w:val="105"/>
        </w:rPr>
        <w:t>In    July    2001,    the    Company   redeemed</w:t>
      </w:r>
    </w:p>
    <w:p>
      <w:pPr>
        <w:pStyle w:val="BodyText"/>
        <w:spacing w:line="254" w:lineRule="auto" w:before="15"/>
        <w:ind w:left="380" w:right="14"/>
        <w:jc w:val="both"/>
      </w:pPr>
      <w:r>
        <w:rPr>
          <w:w w:val="110"/>
        </w:rPr>
        <w:t>$100 million of senior unsecured 9.4% Notes originally issued in 1991.</w:t>
      </w:r>
    </w:p>
    <w:p>
      <w:pPr>
        <w:pStyle w:val="BodyText"/>
        <w:spacing w:line="254" w:lineRule="auto" w:before="1"/>
        <w:ind w:left="380" w:firstLine="280"/>
        <w:jc w:val="both"/>
      </w:pPr>
      <w:r>
        <w:rPr>
          <w:spacing w:val="4"/>
          <w:w w:val="105"/>
        </w:rPr>
        <w:t>In </w:t>
      </w:r>
      <w:r>
        <w:rPr>
          <w:spacing w:val="2"/>
          <w:w w:val="105"/>
        </w:rPr>
        <w:t>fourth  </w:t>
      </w:r>
      <w:r>
        <w:rPr>
          <w:spacing w:val="5"/>
          <w:w w:val="105"/>
        </w:rPr>
        <w:t>quarter  </w:t>
      </w:r>
      <w:r>
        <w:rPr>
          <w:w w:val="105"/>
        </w:rPr>
        <w:t>1999,  </w:t>
      </w:r>
      <w:r>
        <w:rPr>
          <w:spacing w:val="2"/>
          <w:w w:val="105"/>
        </w:rPr>
        <w:t>the  </w:t>
      </w:r>
      <w:r>
        <w:rPr>
          <w:spacing w:val="10"/>
          <w:w w:val="105"/>
        </w:rPr>
        <w:t>Company </w:t>
      </w:r>
      <w:r>
        <w:rPr>
          <w:spacing w:val="4"/>
          <w:w w:val="105"/>
        </w:rPr>
        <w:t>issued </w:t>
      </w:r>
      <w:r>
        <w:rPr>
          <w:w w:val="105"/>
        </w:rPr>
        <w:t>$200 </w:t>
      </w:r>
      <w:r>
        <w:rPr>
          <w:spacing w:val="5"/>
          <w:w w:val="105"/>
        </w:rPr>
        <w:t>million </w:t>
      </w:r>
      <w:r>
        <w:rPr>
          <w:spacing w:val="6"/>
          <w:w w:val="105"/>
        </w:rPr>
        <w:t>of </w:t>
      </w:r>
      <w:r>
        <w:rPr>
          <w:spacing w:val="4"/>
          <w:w w:val="105"/>
        </w:rPr>
        <w:t>floating </w:t>
      </w:r>
      <w:r>
        <w:rPr>
          <w:w w:val="105"/>
        </w:rPr>
        <w:t>rate </w:t>
      </w:r>
      <w:r>
        <w:rPr>
          <w:spacing w:val="3"/>
          <w:w w:val="105"/>
        </w:rPr>
        <w:t>Aircraft </w:t>
      </w:r>
      <w:r>
        <w:rPr>
          <w:spacing w:val="4"/>
          <w:w w:val="105"/>
        </w:rPr>
        <w:t>Secured </w:t>
      </w:r>
      <w:r>
        <w:rPr>
          <w:spacing w:val="5"/>
          <w:w w:val="105"/>
        </w:rPr>
        <w:t>Notes </w:t>
      </w:r>
      <w:r>
        <w:rPr>
          <w:w w:val="105"/>
        </w:rPr>
        <w:t>(the </w:t>
      </w:r>
      <w:r>
        <w:rPr>
          <w:spacing w:val="3"/>
          <w:w w:val="105"/>
        </w:rPr>
        <w:t>Notes),</w:t>
      </w:r>
      <w:r>
        <w:rPr>
          <w:spacing w:val="53"/>
          <w:w w:val="105"/>
        </w:rPr>
        <w:t> </w:t>
      </w:r>
      <w:r>
        <w:rPr>
          <w:spacing w:val="8"/>
          <w:w w:val="105"/>
        </w:rPr>
        <w:t>due</w:t>
      </w:r>
      <w:r>
        <w:rPr>
          <w:spacing w:val="63"/>
          <w:w w:val="105"/>
        </w:rPr>
        <w:t> </w:t>
      </w:r>
      <w:r>
        <w:rPr>
          <w:w w:val="105"/>
        </w:rPr>
        <w:t>2004.  </w:t>
      </w:r>
      <w:r>
        <w:rPr>
          <w:spacing w:val="4"/>
          <w:w w:val="105"/>
        </w:rPr>
        <w:t>The </w:t>
      </w:r>
      <w:r>
        <w:rPr>
          <w:spacing w:val="5"/>
          <w:w w:val="105"/>
        </w:rPr>
        <w:t>Notes </w:t>
      </w:r>
      <w:r>
        <w:rPr>
          <w:spacing w:val="2"/>
          <w:w w:val="105"/>
        </w:rPr>
        <w:t>are </w:t>
      </w:r>
      <w:r>
        <w:rPr>
          <w:spacing w:val="8"/>
          <w:w w:val="105"/>
        </w:rPr>
        <w:t>funded </w:t>
      </w:r>
      <w:r>
        <w:rPr>
          <w:spacing w:val="6"/>
          <w:w w:val="105"/>
        </w:rPr>
        <w:t>by</w:t>
      </w:r>
      <w:r>
        <w:rPr>
          <w:spacing w:val="59"/>
          <w:w w:val="105"/>
        </w:rPr>
        <w:t> </w:t>
      </w:r>
      <w:r>
        <w:rPr>
          <w:w w:val="105"/>
        </w:rPr>
        <w:t>a </w:t>
      </w:r>
      <w:r>
        <w:rPr>
          <w:spacing w:val="9"/>
          <w:w w:val="105"/>
        </w:rPr>
        <w:t>bank </w:t>
      </w:r>
      <w:r>
        <w:rPr>
          <w:spacing w:val="4"/>
          <w:w w:val="105"/>
        </w:rPr>
        <w:t>through </w:t>
      </w:r>
      <w:r>
        <w:rPr>
          <w:w w:val="105"/>
        </w:rPr>
        <w:t>a </w:t>
      </w:r>
      <w:r>
        <w:rPr>
          <w:spacing w:val="8"/>
          <w:w w:val="105"/>
        </w:rPr>
        <w:t>commercial </w:t>
      </w:r>
      <w:r>
        <w:rPr>
          <w:spacing w:val="9"/>
          <w:w w:val="105"/>
        </w:rPr>
        <w:t>paper conduit </w:t>
      </w:r>
      <w:r>
        <w:rPr>
          <w:spacing w:val="4"/>
          <w:w w:val="105"/>
        </w:rPr>
        <w:t>program </w:t>
      </w:r>
      <w:r>
        <w:rPr>
          <w:spacing w:val="8"/>
          <w:w w:val="105"/>
        </w:rPr>
        <w:t>and </w:t>
      </w:r>
      <w:r>
        <w:rPr>
          <w:spacing w:val="2"/>
          <w:w w:val="105"/>
        </w:rPr>
        <w:t>are </w:t>
      </w:r>
      <w:r>
        <w:rPr>
          <w:spacing w:val="4"/>
          <w:w w:val="105"/>
        </w:rPr>
        <w:t>secured </w:t>
      </w:r>
      <w:r>
        <w:rPr>
          <w:spacing w:val="6"/>
          <w:w w:val="105"/>
        </w:rPr>
        <w:t>by </w:t>
      </w:r>
      <w:r>
        <w:rPr>
          <w:spacing w:val="7"/>
          <w:w w:val="105"/>
        </w:rPr>
        <w:t>eight </w:t>
      </w:r>
      <w:r>
        <w:rPr>
          <w:spacing w:val="3"/>
          <w:w w:val="105"/>
        </w:rPr>
        <w:t>aircraft. </w:t>
      </w:r>
      <w:r>
        <w:rPr>
          <w:spacing w:val="4"/>
          <w:w w:val="105"/>
        </w:rPr>
        <w:t>Interest </w:t>
      </w:r>
      <w:r>
        <w:rPr>
          <w:spacing w:val="3"/>
          <w:w w:val="105"/>
        </w:rPr>
        <w:t>rates </w:t>
      </w:r>
      <w:r>
        <w:rPr>
          <w:spacing w:val="6"/>
          <w:w w:val="105"/>
        </w:rPr>
        <w:t>on </w:t>
      </w:r>
      <w:r>
        <w:rPr>
          <w:spacing w:val="2"/>
          <w:w w:val="105"/>
        </w:rPr>
        <w:t>the </w:t>
      </w:r>
      <w:r>
        <w:rPr>
          <w:spacing w:val="5"/>
          <w:w w:val="105"/>
        </w:rPr>
        <w:t>Notes </w:t>
      </w:r>
      <w:r>
        <w:rPr>
          <w:spacing w:val="2"/>
          <w:w w:val="105"/>
        </w:rPr>
        <w:t>are </w:t>
      </w:r>
      <w:r>
        <w:rPr>
          <w:spacing w:val="6"/>
          <w:w w:val="105"/>
        </w:rPr>
        <w:t>based</w:t>
      </w:r>
      <w:r>
        <w:rPr>
          <w:spacing w:val="59"/>
          <w:w w:val="105"/>
        </w:rPr>
        <w:t> </w:t>
      </w:r>
      <w:r>
        <w:rPr>
          <w:spacing w:val="6"/>
          <w:w w:val="105"/>
        </w:rPr>
        <w:t>on</w:t>
      </w:r>
      <w:r>
        <w:rPr>
          <w:spacing w:val="59"/>
          <w:w w:val="105"/>
        </w:rPr>
        <w:t> </w:t>
      </w:r>
      <w:r>
        <w:rPr>
          <w:spacing w:val="2"/>
          <w:w w:val="105"/>
        </w:rPr>
        <w:t>the </w:t>
      </w:r>
      <w:r>
        <w:rPr>
          <w:spacing w:val="6"/>
          <w:w w:val="105"/>
        </w:rPr>
        <w:t>conduit’s</w:t>
      </w:r>
      <w:r>
        <w:rPr>
          <w:spacing w:val="59"/>
          <w:w w:val="105"/>
        </w:rPr>
        <w:t> </w:t>
      </w:r>
      <w:r>
        <w:rPr>
          <w:spacing w:val="8"/>
          <w:w w:val="105"/>
        </w:rPr>
        <w:t>actual commercial </w:t>
      </w:r>
      <w:r>
        <w:rPr>
          <w:spacing w:val="9"/>
          <w:w w:val="105"/>
        </w:rPr>
        <w:t>paper </w:t>
      </w:r>
      <w:r>
        <w:rPr>
          <w:spacing w:val="3"/>
          <w:w w:val="105"/>
        </w:rPr>
        <w:t>rate, </w:t>
      </w:r>
      <w:r>
        <w:rPr>
          <w:spacing w:val="4"/>
          <w:w w:val="105"/>
        </w:rPr>
        <w:t>plus fees, for </w:t>
      </w:r>
      <w:r>
        <w:rPr>
          <w:spacing w:val="7"/>
          <w:w w:val="105"/>
        </w:rPr>
        <w:t>each period </w:t>
      </w:r>
      <w:r>
        <w:rPr>
          <w:spacing w:val="8"/>
          <w:w w:val="105"/>
        </w:rPr>
        <w:t>and </w:t>
      </w:r>
      <w:r>
        <w:rPr>
          <w:spacing w:val="2"/>
          <w:w w:val="105"/>
        </w:rPr>
        <w:t>are </w:t>
      </w:r>
      <w:r>
        <w:rPr>
          <w:spacing w:val="7"/>
          <w:w w:val="105"/>
        </w:rPr>
        <w:t>expected </w:t>
      </w:r>
      <w:r>
        <w:rPr>
          <w:w w:val="105"/>
        </w:rPr>
        <w:t>to </w:t>
      </w:r>
      <w:r>
        <w:rPr>
          <w:spacing w:val="6"/>
          <w:w w:val="105"/>
        </w:rPr>
        <w:t>average </w:t>
      </w:r>
      <w:r>
        <w:rPr>
          <w:spacing w:val="7"/>
          <w:w w:val="105"/>
        </w:rPr>
        <w:t>approximately </w:t>
      </w:r>
      <w:r>
        <w:rPr>
          <w:spacing w:val="2"/>
          <w:w w:val="105"/>
        </w:rPr>
        <w:t>LIBOR </w:t>
      </w:r>
      <w:r>
        <w:rPr>
          <w:spacing w:val="4"/>
          <w:w w:val="105"/>
        </w:rPr>
        <w:t>plus </w:t>
      </w:r>
      <w:r>
        <w:rPr>
          <w:w w:val="105"/>
        </w:rPr>
        <w:t>36 </w:t>
      </w:r>
      <w:r>
        <w:rPr>
          <w:spacing w:val="6"/>
          <w:w w:val="105"/>
        </w:rPr>
        <w:t>basis </w:t>
      </w:r>
      <w:r>
        <w:rPr>
          <w:spacing w:val="7"/>
          <w:w w:val="105"/>
        </w:rPr>
        <w:t>points </w:t>
      </w:r>
      <w:r>
        <w:rPr>
          <w:spacing w:val="12"/>
          <w:w w:val="105"/>
        </w:rPr>
        <w:t>over </w:t>
      </w:r>
      <w:r>
        <w:rPr>
          <w:spacing w:val="2"/>
          <w:w w:val="105"/>
        </w:rPr>
        <w:t>the </w:t>
      </w:r>
      <w:r>
        <w:rPr>
          <w:w w:val="105"/>
        </w:rPr>
        <w:t>term </w:t>
      </w:r>
      <w:r>
        <w:rPr>
          <w:spacing w:val="6"/>
          <w:w w:val="105"/>
        </w:rPr>
        <w:t>of</w:t>
      </w:r>
      <w:r>
        <w:rPr>
          <w:spacing w:val="59"/>
          <w:w w:val="105"/>
        </w:rPr>
        <w:t> </w:t>
      </w:r>
      <w:r>
        <w:rPr>
          <w:spacing w:val="2"/>
          <w:w w:val="105"/>
        </w:rPr>
        <w:t>the </w:t>
      </w:r>
      <w:r>
        <w:rPr>
          <w:spacing w:val="4"/>
          <w:w w:val="105"/>
        </w:rPr>
        <w:t>Notes. Interest </w:t>
      </w:r>
      <w:r>
        <w:rPr>
          <w:spacing w:val="6"/>
          <w:w w:val="105"/>
        </w:rPr>
        <w:t>is </w:t>
      </w:r>
      <w:r>
        <w:rPr>
          <w:spacing w:val="5"/>
          <w:w w:val="105"/>
        </w:rPr>
        <w:t>payable monthly </w:t>
      </w:r>
      <w:r>
        <w:rPr>
          <w:spacing w:val="8"/>
          <w:w w:val="105"/>
        </w:rPr>
        <w:t>and </w:t>
      </w:r>
      <w:r>
        <w:rPr>
          <w:spacing w:val="2"/>
          <w:w w:val="105"/>
        </w:rPr>
        <w:t>the </w:t>
      </w:r>
      <w:r>
        <w:rPr>
          <w:spacing w:val="8"/>
          <w:w w:val="105"/>
        </w:rPr>
        <w:t>Company </w:t>
      </w:r>
      <w:r>
        <w:rPr>
          <w:spacing w:val="5"/>
          <w:w w:val="105"/>
        </w:rPr>
        <w:t>can </w:t>
      </w:r>
      <w:r>
        <w:rPr>
          <w:spacing w:val="7"/>
          <w:w w:val="105"/>
        </w:rPr>
        <w:t>prepay  </w:t>
      </w:r>
      <w:r>
        <w:rPr>
          <w:spacing w:val="6"/>
          <w:w w:val="105"/>
        </w:rPr>
        <w:t>the </w:t>
      </w:r>
      <w:r>
        <w:rPr>
          <w:spacing w:val="5"/>
          <w:w w:val="105"/>
        </w:rPr>
        <w:t>Notes </w:t>
      </w:r>
      <w:r>
        <w:rPr>
          <w:spacing w:val="6"/>
          <w:w w:val="105"/>
        </w:rPr>
        <w:t>in </w:t>
      </w:r>
      <w:r>
        <w:rPr>
          <w:spacing w:val="4"/>
          <w:w w:val="105"/>
        </w:rPr>
        <w:t>whole </w:t>
      </w:r>
      <w:r>
        <w:rPr>
          <w:spacing w:val="6"/>
          <w:w w:val="105"/>
        </w:rPr>
        <w:t>or in </w:t>
      </w:r>
      <w:r>
        <w:rPr>
          <w:spacing w:val="5"/>
          <w:w w:val="105"/>
        </w:rPr>
        <w:t>part </w:t>
      </w:r>
      <w:r>
        <w:rPr>
          <w:spacing w:val="6"/>
          <w:w w:val="105"/>
        </w:rPr>
        <w:t>prior </w:t>
      </w:r>
      <w:r>
        <w:rPr>
          <w:w w:val="105"/>
        </w:rPr>
        <w:t>to </w:t>
      </w:r>
      <w:r>
        <w:rPr>
          <w:spacing w:val="4"/>
          <w:w w:val="105"/>
        </w:rPr>
        <w:t>maturity. </w:t>
      </w:r>
      <w:r>
        <w:rPr>
          <w:spacing w:val="8"/>
          <w:w w:val="105"/>
        </w:rPr>
        <w:t>The Company prepaid </w:t>
      </w:r>
      <w:r>
        <w:rPr>
          <w:w w:val="105"/>
        </w:rPr>
        <w:t>$25 </w:t>
      </w:r>
      <w:r>
        <w:rPr>
          <w:spacing w:val="5"/>
          <w:w w:val="105"/>
        </w:rPr>
        <w:t>million </w:t>
      </w:r>
      <w:r>
        <w:rPr>
          <w:spacing w:val="6"/>
          <w:w w:val="105"/>
        </w:rPr>
        <w:t>of</w:t>
      </w:r>
      <w:r>
        <w:rPr>
          <w:spacing w:val="59"/>
          <w:w w:val="105"/>
        </w:rPr>
        <w:t> </w:t>
      </w:r>
      <w:r>
        <w:rPr>
          <w:spacing w:val="2"/>
          <w:w w:val="105"/>
        </w:rPr>
        <w:t>the </w:t>
      </w:r>
      <w:r>
        <w:rPr>
          <w:spacing w:val="8"/>
          <w:w w:val="105"/>
        </w:rPr>
        <w:t>Notes </w:t>
      </w:r>
      <w:r>
        <w:rPr>
          <w:spacing w:val="7"/>
          <w:w w:val="105"/>
        </w:rPr>
        <w:t>during</w:t>
      </w:r>
      <w:r>
        <w:rPr>
          <w:spacing w:val="59"/>
          <w:w w:val="105"/>
        </w:rPr>
        <w:t> </w:t>
      </w:r>
      <w:r>
        <w:rPr>
          <w:w w:val="105"/>
        </w:rPr>
        <w:t>2002.</w:t>
      </w:r>
    </w:p>
    <w:p>
      <w:pPr>
        <w:pStyle w:val="BodyText"/>
        <w:spacing w:line="254" w:lineRule="auto" w:before="1"/>
        <w:ind w:left="380" w:right="3" w:firstLine="280"/>
        <w:jc w:val="both"/>
      </w:pPr>
      <w:r>
        <w:rPr>
          <w:w w:val="105"/>
        </w:rPr>
        <w:t>Also </w:t>
      </w:r>
      <w:r>
        <w:rPr>
          <w:spacing w:val="6"/>
          <w:w w:val="105"/>
        </w:rPr>
        <w:t>in </w:t>
      </w:r>
      <w:r>
        <w:rPr>
          <w:spacing w:val="2"/>
          <w:w w:val="105"/>
        </w:rPr>
        <w:t>fourth </w:t>
      </w:r>
      <w:r>
        <w:rPr>
          <w:spacing w:val="5"/>
          <w:w w:val="105"/>
        </w:rPr>
        <w:t>quarter </w:t>
      </w:r>
      <w:r>
        <w:rPr>
          <w:w w:val="105"/>
        </w:rPr>
        <w:t>1999, </w:t>
      </w:r>
      <w:r>
        <w:rPr>
          <w:spacing w:val="2"/>
          <w:w w:val="105"/>
        </w:rPr>
        <w:t>the </w:t>
      </w:r>
      <w:r>
        <w:rPr>
          <w:spacing w:val="10"/>
          <w:w w:val="105"/>
        </w:rPr>
        <w:t>Company </w:t>
      </w:r>
      <w:r>
        <w:rPr>
          <w:spacing w:val="5"/>
          <w:w w:val="105"/>
        </w:rPr>
        <w:t>entered into </w:t>
      </w:r>
      <w:r>
        <w:rPr>
          <w:w w:val="105"/>
        </w:rPr>
        <w:t>two </w:t>
      </w:r>
      <w:r>
        <w:rPr>
          <w:spacing w:val="8"/>
          <w:w w:val="105"/>
        </w:rPr>
        <w:t>identical </w:t>
      </w:r>
      <w:r>
        <w:rPr>
          <w:spacing w:val="2"/>
          <w:w w:val="105"/>
        </w:rPr>
        <w:t>13-year </w:t>
      </w:r>
      <w:r>
        <w:rPr>
          <w:spacing w:val="4"/>
          <w:w w:val="105"/>
        </w:rPr>
        <w:t>floating </w:t>
      </w:r>
      <w:r>
        <w:rPr>
          <w:w w:val="105"/>
        </w:rPr>
        <w:t>rate </w:t>
      </w:r>
      <w:r>
        <w:rPr>
          <w:spacing w:val="8"/>
          <w:w w:val="105"/>
        </w:rPr>
        <w:t>financing </w:t>
      </w:r>
      <w:r>
        <w:rPr>
          <w:spacing w:val="5"/>
          <w:w w:val="105"/>
        </w:rPr>
        <w:t>arrangements, </w:t>
      </w:r>
      <w:r>
        <w:rPr>
          <w:spacing w:val="7"/>
          <w:w w:val="105"/>
        </w:rPr>
        <w:t>whereby </w:t>
      </w:r>
      <w:r>
        <w:rPr>
          <w:spacing w:val="6"/>
          <w:w w:val="105"/>
        </w:rPr>
        <w:t>it </w:t>
      </w:r>
      <w:r>
        <w:rPr>
          <w:spacing w:val="4"/>
          <w:w w:val="105"/>
        </w:rPr>
        <w:t>effectively </w:t>
      </w:r>
      <w:r>
        <w:rPr>
          <w:spacing w:val="6"/>
          <w:w w:val="105"/>
        </w:rPr>
        <w:t>borrowed </w:t>
      </w:r>
      <w:r>
        <w:rPr>
          <w:w w:val="105"/>
        </w:rPr>
        <w:t>a </w:t>
      </w:r>
      <w:r>
        <w:rPr>
          <w:spacing w:val="3"/>
          <w:w w:val="105"/>
        </w:rPr>
        <w:t>total </w:t>
      </w:r>
      <w:r>
        <w:rPr>
          <w:spacing w:val="6"/>
          <w:w w:val="105"/>
        </w:rPr>
        <w:t>of </w:t>
      </w:r>
      <w:r>
        <w:rPr>
          <w:w w:val="105"/>
        </w:rPr>
        <w:t>$56 </w:t>
      </w:r>
      <w:r>
        <w:rPr>
          <w:spacing w:val="5"/>
          <w:w w:val="105"/>
        </w:rPr>
        <w:t>million </w:t>
      </w:r>
      <w:r>
        <w:rPr>
          <w:w w:val="105"/>
        </w:rPr>
        <w:t>from </w:t>
      </w:r>
      <w:r>
        <w:rPr>
          <w:spacing w:val="4"/>
          <w:w w:val="105"/>
        </w:rPr>
        <w:t>French </w:t>
      </w:r>
      <w:r>
        <w:rPr>
          <w:spacing w:val="8"/>
          <w:w w:val="105"/>
        </w:rPr>
        <w:t>banking </w:t>
      </w:r>
      <w:r>
        <w:rPr>
          <w:spacing w:val="4"/>
          <w:w w:val="105"/>
        </w:rPr>
        <w:t>partnerships. </w:t>
      </w:r>
      <w:r>
        <w:rPr>
          <w:spacing w:val="5"/>
          <w:w w:val="105"/>
        </w:rPr>
        <w:t>For </w:t>
      </w:r>
      <w:r>
        <w:rPr>
          <w:spacing w:val="6"/>
          <w:w w:val="105"/>
        </w:rPr>
        <w:t>presentation </w:t>
      </w:r>
      <w:r>
        <w:rPr>
          <w:spacing w:val="5"/>
          <w:w w:val="105"/>
        </w:rPr>
        <w:t>purposes, </w:t>
      </w:r>
      <w:r>
        <w:rPr>
          <w:spacing w:val="2"/>
          <w:w w:val="105"/>
        </w:rPr>
        <w:t>the </w:t>
      </w:r>
      <w:r>
        <w:rPr>
          <w:spacing w:val="8"/>
          <w:w w:val="105"/>
        </w:rPr>
        <w:t>Company has </w:t>
      </w:r>
      <w:r>
        <w:rPr>
          <w:spacing w:val="3"/>
          <w:w w:val="105"/>
        </w:rPr>
        <w:t>classified these </w:t>
      </w:r>
      <w:r>
        <w:rPr>
          <w:spacing w:val="8"/>
          <w:w w:val="105"/>
        </w:rPr>
        <w:t>identical </w:t>
      </w:r>
      <w:r>
        <w:rPr>
          <w:spacing w:val="6"/>
          <w:w w:val="105"/>
        </w:rPr>
        <w:t>borrowings as </w:t>
      </w:r>
      <w:r>
        <w:rPr>
          <w:spacing w:val="8"/>
          <w:w w:val="105"/>
        </w:rPr>
        <w:t>one </w:t>
      </w:r>
      <w:r>
        <w:rPr>
          <w:w w:val="105"/>
        </w:rPr>
        <w:t>$56 </w:t>
      </w:r>
      <w:r>
        <w:rPr>
          <w:spacing w:val="5"/>
          <w:w w:val="105"/>
        </w:rPr>
        <w:t>million transaction. </w:t>
      </w:r>
      <w:r>
        <w:rPr>
          <w:spacing w:val="4"/>
          <w:w w:val="105"/>
        </w:rPr>
        <w:t>The </w:t>
      </w:r>
      <w:r>
        <w:rPr>
          <w:spacing w:val="5"/>
          <w:w w:val="105"/>
        </w:rPr>
        <w:t>effective </w:t>
      </w:r>
      <w:r>
        <w:rPr>
          <w:w w:val="105"/>
        </w:rPr>
        <w:t>rate </w:t>
      </w:r>
      <w:r>
        <w:rPr>
          <w:spacing w:val="6"/>
          <w:w w:val="105"/>
        </w:rPr>
        <w:t>of </w:t>
      </w:r>
      <w:r>
        <w:rPr>
          <w:spacing w:val="4"/>
          <w:w w:val="105"/>
        </w:rPr>
        <w:t>interest </w:t>
      </w:r>
      <w:r>
        <w:rPr>
          <w:spacing w:val="12"/>
          <w:w w:val="105"/>
        </w:rPr>
        <w:t>over </w:t>
      </w:r>
      <w:r>
        <w:rPr>
          <w:spacing w:val="2"/>
          <w:w w:val="105"/>
        </w:rPr>
        <w:t>the 13-year  </w:t>
      </w:r>
      <w:r>
        <w:rPr>
          <w:w w:val="105"/>
        </w:rPr>
        <w:t>term  </w:t>
      </w:r>
      <w:r>
        <w:rPr>
          <w:spacing w:val="6"/>
          <w:w w:val="105"/>
        </w:rPr>
        <w:t>of  </w:t>
      </w:r>
      <w:r>
        <w:rPr>
          <w:spacing w:val="2"/>
          <w:w w:val="105"/>
        </w:rPr>
        <w:t>the  </w:t>
      </w:r>
      <w:r>
        <w:rPr>
          <w:spacing w:val="5"/>
          <w:w w:val="105"/>
        </w:rPr>
        <w:t>loans  </w:t>
      </w:r>
      <w:r>
        <w:rPr>
          <w:spacing w:val="6"/>
          <w:w w:val="105"/>
        </w:rPr>
        <w:t>is  </w:t>
      </w:r>
      <w:r>
        <w:rPr>
          <w:spacing w:val="2"/>
          <w:w w:val="105"/>
        </w:rPr>
        <w:t>LIBOR  </w:t>
      </w:r>
      <w:r>
        <w:rPr>
          <w:spacing w:val="7"/>
          <w:w w:val="105"/>
        </w:rPr>
        <w:t>plus </w:t>
      </w:r>
      <w:r>
        <w:rPr>
          <w:w w:val="105"/>
        </w:rPr>
        <w:t>32 </w:t>
      </w:r>
      <w:r>
        <w:rPr>
          <w:spacing w:val="6"/>
          <w:w w:val="105"/>
        </w:rPr>
        <w:t>basis</w:t>
      </w:r>
      <w:r>
        <w:rPr>
          <w:spacing w:val="59"/>
          <w:w w:val="105"/>
        </w:rPr>
        <w:t> </w:t>
      </w:r>
      <w:r>
        <w:rPr>
          <w:spacing w:val="5"/>
          <w:w w:val="105"/>
        </w:rPr>
        <w:t>points. </w:t>
      </w:r>
      <w:r>
        <w:rPr>
          <w:spacing w:val="7"/>
          <w:w w:val="105"/>
        </w:rPr>
        <w:t>Principal </w:t>
      </w:r>
      <w:r>
        <w:rPr>
          <w:spacing w:val="8"/>
          <w:w w:val="105"/>
        </w:rPr>
        <w:t>and </w:t>
      </w:r>
      <w:r>
        <w:rPr>
          <w:spacing w:val="4"/>
          <w:w w:val="105"/>
        </w:rPr>
        <w:t>interest </w:t>
      </w:r>
      <w:r>
        <w:rPr>
          <w:spacing w:val="2"/>
          <w:w w:val="105"/>
        </w:rPr>
        <w:t>are </w:t>
      </w:r>
      <w:r>
        <w:rPr>
          <w:spacing w:val="5"/>
          <w:w w:val="105"/>
        </w:rPr>
        <w:t>payable semi-annually </w:t>
      </w:r>
      <w:r>
        <w:rPr>
          <w:spacing w:val="6"/>
          <w:w w:val="105"/>
        </w:rPr>
        <w:t>on June </w:t>
      </w:r>
      <w:r>
        <w:rPr>
          <w:w w:val="105"/>
        </w:rPr>
        <w:t>30 </w:t>
      </w:r>
      <w:r>
        <w:rPr>
          <w:spacing w:val="12"/>
          <w:w w:val="105"/>
        </w:rPr>
        <w:t>and </w:t>
      </w:r>
      <w:r>
        <w:rPr>
          <w:spacing w:val="9"/>
          <w:w w:val="105"/>
        </w:rPr>
        <w:t>December </w:t>
      </w:r>
      <w:r>
        <w:rPr>
          <w:w w:val="105"/>
        </w:rPr>
        <w:t>31 </w:t>
      </w:r>
      <w:r>
        <w:rPr>
          <w:spacing w:val="4"/>
          <w:w w:val="105"/>
        </w:rPr>
        <w:t>for </w:t>
      </w:r>
      <w:r>
        <w:rPr>
          <w:spacing w:val="7"/>
          <w:w w:val="105"/>
        </w:rPr>
        <w:t>each </w:t>
      </w:r>
      <w:r>
        <w:rPr>
          <w:spacing w:val="6"/>
          <w:w w:val="105"/>
        </w:rPr>
        <w:t>of </w:t>
      </w:r>
      <w:r>
        <w:rPr>
          <w:spacing w:val="2"/>
          <w:w w:val="105"/>
        </w:rPr>
        <w:t>the </w:t>
      </w:r>
      <w:r>
        <w:rPr>
          <w:spacing w:val="5"/>
          <w:w w:val="105"/>
        </w:rPr>
        <w:t>loans </w:t>
      </w:r>
      <w:r>
        <w:rPr>
          <w:spacing w:val="8"/>
          <w:w w:val="105"/>
        </w:rPr>
        <w:t>and </w:t>
      </w:r>
      <w:r>
        <w:rPr>
          <w:spacing w:val="6"/>
          <w:w w:val="105"/>
        </w:rPr>
        <w:t>the </w:t>
      </w:r>
      <w:r>
        <w:rPr>
          <w:spacing w:val="8"/>
          <w:w w:val="105"/>
        </w:rPr>
        <w:t>Company </w:t>
      </w:r>
      <w:r>
        <w:rPr>
          <w:spacing w:val="9"/>
          <w:w w:val="105"/>
        </w:rPr>
        <w:t>may </w:t>
      </w:r>
      <w:r>
        <w:rPr>
          <w:spacing w:val="5"/>
          <w:w w:val="105"/>
        </w:rPr>
        <w:t>terminate </w:t>
      </w:r>
      <w:r>
        <w:rPr>
          <w:spacing w:val="2"/>
          <w:w w:val="105"/>
        </w:rPr>
        <w:t>the </w:t>
      </w:r>
      <w:r>
        <w:rPr>
          <w:spacing w:val="6"/>
          <w:w w:val="105"/>
        </w:rPr>
        <w:t>arrangements </w:t>
      </w:r>
      <w:r>
        <w:rPr>
          <w:spacing w:val="12"/>
          <w:w w:val="105"/>
        </w:rPr>
        <w:t>in </w:t>
      </w:r>
      <w:r>
        <w:rPr>
          <w:spacing w:val="8"/>
          <w:w w:val="105"/>
        </w:rPr>
        <w:t>any </w:t>
      </w:r>
      <w:r>
        <w:rPr>
          <w:spacing w:val="5"/>
          <w:w w:val="105"/>
        </w:rPr>
        <w:t>year </w:t>
      </w:r>
      <w:r>
        <w:rPr>
          <w:spacing w:val="6"/>
          <w:w w:val="105"/>
        </w:rPr>
        <w:t>on </w:t>
      </w:r>
      <w:r>
        <w:rPr>
          <w:spacing w:val="7"/>
          <w:w w:val="105"/>
        </w:rPr>
        <w:t>either </w:t>
      </w:r>
      <w:r>
        <w:rPr>
          <w:spacing w:val="6"/>
          <w:w w:val="105"/>
        </w:rPr>
        <w:t>of </w:t>
      </w:r>
      <w:r>
        <w:rPr>
          <w:spacing w:val="3"/>
          <w:w w:val="105"/>
        </w:rPr>
        <w:t>those </w:t>
      </w:r>
      <w:r>
        <w:rPr>
          <w:spacing w:val="4"/>
          <w:w w:val="105"/>
        </w:rPr>
        <w:t>dates, with </w:t>
      </w:r>
      <w:r>
        <w:rPr>
          <w:spacing w:val="6"/>
          <w:w w:val="105"/>
        </w:rPr>
        <w:t>certain </w:t>
      </w:r>
      <w:r>
        <w:rPr>
          <w:spacing w:val="7"/>
          <w:w w:val="105"/>
        </w:rPr>
        <w:t>conditions. </w:t>
      </w:r>
      <w:r>
        <w:rPr>
          <w:spacing w:val="4"/>
          <w:w w:val="105"/>
        </w:rPr>
        <w:t>The </w:t>
      </w:r>
      <w:r>
        <w:rPr>
          <w:spacing w:val="8"/>
          <w:w w:val="105"/>
        </w:rPr>
        <w:t>Company has </w:t>
      </w:r>
      <w:r>
        <w:rPr>
          <w:spacing w:val="5"/>
          <w:w w:val="105"/>
        </w:rPr>
        <w:t>pledged </w:t>
      </w:r>
      <w:r>
        <w:rPr>
          <w:w w:val="105"/>
        </w:rPr>
        <w:t>two </w:t>
      </w:r>
      <w:r>
        <w:rPr>
          <w:spacing w:val="4"/>
          <w:w w:val="105"/>
        </w:rPr>
        <w:t>aircraft </w:t>
      </w:r>
      <w:r>
        <w:rPr>
          <w:spacing w:val="6"/>
          <w:w w:val="105"/>
        </w:rPr>
        <w:t>as </w:t>
      </w:r>
      <w:r>
        <w:rPr>
          <w:spacing w:val="2"/>
          <w:w w:val="105"/>
        </w:rPr>
        <w:t>collateral </w:t>
      </w:r>
      <w:r>
        <w:rPr>
          <w:spacing w:val="4"/>
          <w:w w:val="105"/>
        </w:rPr>
        <w:t>for </w:t>
      </w:r>
      <w:r>
        <w:rPr>
          <w:spacing w:val="2"/>
          <w:w w:val="105"/>
        </w:rPr>
        <w:t>the </w:t>
      </w:r>
      <w:r>
        <w:rPr>
          <w:spacing w:val="50"/>
          <w:w w:val="105"/>
        </w:rPr>
        <w:t> </w:t>
      </w:r>
      <w:r>
        <w:rPr>
          <w:spacing w:val="4"/>
          <w:w w:val="105"/>
        </w:rPr>
        <w:t>transactions.</w:t>
      </w:r>
    </w:p>
    <w:p>
      <w:pPr>
        <w:pStyle w:val="BodyText"/>
        <w:spacing w:before="1"/>
        <w:ind w:left="660"/>
      </w:pPr>
      <w:r>
        <w:rPr>
          <w:w w:val="110"/>
        </w:rPr>
        <w:t>On February 28, 1997, the  Company issued</w:t>
      </w:r>
    </w:p>
    <w:p>
      <w:pPr>
        <w:pStyle w:val="BodyText"/>
        <w:spacing w:line="254" w:lineRule="auto" w:before="16"/>
        <w:ind w:left="380" w:right="14"/>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 </w:t>
      </w:r>
      <w:r>
        <w:rPr>
          <w:w w:val="105"/>
        </w:rPr>
        <w:t>7 3/8% </w:t>
      </w:r>
      <w:r>
        <w:rPr>
          <w:spacing w:val="7"/>
          <w:w w:val="105"/>
        </w:rPr>
        <w:t>Debentures </w:t>
      </w:r>
      <w:r>
        <w:rPr>
          <w:spacing w:val="8"/>
          <w:w w:val="105"/>
        </w:rPr>
        <w:t>due </w:t>
      </w:r>
      <w:r>
        <w:rPr>
          <w:spacing w:val="5"/>
          <w:w w:val="105"/>
        </w:rPr>
        <w:t>March </w:t>
      </w:r>
      <w:r>
        <w:rPr>
          <w:w w:val="105"/>
        </w:rPr>
        <w:t>1, 2027. </w:t>
      </w:r>
      <w:r>
        <w:rPr>
          <w:spacing w:val="4"/>
          <w:w w:val="105"/>
        </w:rPr>
        <w:t>Interest </w:t>
      </w:r>
      <w:r>
        <w:rPr>
          <w:spacing w:val="6"/>
          <w:w w:val="105"/>
        </w:rPr>
        <w:t>is </w:t>
      </w:r>
      <w:r>
        <w:rPr>
          <w:spacing w:val="5"/>
          <w:w w:val="105"/>
        </w:rPr>
        <w:t>payable semi-annually </w:t>
      </w:r>
      <w:r>
        <w:rPr>
          <w:spacing w:val="6"/>
          <w:w w:val="105"/>
        </w:rPr>
        <w:t>on </w:t>
      </w:r>
      <w:r>
        <w:rPr>
          <w:spacing w:val="5"/>
          <w:w w:val="105"/>
        </w:rPr>
        <w:t>March </w:t>
      </w:r>
      <w:r>
        <w:rPr>
          <w:w w:val="105"/>
        </w:rPr>
        <w:t>1 </w:t>
      </w:r>
      <w:r>
        <w:rPr>
          <w:spacing w:val="12"/>
          <w:w w:val="105"/>
        </w:rPr>
        <w:t>and </w:t>
      </w:r>
      <w:r>
        <w:rPr>
          <w:spacing w:val="7"/>
          <w:w w:val="105"/>
        </w:rPr>
        <w:t>September    </w:t>
      </w:r>
      <w:r>
        <w:rPr>
          <w:w w:val="105"/>
        </w:rPr>
        <w:t>1.     </w:t>
      </w:r>
      <w:r>
        <w:rPr>
          <w:spacing w:val="4"/>
          <w:w w:val="105"/>
        </w:rPr>
        <w:t>The     </w:t>
      </w:r>
      <w:r>
        <w:rPr>
          <w:spacing w:val="7"/>
          <w:w w:val="105"/>
        </w:rPr>
        <w:t>Debentures    </w:t>
      </w:r>
      <w:r>
        <w:rPr>
          <w:spacing w:val="9"/>
          <w:w w:val="105"/>
        </w:rPr>
        <w:t>may   </w:t>
      </w:r>
      <w:r>
        <w:rPr>
          <w:spacing w:val="12"/>
          <w:w w:val="105"/>
        </w:rPr>
        <w:t>be</w:t>
      </w:r>
    </w:p>
    <w:p>
      <w:pPr>
        <w:pStyle w:val="BodyText"/>
        <w:spacing w:line="254" w:lineRule="auto" w:before="69"/>
        <w:ind w:left="380" w:right="119"/>
        <w:jc w:val="both"/>
      </w:pPr>
      <w:r>
        <w:rPr/>
        <w:br w:type="column"/>
      </w:r>
      <w:r>
        <w:rPr>
          <w:spacing w:val="9"/>
          <w:w w:val="105"/>
        </w:rPr>
        <w:t>redeemed, </w:t>
      </w:r>
      <w:r>
        <w:rPr>
          <w:spacing w:val="6"/>
          <w:w w:val="105"/>
        </w:rPr>
        <w:t>at </w:t>
      </w:r>
      <w:r>
        <w:rPr>
          <w:spacing w:val="2"/>
          <w:w w:val="105"/>
        </w:rPr>
        <w:t>the </w:t>
      </w:r>
      <w:r>
        <w:rPr>
          <w:spacing w:val="7"/>
          <w:w w:val="105"/>
        </w:rPr>
        <w:t>option </w:t>
      </w:r>
      <w:r>
        <w:rPr>
          <w:spacing w:val="6"/>
          <w:w w:val="105"/>
        </w:rPr>
        <w:t>of </w:t>
      </w:r>
      <w:r>
        <w:rPr>
          <w:spacing w:val="2"/>
          <w:w w:val="105"/>
        </w:rPr>
        <w:t>the </w:t>
      </w:r>
      <w:r>
        <w:rPr>
          <w:spacing w:val="7"/>
          <w:w w:val="105"/>
        </w:rPr>
        <w:t>Company, </w:t>
      </w:r>
      <w:r>
        <w:rPr>
          <w:spacing w:val="12"/>
          <w:w w:val="105"/>
        </w:rPr>
        <w:t>in </w:t>
      </w:r>
      <w:r>
        <w:rPr>
          <w:spacing w:val="4"/>
          <w:w w:val="105"/>
        </w:rPr>
        <w:t>whole </w:t>
      </w:r>
      <w:r>
        <w:rPr>
          <w:spacing w:val="6"/>
          <w:w w:val="105"/>
        </w:rPr>
        <w:t>at </w:t>
      </w:r>
      <w:r>
        <w:rPr>
          <w:spacing w:val="8"/>
          <w:w w:val="105"/>
        </w:rPr>
        <w:t>any </w:t>
      </w:r>
      <w:r>
        <w:rPr>
          <w:spacing w:val="6"/>
          <w:w w:val="105"/>
        </w:rPr>
        <w:t>time or in </w:t>
      </w:r>
      <w:r>
        <w:rPr>
          <w:spacing w:val="5"/>
          <w:w w:val="105"/>
        </w:rPr>
        <w:t>part </w:t>
      </w:r>
      <w:r>
        <w:rPr>
          <w:w w:val="105"/>
        </w:rPr>
        <w:t>from </w:t>
      </w:r>
      <w:r>
        <w:rPr>
          <w:spacing w:val="6"/>
          <w:w w:val="105"/>
        </w:rPr>
        <w:t>time </w:t>
      </w:r>
      <w:r>
        <w:rPr>
          <w:w w:val="105"/>
        </w:rPr>
        <w:t>to </w:t>
      </w:r>
      <w:r>
        <w:rPr>
          <w:spacing w:val="9"/>
          <w:w w:val="105"/>
        </w:rPr>
        <w:t>time, </w:t>
      </w:r>
      <w:r>
        <w:rPr>
          <w:spacing w:val="6"/>
          <w:w w:val="105"/>
        </w:rPr>
        <w:t>at </w:t>
      </w:r>
      <w:r>
        <w:rPr>
          <w:w w:val="105"/>
        </w:rPr>
        <w:t>a </w:t>
      </w:r>
      <w:r>
        <w:rPr>
          <w:spacing w:val="8"/>
          <w:w w:val="105"/>
        </w:rPr>
        <w:t>redemption </w:t>
      </w:r>
      <w:r>
        <w:rPr>
          <w:spacing w:val="4"/>
          <w:w w:val="105"/>
        </w:rPr>
        <w:t>price </w:t>
      </w:r>
      <w:r>
        <w:rPr>
          <w:spacing w:val="9"/>
          <w:w w:val="105"/>
        </w:rPr>
        <w:t>equal </w:t>
      </w:r>
      <w:r>
        <w:rPr>
          <w:w w:val="105"/>
        </w:rPr>
        <w:t>to </w:t>
      </w:r>
      <w:r>
        <w:rPr>
          <w:spacing w:val="2"/>
          <w:w w:val="105"/>
        </w:rPr>
        <w:t>the </w:t>
      </w:r>
      <w:r>
        <w:rPr>
          <w:spacing w:val="4"/>
          <w:w w:val="105"/>
        </w:rPr>
        <w:t>greater </w:t>
      </w:r>
      <w:r>
        <w:rPr>
          <w:spacing w:val="12"/>
          <w:w w:val="105"/>
        </w:rPr>
        <w:t>of </w:t>
      </w:r>
      <w:r>
        <w:rPr>
          <w:spacing w:val="2"/>
          <w:w w:val="105"/>
        </w:rPr>
        <w:t>the </w:t>
      </w:r>
      <w:r>
        <w:rPr>
          <w:spacing w:val="8"/>
          <w:w w:val="105"/>
        </w:rPr>
        <w:t>principal </w:t>
      </w:r>
      <w:r>
        <w:rPr>
          <w:spacing w:val="10"/>
          <w:w w:val="105"/>
        </w:rPr>
        <w:t>amount </w:t>
      </w:r>
      <w:r>
        <w:rPr>
          <w:spacing w:val="6"/>
          <w:w w:val="105"/>
        </w:rPr>
        <w:t>of </w:t>
      </w:r>
      <w:r>
        <w:rPr>
          <w:spacing w:val="2"/>
          <w:w w:val="105"/>
        </w:rPr>
        <w:t>the </w:t>
      </w:r>
      <w:r>
        <w:rPr>
          <w:spacing w:val="7"/>
          <w:w w:val="105"/>
        </w:rPr>
        <w:t>Debentures plus </w:t>
      </w:r>
      <w:r>
        <w:rPr>
          <w:spacing w:val="5"/>
          <w:w w:val="105"/>
        </w:rPr>
        <w:t>accrued </w:t>
      </w:r>
      <w:r>
        <w:rPr>
          <w:spacing w:val="4"/>
          <w:w w:val="105"/>
        </w:rPr>
        <w:t>interest </w:t>
      </w:r>
      <w:r>
        <w:rPr>
          <w:spacing w:val="6"/>
          <w:w w:val="105"/>
        </w:rPr>
        <w:t>at </w:t>
      </w:r>
      <w:r>
        <w:rPr>
          <w:spacing w:val="2"/>
          <w:w w:val="105"/>
        </w:rPr>
        <w:t>the </w:t>
      </w:r>
      <w:r>
        <w:rPr>
          <w:spacing w:val="5"/>
          <w:w w:val="105"/>
        </w:rPr>
        <w:t>date </w:t>
      </w:r>
      <w:r>
        <w:rPr>
          <w:spacing w:val="6"/>
          <w:w w:val="105"/>
        </w:rPr>
        <w:t>of </w:t>
      </w:r>
      <w:r>
        <w:rPr>
          <w:spacing w:val="8"/>
          <w:w w:val="105"/>
        </w:rPr>
        <w:t>redemption </w:t>
      </w:r>
      <w:r>
        <w:rPr>
          <w:spacing w:val="12"/>
          <w:w w:val="105"/>
        </w:rPr>
        <w:t>or </w:t>
      </w:r>
      <w:r>
        <w:rPr>
          <w:spacing w:val="2"/>
          <w:w w:val="105"/>
        </w:rPr>
        <w:t>the sum </w:t>
      </w:r>
      <w:r>
        <w:rPr>
          <w:spacing w:val="6"/>
          <w:w w:val="105"/>
        </w:rPr>
        <w:t>of </w:t>
      </w:r>
      <w:r>
        <w:rPr>
          <w:spacing w:val="2"/>
          <w:w w:val="105"/>
        </w:rPr>
        <w:t>the  </w:t>
      </w:r>
      <w:r>
        <w:rPr>
          <w:spacing w:val="5"/>
          <w:w w:val="105"/>
        </w:rPr>
        <w:t>present  </w:t>
      </w:r>
      <w:r>
        <w:rPr>
          <w:spacing w:val="6"/>
          <w:w w:val="105"/>
        </w:rPr>
        <w:t>values</w:t>
      </w:r>
      <w:r>
        <w:rPr>
          <w:spacing w:val="59"/>
          <w:w w:val="105"/>
        </w:rPr>
        <w:t> </w:t>
      </w:r>
      <w:r>
        <w:rPr>
          <w:spacing w:val="6"/>
          <w:w w:val="105"/>
        </w:rPr>
        <w:t>of</w:t>
      </w:r>
      <w:r>
        <w:rPr>
          <w:spacing w:val="59"/>
          <w:w w:val="105"/>
        </w:rPr>
        <w:t> </w:t>
      </w:r>
      <w:r>
        <w:rPr>
          <w:spacing w:val="6"/>
          <w:w w:val="105"/>
        </w:rPr>
        <w:t>the </w:t>
      </w:r>
      <w:r>
        <w:rPr>
          <w:spacing w:val="9"/>
          <w:w w:val="105"/>
        </w:rPr>
        <w:t>remaining </w:t>
      </w:r>
      <w:r>
        <w:rPr>
          <w:spacing w:val="5"/>
          <w:w w:val="105"/>
        </w:rPr>
        <w:t>scheduled </w:t>
      </w:r>
      <w:r>
        <w:rPr>
          <w:spacing w:val="7"/>
          <w:w w:val="105"/>
        </w:rPr>
        <w:t>payments </w:t>
      </w:r>
      <w:r>
        <w:rPr>
          <w:spacing w:val="6"/>
          <w:w w:val="105"/>
        </w:rPr>
        <w:t>of</w:t>
      </w:r>
      <w:r>
        <w:rPr>
          <w:spacing w:val="59"/>
          <w:w w:val="105"/>
        </w:rPr>
        <w:t> </w:t>
      </w:r>
      <w:r>
        <w:rPr>
          <w:spacing w:val="9"/>
          <w:w w:val="105"/>
        </w:rPr>
        <w:t>principal </w:t>
      </w:r>
      <w:r>
        <w:rPr>
          <w:spacing w:val="8"/>
          <w:w w:val="105"/>
        </w:rPr>
        <w:t>and </w:t>
      </w:r>
      <w:r>
        <w:rPr>
          <w:spacing w:val="4"/>
          <w:w w:val="105"/>
        </w:rPr>
        <w:t>interest </w:t>
      </w:r>
      <w:r>
        <w:rPr>
          <w:spacing w:val="6"/>
          <w:w w:val="105"/>
        </w:rPr>
        <w:t>thereon, discounted  </w:t>
      </w:r>
      <w:r>
        <w:rPr>
          <w:w w:val="105"/>
        </w:rPr>
        <w:t>to  </w:t>
      </w:r>
      <w:r>
        <w:rPr>
          <w:spacing w:val="2"/>
          <w:w w:val="105"/>
        </w:rPr>
        <w:t>the  </w:t>
      </w:r>
      <w:r>
        <w:rPr>
          <w:spacing w:val="5"/>
          <w:w w:val="105"/>
        </w:rPr>
        <w:t>date </w:t>
      </w:r>
      <w:r>
        <w:rPr>
          <w:spacing w:val="6"/>
          <w:w w:val="105"/>
        </w:rPr>
        <w:t>of </w:t>
      </w:r>
      <w:r>
        <w:rPr>
          <w:spacing w:val="8"/>
          <w:w w:val="105"/>
        </w:rPr>
        <w:t>redemption </w:t>
      </w:r>
      <w:r>
        <w:rPr>
          <w:spacing w:val="6"/>
          <w:w w:val="105"/>
        </w:rPr>
        <w:t>at </w:t>
      </w:r>
      <w:r>
        <w:rPr>
          <w:spacing w:val="2"/>
          <w:w w:val="105"/>
        </w:rPr>
        <w:t>the </w:t>
      </w:r>
      <w:r>
        <w:rPr>
          <w:spacing w:val="6"/>
          <w:w w:val="105"/>
        </w:rPr>
        <w:t>comparable </w:t>
      </w:r>
      <w:r>
        <w:rPr>
          <w:spacing w:val="2"/>
          <w:w w:val="105"/>
        </w:rPr>
        <w:t>treasury </w:t>
      </w:r>
      <w:r>
        <w:rPr>
          <w:w w:val="105"/>
        </w:rPr>
        <w:t>rate </w:t>
      </w:r>
      <w:r>
        <w:rPr>
          <w:spacing w:val="4"/>
          <w:w w:val="105"/>
        </w:rPr>
        <w:t>plus </w:t>
      </w:r>
      <w:r>
        <w:rPr>
          <w:w w:val="105"/>
        </w:rPr>
        <w:t>20 </w:t>
      </w:r>
      <w:r>
        <w:rPr>
          <w:spacing w:val="6"/>
          <w:w w:val="105"/>
        </w:rPr>
        <w:t>basis </w:t>
      </w:r>
      <w:r>
        <w:rPr>
          <w:spacing w:val="5"/>
          <w:w w:val="105"/>
        </w:rPr>
        <w:t>points, </w:t>
      </w:r>
      <w:r>
        <w:rPr>
          <w:spacing w:val="4"/>
          <w:w w:val="105"/>
        </w:rPr>
        <w:t>plus </w:t>
      </w:r>
      <w:r>
        <w:rPr>
          <w:spacing w:val="5"/>
          <w:w w:val="105"/>
        </w:rPr>
        <w:t>accrued  </w:t>
      </w:r>
      <w:r>
        <w:rPr>
          <w:spacing w:val="4"/>
          <w:w w:val="105"/>
        </w:rPr>
        <w:t>interest  </w:t>
      </w:r>
      <w:r>
        <w:rPr>
          <w:spacing w:val="12"/>
          <w:w w:val="105"/>
        </w:rPr>
        <w:t>at </w:t>
      </w:r>
      <w:r>
        <w:rPr>
          <w:spacing w:val="2"/>
          <w:w w:val="105"/>
        </w:rPr>
        <w:t>the </w:t>
      </w:r>
      <w:r>
        <w:rPr>
          <w:spacing w:val="5"/>
          <w:w w:val="105"/>
        </w:rPr>
        <w:t>date </w:t>
      </w:r>
      <w:r>
        <w:rPr>
          <w:spacing w:val="6"/>
          <w:w w:val="105"/>
        </w:rPr>
        <w:t>of</w:t>
      </w:r>
      <w:r>
        <w:rPr>
          <w:spacing w:val="34"/>
          <w:w w:val="105"/>
        </w:rPr>
        <w:t> </w:t>
      </w:r>
      <w:r>
        <w:rPr>
          <w:spacing w:val="9"/>
          <w:w w:val="105"/>
        </w:rPr>
        <w:t>redemption.</w:t>
      </w:r>
    </w:p>
    <w:p>
      <w:pPr>
        <w:pStyle w:val="BodyText"/>
        <w:tabs>
          <w:tab w:pos="1539" w:val="left" w:leader="none"/>
          <w:tab w:pos="2359" w:val="left" w:leader="none"/>
          <w:tab w:pos="2939" w:val="left" w:leader="none"/>
          <w:tab w:pos="4099" w:val="left" w:leader="none"/>
        </w:tabs>
        <w:ind w:left="660"/>
      </w:pPr>
      <w:r>
        <w:rPr>
          <w:spacing w:val="6"/>
          <w:w w:val="110"/>
        </w:rPr>
        <w:t>During</w:t>
        <w:tab/>
      </w:r>
      <w:r>
        <w:rPr>
          <w:w w:val="110"/>
        </w:rPr>
        <w:t>1995,</w:t>
        <w:tab/>
      </w:r>
      <w:r>
        <w:rPr>
          <w:spacing w:val="2"/>
          <w:w w:val="110"/>
        </w:rPr>
        <w:t>the</w:t>
        <w:tab/>
      </w:r>
      <w:r>
        <w:rPr>
          <w:spacing w:val="8"/>
          <w:w w:val="110"/>
        </w:rPr>
        <w:t>Company</w:t>
        <w:tab/>
      </w:r>
      <w:r>
        <w:rPr>
          <w:spacing w:val="6"/>
          <w:w w:val="110"/>
        </w:rPr>
        <w:t>issued</w:t>
      </w:r>
    </w:p>
    <w:p>
      <w:pPr>
        <w:pStyle w:val="BodyText"/>
        <w:spacing w:line="254" w:lineRule="auto" w:before="15"/>
        <w:ind w:left="380" w:right="123"/>
        <w:jc w:val="both"/>
      </w:pPr>
      <w:r>
        <w:rPr>
          <w:w w:val="105"/>
        </w:rPr>
        <w:t>$100 </w:t>
      </w:r>
      <w:r>
        <w:rPr>
          <w:spacing w:val="5"/>
          <w:w w:val="105"/>
        </w:rPr>
        <w:t>million </w:t>
      </w:r>
      <w:r>
        <w:rPr>
          <w:spacing w:val="6"/>
          <w:w w:val="105"/>
        </w:rPr>
        <w:t>of </w:t>
      </w:r>
      <w:r>
        <w:rPr>
          <w:spacing w:val="7"/>
          <w:w w:val="105"/>
        </w:rPr>
        <w:t>senior </w:t>
      </w:r>
      <w:r>
        <w:rPr>
          <w:spacing w:val="6"/>
          <w:w w:val="105"/>
        </w:rPr>
        <w:t>unsecured </w:t>
      </w:r>
      <w:r>
        <w:rPr>
          <w:spacing w:val="59"/>
          <w:w w:val="105"/>
        </w:rPr>
        <w:t> </w:t>
      </w:r>
      <w:r>
        <w:rPr>
          <w:w w:val="105"/>
        </w:rPr>
        <w:t>8%  </w:t>
      </w:r>
      <w:r>
        <w:rPr>
          <w:spacing w:val="8"/>
          <w:w w:val="105"/>
        </w:rPr>
        <w:t>Notes due </w:t>
      </w:r>
      <w:r>
        <w:rPr>
          <w:spacing w:val="5"/>
          <w:w w:val="105"/>
        </w:rPr>
        <w:t>March </w:t>
      </w:r>
      <w:r>
        <w:rPr>
          <w:w w:val="105"/>
        </w:rPr>
        <w:t>1, 2005. </w:t>
      </w:r>
      <w:r>
        <w:rPr>
          <w:spacing w:val="4"/>
          <w:w w:val="105"/>
        </w:rPr>
        <w:t>Interest </w:t>
      </w:r>
      <w:r>
        <w:rPr>
          <w:spacing w:val="6"/>
          <w:w w:val="105"/>
        </w:rPr>
        <w:t>is </w:t>
      </w:r>
      <w:r>
        <w:rPr>
          <w:spacing w:val="5"/>
          <w:w w:val="105"/>
        </w:rPr>
        <w:t>payable </w:t>
      </w:r>
      <w:r>
        <w:rPr>
          <w:spacing w:val="7"/>
          <w:w w:val="105"/>
        </w:rPr>
        <w:t>semi- </w:t>
      </w:r>
      <w:r>
        <w:rPr>
          <w:spacing w:val="5"/>
          <w:w w:val="105"/>
        </w:rPr>
        <w:t>annually </w:t>
      </w:r>
      <w:r>
        <w:rPr>
          <w:spacing w:val="6"/>
          <w:w w:val="105"/>
        </w:rPr>
        <w:t>on </w:t>
      </w:r>
      <w:r>
        <w:rPr>
          <w:spacing w:val="5"/>
          <w:w w:val="105"/>
        </w:rPr>
        <w:t>March </w:t>
      </w:r>
      <w:r>
        <w:rPr>
          <w:w w:val="105"/>
        </w:rPr>
        <w:t>1 </w:t>
      </w:r>
      <w:r>
        <w:rPr>
          <w:spacing w:val="8"/>
          <w:w w:val="105"/>
        </w:rPr>
        <w:t>and </w:t>
      </w:r>
      <w:r>
        <w:rPr>
          <w:spacing w:val="7"/>
          <w:w w:val="105"/>
        </w:rPr>
        <w:t>September </w:t>
      </w:r>
      <w:r>
        <w:rPr>
          <w:w w:val="105"/>
        </w:rPr>
        <w:t>1. </w:t>
      </w:r>
      <w:r>
        <w:rPr>
          <w:spacing w:val="8"/>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 </w:t>
      </w:r>
      <w:r>
        <w:rPr>
          <w:spacing w:val="4"/>
          <w:w w:val="105"/>
        </w:rPr>
        <w:t>maturity.</w:t>
      </w:r>
    </w:p>
    <w:p>
      <w:pPr>
        <w:pStyle w:val="BodyText"/>
        <w:tabs>
          <w:tab w:pos="1539" w:val="left" w:leader="none"/>
          <w:tab w:pos="2359" w:val="left" w:leader="none"/>
          <w:tab w:pos="2939" w:val="left" w:leader="none"/>
          <w:tab w:pos="4099" w:val="left" w:leader="none"/>
        </w:tabs>
        <w:spacing w:before="1"/>
        <w:ind w:left="660"/>
      </w:pPr>
      <w:r>
        <w:rPr>
          <w:spacing w:val="6"/>
          <w:w w:val="110"/>
        </w:rPr>
        <w:t>During</w:t>
        <w:tab/>
      </w:r>
      <w:r>
        <w:rPr>
          <w:w w:val="110"/>
        </w:rPr>
        <w:t>1992,</w:t>
        <w:tab/>
      </w:r>
      <w:r>
        <w:rPr>
          <w:spacing w:val="2"/>
          <w:w w:val="110"/>
        </w:rPr>
        <w:t>the</w:t>
        <w:tab/>
      </w:r>
      <w:r>
        <w:rPr>
          <w:spacing w:val="8"/>
          <w:w w:val="110"/>
        </w:rPr>
        <w:t>Company</w:t>
        <w:tab/>
      </w:r>
      <w:r>
        <w:rPr>
          <w:spacing w:val="6"/>
          <w:w w:val="110"/>
        </w:rPr>
        <w:t>issued</w:t>
      </w:r>
    </w:p>
    <w:p>
      <w:pPr>
        <w:pStyle w:val="BodyText"/>
        <w:spacing w:line="254" w:lineRule="auto" w:before="16"/>
        <w:ind w:left="380" w:right="135"/>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w:t>
      </w:r>
      <w:r>
        <w:rPr>
          <w:spacing w:val="59"/>
          <w:w w:val="105"/>
        </w:rPr>
        <w:t> </w:t>
      </w:r>
      <w:r>
        <w:rPr>
          <w:w w:val="105"/>
        </w:rPr>
        <w:t>7  7/8% </w:t>
      </w:r>
      <w:r>
        <w:rPr>
          <w:spacing w:val="5"/>
          <w:w w:val="105"/>
        </w:rPr>
        <w:t>Notes </w:t>
      </w:r>
      <w:r>
        <w:rPr>
          <w:spacing w:val="8"/>
          <w:w w:val="105"/>
        </w:rPr>
        <w:t>due </w:t>
      </w:r>
      <w:r>
        <w:rPr>
          <w:spacing w:val="7"/>
          <w:w w:val="105"/>
        </w:rPr>
        <w:t>September </w:t>
      </w:r>
      <w:r>
        <w:rPr>
          <w:w w:val="105"/>
        </w:rPr>
        <w:t>1, 2007. </w:t>
      </w:r>
      <w:r>
        <w:rPr>
          <w:spacing w:val="4"/>
          <w:w w:val="105"/>
        </w:rPr>
        <w:t>Interest </w:t>
      </w:r>
      <w:r>
        <w:rPr>
          <w:spacing w:val="6"/>
          <w:w w:val="105"/>
        </w:rPr>
        <w:t>is </w:t>
      </w:r>
      <w:r>
        <w:rPr>
          <w:spacing w:val="5"/>
          <w:w w:val="105"/>
        </w:rPr>
        <w:t>payable semi-annually </w:t>
      </w:r>
      <w:r>
        <w:rPr>
          <w:spacing w:val="6"/>
          <w:w w:val="105"/>
        </w:rPr>
        <w:t>on </w:t>
      </w:r>
      <w:r>
        <w:rPr>
          <w:spacing w:val="5"/>
          <w:w w:val="105"/>
        </w:rPr>
        <w:t>March </w:t>
      </w:r>
      <w:r>
        <w:rPr>
          <w:w w:val="105"/>
        </w:rPr>
        <w:t>1 </w:t>
      </w:r>
      <w:r>
        <w:rPr>
          <w:spacing w:val="12"/>
          <w:w w:val="105"/>
        </w:rPr>
        <w:t>and </w:t>
      </w:r>
      <w:r>
        <w:rPr>
          <w:spacing w:val="7"/>
          <w:w w:val="105"/>
        </w:rPr>
        <w:t>September </w:t>
      </w:r>
      <w:r>
        <w:rPr>
          <w:w w:val="105"/>
        </w:rPr>
        <w:t>1. </w:t>
      </w:r>
      <w:r>
        <w:rPr>
          <w:spacing w:val="4"/>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w:t>
      </w:r>
      <w:r>
        <w:rPr>
          <w:spacing w:val="-29"/>
          <w:w w:val="105"/>
        </w:rPr>
        <w:t> </w:t>
      </w:r>
      <w:r>
        <w:rPr>
          <w:spacing w:val="3"/>
          <w:w w:val="105"/>
        </w:rPr>
        <w:t>maturity.</w:t>
      </w:r>
    </w:p>
    <w:p>
      <w:pPr>
        <w:pStyle w:val="BodyText"/>
        <w:tabs>
          <w:tab w:pos="1539" w:val="left" w:leader="none"/>
          <w:tab w:pos="2359" w:val="left" w:leader="none"/>
          <w:tab w:pos="2939" w:val="left" w:leader="none"/>
          <w:tab w:pos="4099" w:val="left" w:leader="none"/>
        </w:tabs>
        <w:spacing w:before="1"/>
        <w:ind w:left="660"/>
      </w:pPr>
      <w:r>
        <w:rPr>
          <w:spacing w:val="6"/>
          <w:w w:val="110"/>
        </w:rPr>
        <w:t>During</w:t>
        <w:tab/>
      </w:r>
      <w:r>
        <w:rPr>
          <w:w w:val="110"/>
        </w:rPr>
        <w:t>1991,</w:t>
        <w:tab/>
      </w:r>
      <w:r>
        <w:rPr>
          <w:spacing w:val="2"/>
          <w:w w:val="110"/>
        </w:rPr>
        <w:t>the</w:t>
        <w:tab/>
      </w:r>
      <w:r>
        <w:rPr>
          <w:spacing w:val="8"/>
          <w:w w:val="110"/>
        </w:rPr>
        <w:t>Company</w:t>
        <w:tab/>
      </w:r>
      <w:r>
        <w:rPr>
          <w:spacing w:val="6"/>
          <w:w w:val="110"/>
        </w:rPr>
        <w:t>issued</w:t>
      </w:r>
    </w:p>
    <w:p>
      <w:pPr>
        <w:pStyle w:val="BodyText"/>
        <w:spacing w:line="254" w:lineRule="auto" w:before="15"/>
        <w:ind w:left="380" w:right="139"/>
        <w:jc w:val="both"/>
      </w:pPr>
      <w:r>
        <w:rPr>
          <w:w w:val="105"/>
        </w:rPr>
        <w:t>$100 </w:t>
      </w:r>
      <w:r>
        <w:rPr>
          <w:spacing w:val="5"/>
          <w:w w:val="105"/>
        </w:rPr>
        <w:t>million </w:t>
      </w:r>
      <w:r>
        <w:rPr>
          <w:spacing w:val="6"/>
          <w:w w:val="105"/>
        </w:rPr>
        <w:t>of</w:t>
      </w:r>
      <w:r>
        <w:rPr>
          <w:spacing w:val="59"/>
          <w:w w:val="105"/>
        </w:rPr>
        <w:t> </w:t>
      </w:r>
      <w:r>
        <w:rPr>
          <w:spacing w:val="7"/>
          <w:w w:val="105"/>
        </w:rPr>
        <w:t>senior  </w:t>
      </w:r>
      <w:r>
        <w:rPr>
          <w:spacing w:val="6"/>
          <w:w w:val="105"/>
        </w:rPr>
        <w:t>unsecured</w:t>
      </w:r>
      <w:r>
        <w:rPr>
          <w:spacing w:val="59"/>
          <w:w w:val="105"/>
        </w:rPr>
        <w:t> </w:t>
      </w:r>
      <w:r>
        <w:rPr>
          <w:w w:val="105"/>
        </w:rPr>
        <w:t>8  3/4% </w:t>
      </w:r>
      <w:r>
        <w:rPr>
          <w:spacing w:val="5"/>
          <w:w w:val="105"/>
        </w:rPr>
        <w:t>Notes </w:t>
      </w:r>
      <w:r>
        <w:rPr>
          <w:spacing w:val="8"/>
          <w:w w:val="105"/>
        </w:rPr>
        <w:t>due </w:t>
      </w:r>
      <w:r>
        <w:rPr>
          <w:spacing w:val="6"/>
          <w:w w:val="105"/>
        </w:rPr>
        <w:t>October </w:t>
      </w:r>
      <w:r>
        <w:rPr>
          <w:w w:val="105"/>
        </w:rPr>
        <w:t>15, 2003. </w:t>
      </w:r>
      <w:r>
        <w:rPr>
          <w:spacing w:val="4"/>
          <w:w w:val="105"/>
        </w:rPr>
        <w:t>Interest </w:t>
      </w:r>
      <w:r>
        <w:rPr>
          <w:spacing w:val="6"/>
          <w:w w:val="105"/>
        </w:rPr>
        <w:t>on </w:t>
      </w:r>
      <w:r>
        <w:rPr>
          <w:spacing w:val="2"/>
          <w:w w:val="105"/>
        </w:rPr>
        <w:t>the </w:t>
      </w:r>
      <w:r>
        <w:rPr>
          <w:spacing w:val="5"/>
          <w:w w:val="105"/>
        </w:rPr>
        <w:t>Notes </w:t>
      </w:r>
      <w:r>
        <w:rPr>
          <w:spacing w:val="6"/>
          <w:w w:val="105"/>
        </w:rPr>
        <w:t>is </w:t>
      </w:r>
      <w:r>
        <w:rPr>
          <w:spacing w:val="5"/>
          <w:w w:val="105"/>
        </w:rPr>
        <w:t>payable semi-annually. </w:t>
      </w:r>
      <w:r>
        <w:rPr>
          <w:spacing w:val="4"/>
          <w:w w:val="105"/>
        </w:rPr>
        <w:t>The </w:t>
      </w:r>
      <w:r>
        <w:rPr>
          <w:spacing w:val="5"/>
          <w:w w:val="105"/>
        </w:rPr>
        <w:t>Notes </w:t>
      </w:r>
      <w:r>
        <w:rPr>
          <w:spacing w:val="2"/>
          <w:w w:val="105"/>
        </w:rPr>
        <w:t>are </w:t>
      </w:r>
      <w:r>
        <w:rPr>
          <w:spacing w:val="8"/>
          <w:w w:val="105"/>
        </w:rPr>
        <w:t>not </w:t>
      </w:r>
      <w:r>
        <w:rPr>
          <w:spacing w:val="7"/>
          <w:w w:val="105"/>
        </w:rPr>
        <w:t>redeemable </w:t>
      </w:r>
      <w:r>
        <w:rPr>
          <w:spacing w:val="6"/>
          <w:w w:val="105"/>
        </w:rPr>
        <w:t>prior </w:t>
      </w:r>
      <w:r>
        <w:rPr>
          <w:w w:val="105"/>
        </w:rPr>
        <w:t>to </w:t>
      </w:r>
      <w:r>
        <w:rPr>
          <w:spacing w:val="4"/>
          <w:w w:val="105"/>
        </w:rPr>
        <w:t>maturity.</w:t>
      </w:r>
    </w:p>
    <w:p>
      <w:pPr>
        <w:pStyle w:val="BodyText"/>
        <w:spacing w:line="254" w:lineRule="auto"/>
        <w:ind w:left="380" w:right="123" w:firstLine="280"/>
        <w:jc w:val="both"/>
      </w:pPr>
      <w:r>
        <w:rPr>
          <w:w w:val="105"/>
        </w:rPr>
        <w:t>The net book value  of  the  assets  pledged as collateral for the Company’s secured borrowings, primarily aircraft and  engines, was</w:t>
      </w:r>
    </w:p>
    <w:p>
      <w:pPr>
        <w:pStyle w:val="BodyText"/>
        <w:ind w:left="380"/>
        <w:jc w:val="both"/>
      </w:pPr>
      <w:r>
        <w:rPr>
          <w:w w:val="115"/>
        </w:rPr>
        <w:t>$926.1 million at December 31, 2002.</w:t>
      </w:r>
    </w:p>
    <w:p>
      <w:pPr>
        <w:pStyle w:val="BodyText"/>
        <w:spacing w:line="254" w:lineRule="auto" w:before="15"/>
        <w:ind w:left="380" w:right="123" w:firstLine="280"/>
        <w:jc w:val="both"/>
      </w:pPr>
      <w:r>
        <w:rPr>
          <w:spacing w:val="4"/>
          <w:w w:val="105"/>
        </w:rPr>
        <w:t>As </w:t>
      </w:r>
      <w:r>
        <w:rPr>
          <w:spacing w:val="6"/>
          <w:w w:val="105"/>
        </w:rPr>
        <w:t>of</w:t>
      </w:r>
      <w:r>
        <w:rPr>
          <w:spacing w:val="59"/>
          <w:w w:val="105"/>
        </w:rPr>
        <w:t> </w:t>
      </w:r>
      <w:r>
        <w:rPr>
          <w:spacing w:val="9"/>
          <w:w w:val="105"/>
        </w:rPr>
        <w:t>December </w:t>
      </w:r>
      <w:r>
        <w:rPr>
          <w:w w:val="105"/>
        </w:rPr>
        <w:t>31,  2002,  </w:t>
      </w:r>
      <w:r>
        <w:rPr>
          <w:spacing w:val="3"/>
          <w:w w:val="105"/>
        </w:rPr>
        <w:t>aggregate  </w:t>
      </w:r>
      <w:r>
        <w:rPr>
          <w:spacing w:val="10"/>
          <w:w w:val="105"/>
        </w:rPr>
        <w:t>annual </w:t>
      </w:r>
      <w:r>
        <w:rPr>
          <w:spacing w:val="8"/>
          <w:w w:val="105"/>
        </w:rPr>
        <w:t>principal </w:t>
      </w:r>
      <w:r>
        <w:rPr>
          <w:spacing w:val="6"/>
          <w:w w:val="105"/>
        </w:rPr>
        <w:t>maturities</w:t>
      </w:r>
      <w:r>
        <w:rPr>
          <w:spacing w:val="59"/>
          <w:w w:val="105"/>
        </w:rPr>
        <w:t> </w:t>
      </w:r>
      <w:r>
        <w:rPr>
          <w:spacing w:val="6"/>
          <w:w w:val="105"/>
        </w:rPr>
        <w:t>(not</w:t>
      </w:r>
      <w:r>
        <w:rPr>
          <w:spacing w:val="59"/>
          <w:w w:val="105"/>
        </w:rPr>
        <w:t> </w:t>
      </w:r>
      <w:r>
        <w:rPr>
          <w:spacing w:val="8"/>
          <w:w w:val="105"/>
        </w:rPr>
        <w:t>including </w:t>
      </w:r>
      <w:r>
        <w:rPr>
          <w:spacing w:val="4"/>
          <w:w w:val="105"/>
        </w:rPr>
        <w:t>interest </w:t>
      </w:r>
      <w:r>
        <w:rPr>
          <w:spacing w:val="6"/>
          <w:w w:val="105"/>
        </w:rPr>
        <w:t>on</w:t>
      </w:r>
      <w:r>
        <w:rPr>
          <w:spacing w:val="59"/>
          <w:w w:val="105"/>
        </w:rPr>
        <w:t> </w:t>
      </w:r>
      <w:r>
        <w:rPr>
          <w:spacing w:val="6"/>
          <w:w w:val="105"/>
        </w:rPr>
        <w:t>capital </w:t>
      </w:r>
      <w:r>
        <w:rPr>
          <w:spacing w:val="2"/>
          <w:w w:val="105"/>
        </w:rPr>
        <w:t>leases) </w:t>
      </w:r>
      <w:r>
        <w:rPr>
          <w:spacing w:val="4"/>
          <w:w w:val="105"/>
        </w:rPr>
        <w:t>for </w:t>
      </w:r>
      <w:r>
        <w:rPr>
          <w:spacing w:val="2"/>
          <w:w w:val="105"/>
        </w:rPr>
        <w:t>the </w:t>
      </w:r>
      <w:r>
        <w:rPr>
          <w:spacing w:val="7"/>
          <w:w w:val="105"/>
        </w:rPr>
        <w:t>five-year period   </w:t>
      </w:r>
      <w:r>
        <w:rPr>
          <w:spacing w:val="10"/>
          <w:w w:val="105"/>
        </w:rPr>
        <w:t>ending   </w:t>
      </w:r>
      <w:r>
        <w:rPr>
          <w:spacing w:val="9"/>
          <w:w w:val="105"/>
        </w:rPr>
        <w:t>December   </w:t>
      </w:r>
      <w:r>
        <w:rPr>
          <w:w w:val="105"/>
        </w:rPr>
        <w:t>31,    2007,    </w:t>
      </w:r>
      <w:r>
        <w:rPr>
          <w:spacing w:val="6"/>
          <w:w w:val="105"/>
        </w:rPr>
        <w:t> </w:t>
      </w:r>
      <w:r>
        <w:rPr>
          <w:spacing w:val="4"/>
          <w:w w:val="105"/>
        </w:rPr>
        <w:t>were</w:t>
      </w:r>
    </w:p>
    <w:p>
      <w:pPr>
        <w:pStyle w:val="BodyText"/>
        <w:spacing w:before="1"/>
        <w:ind w:left="380"/>
        <w:jc w:val="both"/>
      </w:pPr>
      <w:r>
        <w:rPr>
          <w:w w:val="110"/>
        </w:rPr>
        <w:t>$130  million  in  2003,  $207  million  in   2004,</w:t>
      </w:r>
    </w:p>
    <w:p>
      <w:pPr>
        <w:pStyle w:val="BodyText"/>
        <w:spacing w:before="16"/>
        <w:ind w:left="380"/>
        <w:jc w:val="both"/>
      </w:pPr>
      <w:r>
        <w:rPr>
          <w:w w:val="110"/>
        </w:rPr>
        <w:t>$142  million  in  2005,  $542  million  in   2006,</w:t>
      </w:r>
    </w:p>
    <w:p>
      <w:pPr>
        <w:pStyle w:val="BodyText"/>
        <w:spacing w:line="254" w:lineRule="auto" w:before="16"/>
        <w:ind w:left="380" w:right="151"/>
        <w:jc w:val="both"/>
      </w:pPr>
      <w:r>
        <w:rPr>
          <w:w w:val="105"/>
        </w:rPr>
        <w:t>$114 million in 2007, and $561 million thereafter.</w:t>
      </w:r>
    </w:p>
    <w:p>
      <w:pPr>
        <w:spacing w:after="0" w:line="254" w:lineRule="auto"/>
        <w:jc w:val="both"/>
        <w:sectPr>
          <w:headerReference w:type="default" r:id="rId134"/>
          <w:pgSz w:w="11520" w:h="14400"/>
          <w:pgMar w:header="0" w:footer="706" w:top="960" w:bottom="900" w:left="700" w:right="820"/>
          <w:cols w:num="2" w:equalWidth="0">
            <w:col w:w="4741" w:space="399"/>
            <w:col w:w="4860"/>
          </w:cols>
        </w:sectPr>
      </w:pPr>
    </w:p>
    <w:p>
      <w:pPr>
        <w:pStyle w:val="ListParagraph"/>
        <w:numPr>
          <w:ilvl w:val="0"/>
          <w:numId w:val="1"/>
        </w:numPr>
        <w:tabs>
          <w:tab w:pos="380" w:val="left" w:leader="none"/>
        </w:tabs>
        <w:spacing w:line="240" w:lineRule="auto" w:before="76" w:after="0"/>
        <w:ind w:left="380" w:right="0" w:hanging="280"/>
        <w:jc w:val="left"/>
        <w:rPr>
          <w:rFonts w:ascii="Franklin Gothic Medium"/>
          <w:sz w:val="20"/>
        </w:rPr>
      </w:pPr>
      <w:bookmarkStart w:name="Leases" w:id="47"/>
      <w:bookmarkEnd w:id="47"/>
      <w:r>
        <w:rPr/>
      </w:r>
      <w:bookmarkStart w:name="Leases" w:id="48"/>
      <w:bookmarkEnd w:id="48"/>
      <w:r>
        <w:rPr>
          <w:rFonts w:ascii="Franklin Gothic Medium"/>
          <w:sz w:val="20"/>
        </w:rPr>
        <w:t>L</w:t>
      </w:r>
      <w:r>
        <w:rPr>
          <w:rFonts w:ascii="Franklin Gothic Medium"/>
          <w:sz w:val="20"/>
        </w:rPr>
        <w:t>eases</w:t>
      </w:r>
    </w:p>
    <w:p>
      <w:pPr>
        <w:pStyle w:val="BodyText"/>
        <w:spacing w:before="1"/>
        <w:rPr>
          <w:rFonts w:ascii="Franklin Gothic Medium"/>
          <w:sz w:val="25"/>
        </w:rPr>
      </w:pPr>
    </w:p>
    <w:p>
      <w:pPr>
        <w:pStyle w:val="BodyText"/>
        <w:spacing w:line="254" w:lineRule="auto" w:before="1"/>
        <w:ind w:left="380" w:right="179" w:firstLine="280"/>
      </w:pPr>
      <w:r>
        <w:rPr>
          <w:w w:val="105"/>
        </w:rPr>
        <w:t>The Company had seven aircraft classified as capital leases at December 31, 2002. The amounts applicable to these aircraft included in property and equipment  were:</w:t>
      </w:r>
    </w:p>
    <w:p>
      <w:pPr>
        <w:pStyle w:val="BodyText"/>
        <w:spacing w:before="9"/>
        <w:rPr>
          <w:sz w:val="19"/>
        </w:rPr>
      </w:pPr>
    </w:p>
    <w:tbl>
      <w:tblPr>
        <w:tblW w:w="0" w:type="auto"/>
        <w:jc w:val="left"/>
        <w:tblInd w:w="12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432"/>
        <w:gridCol w:w="2145"/>
      </w:tblGrid>
      <w:tr>
        <w:trPr>
          <w:trHeight w:val="300" w:hRule="exact"/>
        </w:trPr>
        <w:tc>
          <w:tcPr>
            <w:tcW w:w="5432" w:type="dxa"/>
            <w:tcBorders>
              <w:top w:val="single" w:sz="8" w:space="0" w:color="000000"/>
              <w:bottom w:val="single" w:sz="8" w:space="0" w:color="000000"/>
            </w:tcBorders>
          </w:tcPr>
          <w:p>
            <w:pPr>
              <w:pStyle w:val="TableParagraph"/>
              <w:tabs>
                <w:tab w:pos="3879" w:val="left" w:leader="none"/>
              </w:tabs>
              <w:spacing w:before="49"/>
              <w:ind w:left="80"/>
              <w:rPr>
                <w:sz w:val="20"/>
              </w:rPr>
            </w:pPr>
            <w:r>
              <w:rPr>
                <w:i/>
                <w:spacing w:val="2"/>
                <w:w w:val="105"/>
                <w:sz w:val="16"/>
              </w:rPr>
              <w:t>(In </w:t>
            </w:r>
            <w:r>
              <w:rPr>
                <w:i/>
                <w:spacing w:val="23"/>
                <w:w w:val="105"/>
                <w:sz w:val="16"/>
              </w:rPr>
              <w:t> </w:t>
            </w:r>
            <w:r>
              <w:rPr>
                <w:i/>
                <w:spacing w:val="3"/>
                <w:w w:val="105"/>
                <w:sz w:val="16"/>
              </w:rPr>
              <w:t>thousands)</w:t>
              <w:tab/>
            </w:r>
            <w:r>
              <w:rPr>
                <w:w w:val="105"/>
                <w:sz w:val="20"/>
              </w:rPr>
              <w:t>2002</w:t>
            </w:r>
          </w:p>
        </w:tc>
        <w:tc>
          <w:tcPr>
            <w:tcW w:w="2145" w:type="dxa"/>
            <w:tcBorders>
              <w:top w:val="single" w:sz="8" w:space="0" w:color="000000"/>
              <w:bottom w:val="single" w:sz="8" w:space="0" w:color="000000"/>
            </w:tcBorders>
          </w:tcPr>
          <w:p>
            <w:pPr>
              <w:pStyle w:val="TableParagraph"/>
              <w:spacing w:before="49"/>
              <w:ind w:left="95" w:right="65"/>
              <w:jc w:val="center"/>
              <w:rPr>
                <w:sz w:val="20"/>
              </w:rPr>
            </w:pPr>
            <w:r>
              <w:rPr>
                <w:w w:val="120"/>
                <w:sz w:val="20"/>
              </w:rPr>
              <w:t>2001</w:t>
            </w:r>
          </w:p>
        </w:tc>
      </w:tr>
      <w:tr>
        <w:trPr>
          <w:trHeight w:val="324" w:hRule="exact"/>
        </w:trPr>
        <w:tc>
          <w:tcPr>
            <w:tcW w:w="5432" w:type="dxa"/>
            <w:tcBorders>
              <w:top w:val="single" w:sz="8" w:space="0" w:color="000000"/>
            </w:tcBorders>
          </w:tcPr>
          <w:p>
            <w:pPr>
              <w:pStyle w:val="TableParagraph"/>
              <w:tabs>
                <w:tab w:pos="3559" w:val="left" w:leader="none"/>
              </w:tabs>
              <w:spacing w:before="49"/>
              <w:ind w:left="80"/>
              <w:rPr>
                <w:sz w:val="20"/>
              </w:rPr>
            </w:pPr>
            <w:r>
              <w:rPr>
                <w:spacing w:val="3"/>
                <w:w w:val="110"/>
                <w:sz w:val="20"/>
              </w:rPr>
              <w:t>Flight</w:t>
            </w:r>
            <w:r>
              <w:rPr>
                <w:spacing w:val="24"/>
                <w:w w:val="110"/>
                <w:sz w:val="20"/>
              </w:rPr>
              <w:t> </w:t>
            </w:r>
            <w:r>
              <w:rPr>
                <w:spacing w:val="3"/>
                <w:w w:val="110"/>
                <w:sz w:val="20"/>
              </w:rPr>
              <w:t>equipment</w:t>
              <w:tab/>
            </w:r>
            <w:r>
              <w:rPr>
                <w:w w:val="110"/>
                <w:sz w:val="20"/>
              </w:rPr>
              <w:t>$ </w:t>
            </w:r>
            <w:r>
              <w:rPr>
                <w:spacing w:val="24"/>
                <w:w w:val="110"/>
                <w:sz w:val="20"/>
              </w:rPr>
              <w:t> </w:t>
            </w:r>
            <w:r>
              <w:rPr>
                <w:w w:val="110"/>
                <w:sz w:val="20"/>
              </w:rPr>
              <w:t>165,467</w:t>
            </w:r>
          </w:p>
        </w:tc>
        <w:tc>
          <w:tcPr>
            <w:tcW w:w="2145" w:type="dxa"/>
            <w:tcBorders>
              <w:top w:val="single" w:sz="8" w:space="0" w:color="000000"/>
            </w:tcBorders>
          </w:tcPr>
          <w:p>
            <w:pPr>
              <w:pStyle w:val="TableParagraph"/>
              <w:spacing w:before="49"/>
              <w:ind w:left="95" w:right="142"/>
              <w:jc w:val="center"/>
              <w:rPr>
                <w:sz w:val="20"/>
              </w:rPr>
            </w:pPr>
            <w:r>
              <w:rPr>
                <w:w w:val="120"/>
                <w:sz w:val="20"/>
              </w:rPr>
              <w:t>$ 165,085</w:t>
            </w:r>
          </w:p>
        </w:tc>
      </w:tr>
      <w:tr>
        <w:trPr>
          <w:trHeight w:val="290" w:hRule="exact"/>
        </w:trPr>
        <w:tc>
          <w:tcPr>
            <w:tcW w:w="5432" w:type="dxa"/>
          </w:tcPr>
          <w:p>
            <w:pPr>
              <w:pStyle w:val="TableParagraph"/>
              <w:tabs>
                <w:tab w:pos="3219" w:val="left" w:leader="none"/>
                <w:tab w:pos="3739" w:val="left" w:leader="none"/>
                <w:tab w:pos="5304" w:val="left" w:leader="none"/>
              </w:tabs>
              <w:spacing w:before="16"/>
              <w:ind w:left="80"/>
              <w:rPr>
                <w:sz w:val="20"/>
              </w:rPr>
            </w:pPr>
            <w:r>
              <w:rPr>
                <w:spacing w:val="3"/>
                <w:w w:val="115"/>
                <w:sz w:val="20"/>
              </w:rPr>
              <w:t>Less</w:t>
            </w:r>
            <w:r>
              <w:rPr>
                <w:spacing w:val="5"/>
                <w:w w:val="115"/>
                <w:sz w:val="20"/>
              </w:rPr>
              <w:t> </w:t>
            </w:r>
            <w:r>
              <w:rPr>
                <w:spacing w:val="3"/>
                <w:w w:val="115"/>
                <w:sz w:val="20"/>
              </w:rPr>
              <w:t>accumulated</w:t>
            </w:r>
            <w:r>
              <w:rPr>
                <w:spacing w:val="5"/>
                <w:w w:val="115"/>
                <w:sz w:val="20"/>
              </w:rPr>
              <w:t> </w:t>
            </w:r>
            <w:r>
              <w:rPr>
                <w:spacing w:val="3"/>
                <w:w w:val="115"/>
                <w:sz w:val="20"/>
              </w:rPr>
              <w:t>depreciation</w:t>
              <w:tab/>
            </w:r>
            <w:r>
              <w:rPr>
                <w:spacing w:val="3"/>
                <w:w w:val="115"/>
                <w:sz w:val="20"/>
                <w:u w:val="single"/>
              </w:rPr>
              <w:t> </w:t>
              <w:tab/>
            </w:r>
            <w:r>
              <w:rPr>
                <w:w w:val="115"/>
                <w:sz w:val="20"/>
                <w:u w:val="single"/>
              </w:rPr>
              <w:t>106,876</w:t>
            </w:r>
            <w:r>
              <w:rPr>
                <w:sz w:val="20"/>
                <w:u w:val="single"/>
              </w:rPr>
              <w:tab/>
            </w:r>
          </w:p>
        </w:tc>
        <w:tc>
          <w:tcPr>
            <w:tcW w:w="2145" w:type="dxa"/>
          </w:tcPr>
          <w:p>
            <w:pPr>
              <w:pStyle w:val="TableParagraph"/>
              <w:tabs>
                <w:tab w:pos="835" w:val="left" w:leader="none"/>
                <w:tab w:pos="2079" w:val="left" w:leader="none"/>
              </w:tabs>
              <w:spacing w:before="16"/>
              <w:ind w:left="95"/>
              <w:jc w:val="center"/>
              <w:rPr>
                <w:sz w:val="20"/>
              </w:rPr>
            </w:pPr>
            <w:r>
              <w:rPr>
                <w:w w:val="132"/>
                <w:sz w:val="20"/>
                <w:u w:val="single"/>
              </w:rPr>
              <w:t> </w:t>
            </w:r>
            <w:r>
              <w:rPr>
                <w:sz w:val="20"/>
                <w:u w:val="single"/>
              </w:rPr>
              <w:tab/>
            </w:r>
            <w:r>
              <w:rPr>
                <w:w w:val="120"/>
                <w:sz w:val="20"/>
                <w:u w:val="single"/>
              </w:rPr>
              <w:t>99,801</w:t>
            </w:r>
            <w:r>
              <w:rPr>
                <w:sz w:val="20"/>
                <w:u w:val="single"/>
              </w:rPr>
              <w:tab/>
            </w:r>
          </w:p>
        </w:tc>
      </w:tr>
      <w:tr>
        <w:trPr>
          <w:trHeight w:val="266" w:hRule="exact"/>
        </w:trPr>
        <w:tc>
          <w:tcPr>
            <w:tcW w:w="5432" w:type="dxa"/>
          </w:tcPr>
          <w:p>
            <w:pPr>
              <w:pStyle w:val="TableParagraph"/>
              <w:tabs>
                <w:tab w:pos="3679" w:val="left" w:leader="none"/>
                <w:tab w:pos="5299" w:val="left" w:leader="none"/>
              </w:tabs>
              <w:spacing w:before="26"/>
              <w:ind w:left="3220"/>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58,591</w:t>
            </w:r>
            <w:r>
              <w:rPr>
                <w:sz w:val="20"/>
                <w:u w:val="single"/>
              </w:rPr>
              <w:tab/>
            </w:r>
          </w:p>
        </w:tc>
        <w:tc>
          <w:tcPr>
            <w:tcW w:w="2145" w:type="dxa"/>
          </w:tcPr>
          <w:p>
            <w:pPr>
              <w:pStyle w:val="TableParagraph"/>
              <w:tabs>
                <w:tab w:pos="650" w:val="left" w:leader="none"/>
                <w:tab w:pos="2070" w:val="left" w:leader="none"/>
              </w:tabs>
              <w:spacing w:before="26"/>
              <w:ind w:left="90"/>
              <w:jc w:val="center"/>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65,284</w:t>
            </w:r>
            <w:r>
              <w:rPr>
                <w:sz w:val="20"/>
                <w:u w:val="single"/>
              </w:rPr>
              <w:tab/>
            </w:r>
          </w:p>
        </w:tc>
      </w:tr>
    </w:tbl>
    <w:p>
      <w:pPr>
        <w:pStyle w:val="BodyText"/>
        <w:spacing w:before="11"/>
        <w:rPr>
          <w:sz w:val="16"/>
        </w:rPr>
      </w:pPr>
    </w:p>
    <w:p>
      <w:pPr>
        <w:spacing w:after="0"/>
        <w:rPr>
          <w:sz w:val="16"/>
        </w:rPr>
        <w:sectPr>
          <w:headerReference w:type="default" r:id="rId135"/>
          <w:footerReference w:type="default" r:id="rId136"/>
          <w:footerReference w:type="even" r:id="rId137"/>
          <w:pgSz w:w="11520" w:h="14400"/>
          <w:pgMar w:header="0" w:footer="706" w:top="960" w:bottom="900" w:left="700" w:right="820"/>
          <w:pgNumType w:start="43"/>
        </w:sectPr>
      </w:pPr>
    </w:p>
    <w:p>
      <w:pPr>
        <w:pStyle w:val="BodyText"/>
        <w:spacing w:line="254" w:lineRule="auto" w:before="93"/>
        <w:ind w:left="380" w:firstLine="260"/>
        <w:jc w:val="both"/>
      </w:pPr>
      <w:r>
        <w:rPr>
          <w:spacing w:val="4"/>
          <w:w w:val="110"/>
        </w:rPr>
        <w:t>Total rental </w:t>
      </w:r>
      <w:r>
        <w:rPr>
          <w:spacing w:val="8"/>
          <w:w w:val="110"/>
        </w:rPr>
        <w:t>expense </w:t>
      </w:r>
      <w:r>
        <w:rPr>
          <w:spacing w:val="4"/>
          <w:w w:val="110"/>
        </w:rPr>
        <w:t>for </w:t>
      </w:r>
      <w:r>
        <w:rPr>
          <w:spacing w:val="7"/>
          <w:w w:val="110"/>
        </w:rPr>
        <w:t>operating </w:t>
      </w:r>
      <w:r>
        <w:rPr>
          <w:spacing w:val="6"/>
          <w:w w:val="110"/>
        </w:rPr>
        <w:t>leases</w:t>
      </w:r>
      <w:r>
        <w:rPr>
          <w:spacing w:val="61"/>
          <w:w w:val="110"/>
        </w:rPr>
        <w:t> </w:t>
      </w:r>
      <w:r>
        <w:rPr>
          <w:spacing w:val="5"/>
          <w:w w:val="110"/>
        </w:rPr>
        <w:t>charged </w:t>
      </w:r>
      <w:r>
        <w:rPr>
          <w:w w:val="110"/>
        </w:rPr>
        <w:t>to </w:t>
      </w:r>
      <w:r>
        <w:rPr>
          <w:spacing w:val="7"/>
          <w:w w:val="110"/>
        </w:rPr>
        <w:t>operations </w:t>
      </w:r>
      <w:r>
        <w:rPr>
          <w:spacing w:val="6"/>
          <w:w w:val="110"/>
        </w:rPr>
        <w:t>in</w:t>
      </w:r>
      <w:r>
        <w:rPr>
          <w:spacing w:val="61"/>
          <w:w w:val="110"/>
        </w:rPr>
        <w:t> </w:t>
      </w:r>
      <w:r>
        <w:rPr>
          <w:w w:val="110"/>
        </w:rPr>
        <w:t>2002, 2001,  </w:t>
      </w:r>
      <w:r>
        <w:rPr>
          <w:spacing w:val="8"/>
          <w:w w:val="110"/>
        </w:rPr>
        <w:t>and </w:t>
      </w:r>
      <w:r>
        <w:rPr>
          <w:w w:val="110"/>
        </w:rPr>
        <w:t>2000 </w:t>
      </w:r>
      <w:r>
        <w:rPr>
          <w:spacing w:val="6"/>
          <w:w w:val="110"/>
        </w:rPr>
        <w:t>was </w:t>
      </w:r>
      <w:r>
        <w:rPr>
          <w:w w:val="110"/>
        </w:rPr>
        <w:t>$371.4  </w:t>
      </w:r>
      <w:r>
        <w:rPr>
          <w:spacing w:val="6"/>
          <w:w w:val="110"/>
        </w:rPr>
        <w:t>million,  </w:t>
      </w:r>
      <w:r>
        <w:rPr>
          <w:w w:val="110"/>
        </w:rPr>
        <w:t>$358.6  </w:t>
      </w:r>
      <w:r>
        <w:rPr>
          <w:spacing w:val="6"/>
          <w:w w:val="110"/>
        </w:rPr>
        <w:t>million, </w:t>
      </w:r>
      <w:r>
        <w:rPr>
          <w:spacing w:val="12"/>
          <w:w w:val="110"/>
        </w:rPr>
        <w:t>and</w:t>
      </w:r>
    </w:p>
    <w:p>
      <w:pPr>
        <w:pStyle w:val="BodyText"/>
        <w:spacing w:line="254" w:lineRule="auto" w:before="1"/>
        <w:ind w:left="380"/>
        <w:jc w:val="both"/>
      </w:pPr>
      <w:r>
        <w:rPr>
          <w:w w:val="105"/>
        </w:rPr>
        <w:t>$330.7 </w:t>
      </w:r>
      <w:r>
        <w:rPr>
          <w:spacing w:val="6"/>
          <w:w w:val="105"/>
        </w:rPr>
        <w:t>million, </w:t>
      </w:r>
      <w:r>
        <w:rPr>
          <w:spacing w:val="4"/>
          <w:w w:val="105"/>
        </w:rPr>
        <w:t>respectively.  The  </w:t>
      </w:r>
      <w:r>
        <w:rPr>
          <w:spacing w:val="5"/>
          <w:w w:val="105"/>
        </w:rPr>
        <w:t>majority  </w:t>
      </w:r>
      <w:r>
        <w:rPr>
          <w:spacing w:val="12"/>
          <w:w w:val="105"/>
        </w:rPr>
        <w:t>of </w:t>
      </w:r>
      <w:r>
        <w:rPr>
          <w:spacing w:val="2"/>
          <w:w w:val="105"/>
        </w:rPr>
        <w:t>the </w:t>
      </w:r>
      <w:r>
        <w:rPr>
          <w:spacing w:val="6"/>
          <w:w w:val="105"/>
        </w:rPr>
        <w:t>Company’s </w:t>
      </w:r>
      <w:r>
        <w:rPr>
          <w:spacing w:val="7"/>
          <w:w w:val="105"/>
        </w:rPr>
        <w:t>terminal operations </w:t>
      </w:r>
      <w:r>
        <w:rPr>
          <w:spacing w:val="6"/>
          <w:w w:val="105"/>
        </w:rPr>
        <w:t>space, </w:t>
      </w:r>
      <w:r>
        <w:rPr>
          <w:spacing w:val="12"/>
          <w:w w:val="105"/>
        </w:rPr>
        <w:t>as </w:t>
      </w:r>
      <w:r>
        <w:rPr>
          <w:spacing w:val="3"/>
          <w:w w:val="105"/>
        </w:rPr>
        <w:t>well   </w:t>
      </w:r>
      <w:r>
        <w:rPr>
          <w:spacing w:val="6"/>
          <w:w w:val="105"/>
        </w:rPr>
        <w:t>as </w:t>
      </w:r>
      <w:r>
        <w:rPr>
          <w:spacing w:val="59"/>
          <w:w w:val="105"/>
        </w:rPr>
        <w:t> </w:t>
      </w:r>
      <w:r>
        <w:rPr>
          <w:w w:val="105"/>
        </w:rPr>
        <w:t>90   </w:t>
      </w:r>
      <w:r>
        <w:rPr>
          <w:spacing w:val="3"/>
          <w:w w:val="105"/>
        </w:rPr>
        <w:t>aircraft,   </w:t>
      </w:r>
      <w:r>
        <w:rPr>
          <w:spacing w:val="4"/>
          <w:w w:val="105"/>
        </w:rPr>
        <w:t>were   </w:t>
      </w:r>
      <w:r>
        <w:rPr>
          <w:spacing w:val="9"/>
          <w:w w:val="105"/>
        </w:rPr>
        <w:t>under  </w:t>
      </w:r>
      <w:r>
        <w:rPr>
          <w:spacing w:val="60"/>
          <w:w w:val="105"/>
        </w:rPr>
        <w:t> </w:t>
      </w:r>
      <w:r>
        <w:rPr>
          <w:spacing w:val="8"/>
          <w:w w:val="105"/>
        </w:rPr>
        <w:t>operating</w:t>
      </w:r>
    </w:p>
    <w:p>
      <w:pPr>
        <w:pStyle w:val="BodyText"/>
        <w:spacing w:line="254" w:lineRule="auto" w:before="93"/>
        <w:ind w:left="380" w:right="123"/>
        <w:jc w:val="both"/>
      </w:pPr>
      <w:r>
        <w:rPr/>
        <w:br w:type="column"/>
      </w:r>
      <w:r>
        <w:rPr>
          <w:spacing w:val="4"/>
          <w:w w:val="105"/>
        </w:rPr>
        <w:t>leases </w:t>
      </w:r>
      <w:r>
        <w:rPr>
          <w:spacing w:val="6"/>
          <w:w w:val="105"/>
        </w:rPr>
        <w:t>at </w:t>
      </w:r>
      <w:r>
        <w:rPr>
          <w:spacing w:val="9"/>
          <w:w w:val="105"/>
        </w:rPr>
        <w:t>December </w:t>
      </w:r>
      <w:r>
        <w:rPr>
          <w:w w:val="105"/>
        </w:rPr>
        <w:t>31, 2002. </w:t>
      </w:r>
      <w:r>
        <w:rPr>
          <w:spacing w:val="3"/>
          <w:w w:val="105"/>
        </w:rPr>
        <w:t>Future</w:t>
      </w:r>
      <w:r>
        <w:rPr>
          <w:spacing w:val="53"/>
          <w:w w:val="105"/>
        </w:rPr>
        <w:t> </w:t>
      </w:r>
      <w:r>
        <w:rPr>
          <w:spacing w:val="12"/>
          <w:w w:val="105"/>
        </w:rPr>
        <w:t>mini- </w:t>
      </w:r>
      <w:r>
        <w:rPr>
          <w:spacing w:val="9"/>
          <w:w w:val="105"/>
        </w:rPr>
        <w:t>mum </w:t>
      </w:r>
      <w:r>
        <w:rPr>
          <w:spacing w:val="2"/>
          <w:w w:val="105"/>
        </w:rPr>
        <w:t>lease </w:t>
      </w:r>
      <w:r>
        <w:rPr>
          <w:spacing w:val="7"/>
          <w:w w:val="105"/>
        </w:rPr>
        <w:t>payments  </w:t>
      </w:r>
      <w:r>
        <w:rPr>
          <w:spacing w:val="9"/>
          <w:w w:val="105"/>
        </w:rPr>
        <w:t>under  </w:t>
      </w:r>
      <w:r>
        <w:rPr>
          <w:spacing w:val="6"/>
          <w:w w:val="105"/>
        </w:rPr>
        <w:t>capital </w:t>
      </w:r>
      <w:r>
        <w:rPr>
          <w:spacing w:val="59"/>
          <w:w w:val="105"/>
        </w:rPr>
        <w:t> </w:t>
      </w:r>
      <w:r>
        <w:rPr>
          <w:spacing w:val="6"/>
          <w:w w:val="105"/>
        </w:rPr>
        <w:t>leases </w:t>
      </w:r>
      <w:r>
        <w:rPr>
          <w:spacing w:val="8"/>
          <w:w w:val="105"/>
        </w:rPr>
        <w:t>and </w:t>
      </w:r>
      <w:r>
        <w:rPr>
          <w:spacing w:val="6"/>
          <w:w w:val="105"/>
        </w:rPr>
        <w:t>noncancelable</w:t>
      </w:r>
      <w:r>
        <w:rPr>
          <w:spacing w:val="59"/>
          <w:w w:val="105"/>
        </w:rPr>
        <w:t> </w:t>
      </w:r>
      <w:r>
        <w:rPr>
          <w:spacing w:val="7"/>
          <w:w w:val="105"/>
        </w:rPr>
        <w:t>operating  </w:t>
      </w:r>
      <w:r>
        <w:rPr>
          <w:spacing w:val="4"/>
          <w:w w:val="105"/>
        </w:rPr>
        <w:t>leases  with </w:t>
      </w:r>
      <w:r>
        <w:rPr>
          <w:spacing w:val="8"/>
          <w:w w:val="105"/>
        </w:rPr>
        <w:t>initial </w:t>
      </w:r>
      <w:r>
        <w:rPr>
          <w:spacing w:val="6"/>
          <w:w w:val="105"/>
        </w:rPr>
        <w:t>or </w:t>
      </w:r>
      <w:r>
        <w:rPr>
          <w:spacing w:val="9"/>
          <w:w w:val="105"/>
        </w:rPr>
        <w:t>remaining </w:t>
      </w:r>
      <w:r>
        <w:rPr>
          <w:spacing w:val="4"/>
          <w:w w:val="105"/>
        </w:rPr>
        <w:t>terms </w:t>
      </w:r>
      <w:r>
        <w:rPr>
          <w:spacing w:val="6"/>
          <w:w w:val="105"/>
        </w:rPr>
        <w:t>in</w:t>
      </w:r>
      <w:r>
        <w:rPr>
          <w:spacing w:val="59"/>
          <w:w w:val="105"/>
        </w:rPr>
        <w:t> </w:t>
      </w:r>
      <w:r>
        <w:rPr>
          <w:spacing w:val="6"/>
          <w:w w:val="105"/>
        </w:rPr>
        <w:t>excess of  </w:t>
      </w:r>
      <w:r>
        <w:rPr>
          <w:spacing w:val="12"/>
          <w:w w:val="105"/>
        </w:rPr>
        <w:t>one </w:t>
      </w:r>
      <w:r>
        <w:rPr>
          <w:spacing w:val="5"/>
          <w:w w:val="105"/>
        </w:rPr>
        <w:t>year </w:t>
      </w:r>
      <w:r>
        <w:rPr>
          <w:spacing w:val="6"/>
          <w:w w:val="105"/>
        </w:rPr>
        <w:t>at </w:t>
      </w:r>
      <w:r>
        <w:rPr>
          <w:spacing w:val="9"/>
          <w:w w:val="105"/>
        </w:rPr>
        <w:t>December </w:t>
      </w:r>
      <w:r>
        <w:rPr>
          <w:w w:val="105"/>
        </w:rPr>
        <w:t>31,  2002, </w:t>
      </w:r>
      <w:r>
        <w:rPr>
          <w:spacing w:val="15"/>
          <w:w w:val="105"/>
        </w:rPr>
        <w:t> </w:t>
      </w:r>
      <w:r>
        <w:rPr>
          <w:spacing w:val="5"/>
          <w:w w:val="105"/>
        </w:rPr>
        <w:t>were:</w:t>
      </w:r>
    </w:p>
    <w:p>
      <w:pPr>
        <w:spacing w:after="0" w:line="254" w:lineRule="auto"/>
        <w:jc w:val="both"/>
        <w:sectPr>
          <w:type w:val="continuous"/>
          <w:pgSz w:w="11520" w:h="14400"/>
          <w:pgMar w:top="0" w:bottom="280" w:left="700" w:right="820"/>
          <w:cols w:num="2" w:equalWidth="0">
            <w:col w:w="4737" w:space="403"/>
            <w:col w:w="4860"/>
          </w:cols>
        </w:sectPr>
      </w:pPr>
    </w:p>
    <w:p>
      <w:pPr>
        <w:pStyle w:val="BodyText"/>
        <w:spacing w:before="11" w:after="1"/>
        <w:rPr>
          <w:sz w:val="18"/>
        </w:rPr>
      </w:pPr>
    </w:p>
    <w:p>
      <w:pPr>
        <w:pStyle w:val="BodyText"/>
        <w:spacing w:line="20" w:lineRule="exact"/>
        <w:ind w:left="490"/>
        <w:rPr>
          <w:sz w:val="2"/>
        </w:rPr>
      </w:pPr>
      <w:r>
        <w:rPr>
          <w:sz w:val="2"/>
        </w:rPr>
        <w:pict>
          <v:group style="width:456pt;height:1pt;mso-position-horizontal-relative:char;mso-position-vertical-relative:line" coordorigin="0,0" coordsize="9120,20">
            <v:line style="position:absolute" from="10,10" to="9110,10" stroked="true" strokeweight="1pt" strokecolor="#000000">
              <v:stroke dashstyle="solid"/>
            </v:line>
          </v:group>
        </w:pict>
      </w:r>
      <w:r>
        <w:rPr>
          <w:sz w:val="2"/>
        </w:rPr>
      </w:r>
    </w:p>
    <w:p>
      <w:pPr>
        <w:tabs>
          <w:tab w:pos="5039" w:val="left" w:leader="none"/>
          <w:tab w:pos="7679" w:val="left" w:leader="none"/>
        </w:tabs>
        <w:spacing w:before="56" w:after="6"/>
        <w:ind w:left="800" w:right="0" w:firstLine="0"/>
        <w:jc w:val="left"/>
        <w:rPr>
          <w:rFonts w:ascii="Franklin Gothic Medium"/>
          <w:sz w:val="20"/>
        </w:rPr>
      </w:pPr>
      <w:r>
        <w:rPr>
          <w:i/>
          <w:spacing w:val="2"/>
          <w:sz w:val="16"/>
        </w:rPr>
        <w:t>(In  </w:t>
      </w:r>
      <w:r>
        <w:rPr>
          <w:i/>
          <w:spacing w:val="9"/>
          <w:sz w:val="16"/>
        </w:rPr>
        <w:t> </w:t>
      </w:r>
      <w:r>
        <w:rPr>
          <w:i/>
          <w:spacing w:val="3"/>
          <w:sz w:val="16"/>
        </w:rPr>
        <w:t>thousands)</w:t>
        <w:tab/>
      </w:r>
      <w:r>
        <w:rPr>
          <w:rFonts w:ascii="Franklin Gothic Medium"/>
          <w:spacing w:val="2"/>
          <w:sz w:val="20"/>
        </w:rPr>
        <w:t>Capital</w:t>
      </w:r>
      <w:r>
        <w:rPr>
          <w:rFonts w:ascii="Franklin Gothic Medium"/>
          <w:spacing w:val="52"/>
          <w:sz w:val="20"/>
        </w:rPr>
        <w:t> </w:t>
      </w:r>
      <w:r>
        <w:rPr>
          <w:rFonts w:ascii="Franklin Gothic Medium"/>
          <w:spacing w:val="2"/>
          <w:sz w:val="20"/>
        </w:rPr>
        <w:t>Leases</w:t>
        <w:tab/>
      </w:r>
      <w:r>
        <w:rPr>
          <w:rFonts w:ascii="Franklin Gothic Medium"/>
          <w:sz w:val="20"/>
        </w:rPr>
        <w:t>Operating </w:t>
      </w:r>
      <w:r>
        <w:rPr>
          <w:rFonts w:ascii="Franklin Gothic Medium"/>
          <w:spacing w:val="2"/>
          <w:sz w:val="20"/>
        </w:rPr>
        <w:t> Leases</w:t>
      </w:r>
    </w:p>
    <w:tbl>
      <w:tblPr>
        <w:tblW w:w="0" w:type="auto"/>
        <w:jc w:val="left"/>
        <w:tblInd w:w="5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782"/>
        <w:gridCol w:w="2991"/>
        <w:gridCol w:w="2365"/>
      </w:tblGrid>
      <w:tr>
        <w:trPr>
          <w:trHeight w:val="284" w:hRule="exact"/>
        </w:trPr>
        <w:tc>
          <w:tcPr>
            <w:tcW w:w="3782" w:type="dxa"/>
            <w:tcBorders>
              <w:top w:val="single" w:sz="8" w:space="0" w:color="000000"/>
            </w:tcBorders>
          </w:tcPr>
          <w:p>
            <w:pPr>
              <w:pStyle w:val="TableParagraph"/>
              <w:spacing w:before="29"/>
              <w:ind w:left="260"/>
              <w:rPr>
                <w:sz w:val="20"/>
              </w:rPr>
            </w:pPr>
            <w:r>
              <w:rPr>
                <w:w w:val="120"/>
                <w:sz w:val="20"/>
              </w:rPr>
              <w:t>2003</w:t>
            </w:r>
          </w:p>
        </w:tc>
        <w:tc>
          <w:tcPr>
            <w:tcW w:w="2991" w:type="dxa"/>
            <w:tcBorders>
              <w:top w:val="single" w:sz="8" w:space="0" w:color="000000"/>
            </w:tcBorders>
          </w:tcPr>
          <w:p>
            <w:pPr>
              <w:pStyle w:val="TableParagraph"/>
              <w:spacing w:before="29"/>
              <w:ind w:left="1178"/>
              <w:rPr>
                <w:sz w:val="20"/>
              </w:rPr>
            </w:pPr>
            <w:r>
              <w:rPr>
                <w:w w:val="120"/>
                <w:sz w:val="20"/>
              </w:rPr>
              <w:t>$ 17,751</w:t>
            </w:r>
          </w:p>
        </w:tc>
        <w:tc>
          <w:tcPr>
            <w:tcW w:w="2365" w:type="dxa"/>
            <w:tcBorders>
              <w:top w:val="single" w:sz="8" w:space="0" w:color="000000"/>
            </w:tcBorders>
          </w:tcPr>
          <w:p>
            <w:pPr>
              <w:pStyle w:val="TableParagraph"/>
              <w:spacing w:before="29"/>
              <w:ind w:left="827"/>
              <w:rPr>
                <w:sz w:val="20"/>
              </w:rPr>
            </w:pPr>
            <w:r>
              <w:rPr>
                <w:w w:val="120"/>
                <w:sz w:val="20"/>
              </w:rPr>
              <w:t>$</w:t>
            </w:r>
            <w:r>
              <w:rPr>
                <w:spacing w:val="54"/>
                <w:w w:val="120"/>
                <w:sz w:val="20"/>
              </w:rPr>
              <w:t> </w:t>
            </w:r>
            <w:r>
              <w:rPr>
                <w:w w:val="120"/>
                <w:sz w:val="20"/>
              </w:rPr>
              <w:t>281,042</w:t>
            </w:r>
          </w:p>
        </w:tc>
      </w:tr>
      <w:tr>
        <w:trPr>
          <w:trHeight w:val="250" w:hRule="exact"/>
        </w:trPr>
        <w:tc>
          <w:tcPr>
            <w:tcW w:w="3782" w:type="dxa"/>
          </w:tcPr>
          <w:p>
            <w:pPr>
              <w:pStyle w:val="TableParagraph"/>
              <w:spacing w:line="240" w:lineRule="exact"/>
              <w:ind w:left="260"/>
              <w:rPr>
                <w:sz w:val="20"/>
              </w:rPr>
            </w:pPr>
            <w:r>
              <w:rPr>
                <w:w w:val="120"/>
                <w:sz w:val="20"/>
              </w:rPr>
              <w:t>2004</w:t>
            </w:r>
          </w:p>
        </w:tc>
        <w:tc>
          <w:tcPr>
            <w:tcW w:w="2991" w:type="dxa"/>
          </w:tcPr>
          <w:p>
            <w:pPr>
              <w:pStyle w:val="TableParagraph"/>
              <w:spacing w:line="240" w:lineRule="exact"/>
              <w:ind w:left="1358"/>
              <w:rPr>
                <w:sz w:val="20"/>
              </w:rPr>
            </w:pPr>
            <w:r>
              <w:rPr>
                <w:w w:val="120"/>
                <w:sz w:val="20"/>
              </w:rPr>
              <w:t>17,651</w:t>
            </w:r>
          </w:p>
        </w:tc>
        <w:tc>
          <w:tcPr>
            <w:tcW w:w="2365" w:type="dxa"/>
          </w:tcPr>
          <w:p>
            <w:pPr>
              <w:pStyle w:val="TableParagraph"/>
              <w:spacing w:line="240" w:lineRule="exact"/>
              <w:ind w:left="1067"/>
              <w:rPr>
                <w:sz w:val="20"/>
              </w:rPr>
            </w:pPr>
            <w:r>
              <w:rPr>
                <w:w w:val="120"/>
                <w:sz w:val="20"/>
              </w:rPr>
              <w:t>263,343</w:t>
            </w:r>
          </w:p>
        </w:tc>
      </w:tr>
      <w:tr>
        <w:trPr>
          <w:trHeight w:val="260" w:hRule="exact"/>
        </w:trPr>
        <w:tc>
          <w:tcPr>
            <w:tcW w:w="3782" w:type="dxa"/>
          </w:tcPr>
          <w:p>
            <w:pPr>
              <w:pStyle w:val="TableParagraph"/>
              <w:spacing w:before="6"/>
              <w:ind w:left="260"/>
              <w:rPr>
                <w:sz w:val="20"/>
              </w:rPr>
            </w:pPr>
            <w:r>
              <w:rPr>
                <w:w w:val="120"/>
                <w:sz w:val="20"/>
              </w:rPr>
              <w:t>2005</w:t>
            </w:r>
          </w:p>
        </w:tc>
        <w:tc>
          <w:tcPr>
            <w:tcW w:w="2991" w:type="dxa"/>
          </w:tcPr>
          <w:p>
            <w:pPr>
              <w:pStyle w:val="TableParagraph"/>
              <w:spacing w:before="6"/>
              <w:ind w:left="1358"/>
              <w:rPr>
                <w:sz w:val="20"/>
              </w:rPr>
            </w:pPr>
            <w:r>
              <w:rPr>
                <w:w w:val="120"/>
                <w:sz w:val="20"/>
              </w:rPr>
              <w:t>23,509</w:t>
            </w:r>
          </w:p>
        </w:tc>
        <w:tc>
          <w:tcPr>
            <w:tcW w:w="2365" w:type="dxa"/>
          </w:tcPr>
          <w:p>
            <w:pPr>
              <w:pStyle w:val="TableParagraph"/>
              <w:spacing w:before="6"/>
              <w:ind w:left="1067"/>
              <w:rPr>
                <w:sz w:val="20"/>
              </w:rPr>
            </w:pPr>
            <w:r>
              <w:rPr>
                <w:w w:val="120"/>
                <w:sz w:val="20"/>
              </w:rPr>
              <w:t>233,028</w:t>
            </w:r>
          </w:p>
        </w:tc>
      </w:tr>
      <w:tr>
        <w:trPr>
          <w:trHeight w:val="260" w:hRule="exact"/>
        </w:trPr>
        <w:tc>
          <w:tcPr>
            <w:tcW w:w="3782" w:type="dxa"/>
          </w:tcPr>
          <w:p>
            <w:pPr>
              <w:pStyle w:val="TableParagraph"/>
              <w:spacing w:before="6"/>
              <w:ind w:left="260"/>
              <w:rPr>
                <w:sz w:val="20"/>
              </w:rPr>
            </w:pPr>
            <w:r>
              <w:rPr>
                <w:w w:val="120"/>
                <w:sz w:val="20"/>
              </w:rPr>
              <w:t>2006</w:t>
            </w:r>
          </w:p>
        </w:tc>
        <w:tc>
          <w:tcPr>
            <w:tcW w:w="2991" w:type="dxa"/>
          </w:tcPr>
          <w:p>
            <w:pPr>
              <w:pStyle w:val="TableParagraph"/>
              <w:spacing w:before="6"/>
              <w:ind w:left="1358"/>
              <w:rPr>
                <w:sz w:val="20"/>
              </w:rPr>
            </w:pPr>
            <w:r>
              <w:rPr>
                <w:w w:val="120"/>
                <w:sz w:val="20"/>
              </w:rPr>
              <w:t>13,379</w:t>
            </w:r>
          </w:p>
        </w:tc>
        <w:tc>
          <w:tcPr>
            <w:tcW w:w="2365" w:type="dxa"/>
          </w:tcPr>
          <w:p>
            <w:pPr>
              <w:pStyle w:val="TableParagraph"/>
              <w:spacing w:before="6"/>
              <w:ind w:left="1067"/>
              <w:rPr>
                <w:sz w:val="20"/>
              </w:rPr>
            </w:pPr>
            <w:r>
              <w:rPr>
                <w:w w:val="120"/>
                <w:sz w:val="20"/>
              </w:rPr>
              <w:t>189,498</w:t>
            </w:r>
          </w:p>
        </w:tc>
      </w:tr>
      <w:tr>
        <w:trPr>
          <w:trHeight w:val="260" w:hRule="exact"/>
        </w:trPr>
        <w:tc>
          <w:tcPr>
            <w:tcW w:w="3782" w:type="dxa"/>
          </w:tcPr>
          <w:p>
            <w:pPr>
              <w:pStyle w:val="TableParagraph"/>
              <w:spacing w:before="6"/>
              <w:ind w:left="260"/>
              <w:rPr>
                <w:sz w:val="20"/>
              </w:rPr>
            </w:pPr>
            <w:r>
              <w:rPr>
                <w:w w:val="120"/>
                <w:sz w:val="20"/>
              </w:rPr>
              <w:t>2007</w:t>
            </w:r>
          </w:p>
        </w:tc>
        <w:tc>
          <w:tcPr>
            <w:tcW w:w="2991" w:type="dxa"/>
          </w:tcPr>
          <w:p>
            <w:pPr>
              <w:pStyle w:val="TableParagraph"/>
              <w:spacing w:before="6"/>
              <w:ind w:left="1358"/>
              <w:rPr>
                <w:sz w:val="20"/>
              </w:rPr>
            </w:pPr>
            <w:r>
              <w:rPr>
                <w:w w:val="120"/>
                <w:sz w:val="20"/>
              </w:rPr>
              <w:t>13,379</w:t>
            </w:r>
          </w:p>
        </w:tc>
        <w:tc>
          <w:tcPr>
            <w:tcW w:w="2365" w:type="dxa"/>
          </w:tcPr>
          <w:p>
            <w:pPr>
              <w:pStyle w:val="TableParagraph"/>
              <w:spacing w:before="6"/>
              <w:ind w:left="1067"/>
              <w:rPr>
                <w:sz w:val="20"/>
              </w:rPr>
            </w:pPr>
            <w:r>
              <w:rPr>
                <w:w w:val="120"/>
                <w:sz w:val="20"/>
              </w:rPr>
              <w:t>175,905</w:t>
            </w:r>
          </w:p>
        </w:tc>
      </w:tr>
      <w:tr>
        <w:trPr>
          <w:trHeight w:val="280" w:hRule="exact"/>
        </w:trPr>
        <w:tc>
          <w:tcPr>
            <w:tcW w:w="3782" w:type="dxa"/>
          </w:tcPr>
          <w:p>
            <w:pPr>
              <w:pStyle w:val="TableParagraph"/>
              <w:spacing w:before="6"/>
              <w:ind w:left="140"/>
              <w:rPr>
                <w:sz w:val="20"/>
              </w:rPr>
            </w:pPr>
            <w:r>
              <w:rPr>
                <w:w w:val="110"/>
                <w:sz w:val="20"/>
              </w:rPr>
              <w:t>After 2006</w:t>
            </w:r>
          </w:p>
        </w:tc>
        <w:tc>
          <w:tcPr>
            <w:tcW w:w="2991" w:type="dxa"/>
          </w:tcPr>
          <w:p>
            <w:pPr>
              <w:pStyle w:val="TableParagraph"/>
              <w:tabs>
                <w:tab w:pos="896" w:val="left" w:leader="none"/>
                <w:tab w:pos="2424" w:val="left" w:leader="none"/>
              </w:tabs>
              <w:spacing w:before="6"/>
              <w:ind w:right="105"/>
              <w:jc w:val="right"/>
              <w:rPr>
                <w:sz w:val="20"/>
              </w:rPr>
            </w:pPr>
            <w:r>
              <w:rPr>
                <w:w w:val="132"/>
                <w:sz w:val="20"/>
                <w:u w:val="single"/>
              </w:rPr>
              <w:t> </w:t>
            </w:r>
            <w:r>
              <w:rPr>
                <w:sz w:val="20"/>
                <w:u w:val="single"/>
              </w:rPr>
              <w:tab/>
            </w:r>
            <w:r>
              <w:rPr>
                <w:w w:val="115"/>
                <w:sz w:val="20"/>
                <w:u w:val="single"/>
              </w:rPr>
              <w:t>52,016</w:t>
            </w:r>
            <w:r>
              <w:rPr>
                <w:sz w:val="20"/>
                <w:u w:val="single"/>
              </w:rPr>
              <w:tab/>
            </w:r>
          </w:p>
        </w:tc>
        <w:tc>
          <w:tcPr>
            <w:tcW w:w="2365" w:type="dxa"/>
          </w:tcPr>
          <w:p>
            <w:pPr>
              <w:pStyle w:val="TableParagraph"/>
              <w:tabs>
                <w:tab w:pos="778" w:val="left" w:leader="none"/>
                <w:tab w:pos="2224" w:val="left" w:leader="none"/>
              </w:tabs>
              <w:spacing w:before="6"/>
              <w:ind w:right="30"/>
              <w:jc w:val="right"/>
              <w:rPr>
                <w:sz w:val="20"/>
              </w:rPr>
            </w:pPr>
            <w:r>
              <w:rPr>
                <w:w w:val="132"/>
                <w:sz w:val="20"/>
                <w:u w:val="single"/>
              </w:rPr>
              <w:t> </w:t>
            </w:r>
            <w:r>
              <w:rPr>
                <w:sz w:val="20"/>
                <w:u w:val="single"/>
              </w:rPr>
              <w:tab/>
            </w:r>
            <w:r>
              <w:rPr>
                <w:spacing w:val="-1"/>
                <w:w w:val="115"/>
                <w:sz w:val="20"/>
                <w:u w:val="single"/>
              </w:rPr>
              <w:t>1,459,961</w:t>
            </w:r>
            <w:r>
              <w:rPr>
                <w:spacing w:val="-1"/>
                <w:sz w:val="20"/>
                <w:u w:val="single"/>
              </w:rPr>
              <w:tab/>
            </w:r>
          </w:p>
        </w:tc>
      </w:tr>
      <w:tr>
        <w:trPr>
          <w:trHeight w:val="300" w:hRule="exact"/>
        </w:trPr>
        <w:tc>
          <w:tcPr>
            <w:tcW w:w="3782" w:type="dxa"/>
          </w:tcPr>
          <w:p>
            <w:pPr>
              <w:pStyle w:val="TableParagraph"/>
              <w:spacing w:before="26"/>
              <w:ind w:left="140"/>
              <w:rPr>
                <w:sz w:val="20"/>
              </w:rPr>
            </w:pPr>
            <w:r>
              <w:rPr>
                <w:w w:val="105"/>
                <w:sz w:val="20"/>
              </w:rPr>
              <w:t>Total  minimum  lease  payments</w:t>
            </w:r>
          </w:p>
        </w:tc>
        <w:tc>
          <w:tcPr>
            <w:tcW w:w="2991" w:type="dxa"/>
          </w:tcPr>
          <w:p>
            <w:pPr>
              <w:pStyle w:val="TableParagraph"/>
              <w:spacing w:before="26"/>
              <w:ind w:left="1238"/>
              <w:rPr>
                <w:sz w:val="20"/>
              </w:rPr>
            </w:pPr>
            <w:r>
              <w:rPr>
                <w:w w:val="120"/>
                <w:sz w:val="20"/>
              </w:rPr>
              <w:t>137,685</w:t>
            </w:r>
          </w:p>
        </w:tc>
        <w:tc>
          <w:tcPr>
            <w:tcW w:w="2365" w:type="dxa"/>
          </w:tcPr>
          <w:p>
            <w:pPr>
              <w:pStyle w:val="TableParagraph"/>
              <w:tabs>
                <w:tab w:pos="599" w:val="left" w:leader="none"/>
                <w:tab w:pos="2219" w:val="left" w:leader="none"/>
              </w:tabs>
              <w:spacing w:before="26"/>
              <w:ind w:right="35"/>
              <w:jc w:val="right"/>
              <w:rPr>
                <w:sz w:val="20"/>
              </w:rPr>
            </w:pPr>
            <w:r>
              <w:rPr>
                <w:w w:val="132"/>
                <w:sz w:val="20"/>
                <w:u w:val="single"/>
              </w:rPr>
              <w:t> </w:t>
            </w:r>
            <w:r>
              <w:rPr>
                <w:sz w:val="20"/>
                <w:u w:val="single"/>
              </w:rPr>
              <w:tab/>
            </w:r>
            <w:r>
              <w:rPr>
                <w:w w:val="120"/>
                <w:sz w:val="20"/>
                <w:u w:val="single"/>
              </w:rPr>
              <w:t>$</w:t>
            </w:r>
            <w:r>
              <w:rPr>
                <w:spacing w:val="-8"/>
                <w:w w:val="120"/>
                <w:sz w:val="20"/>
                <w:u w:val="single"/>
              </w:rPr>
              <w:t> </w:t>
            </w:r>
            <w:r>
              <w:rPr>
                <w:w w:val="120"/>
                <w:sz w:val="20"/>
                <w:u w:val="single"/>
              </w:rPr>
              <w:t>2,602,777</w:t>
            </w:r>
            <w:r>
              <w:rPr>
                <w:sz w:val="20"/>
                <w:u w:val="single"/>
              </w:rPr>
              <w:tab/>
            </w:r>
          </w:p>
        </w:tc>
      </w:tr>
      <w:tr>
        <w:trPr>
          <w:trHeight w:val="290" w:hRule="exact"/>
        </w:trPr>
        <w:tc>
          <w:tcPr>
            <w:tcW w:w="3782" w:type="dxa"/>
          </w:tcPr>
          <w:p>
            <w:pPr>
              <w:pStyle w:val="TableParagraph"/>
              <w:spacing w:before="26"/>
              <w:ind w:left="140"/>
              <w:rPr>
                <w:sz w:val="20"/>
              </w:rPr>
            </w:pPr>
            <w:r>
              <w:rPr>
                <w:w w:val="110"/>
                <w:sz w:val="20"/>
              </w:rPr>
              <w:t>Less  amount  representing interest</w:t>
            </w:r>
          </w:p>
        </w:tc>
        <w:tc>
          <w:tcPr>
            <w:tcW w:w="2991" w:type="dxa"/>
          </w:tcPr>
          <w:p>
            <w:pPr>
              <w:pStyle w:val="TableParagraph"/>
              <w:tabs>
                <w:tab w:pos="899" w:val="left" w:leader="none"/>
                <w:tab w:pos="2424" w:val="left" w:leader="none"/>
              </w:tabs>
              <w:spacing w:before="26"/>
              <w:ind w:right="105"/>
              <w:jc w:val="right"/>
              <w:rPr>
                <w:sz w:val="20"/>
              </w:rPr>
            </w:pPr>
            <w:r>
              <w:rPr>
                <w:w w:val="132"/>
                <w:sz w:val="20"/>
                <w:u w:val="single"/>
              </w:rPr>
              <w:t> </w:t>
            </w:r>
            <w:r>
              <w:rPr>
                <w:sz w:val="20"/>
                <w:u w:val="single"/>
              </w:rPr>
              <w:tab/>
            </w:r>
            <w:r>
              <w:rPr>
                <w:w w:val="115"/>
                <w:sz w:val="20"/>
                <w:u w:val="single"/>
              </w:rPr>
              <w:t>37,122</w:t>
            </w:r>
            <w:r>
              <w:rPr>
                <w:sz w:val="20"/>
                <w:u w:val="single"/>
              </w:rPr>
              <w:tab/>
            </w:r>
          </w:p>
        </w:tc>
        <w:tc>
          <w:tcPr>
            <w:tcW w:w="2365" w:type="dxa"/>
          </w:tcPr>
          <w:p>
            <w:pPr/>
          </w:p>
        </w:tc>
      </w:tr>
      <w:tr>
        <w:trPr>
          <w:trHeight w:val="540" w:hRule="exact"/>
        </w:trPr>
        <w:tc>
          <w:tcPr>
            <w:tcW w:w="3782" w:type="dxa"/>
          </w:tcPr>
          <w:p>
            <w:pPr>
              <w:pStyle w:val="TableParagraph"/>
              <w:spacing w:line="254" w:lineRule="auto" w:before="16"/>
              <w:ind w:left="320" w:right="83" w:hanging="180"/>
              <w:rPr>
                <w:sz w:val="20"/>
              </w:rPr>
            </w:pPr>
            <w:r>
              <w:rPr>
                <w:w w:val="105"/>
                <w:sz w:val="20"/>
              </w:rPr>
              <w:t>Present value of minimum lease payments</w:t>
            </w:r>
          </w:p>
        </w:tc>
        <w:tc>
          <w:tcPr>
            <w:tcW w:w="2991" w:type="dxa"/>
          </w:tcPr>
          <w:p>
            <w:pPr>
              <w:pStyle w:val="TableParagraph"/>
              <w:spacing w:before="3"/>
              <w:rPr>
                <w:rFonts w:ascii="Franklin Gothic Medium"/>
                <w:sz w:val="24"/>
              </w:rPr>
            </w:pPr>
          </w:p>
          <w:p>
            <w:pPr>
              <w:pStyle w:val="TableParagraph"/>
              <w:spacing w:before="1"/>
              <w:ind w:left="1238"/>
              <w:rPr>
                <w:sz w:val="20"/>
              </w:rPr>
            </w:pPr>
            <w:r>
              <w:rPr>
                <w:w w:val="120"/>
                <w:sz w:val="20"/>
              </w:rPr>
              <w:t>100,563</w:t>
            </w:r>
          </w:p>
        </w:tc>
        <w:tc>
          <w:tcPr>
            <w:tcW w:w="2365" w:type="dxa"/>
          </w:tcPr>
          <w:p>
            <w:pPr/>
          </w:p>
        </w:tc>
      </w:tr>
      <w:tr>
        <w:trPr>
          <w:trHeight w:val="290" w:hRule="exact"/>
        </w:trPr>
        <w:tc>
          <w:tcPr>
            <w:tcW w:w="3782" w:type="dxa"/>
          </w:tcPr>
          <w:p>
            <w:pPr>
              <w:pStyle w:val="TableParagraph"/>
              <w:spacing w:before="16"/>
              <w:ind w:left="140"/>
              <w:rPr>
                <w:sz w:val="20"/>
              </w:rPr>
            </w:pPr>
            <w:r>
              <w:rPr>
                <w:w w:val="110"/>
                <w:sz w:val="20"/>
              </w:rPr>
              <w:t>Less current portion</w:t>
            </w:r>
          </w:p>
        </w:tc>
        <w:tc>
          <w:tcPr>
            <w:tcW w:w="2991" w:type="dxa"/>
          </w:tcPr>
          <w:p>
            <w:pPr>
              <w:pStyle w:val="TableParagraph"/>
              <w:tabs>
                <w:tab w:pos="1019" w:val="left" w:leader="none"/>
                <w:tab w:pos="2424" w:val="left" w:leader="none"/>
              </w:tabs>
              <w:spacing w:before="16"/>
              <w:ind w:right="105"/>
              <w:jc w:val="right"/>
              <w:rPr>
                <w:sz w:val="20"/>
              </w:rPr>
            </w:pPr>
            <w:r>
              <w:rPr>
                <w:w w:val="132"/>
                <w:sz w:val="20"/>
                <w:u w:val="single"/>
              </w:rPr>
              <w:t> </w:t>
            </w:r>
            <w:r>
              <w:rPr>
                <w:sz w:val="20"/>
                <w:u w:val="single"/>
              </w:rPr>
              <w:tab/>
            </w:r>
            <w:r>
              <w:rPr>
                <w:spacing w:val="-1"/>
                <w:w w:val="115"/>
                <w:sz w:val="20"/>
                <w:u w:val="single"/>
              </w:rPr>
              <w:t>9,657</w:t>
            </w:r>
            <w:r>
              <w:rPr>
                <w:spacing w:val="-1"/>
                <w:sz w:val="20"/>
                <w:u w:val="single"/>
              </w:rPr>
              <w:tab/>
            </w:r>
          </w:p>
        </w:tc>
        <w:tc>
          <w:tcPr>
            <w:tcW w:w="2365" w:type="dxa"/>
          </w:tcPr>
          <w:p>
            <w:pPr/>
          </w:p>
        </w:tc>
      </w:tr>
      <w:tr>
        <w:trPr>
          <w:trHeight w:val="266" w:hRule="exact"/>
        </w:trPr>
        <w:tc>
          <w:tcPr>
            <w:tcW w:w="3782" w:type="dxa"/>
          </w:tcPr>
          <w:p>
            <w:pPr>
              <w:pStyle w:val="TableParagraph"/>
              <w:spacing w:before="26"/>
              <w:ind w:left="140"/>
              <w:rPr>
                <w:sz w:val="20"/>
              </w:rPr>
            </w:pPr>
            <w:r>
              <w:rPr>
                <w:sz w:val="20"/>
              </w:rPr>
              <w:t>Long-term  portion</w:t>
            </w:r>
          </w:p>
        </w:tc>
        <w:tc>
          <w:tcPr>
            <w:tcW w:w="2991" w:type="dxa"/>
          </w:tcPr>
          <w:p>
            <w:pPr>
              <w:pStyle w:val="TableParagraph"/>
              <w:tabs>
                <w:tab w:pos="719" w:val="left" w:leader="none"/>
                <w:tab w:pos="2419" w:val="left" w:leader="none"/>
              </w:tabs>
              <w:spacing w:before="26"/>
              <w:ind w:right="110"/>
              <w:jc w:val="right"/>
              <w:rPr>
                <w:sz w:val="20"/>
              </w:rPr>
            </w:pPr>
            <w:r>
              <w:rPr>
                <w:w w:val="132"/>
                <w:sz w:val="20"/>
                <w:u w:val="single"/>
              </w:rPr>
              <w:t> </w:t>
            </w:r>
            <w:r>
              <w:rPr>
                <w:sz w:val="20"/>
                <w:u w:val="single"/>
              </w:rPr>
              <w:tab/>
            </w:r>
            <w:r>
              <w:rPr>
                <w:w w:val="120"/>
                <w:sz w:val="20"/>
                <w:u w:val="single"/>
              </w:rPr>
              <w:t>$</w:t>
            </w:r>
            <w:r>
              <w:rPr>
                <w:spacing w:val="-5"/>
                <w:w w:val="120"/>
                <w:sz w:val="20"/>
                <w:u w:val="single"/>
              </w:rPr>
              <w:t> </w:t>
            </w:r>
            <w:r>
              <w:rPr>
                <w:w w:val="120"/>
                <w:sz w:val="20"/>
                <w:u w:val="single"/>
              </w:rPr>
              <w:t>90,906</w:t>
            </w:r>
            <w:r>
              <w:rPr>
                <w:sz w:val="20"/>
                <w:u w:val="single"/>
              </w:rPr>
              <w:tab/>
            </w:r>
          </w:p>
        </w:tc>
        <w:tc>
          <w:tcPr>
            <w:tcW w:w="2365" w:type="dxa"/>
          </w:tcPr>
          <w:p>
            <w:pPr/>
          </w:p>
        </w:tc>
      </w:tr>
    </w:tbl>
    <w:p>
      <w:pPr>
        <w:pStyle w:val="BodyText"/>
        <w:spacing w:before="3"/>
        <w:rPr>
          <w:rFonts w:ascii="Franklin Gothic Medium"/>
          <w:sz w:val="18"/>
        </w:rPr>
      </w:pPr>
    </w:p>
    <w:p>
      <w:pPr>
        <w:spacing w:after="0"/>
        <w:rPr>
          <w:rFonts w:ascii="Franklin Gothic Medium"/>
          <w:sz w:val="18"/>
        </w:rPr>
        <w:sectPr>
          <w:type w:val="continuous"/>
          <w:pgSz w:w="11520" w:h="14400"/>
          <w:pgMar w:top="0" w:bottom="280" w:left="700" w:right="820"/>
        </w:sectPr>
      </w:pPr>
    </w:p>
    <w:p>
      <w:pPr>
        <w:pStyle w:val="BodyText"/>
        <w:spacing w:line="254" w:lineRule="auto" w:before="92"/>
        <w:ind w:left="380" w:firstLine="280"/>
        <w:jc w:val="both"/>
      </w:pPr>
      <w:r>
        <w:rPr>
          <w:spacing w:val="4"/>
          <w:w w:val="105"/>
        </w:rPr>
        <w:t>The aircraft leases </w:t>
      </w:r>
      <w:r>
        <w:rPr>
          <w:spacing w:val="3"/>
          <w:w w:val="105"/>
        </w:rPr>
        <w:t>generally</w:t>
      </w:r>
      <w:r>
        <w:rPr>
          <w:spacing w:val="53"/>
          <w:w w:val="105"/>
        </w:rPr>
        <w:t> </w:t>
      </w:r>
      <w:r>
        <w:rPr>
          <w:spacing w:val="5"/>
          <w:w w:val="105"/>
        </w:rPr>
        <w:t>can  </w:t>
      </w:r>
      <w:r>
        <w:rPr>
          <w:spacing w:val="12"/>
          <w:w w:val="105"/>
        </w:rPr>
        <w:t>be </w:t>
      </w:r>
      <w:r>
        <w:rPr>
          <w:spacing w:val="7"/>
          <w:w w:val="105"/>
        </w:rPr>
        <w:t>renewed </w:t>
      </w:r>
      <w:r>
        <w:rPr>
          <w:spacing w:val="6"/>
          <w:w w:val="105"/>
        </w:rPr>
        <w:t>at </w:t>
      </w:r>
      <w:r>
        <w:rPr>
          <w:spacing w:val="3"/>
          <w:w w:val="105"/>
        </w:rPr>
        <w:t>rates </w:t>
      </w:r>
      <w:r>
        <w:rPr>
          <w:spacing w:val="6"/>
          <w:w w:val="105"/>
        </w:rPr>
        <w:t>based on fair  market  </w:t>
      </w:r>
      <w:r>
        <w:rPr>
          <w:spacing w:val="8"/>
          <w:w w:val="105"/>
        </w:rPr>
        <w:t>value </w:t>
      </w:r>
      <w:r>
        <w:rPr>
          <w:spacing w:val="6"/>
          <w:w w:val="105"/>
        </w:rPr>
        <w:t>at </w:t>
      </w:r>
      <w:r>
        <w:rPr>
          <w:spacing w:val="2"/>
          <w:w w:val="105"/>
        </w:rPr>
        <w:t>the </w:t>
      </w:r>
      <w:r>
        <w:rPr>
          <w:spacing w:val="8"/>
          <w:w w:val="105"/>
        </w:rPr>
        <w:t>end </w:t>
      </w:r>
      <w:r>
        <w:rPr>
          <w:spacing w:val="6"/>
          <w:w w:val="105"/>
        </w:rPr>
        <w:t>of </w:t>
      </w:r>
      <w:r>
        <w:rPr>
          <w:spacing w:val="2"/>
          <w:w w:val="105"/>
        </w:rPr>
        <w:t>the lease </w:t>
      </w:r>
      <w:r>
        <w:rPr>
          <w:w w:val="105"/>
        </w:rPr>
        <w:t>term </w:t>
      </w:r>
      <w:r>
        <w:rPr>
          <w:spacing w:val="4"/>
          <w:w w:val="105"/>
        </w:rPr>
        <w:t>for </w:t>
      </w:r>
      <w:r>
        <w:rPr>
          <w:spacing w:val="8"/>
          <w:w w:val="105"/>
        </w:rPr>
        <w:t>one </w:t>
      </w:r>
      <w:r>
        <w:rPr>
          <w:w w:val="105"/>
        </w:rPr>
        <w:t>to </w:t>
      </w:r>
      <w:r>
        <w:rPr>
          <w:spacing w:val="9"/>
          <w:w w:val="105"/>
        </w:rPr>
        <w:t>five  </w:t>
      </w:r>
      <w:r>
        <w:rPr>
          <w:spacing w:val="2"/>
          <w:w w:val="105"/>
        </w:rPr>
        <w:t>years.   </w:t>
      </w:r>
      <w:r>
        <w:rPr>
          <w:spacing w:val="6"/>
          <w:w w:val="105"/>
        </w:rPr>
        <w:t>Most </w:t>
      </w:r>
      <w:r>
        <w:rPr>
          <w:spacing w:val="59"/>
          <w:w w:val="105"/>
        </w:rPr>
        <w:t> </w:t>
      </w:r>
      <w:r>
        <w:rPr>
          <w:spacing w:val="4"/>
          <w:w w:val="105"/>
        </w:rPr>
        <w:t>aircraft   leases   </w:t>
      </w:r>
      <w:r>
        <w:rPr>
          <w:spacing w:val="9"/>
          <w:w w:val="105"/>
        </w:rPr>
        <w:t>have   </w:t>
      </w:r>
      <w:r>
        <w:rPr>
          <w:spacing w:val="41"/>
          <w:w w:val="105"/>
        </w:rPr>
        <w:t> </w:t>
      </w:r>
      <w:r>
        <w:rPr>
          <w:spacing w:val="5"/>
          <w:w w:val="105"/>
        </w:rPr>
        <w:t>purchase</w:t>
      </w:r>
    </w:p>
    <w:p>
      <w:pPr>
        <w:pStyle w:val="BodyText"/>
        <w:spacing w:line="254" w:lineRule="auto" w:before="92"/>
        <w:ind w:left="380" w:right="123"/>
        <w:jc w:val="both"/>
      </w:pPr>
      <w:r>
        <w:rPr/>
        <w:br w:type="column"/>
      </w:r>
      <w:r>
        <w:rPr>
          <w:spacing w:val="8"/>
          <w:w w:val="105"/>
        </w:rPr>
        <w:t>options </w:t>
      </w:r>
      <w:r>
        <w:rPr>
          <w:spacing w:val="6"/>
          <w:w w:val="105"/>
        </w:rPr>
        <w:t>at or </w:t>
      </w:r>
      <w:r>
        <w:rPr>
          <w:spacing w:val="9"/>
          <w:w w:val="105"/>
        </w:rPr>
        <w:t>near </w:t>
      </w:r>
      <w:r>
        <w:rPr>
          <w:spacing w:val="2"/>
          <w:w w:val="105"/>
        </w:rPr>
        <w:t>the </w:t>
      </w:r>
      <w:r>
        <w:rPr>
          <w:spacing w:val="8"/>
          <w:w w:val="105"/>
        </w:rPr>
        <w:t>end </w:t>
      </w:r>
      <w:r>
        <w:rPr>
          <w:spacing w:val="6"/>
          <w:w w:val="105"/>
        </w:rPr>
        <w:t>of </w:t>
      </w:r>
      <w:r>
        <w:rPr>
          <w:spacing w:val="2"/>
          <w:w w:val="105"/>
        </w:rPr>
        <w:t>the lease </w:t>
      </w:r>
      <w:r>
        <w:rPr>
          <w:w w:val="105"/>
        </w:rPr>
        <w:t>term </w:t>
      </w:r>
      <w:r>
        <w:rPr>
          <w:spacing w:val="12"/>
          <w:w w:val="105"/>
        </w:rPr>
        <w:t>at </w:t>
      </w:r>
      <w:r>
        <w:rPr>
          <w:spacing w:val="6"/>
          <w:w w:val="105"/>
        </w:rPr>
        <w:t>fair market value, </w:t>
      </w:r>
      <w:r>
        <w:rPr>
          <w:spacing w:val="3"/>
          <w:w w:val="105"/>
        </w:rPr>
        <w:t>generally </w:t>
      </w:r>
      <w:r>
        <w:rPr>
          <w:spacing w:val="5"/>
          <w:w w:val="105"/>
        </w:rPr>
        <w:t>limited </w:t>
      </w:r>
      <w:r>
        <w:rPr>
          <w:w w:val="105"/>
        </w:rPr>
        <w:t>to a </w:t>
      </w:r>
      <w:r>
        <w:rPr>
          <w:spacing w:val="4"/>
          <w:w w:val="105"/>
        </w:rPr>
        <w:t>stated </w:t>
      </w:r>
      <w:r>
        <w:rPr>
          <w:spacing w:val="5"/>
          <w:w w:val="105"/>
        </w:rPr>
        <w:t>percentage </w:t>
      </w:r>
      <w:r>
        <w:rPr>
          <w:spacing w:val="6"/>
          <w:w w:val="105"/>
        </w:rPr>
        <w:t>of </w:t>
      </w:r>
      <w:r>
        <w:rPr>
          <w:spacing w:val="2"/>
          <w:w w:val="105"/>
        </w:rPr>
        <w:t>the </w:t>
      </w:r>
      <w:r>
        <w:rPr>
          <w:w w:val="105"/>
        </w:rPr>
        <w:t>lessor’s </w:t>
      </w:r>
      <w:r>
        <w:rPr>
          <w:spacing w:val="8"/>
          <w:w w:val="105"/>
        </w:rPr>
        <w:t>defined </w:t>
      </w:r>
      <w:r>
        <w:rPr>
          <w:spacing w:val="3"/>
          <w:w w:val="105"/>
        </w:rPr>
        <w:t>cost </w:t>
      </w:r>
      <w:r>
        <w:rPr>
          <w:spacing w:val="6"/>
          <w:w w:val="105"/>
        </w:rPr>
        <w:t>of the</w:t>
      </w:r>
      <w:r>
        <w:rPr>
          <w:spacing w:val="59"/>
          <w:w w:val="105"/>
        </w:rPr>
        <w:t> </w:t>
      </w:r>
      <w:r>
        <w:rPr>
          <w:spacing w:val="3"/>
          <w:w w:val="105"/>
        </w:rPr>
        <w:t>aircraft.</w:t>
      </w:r>
    </w:p>
    <w:p>
      <w:pPr>
        <w:spacing w:after="0" w:line="254" w:lineRule="auto"/>
        <w:jc w:val="both"/>
        <w:sectPr>
          <w:type w:val="continuous"/>
          <w:pgSz w:w="11520" w:h="14400"/>
          <w:pgMar w:top="0" w:bottom="280" w:left="700" w:right="820"/>
          <w:cols w:num="2" w:equalWidth="0">
            <w:col w:w="4721" w:space="419"/>
            <w:col w:w="4860"/>
          </w:cols>
        </w:sectPr>
      </w:pPr>
    </w:p>
    <w:p>
      <w:pPr>
        <w:pStyle w:val="ListParagraph"/>
        <w:numPr>
          <w:ilvl w:val="0"/>
          <w:numId w:val="1"/>
        </w:numPr>
        <w:tabs>
          <w:tab w:pos="380" w:val="left" w:leader="none"/>
        </w:tabs>
        <w:spacing w:line="240" w:lineRule="auto" w:before="76" w:after="0"/>
        <w:ind w:left="380" w:right="0" w:hanging="280"/>
        <w:jc w:val="left"/>
        <w:rPr>
          <w:rFonts w:ascii="Franklin Gothic Medium"/>
          <w:sz w:val="20"/>
        </w:rPr>
      </w:pPr>
      <w:bookmarkStart w:name="Derivative and Financial Instruments" w:id="49"/>
      <w:bookmarkEnd w:id="49"/>
      <w:r>
        <w:rPr/>
      </w:r>
      <w:bookmarkStart w:name="Derivative and Financial Instruments" w:id="50"/>
      <w:bookmarkEnd w:id="50"/>
      <w:r>
        <w:rPr>
          <w:rFonts w:ascii="Franklin Gothic Medium"/>
          <w:spacing w:val="4"/>
          <w:sz w:val="20"/>
        </w:rPr>
        <w:t>D</w:t>
      </w:r>
      <w:r>
        <w:rPr>
          <w:rFonts w:ascii="Franklin Gothic Medium"/>
          <w:spacing w:val="4"/>
          <w:sz w:val="20"/>
        </w:rPr>
        <w:t>erivative </w:t>
      </w:r>
      <w:r>
        <w:rPr>
          <w:rFonts w:ascii="Franklin Gothic Medium"/>
          <w:spacing w:val="7"/>
          <w:sz w:val="20"/>
        </w:rPr>
        <w:t>and Financial</w:t>
      </w:r>
      <w:r>
        <w:rPr>
          <w:rFonts w:ascii="Franklin Gothic Medium"/>
          <w:spacing w:val="50"/>
          <w:sz w:val="20"/>
        </w:rPr>
        <w:t> </w:t>
      </w:r>
      <w:r>
        <w:rPr>
          <w:rFonts w:ascii="Franklin Gothic Medium"/>
          <w:spacing w:val="3"/>
          <w:sz w:val="20"/>
        </w:rPr>
        <w:t>Instruments</w:t>
      </w:r>
    </w:p>
    <w:p>
      <w:pPr>
        <w:pStyle w:val="BodyText"/>
        <w:spacing w:before="1"/>
        <w:rPr>
          <w:rFonts w:ascii="Franklin Gothic Medium"/>
          <w:sz w:val="25"/>
        </w:rPr>
      </w:pPr>
    </w:p>
    <w:p>
      <w:pPr>
        <w:pStyle w:val="BodyText"/>
        <w:spacing w:line="254" w:lineRule="auto" w:before="1"/>
        <w:ind w:left="379" w:firstLine="280"/>
        <w:jc w:val="both"/>
      </w:pPr>
      <w:r>
        <w:rPr>
          <w:w w:val="105"/>
        </w:rPr>
        <w:t>Airline operators are inherently dependent upon energy to operate and, therefore, are impacted by changes in jet fuel  prices.  Jet  fuel and oil consumed in 2002, 2001, and 2000 represented      approximately      14.9     percent,</w:t>
      </w:r>
    </w:p>
    <w:p>
      <w:pPr>
        <w:pStyle w:val="BodyText"/>
        <w:spacing w:line="254" w:lineRule="auto" w:before="1"/>
        <w:ind w:left="379"/>
        <w:jc w:val="both"/>
      </w:pPr>
      <w:r>
        <w:rPr>
          <w:w w:val="105"/>
        </w:rPr>
        <w:t>15.6 percent, and 17.4 percent of </w:t>
      </w:r>
      <w:r>
        <w:rPr>
          <w:spacing w:val="3"/>
          <w:w w:val="105"/>
        </w:rPr>
        <w:t>Southwest’s </w:t>
      </w:r>
      <w:r>
        <w:rPr>
          <w:spacing w:val="2"/>
          <w:w w:val="105"/>
        </w:rPr>
        <w:t>operating  expenses,   </w:t>
      </w:r>
      <w:r>
        <w:rPr>
          <w:w w:val="105"/>
        </w:rPr>
        <w:t>respectively.   </w:t>
      </w:r>
      <w:r>
        <w:rPr>
          <w:spacing w:val="8"/>
          <w:w w:val="105"/>
        </w:rPr>
        <w:t>The </w:t>
      </w:r>
      <w:r>
        <w:rPr>
          <w:spacing w:val="2"/>
          <w:w w:val="105"/>
        </w:rPr>
        <w:t>Company endeavors </w:t>
      </w:r>
      <w:r>
        <w:rPr>
          <w:w w:val="105"/>
        </w:rPr>
        <w:t>to </w:t>
      </w:r>
      <w:r>
        <w:rPr>
          <w:spacing w:val="2"/>
          <w:w w:val="105"/>
        </w:rPr>
        <w:t>acquire </w:t>
      </w:r>
      <w:r>
        <w:rPr>
          <w:w w:val="105"/>
        </w:rPr>
        <w:t>jet fuel at </w:t>
      </w:r>
      <w:r>
        <w:rPr>
          <w:spacing w:val="6"/>
          <w:w w:val="105"/>
        </w:rPr>
        <w:t>the </w:t>
      </w:r>
      <w:r>
        <w:rPr>
          <w:w w:val="105"/>
        </w:rPr>
        <w:t>lowest possible cost. Because jet  fuel  is  </w:t>
      </w:r>
      <w:r>
        <w:rPr>
          <w:spacing w:val="6"/>
          <w:w w:val="105"/>
        </w:rPr>
        <w:t>not </w:t>
      </w:r>
      <w:r>
        <w:rPr>
          <w:w w:val="105"/>
        </w:rPr>
        <w:t>traded on an </w:t>
      </w:r>
      <w:r>
        <w:rPr>
          <w:spacing w:val="2"/>
          <w:w w:val="105"/>
        </w:rPr>
        <w:t>organized </w:t>
      </w:r>
      <w:r>
        <w:rPr>
          <w:w w:val="105"/>
        </w:rPr>
        <w:t>futures  </w:t>
      </w:r>
      <w:r>
        <w:rPr>
          <w:spacing w:val="9"/>
          <w:w w:val="105"/>
        </w:rPr>
        <w:t>exchange, </w:t>
      </w:r>
      <w:r>
        <w:rPr>
          <w:w w:val="105"/>
        </w:rPr>
        <w:t>liquidity for </w:t>
      </w:r>
      <w:r>
        <w:rPr>
          <w:spacing w:val="2"/>
          <w:w w:val="105"/>
        </w:rPr>
        <w:t>hedging </w:t>
      </w:r>
      <w:r>
        <w:rPr>
          <w:w w:val="105"/>
        </w:rPr>
        <w:t>is </w:t>
      </w:r>
      <w:r>
        <w:rPr>
          <w:spacing w:val="2"/>
          <w:w w:val="105"/>
        </w:rPr>
        <w:t>limited. However, </w:t>
      </w:r>
      <w:r>
        <w:rPr>
          <w:spacing w:val="6"/>
          <w:w w:val="105"/>
        </w:rPr>
        <w:t>the </w:t>
      </w:r>
      <w:r>
        <w:rPr>
          <w:spacing w:val="2"/>
          <w:w w:val="105"/>
        </w:rPr>
        <w:t>Company </w:t>
      </w:r>
      <w:r>
        <w:rPr>
          <w:w w:val="105"/>
        </w:rPr>
        <w:t>has found that both crude oil </w:t>
      </w:r>
      <w:r>
        <w:rPr>
          <w:spacing w:val="12"/>
          <w:w w:val="105"/>
        </w:rPr>
        <w:t>and </w:t>
      </w:r>
      <w:r>
        <w:rPr>
          <w:spacing w:val="2"/>
          <w:w w:val="105"/>
        </w:rPr>
        <w:t>heating </w:t>
      </w:r>
      <w:r>
        <w:rPr>
          <w:w w:val="105"/>
        </w:rPr>
        <w:t>oil  contracts  are  </w:t>
      </w:r>
      <w:r>
        <w:rPr>
          <w:spacing w:val="2"/>
          <w:w w:val="105"/>
        </w:rPr>
        <w:t>effective  </w:t>
      </w:r>
      <w:r>
        <w:rPr>
          <w:spacing w:val="9"/>
          <w:w w:val="105"/>
        </w:rPr>
        <w:t>com- </w:t>
      </w:r>
      <w:r>
        <w:rPr>
          <w:spacing w:val="2"/>
          <w:w w:val="105"/>
        </w:rPr>
        <w:t>modities </w:t>
      </w:r>
      <w:r>
        <w:rPr>
          <w:w w:val="105"/>
        </w:rPr>
        <w:t>for  </w:t>
      </w:r>
      <w:r>
        <w:rPr>
          <w:spacing w:val="2"/>
          <w:w w:val="105"/>
        </w:rPr>
        <w:t>hedging  </w:t>
      </w:r>
      <w:r>
        <w:rPr>
          <w:w w:val="105"/>
        </w:rPr>
        <w:t>jet  fuel.  The  </w:t>
      </w:r>
      <w:r>
        <w:rPr>
          <w:spacing w:val="9"/>
          <w:w w:val="105"/>
        </w:rPr>
        <w:t>Company  </w:t>
      </w:r>
      <w:r>
        <w:rPr>
          <w:w w:val="105"/>
        </w:rPr>
        <w:t>has  </w:t>
      </w:r>
      <w:r>
        <w:rPr>
          <w:spacing w:val="2"/>
          <w:w w:val="105"/>
        </w:rPr>
        <w:t>financial  </w:t>
      </w:r>
      <w:r>
        <w:rPr>
          <w:spacing w:val="3"/>
          <w:w w:val="105"/>
        </w:rPr>
        <w:t>derivative</w:t>
      </w:r>
      <w:r>
        <w:rPr>
          <w:spacing w:val="53"/>
          <w:w w:val="105"/>
        </w:rPr>
        <w:t> </w:t>
      </w:r>
      <w:r>
        <w:rPr>
          <w:w w:val="105"/>
        </w:rPr>
        <w:t>instruments   in   </w:t>
      </w:r>
      <w:r>
        <w:rPr>
          <w:spacing w:val="6"/>
          <w:w w:val="105"/>
        </w:rPr>
        <w:t>the </w:t>
      </w:r>
      <w:r>
        <w:rPr>
          <w:w w:val="105"/>
        </w:rPr>
        <w:t>form of the types of  hedges  it  utilizes  </w:t>
      </w:r>
      <w:r>
        <w:rPr>
          <w:spacing w:val="4"/>
          <w:w w:val="105"/>
        </w:rPr>
        <w:t>to </w:t>
      </w:r>
      <w:r>
        <w:rPr>
          <w:spacing w:val="2"/>
          <w:w w:val="105"/>
        </w:rPr>
        <w:t>decrease </w:t>
      </w:r>
      <w:r>
        <w:rPr>
          <w:w w:val="105"/>
        </w:rPr>
        <w:t>its  </w:t>
      </w:r>
      <w:r>
        <w:rPr>
          <w:spacing w:val="2"/>
          <w:w w:val="105"/>
        </w:rPr>
        <w:t>exposure  </w:t>
      </w:r>
      <w:r>
        <w:rPr>
          <w:w w:val="105"/>
        </w:rPr>
        <w:t>to  jet  fuel  </w:t>
      </w:r>
      <w:r>
        <w:rPr>
          <w:spacing w:val="9"/>
          <w:w w:val="105"/>
        </w:rPr>
        <w:t>price </w:t>
      </w:r>
      <w:r>
        <w:rPr>
          <w:w w:val="105"/>
        </w:rPr>
        <w:t>increases. The Company does not purchase </w:t>
      </w:r>
      <w:r>
        <w:rPr>
          <w:spacing w:val="4"/>
          <w:w w:val="105"/>
        </w:rPr>
        <w:t>or  </w:t>
      </w:r>
      <w:r>
        <w:rPr>
          <w:w w:val="105"/>
        </w:rPr>
        <w:t>hold any </w:t>
      </w:r>
      <w:r>
        <w:rPr>
          <w:spacing w:val="3"/>
          <w:w w:val="105"/>
        </w:rPr>
        <w:t>derivative </w:t>
      </w:r>
      <w:r>
        <w:rPr>
          <w:spacing w:val="2"/>
          <w:w w:val="105"/>
        </w:rPr>
        <w:t>financial </w:t>
      </w:r>
      <w:r>
        <w:rPr>
          <w:w w:val="105"/>
        </w:rPr>
        <w:t>instruments </w:t>
      </w:r>
      <w:r>
        <w:rPr>
          <w:spacing w:val="2"/>
          <w:w w:val="105"/>
        </w:rPr>
        <w:t>for trading </w:t>
      </w:r>
      <w:r>
        <w:rPr>
          <w:spacing w:val="30"/>
          <w:w w:val="105"/>
        </w:rPr>
        <w:t> </w:t>
      </w:r>
      <w:r>
        <w:rPr>
          <w:spacing w:val="3"/>
          <w:w w:val="105"/>
        </w:rPr>
        <w:t>purposes.</w:t>
      </w:r>
    </w:p>
    <w:p>
      <w:pPr>
        <w:pStyle w:val="BodyText"/>
        <w:spacing w:line="254" w:lineRule="auto" w:before="1"/>
        <w:ind w:left="379" w:firstLine="280"/>
        <w:jc w:val="both"/>
      </w:pPr>
      <w:r>
        <w:rPr>
          <w:w w:val="105"/>
        </w:rPr>
        <w:t>The Company utilizes </w:t>
      </w:r>
      <w:r>
        <w:rPr>
          <w:spacing w:val="2"/>
          <w:w w:val="105"/>
        </w:rPr>
        <w:t>financial </w:t>
      </w:r>
      <w:r>
        <w:rPr>
          <w:spacing w:val="9"/>
          <w:w w:val="105"/>
        </w:rPr>
        <w:t>derivative </w:t>
      </w:r>
      <w:r>
        <w:rPr>
          <w:w w:val="105"/>
        </w:rPr>
        <w:t>instruments for both short-term and </w:t>
      </w:r>
      <w:r>
        <w:rPr>
          <w:spacing w:val="3"/>
          <w:w w:val="105"/>
        </w:rPr>
        <w:t>long-term </w:t>
      </w:r>
      <w:r>
        <w:rPr>
          <w:w w:val="105"/>
        </w:rPr>
        <w:t>time  frames  when  it  </w:t>
      </w:r>
      <w:r>
        <w:rPr>
          <w:spacing w:val="2"/>
          <w:w w:val="105"/>
        </w:rPr>
        <w:t>appears  </w:t>
      </w:r>
      <w:r>
        <w:rPr>
          <w:w w:val="105"/>
        </w:rPr>
        <w:t>the   </w:t>
      </w:r>
      <w:r>
        <w:rPr>
          <w:spacing w:val="9"/>
          <w:w w:val="105"/>
        </w:rPr>
        <w:t>Company </w:t>
      </w:r>
      <w:r>
        <w:rPr>
          <w:w w:val="105"/>
        </w:rPr>
        <w:t>can  take  </w:t>
      </w:r>
      <w:r>
        <w:rPr>
          <w:spacing w:val="3"/>
          <w:w w:val="105"/>
        </w:rPr>
        <w:t>advantage</w:t>
      </w:r>
      <w:r>
        <w:rPr>
          <w:spacing w:val="53"/>
          <w:w w:val="105"/>
        </w:rPr>
        <w:t> </w:t>
      </w:r>
      <w:r>
        <w:rPr>
          <w:w w:val="105"/>
        </w:rPr>
        <w:t>of  market   </w:t>
      </w:r>
      <w:r>
        <w:rPr>
          <w:spacing w:val="2"/>
          <w:w w:val="105"/>
        </w:rPr>
        <w:t>conditions.   </w:t>
      </w:r>
      <w:r>
        <w:rPr>
          <w:w w:val="105"/>
        </w:rPr>
        <w:t>As of January  22,  2003,  the  </w:t>
      </w:r>
      <w:r>
        <w:rPr>
          <w:spacing w:val="2"/>
          <w:w w:val="105"/>
        </w:rPr>
        <w:t>Company  </w:t>
      </w:r>
      <w:r>
        <w:rPr>
          <w:w w:val="105"/>
        </w:rPr>
        <w:t>had  a </w:t>
      </w:r>
      <w:r>
        <w:rPr>
          <w:spacing w:val="2"/>
          <w:w w:val="105"/>
        </w:rPr>
        <w:t>mixture </w:t>
      </w:r>
      <w:r>
        <w:rPr>
          <w:w w:val="105"/>
        </w:rPr>
        <w:t>of </w:t>
      </w:r>
      <w:r>
        <w:rPr>
          <w:spacing w:val="2"/>
          <w:w w:val="105"/>
        </w:rPr>
        <w:t>purchased </w:t>
      </w:r>
      <w:r>
        <w:rPr>
          <w:w w:val="105"/>
        </w:rPr>
        <w:t>call options, collar structures,  and  fixed   price   swap   </w:t>
      </w:r>
      <w:r>
        <w:rPr>
          <w:spacing w:val="7"/>
          <w:w w:val="105"/>
        </w:rPr>
        <w:t>agreements </w:t>
      </w:r>
      <w:r>
        <w:rPr>
          <w:w w:val="105"/>
        </w:rPr>
        <w:t>in place to hedge  approximately  83  percent  </w:t>
      </w:r>
      <w:r>
        <w:rPr>
          <w:spacing w:val="6"/>
          <w:w w:val="105"/>
        </w:rPr>
        <w:t>of </w:t>
      </w:r>
      <w:r>
        <w:rPr>
          <w:w w:val="105"/>
        </w:rPr>
        <w:t>its 2003 total </w:t>
      </w:r>
      <w:r>
        <w:rPr>
          <w:spacing w:val="3"/>
          <w:w w:val="105"/>
        </w:rPr>
        <w:t>anticipated</w:t>
      </w:r>
      <w:r>
        <w:rPr>
          <w:spacing w:val="53"/>
          <w:w w:val="105"/>
        </w:rPr>
        <w:t> </w:t>
      </w:r>
      <w:r>
        <w:rPr>
          <w:w w:val="105"/>
        </w:rPr>
        <w:t>jet  fuel  </w:t>
      </w:r>
      <w:r>
        <w:rPr>
          <w:spacing w:val="6"/>
          <w:w w:val="105"/>
        </w:rPr>
        <w:t>require-  </w:t>
      </w:r>
      <w:r>
        <w:rPr>
          <w:w w:val="105"/>
        </w:rPr>
        <w:t>ments, </w:t>
      </w:r>
      <w:r>
        <w:rPr>
          <w:spacing w:val="3"/>
          <w:w w:val="105"/>
        </w:rPr>
        <w:t>approximately </w:t>
      </w:r>
      <w:r>
        <w:rPr>
          <w:w w:val="105"/>
        </w:rPr>
        <w:t>80 percent  of  its  2004 total </w:t>
      </w:r>
      <w:r>
        <w:rPr>
          <w:spacing w:val="3"/>
          <w:w w:val="105"/>
        </w:rPr>
        <w:t>anticipated </w:t>
      </w:r>
      <w:r>
        <w:rPr>
          <w:w w:val="105"/>
        </w:rPr>
        <w:t>jet fuel </w:t>
      </w:r>
      <w:r>
        <w:rPr>
          <w:spacing w:val="2"/>
          <w:w w:val="105"/>
        </w:rPr>
        <w:t>requirements, </w:t>
      </w:r>
      <w:r>
        <w:rPr>
          <w:spacing w:val="12"/>
          <w:w w:val="105"/>
        </w:rPr>
        <w:t>and </w:t>
      </w:r>
      <w:r>
        <w:rPr>
          <w:w w:val="105"/>
        </w:rPr>
        <w:t>portions of its 2005–2008 total </w:t>
      </w:r>
      <w:r>
        <w:rPr>
          <w:spacing w:val="3"/>
          <w:w w:val="105"/>
        </w:rPr>
        <w:t>anticipated</w:t>
      </w:r>
      <w:r>
        <w:rPr>
          <w:spacing w:val="53"/>
          <w:w w:val="105"/>
        </w:rPr>
        <w:t> </w:t>
      </w:r>
      <w:r>
        <w:rPr>
          <w:w w:val="105"/>
        </w:rPr>
        <w:t>jet fuel </w:t>
      </w:r>
      <w:r>
        <w:rPr>
          <w:spacing w:val="2"/>
          <w:w w:val="105"/>
        </w:rPr>
        <w:t>requirements.  </w:t>
      </w:r>
      <w:r>
        <w:rPr>
          <w:w w:val="105"/>
        </w:rPr>
        <w:t>As  of  </w:t>
      </w:r>
      <w:r>
        <w:rPr>
          <w:spacing w:val="2"/>
          <w:w w:val="105"/>
        </w:rPr>
        <w:t>December  </w:t>
      </w:r>
      <w:r>
        <w:rPr>
          <w:w w:val="105"/>
        </w:rPr>
        <w:t>31,  2002, the majority  of  the  Company’s  first  </w:t>
      </w:r>
      <w:r>
        <w:rPr>
          <w:spacing w:val="6"/>
          <w:w w:val="105"/>
        </w:rPr>
        <w:t>quarter </w:t>
      </w:r>
      <w:r>
        <w:rPr>
          <w:w w:val="105"/>
        </w:rPr>
        <w:t>2003 hedges are effectively </w:t>
      </w:r>
      <w:r>
        <w:rPr>
          <w:spacing w:val="2"/>
          <w:w w:val="105"/>
        </w:rPr>
        <w:t>heating </w:t>
      </w:r>
      <w:r>
        <w:rPr>
          <w:w w:val="105"/>
        </w:rPr>
        <w:t>oil </w:t>
      </w:r>
      <w:r>
        <w:rPr>
          <w:spacing w:val="11"/>
          <w:w w:val="105"/>
        </w:rPr>
        <w:t>based </w:t>
      </w:r>
      <w:r>
        <w:rPr>
          <w:w w:val="105"/>
        </w:rPr>
        <w:t>positions in the form of </w:t>
      </w:r>
      <w:r>
        <w:rPr>
          <w:spacing w:val="2"/>
          <w:w w:val="105"/>
        </w:rPr>
        <w:t>option </w:t>
      </w:r>
      <w:r>
        <w:rPr>
          <w:w w:val="105"/>
        </w:rPr>
        <w:t>contracts. </w:t>
      </w:r>
      <w:r>
        <w:rPr>
          <w:spacing w:val="8"/>
          <w:w w:val="105"/>
        </w:rPr>
        <w:t>The </w:t>
      </w:r>
      <w:r>
        <w:rPr>
          <w:w w:val="105"/>
        </w:rPr>
        <w:t>majority of the </w:t>
      </w:r>
      <w:r>
        <w:rPr>
          <w:spacing w:val="3"/>
          <w:w w:val="105"/>
        </w:rPr>
        <w:t>remaining </w:t>
      </w:r>
      <w:r>
        <w:rPr>
          <w:spacing w:val="2"/>
          <w:w w:val="105"/>
        </w:rPr>
        <w:t>hedge positions </w:t>
      </w:r>
      <w:r>
        <w:rPr>
          <w:spacing w:val="6"/>
          <w:w w:val="105"/>
        </w:rPr>
        <w:t>are </w:t>
      </w:r>
      <w:r>
        <w:rPr>
          <w:w w:val="105"/>
        </w:rPr>
        <w:t>crude   oil   based</w:t>
      </w:r>
      <w:r>
        <w:rPr>
          <w:spacing w:val="43"/>
          <w:w w:val="105"/>
        </w:rPr>
        <w:t> </w:t>
      </w:r>
      <w:r>
        <w:rPr>
          <w:w w:val="105"/>
        </w:rPr>
        <w:t>positions.</w:t>
      </w:r>
    </w:p>
    <w:p>
      <w:pPr>
        <w:pStyle w:val="BodyText"/>
        <w:spacing w:line="254" w:lineRule="auto" w:before="1"/>
        <w:ind w:left="379" w:right="1" w:firstLine="280"/>
        <w:jc w:val="both"/>
      </w:pPr>
      <w:r>
        <w:rPr>
          <w:w w:val="105"/>
        </w:rPr>
        <w:t>During  2002,   2001,   and   2000,   the Company recognized gains in “Fuel and oil” expense   of  $44.5   million,   $79.9   million,   and</w:t>
      </w:r>
    </w:p>
    <w:p>
      <w:pPr>
        <w:pStyle w:val="BodyText"/>
        <w:spacing w:line="254" w:lineRule="auto" w:before="1"/>
        <w:ind w:left="379" w:right="1"/>
        <w:jc w:val="both"/>
      </w:pPr>
      <w:r>
        <w:rPr>
          <w:w w:val="105"/>
        </w:rPr>
        <w:t>$113.5 million, respectively, from hedging activities. At December 31, 2002 and 2001, approximately $13.1 million and $8.2 million, respectively,    due    from    third     parties     from</w:t>
      </w:r>
    </w:p>
    <w:p>
      <w:pPr>
        <w:pStyle w:val="BodyText"/>
        <w:tabs>
          <w:tab w:pos="1339" w:val="left" w:leader="none"/>
          <w:tab w:pos="2699" w:val="left" w:leader="none"/>
          <w:tab w:pos="4259" w:val="left" w:leader="none"/>
        </w:tabs>
        <w:spacing w:line="254" w:lineRule="auto" w:before="69"/>
        <w:ind w:left="100" w:right="105"/>
        <w:jc w:val="both"/>
      </w:pPr>
      <w:r>
        <w:rPr/>
        <w:br w:type="column"/>
      </w:r>
      <w:r>
        <w:rPr>
          <w:spacing w:val="3"/>
          <w:w w:val="105"/>
        </w:rPr>
        <w:t>expired derivative </w:t>
      </w:r>
      <w:r>
        <w:rPr>
          <w:w w:val="105"/>
        </w:rPr>
        <w:t>contracts, is </w:t>
      </w:r>
      <w:r>
        <w:rPr>
          <w:spacing w:val="2"/>
          <w:w w:val="105"/>
        </w:rPr>
        <w:t>included </w:t>
      </w:r>
      <w:r>
        <w:rPr>
          <w:spacing w:val="12"/>
          <w:w w:val="105"/>
        </w:rPr>
        <w:t>in </w:t>
      </w:r>
      <w:r>
        <w:rPr>
          <w:w w:val="105"/>
        </w:rPr>
        <w:t>“Accounts and other </w:t>
      </w:r>
      <w:r>
        <w:rPr>
          <w:spacing w:val="2"/>
          <w:w w:val="105"/>
        </w:rPr>
        <w:t>receivables” </w:t>
      </w:r>
      <w:r>
        <w:rPr>
          <w:w w:val="105"/>
        </w:rPr>
        <w:t>in </w:t>
      </w:r>
      <w:r>
        <w:rPr>
          <w:spacing w:val="6"/>
          <w:w w:val="105"/>
        </w:rPr>
        <w:t>the </w:t>
      </w:r>
      <w:r>
        <w:rPr>
          <w:spacing w:val="3"/>
          <w:w w:val="105"/>
        </w:rPr>
        <w:t>accompanying   </w:t>
      </w:r>
      <w:r>
        <w:rPr>
          <w:spacing w:val="2"/>
          <w:w w:val="105"/>
        </w:rPr>
        <w:t>Consolidated   </w:t>
      </w:r>
      <w:r>
        <w:rPr>
          <w:w w:val="105"/>
        </w:rPr>
        <w:t>Balance   </w:t>
      </w:r>
      <w:r>
        <w:rPr>
          <w:spacing w:val="5"/>
          <w:w w:val="105"/>
        </w:rPr>
        <w:t>Sheet. </w:t>
      </w:r>
      <w:r>
        <w:rPr>
          <w:w w:val="105"/>
        </w:rPr>
        <w:t>The Company accounts for its fuel </w:t>
      </w:r>
      <w:r>
        <w:rPr>
          <w:spacing w:val="12"/>
          <w:w w:val="105"/>
        </w:rPr>
        <w:t>hedge </w:t>
      </w:r>
      <w:r>
        <w:rPr>
          <w:spacing w:val="3"/>
          <w:w w:val="105"/>
        </w:rPr>
        <w:t>derivative</w:t>
      </w:r>
      <w:r>
        <w:rPr>
          <w:spacing w:val="53"/>
          <w:w w:val="105"/>
        </w:rPr>
        <w:t> </w:t>
      </w:r>
      <w:r>
        <w:rPr>
          <w:w w:val="105"/>
        </w:rPr>
        <w:t>instruments  as  cash   flow   </w:t>
      </w:r>
      <w:r>
        <w:rPr>
          <w:spacing w:val="7"/>
          <w:w w:val="105"/>
        </w:rPr>
        <w:t>hedges, </w:t>
      </w:r>
      <w:r>
        <w:rPr>
          <w:w w:val="105"/>
        </w:rPr>
        <w:t>as defined. Therefore, all changes in fair </w:t>
      </w:r>
      <w:r>
        <w:rPr>
          <w:spacing w:val="10"/>
          <w:w w:val="105"/>
        </w:rPr>
        <w:t>value </w:t>
      </w:r>
      <w:r>
        <w:rPr>
          <w:w w:val="105"/>
        </w:rPr>
        <w:t>that are  </w:t>
      </w:r>
      <w:r>
        <w:rPr>
          <w:spacing w:val="3"/>
          <w:w w:val="105"/>
        </w:rPr>
        <w:t>considered</w:t>
      </w:r>
      <w:r>
        <w:rPr>
          <w:spacing w:val="53"/>
          <w:w w:val="105"/>
        </w:rPr>
        <w:t> </w:t>
      </w:r>
      <w:r>
        <w:rPr>
          <w:w w:val="105"/>
        </w:rPr>
        <w:t>to  be  </w:t>
      </w:r>
      <w:r>
        <w:rPr>
          <w:spacing w:val="2"/>
          <w:w w:val="105"/>
        </w:rPr>
        <w:t>effective  </w:t>
      </w:r>
      <w:r>
        <w:rPr>
          <w:spacing w:val="6"/>
          <w:w w:val="105"/>
        </w:rPr>
        <w:t>are </w:t>
      </w:r>
      <w:r>
        <w:rPr>
          <w:spacing w:val="2"/>
          <w:w w:val="105"/>
        </w:rPr>
        <w:t>recorded </w:t>
      </w:r>
      <w:r>
        <w:rPr>
          <w:w w:val="105"/>
        </w:rPr>
        <w:t>in </w:t>
      </w:r>
      <w:r>
        <w:rPr>
          <w:spacing w:val="3"/>
          <w:w w:val="105"/>
        </w:rPr>
        <w:t>“Accumulated </w:t>
      </w:r>
      <w:r>
        <w:rPr>
          <w:w w:val="105"/>
        </w:rPr>
        <w:t>other  </w:t>
      </w:r>
      <w:r>
        <w:rPr>
          <w:spacing w:val="9"/>
          <w:w w:val="105"/>
        </w:rPr>
        <w:t>comprehen- </w:t>
      </w:r>
      <w:r>
        <w:rPr>
          <w:w w:val="105"/>
        </w:rPr>
        <w:t>sive income  (loss)”  until  the  underlying  jet  </w:t>
      </w:r>
      <w:r>
        <w:rPr>
          <w:spacing w:val="5"/>
          <w:w w:val="105"/>
        </w:rPr>
        <w:t>fuel </w:t>
      </w:r>
      <w:r>
        <w:rPr>
          <w:w w:val="105"/>
        </w:rPr>
        <w:t>is consumed. The fair value of the </w:t>
      </w:r>
      <w:r>
        <w:rPr>
          <w:spacing w:val="6"/>
          <w:w w:val="105"/>
        </w:rPr>
        <w:t>Company’s </w:t>
      </w:r>
      <w:r>
        <w:rPr>
          <w:spacing w:val="2"/>
          <w:w w:val="105"/>
        </w:rPr>
        <w:t>financial</w:t>
        <w:tab/>
      </w:r>
      <w:r>
        <w:rPr>
          <w:spacing w:val="3"/>
          <w:w w:val="105"/>
        </w:rPr>
        <w:t>derivative</w:t>
        <w:tab/>
      </w:r>
      <w:r>
        <w:rPr>
          <w:w w:val="105"/>
        </w:rPr>
        <w:t>instruments</w:t>
        <w:tab/>
      </w:r>
      <w:r>
        <w:rPr>
          <w:spacing w:val="4"/>
          <w:w w:val="105"/>
        </w:rPr>
        <w:t>at </w:t>
      </w:r>
      <w:r>
        <w:rPr>
          <w:spacing w:val="2"/>
          <w:w w:val="105"/>
        </w:rPr>
        <w:t>December </w:t>
      </w:r>
      <w:r>
        <w:rPr>
          <w:w w:val="105"/>
        </w:rPr>
        <w:t>31, 2002, was a net asset </w:t>
      </w:r>
      <w:r>
        <w:rPr>
          <w:spacing w:val="6"/>
          <w:w w:val="105"/>
        </w:rPr>
        <w:t>of </w:t>
      </w:r>
      <w:r>
        <w:rPr>
          <w:spacing w:val="3"/>
          <w:w w:val="105"/>
        </w:rPr>
        <w:t>approximately </w:t>
      </w:r>
      <w:r>
        <w:rPr>
          <w:w w:val="105"/>
        </w:rPr>
        <w:t>$157.2 million. The  </w:t>
      </w:r>
      <w:r>
        <w:rPr>
          <w:spacing w:val="4"/>
          <w:w w:val="105"/>
        </w:rPr>
        <w:t>current </w:t>
      </w:r>
      <w:r>
        <w:rPr>
          <w:spacing w:val="2"/>
          <w:w w:val="105"/>
        </w:rPr>
        <w:t>portion  </w:t>
      </w:r>
      <w:r>
        <w:rPr>
          <w:w w:val="105"/>
        </w:rPr>
        <w:t>of these  </w:t>
      </w:r>
      <w:r>
        <w:rPr>
          <w:spacing w:val="2"/>
          <w:w w:val="105"/>
        </w:rPr>
        <w:t>financial   </w:t>
      </w:r>
      <w:r>
        <w:rPr>
          <w:spacing w:val="9"/>
          <w:w w:val="105"/>
        </w:rPr>
        <w:t>derivative </w:t>
      </w:r>
      <w:r>
        <w:rPr>
          <w:w w:val="105"/>
        </w:rPr>
        <w:t>instruments is classified as  “Fuel  </w:t>
      </w:r>
      <w:r>
        <w:rPr>
          <w:spacing w:val="12"/>
          <w:w w:val="105"/>
        </w:rPr>
        <w:t>hedge </w:t>
      </w:r>
      <w:r>
        <w:rPr>
          <w:w w:val="105"/>
        </w:rPr>
        <w:t>contracts”  and  the  long-term  </w:t>
      </w:r>
      <w:r>
        <w:rPr>
          <w:spacing w:val="2"/>
          <w:w w:val="105"/>
        </w:rPr>
        <w:t>portion  </w:t>
      </w:r>
      <w:r>
        <w:rPr>
          <w:spacing w:val="4"/>
          <w:w w:val="105"/>
        </w:rPr>
        <w:t>is </w:t>
      </w:r>
      <w:r>
        <w:rPr>
          <w:w w:val="105"/>
        </w:rPr>
        <w:t>classified  as  “Other   assets”   in   </w:t>
      </w:r>
      <w:r>
        <w:rPr>
          <w:spacing w:val="6"/>
          <w:w w:val="105"/>
        </w:rPr>
        <w:t>the </w:t>
      </w:r>
      <w:r>
        <w:rPr>
          <w:w w:val="105"/>
        </w:rPr>
        <w:t>Consolidated  Balance  Sheet.  The  fair  value  </w:t>
      </w:r>
      <w:r>
        <w:rPr>
          <w:spacing w:val="6"/>
          <w:w w:val="105"/>
        </w:rPr>
        <w:t>of </w:t>
      </w:r>
      <w:r>
        <w:rPr>
          <w:w w:val="105"/>
        </w:rPr>
        <w:t>the </w:t>
      </w:r>
      <w:r>
        <w:rPr>
          <w:spacing w:val="3"/>
          <w:w w:val="105"/>
        </w:rPr>
        <w:t>derivative </w:t>
      </w:r>
      <w:r>
        <w:rPr>
          <w:w w:val="105"/>
        </w:rPr>
        <w:t>instruments, </w:t>
      </w:r>
      <w:r>
        <w:rPr>
          <w:spacing w:val="4"/>
          <w:w w:val="105"/>
        </w:rPr>
        <w:t>depending  </w:t>
      </w:r>
      <w:r>
        <w:rPr>
          <w:w w:val="105"/>
        </w:rPr>
        <w:t>on  </w:t>
      </w:r>
      <w:r>
        <w:rPr>
          <w:spacing w:val="6"/>
          <w:w w:val="105"/>
        </w:rPr>
        <w:t>the </w:t>
      </w:r>
      <w:r>
        <w:rPr>
          <w:w w:val="105"/>
        </w:rPr>
        <w:t>type of instrument, was determined by the  </w:t>
      </w:r>
      <w:r>
        <w:rPr>
          <w:spacing w:val="6"/>
          <w:w w:val="105"/>
        </w:rPr>
        <w:t>use </w:t>
      </w:r>
      <w:r>
        <w:rPr>
          <w:spacing w:val="59"/>
          <w:w w:val="105"/>
        </w:rPr>
        <w:t> </w:t>
      </w:r>
      <w:r>
        <w:rPr>
          <w:w w:val="105"/>
        </w:rPr>
        <w:t>of present value </w:t>
      </w:r>
      <w:r>
        <w:rPr>
          <w:spacing w:val="2"/>
          <w:w w:val="105"/>
        </w:rPr>
        <w:t>methods </w:t>
      </w:r>
      <w:r>
        <w:rPr>
          <w:w w:val="105"/>
        </w:rPr>
        <w:t>or </w:t>
      </w:r>
      <w:r>
        <w:rPr>
          <w:spacing w:val="2"/>
          <w:w w:val="105"/>
        </w:rPr>
        <w:t>standard </w:t>
      </w:r>
      <w:r>
        <w:rPr>
          <w:spacing w:val="11"/>
          <w:w w:val="105"/>
        </w:rPr>
        <w:t>option </w:t>
      </w:r>
      <w:r>
        <w:rPr>
          <w:w w:val="105"/>
        </w:rPr>
        <w:t>value models with </w:t>
      </w:r>
      <w:r>
        <w:rPr>
          <w:spacing w:val="2"/>
          <w:w w:val="105"/>
        </w:rPr>
        <w:t>assumptions  </w:t>
      </w:r>
      <w:r>
        <w:rPr>
          <w:spacing w:val="11"/>
          <w:w w:val="105"/>
        </w:rPr>
        <w:t>about  </w:t>
      </w:r>
      <w:r>
        <w:rPr>
          <w:w w:val="105"/>
        </w:rPr>
        <w:t>commodity prices based on those observed </w:t>
      </w:r>
      <w:r>
        <w:rPr>
          <w:spacing w:val="12"/>
          <w:w w:val="105"/>
        </w:rPr>
        <w:t>in </w:t>
      </w:r>
      <w:r>
        <w:rPr>
          <w:spacing w:val="2"/>
          <w:w w:val="105"/>
        </w:rPr>
        <w:t>underlying </w:t>
      </w:r>
      <w:r>
        <w:rPr>
          <w:spacing w:val="4"/>
          <w:w w:val="105"/>
        </w:rPr>
        <w:t> </w:t>
      </w:r>
      <w:r>
        <w:rPr>
          <w:spacing w:val="3"/>
          <w:w w:val="105"/>
        </w:rPr>
        <w:t>markets.</w:t>
      </w:r>
    </w:p>
    <w:p>
      <w:pPr>
        <w:pStyle w:val="BodyText"/>
        <w:spacing w:line="254" w:lineRule="auto"/>
        <w:ind w:left="100" w:right="108" w:firstLine="280"/>
        <w:jc w:val="both"/>
      </w:pPr>
      <w:r>
        <w:rPr>
          <w:w w:val="105"/>
        </w:rPr>
        <w:t>As  of  </w:t>
      </w:r>
      <w:r>
        <w:rPr>
          <w:spacing w:val="3"/>
          <w:w w:val="105"/>
        </w:rPr>
        <w:t>December</w:t>
      </w:r>
      <w:r>
        <w:rPr>
          <w:spacing w:val="53"/>
          <w:w w:val="105"/>
        </w:rPr>
        <w:t> </w:t>
      </w:r>
      <w:r>
        <w:rPr>
          <w:w w:val="105"/>
        </w:rPr>
        <w:t>31,  2002,  the  </w:t>
      </w:r>
      <w:r>
        <w:rPr>
          <w:spacing w:val="9"/>
          <w:w w:val="105"/>
        </w:rPr>
        <w:t>Company </w:t>
      </w:r>
      <w:r>
        <w:rPr>
          <w:w w:val="105"/>
        </w:rPr>
        <w:t>had </w:t>
      </w:r>
      <w:r>
        <w:rPr>
          <w:spacing w:val="2"/>
          <w:w w:val="105"/>
        </w:rPr>
        <w:t>approximately </w:t>
      </w:r>
      <w:r>
        <w:rPr>
          <w:w w:val="105"/>
        </w:rPr>
        <w:t>$56.2 million in </w:t>
      </w:r>
      <w:r>
        <w:rPr>
          <w:spacing w:val="7"/>
          <w:w w:val="105"/>
        </w:rPr>
        <w:t>unrealized </w:t>
      </w:r>
      <w:r>
        <w:rPr>
          <w:w w:val="105"/>
        </w:rPr>
        <w:t>gains, net of tax, in </w:t>
      </w:r>
      <w:r>
        <w:rPr>
          <w:spacing w:val="3"/>
          <w:w w:val="105"/>
        </w:rPr>
        <w:t>“Accumulated </w:t>
      </w:r>
      <w:r>
        <w:rPr>
          <w:spacing w:val="7"/>
          <w:w w:val="105"/>
        </w:rPr>
        <w:t>other </w:t>
      </w:r>
      <w:r>
        <w:rPr>
          <w:spacing w:val="4"/>
          <w:w w:val="105"/>
        </w:rPr>
        <w:t>comprehensive </w:t>
      </w:r>
      <w:r>
        <w:rPr>
          <w:spacing w:val="3"/>
          <w:w w:val="105"/>
        </w:rPr>
        <w:t>income </w:t>
      </w:r>
      <w:r>
        <w:rPr>
          <w:w w:val="105"/>
        </w:rPr>
        <w:t>(loss)” related to </w:t>
      </w:r>
      <w:r>
        <w:rPr>
          <w:spacing w:val="5"/>
          <w:w w:val="105"/>
        </w:rPr>
        <w:t>fuel </w:t>
      </w:r>
      <w:r>
        <w:rPr>
          <w:w w:val="105"/>
        </w:rPr>
        <w:t>hedges. </w:t>
      </w:r>
      <w:r>
        <w:rPr>
          <w:spacing w:val="2"/>
          <w:w w:val="105"/>
        </w:rPr>
        <w:t>Included   </w:t>
      </w:r>
      <w:r>
        <w:rPr>
          <w:w w:val="105"/>
        </w:rPr>
        <w:t>in  this  total  </w:t>
      </w:r>
      <w:r>
        <w:rPr>
          <w:spacing w:val="6"/>
          <w:w w:val="105"/>
        </w:rPr>
        <w:t>are  </w:t>
      </w:r>
      <w:r>
        <w:rPr>
          <w:spacing w:val="3"/>
          <w:w w:val="105"/>
        </w:rPr>
        <w:t>approximately </w:t>
      </w:r>
      <w:r>
        <w:rPr>
          <w:w w:val="105"/>
        </w:rPr>
        <w:t>$49.4 million in net </w:t>
      </w:r>
      <w:r>
        <w:rPr>
          <w:spacing w:val="7"/>
          <w:w w:val="105"/>
        </w:rPr>
        <w:t>unrealized </w:t>
      </w:r>
      <w:r>
        <w:rPr>
          <w:w w:val="105"/>
        </w:rPr>
        <w:t>gains that are </w:t>
      </w:r>
      <w:r>
        <w:rPr>
          <w:spacing w:val="3"/>
          <w:w w:val="105"/>
        </w:rPr>
        <w:t>expected</w:t>
      </w:r>
      <w:r>
        <w:rPr>
          <w:spacing w:val="53"/>
          <w:w w:val="105"/>
        </w:rPr>
        <w:t> </w:t>
      </w:r>
      <w:r>
        <w:rPr>
          <w:w w:val="105"/>
        </w:rPr>
        <w:t>to  be  realized  </w:t>
      </w:r>
      <w:r>
        <w:rPr>
          <w:spacing w:val="12"/>
          <w:w w:val="105"/>
        </w:rPr>
        <w:t>in </w:t>
      </w:r>
      <w:r>
        <w:rPr>
          <w:w w:val="105"/>
        </w:rPr>
        <w:t>earnings   during </w:t>
      </w:r>
      <w:r>
        <w:rPr>
          <w:spacing w:val="39"/>
          <w:w w:val="105"/>
        </w:rPr>
        <w:t> </w:t>
      </w:r>
      <w:r>
        <w:rPr>
          <w:w w:val="105"/>
        </w:rPr>
        <w:t>2003.</w:t>
      </w:r>
    </w:p>
    <w:p>
      <w:pPr>
        <w:pStyle w:val="BodyText"/>
        <w:spacing w:line="254" w:lineRule="auto"/>
        <w:ind w:left="100" w:right="104" w:firstLine="280"/>
        <w:jc w:val="both"/>
      </w:pPr>
      <w:r>
        <w:rPr>
          <w:spacing w:val="2"/>
          <w:w w:val="105"/>
        </w:rPr>
        <w:t>Outstanding financial  </w:t>
      </w:r>
      <w:r>
        <w:rPr>
          <w:spacing w:val="3"/>
          <w:w w:val="105"/>
        </w:rPr>
        <w:t>derivative</w:t>
      </w:r>
      <w:r>
        <w:rPr>
          <w:spacing w:val="53"/>
          <w:w w:val="105"/>
        </w:rPr>
        <w:t> </w:t>
      </w:r>
      <w:r>
        <w:rPr>
          <w:spacing w:val="3"/>
          <w:w w:val="105"/>
        </w:rPr>
        <w:t>instru- </w:t>
      </w:r>
      <w:r>
        <w:rPr>
          <w:w w:val="105"/>
        </w:rPr>
        <w:t>ments </w:t>
      </w:r>
      <w:r>
        <w:rPr>
          <w:spacing w:val="2"/>
          <w:w w:val="105"/>
        </w:rPr>
        <w:t>expose  </w:t>
      </w:r>
      <w:r>
        <w:rPr>
          <w:w w:val="105"/>
        </w:rPr>
        <w:t>the  </w:t>
      </w:r>
      <w:r>
        <w:rPr>
          <w:spacing w:val="2"/>
          <w:w w:val="105"/>
        </w:rPr>
        <w:t>Company  </w:t>
      </w:r>
      <w:r>
        <w:rPr>
          <w:w w:val="105"/>
        </w:rPr>
        <w:t>to  credit  loss  </w:t>
      </w:r>
      <w:r>
        <w:rPr>
          <w:spacing w:val="12"/>
          <w:w w:val="105"/>
        </w:rPr>
        <w:t>in </w:t>
      </w:r>
      <w:r>
        <w:rPr>
          <w:w w:val="105"/>
        </w:rPr>
        <w:t>the event of </w:t>
      </w:r>
      <w:r>
        <w:rPr>
          <w:spacing w:val="4"/>
          <w:w w:val="105"/>
        </w:rPr>
        <w:t>nonperformance </w:t>
      </w:r>
      <w:r>
        <w:rPr>
          <w:w w:val="105"/>
        </w:rPr>
        <w:t>by </w:t>
      </w:r>
      <w:r>
        <w:rPr>
          <w:spacing w:val="6"/>
          <w:w w:val="105"/>
        </w:rPr>
        <w:t>the </w:t>
      </w:r>
      <w:r>
        <w:rPr>
          <w:spacing w:val="2"/>
          <w:w w:val="105"/>
        </w:rPr>
        <w:t>counterparties </w:t>
      </w:r>
      <w:r>
        <w:rPr>
          <w:w w:val="105"/>
        </w:rPr>
        <w:t>to  the  </w:t>
      </w:r>
      <w:r>
        <w:rPr>
          <w:spacing w:val="2"/>
          <w:w w:val="105"/>
        </w:rPr>
        <w:t>agreements.  </w:t>
      </w:r>
      <w:r>
        <w:rPr>
          <w:spacing w:val="8"/>
          <w:w w:val="105"/>
        </w:rPr>
        <w:t>However, </w:t>
      </w:r>
      <w:r>
        <w:rPr>
          <w:w w:val="105"/>
        </w:rPr>
        <w:t>the Company does not expect any of </w:t>
      </w:r>
      <w:r>
        <w:rPr>
          <w:spacing w:val="6"/>
          <w:w w:val="105"/>
        </w:rPr>
        <w:t>the </w:t>
      </w:r>
      <w:r>
        <w:rPr>
          <w:w w:val="105"/>
        </w:rPr>
        <w:t>counterparties to fail to meet their </w:t>
      </w:r>
      <w:r>
        <w:rPr>
          <w:spacing w:val="6"/>
          <w:w w:val="105"/>
        </w:rPr>
        <w:t>obligations. </w:t>
      </w:r>
      <w:r>
        <w:rPr>
          <w:w w:val="105"/>
        </w:rPr>
        <w:t>The credit </w:t>
      </w:r>
      <w:r>
        <w:rPr>
          <w:spacing w:val="2"/>
          <w:w w:val="105"/>
        </w:rPr>
        <w:t>exposure </w:t>
      </w:r>
      <w:r>
        <w:rPr>
          <w:w w:val="105"/>
        </w:rPr>
        <w:t>related to these </w:t>
      </w:r>
      <w:r>
        <w:rPr>
          <w:spacing w:val="8"/>
          <w:w w:val="105"/>
        </w:rPr>
        <w:t>financial </w:t>
      </w:r>
      <w:r>
        <w:rPr>
          <w:w w:val="105"/>
        </w:rPr>
        <w:t>instruments is represented by the fair value </w:t>
      </w:r>
      <w:r>
        <w:rPr>
          <w:spacing w:val="6"/>
          <w:w w:val="105"/>
        </w:rPr>
        <w:t>of </w:t>
      </w:r>
      <w:r>
        <w:rPr>
          <w:w w:val="105"/>
        </w:rPr>
        <w:t>contracts with a </w:t>
      </w:r>
      <w:r>
        <w:rPr>
          <w:spacing w:val="2"/>
          <w:w w:val="105"/>
        </w:rPr>
        <w:t>positive </w:t>
      </w:r>
      <w:r>
        <w:rPr>
          <w:w w:val="105"/>
        </w:rPr>
        <w:t>fair value at  </w:t>
      </w:r>
      <w:r>
        <w:rPr>
          <w:spacing w:val="6"/>
          <w:w w:val="105"/>
        </w:rPr>
        <w:t>the </w:t>
      </w:r>
      <w:r>
        <w:rPr>
          <w:w w:val="105"/>
        </w:rPr>
        <w:t>reporting date. To </w:t>
      </w:r>
      <w:r>
        <w:rPr>
          <w:spacing w:val="3"/>
          <w:w w:val="105"/>
        </w:rPr>
        <w:t>manage </w:t>
      </w:r>
      <w:r>
        <w:rPr>
          <w:w w:val="105"/>
        </w:rPr>
        <w:t>credit risk, </w:t>
      </w:r>
      <w:r>
        <w:rPr>
          <w:spacing w:val="6"/>
          <w:w w:val="105"/>
        </w:rPr>
        <w:t>the </w:t>
      </w:r>
      <w:r>
        <w:rPr>
          <w:spacing w:val="2"/>
          <w:w w:val="105"/>
        </w:rPr>
        <w:t>Company </w:t>
      </w:r>
      <w:r>
        <w:rPr>
          <w:w w:val="105"/>
        </w:rPr>
        <w:t>selects and periodically </w:t>
      </w:r>
      <w:r>
        <w:rPr>
          <w:spacing w:val="8"/>
          <w:w w:val="105"/>
        </w:rPr>
        <w:t>reviews </w:t>
      </w:r>
      <w:r>
        <w:rPr>
          <w:spacing w:val="2"/>
          <w:w w:val="105"/>
        </w:rPr>
        <w:t>counterparties  based  </w:t>
      </w:r>
      <w:r>
        <w:rPr>
          <w:w w:val="105"/>
        </w:rPr>
        <w:t>on  credit  ratings,   </w:t>
      </w:r>
      <w:r>
        <w:rPr>
          <w:spacing w:val="4"/>
          <w:w w:val="105"/>
        </w:rPr>
        <w:t>limits </w:t>
      </w:r>
      <w:r>
        <w:rPr>
          <w:w w:val="105"/>
        </w:rPr>
        <w:t>its </w:t>
      </w:r>
      <w:r>
        <w:rPr>
          <w:spacing w:val="2"/>
          <w:w w:val="105"/>
        </w:rPr>
        <w:t>exposure </w:t>
      </w:r>
      <w:r>
        <w:rPr>
          <w:w w:val="105"/>
        </w:rPr>
        <w:t>to a single counterparty, </w:t>
      </w:r>
      <w:r>
        <w:rPr>
          <w:spacing w:val="12"/>
          <w:w w:val="105"/>
        </w:rPr>
        <w:t>and </w:t>
      </w:r>
      <w:r>
        <w:rPr>
          <w:w w:val="105"/>
        </w:rPr>
        <w:t>monitors the market </w:t>
      </w:r>
      <w:r>
        <w:rPr>
          <w:spacing w:val="2"/>
          <w:w w:val="105"/>
        </w:rPr>
        <w:t>position </w:t>
      </w:r>
      <w:r>
        <w:rPr>
          <w:w w:val="105"/>
        </w:rPr>
        <w:t>of  the  </w:t>
      </w:r>
      <w:r>
        <w:rPr>
          <w:spacing w:val="7"/>
          <w:w w:val="105"/>
        </w:rPr>
        <w:t>program </w:t>
      </w:r>
      <w:r>
        <w:rPr>
          <w:w w:val="105"/>
        </w:rPr>
        <w:t>and    its   relative    market    </w:t>
      </w:r>
      <w:r>
        <w:rPr>
          <w:spacing w:val="2"/>
          <w:w w:val="105"/>
        </w:rPr>
        <w:t>position    </w:t>
      </w:r>
      <w:r>
        <w:rPr>
          <w:w w:val="105"/>
        </w:rPr>
        <w:t>with </w:t>
      </w:r>
      <w:r>
        <w:rPr>
          <w:spacing w:val="14"/>
          <w:w w:val="105"/>
        </w:rPr>
        <w:t> </w:t>
      </w:r>
      <w:r>
        <w:rPr>
          <w:spacing w:val="13"/>
          <w:w w:val="105"/>
        </w:rPr>
        <w:t>each</w:t>
      </w:r>
    </w:p>
    <w:p>
      <w:pPr>
        <w:spacing w:after="0" w:line="254" w:lineRule="auto"/>
        <w:jc w:val="both"/>
        <w:sectPr>
          <w:headerReference w:type="default" r:id="rId138"/>
          <w:pgSz w:w="11520" w:h="14400"/>
          <w:pgMar w:header="0" w:footer="706" w:top="960" w:bottom="900" w:left="700" w:right="840"/>
          <w:cols w:num="2" w:equalWidth="0">
            <w:col w:w="4732" w:space="688"/>
            <w:col w:w="4560"/>
          </w:cols>
        </w:sectPr>
      </w:pPr>
    </w:p>
    <w:p>
      <w:pPr>
        <w:pStyle w:val="BodyText"/>
        <w:spacing w:line="254" w:lineRule="auto" w:before="69"/>
        <w:ind w:left="380"/>
        <w:jc w:val="both"/>
      </w:pPr>
      <w:bookmarkStart w:name="Comprehensive Income" w:id="51"/>
      <w:bookmarkEnd w:id="51"/>
      <w:r>
        <w:rPr/>
      </w:r>
      <w:r>
        <w:rPr>
          <w:w w:val="105"/>
        </w:rPr>
        <w:t>counterparty. At </w:t>
      </w:r>
      <w:r>
        <w:rPr>
          <w:spacing w:val="3"/>
          <w:w w:val="105"/>
        </w:rPr>
        <w:t>December </w:t>
      </w:r>
      <w:r>
        <w:rPr>
          <w:w w:val="105"/>
        </w:rPr>
        <w:t>31, 2002, </w:t>
      </w:r>
      <w:r>
        <w:rPr>
          <w:spacing w:val="6"/>
          <w:w w:val="105"/>
        </w:rPr>
        <w:t>the </w:t>
      </w:r>
      <w:r>
        <w:rPr>
          <w:w w:val="105"/>
        </w:rPr>
        <w:t>Company had agreements with seven </w:t>
      </w:r>
      <w:r>
        <w:rPr>
          <w:spacing w:val="5"/>
          <w:w w:val="105"/>
        </w:rPr>
        <w:t>counter- </w:t>
      </w:r>
      <w:r>
        <w:rPr>
          <w:w w:val="105"/>
        </w:rPr>
        <w:t>parties </w:t>
      </w:r>
      <w:r>
        <w:rPr>
          <w:spacing w:val="3"/>
          <w:w w:val="105"/>
        </w:rPr>
        <w:t>containing </w:t>
      </w:r>
      <w:r>
        <w:rPr>
          <w:w w:val="105"/>
        </w:rPr>
        <w:t>early </w:t>
      </w:r>
      <w:r>
        <w:rPr>
          <w:spacing w:val="3"/>
          <w:w w:val="105"/>
        </w:rPr>
        <w:t>termination</w:t>
      </w:r>
      <w:r>
        <w:rPr>
          <w:spacing w:val="53"/>
          <w:w w:val="105"/>
        </w:rPr>
        <w:t> </w:t>
      </w:r>
      <w:r>
        <w:rPr>
          <w:spacing w:val="2"/>
          <w:w w:val="105"/>
        </w:rPr>
        <w:t>rights  </w:t>
      </w:r>
      <w:r>
        <w:rPr>
          <w:w w:val="105"/>
        </w:rPr>
        <w:t>and/or bilateral collateral </w:t>
      </w:r>
      <w:r>
        <w:rPr>
          <w:spacing w:val="2"/>
          <w:w w:val="105"/>
        </w:rPr>
        <w:t>provisions </w:t>
      </w:r>
      <w:r>
        <w:rPr>
          <w:spacing w:val="8"/>
          <w:w w:val="105"/>
        </w:rPr>
        <w:t>whereby </w:t>
      </w:r>
      <w:r>
        <w:rPr>
          <w:w w:val="105"/>
        </w:rPr>
        <w:t>security is </w:t>
      </w:r>
      <w:r>
        <w:rPr>
          <w:spacing w:val="2"/>
          <w:w w:val="105"/>
        </w:rPr>
        <w:t>required </w:t>
      </w:r>
      <w:r>
        <w:rPr>
          <w:w w:val="105"/>
        </w:rPr>
        <w:t>if market risk </w:t>
      </w:r>
      <w:r>
        <w:rPr>
          <w:spacing w:val="9"/>
          <w:w w:val="105"/>
        </w:rPr>
        <w:t>exposure </w:t>
      </w:r>
      <w:r>
        <w:rPr>
          <w:spacing w:val="2"/>
          <w:w w:val="105"/>
        </w:rPr>
        <w:t>exceeds    </w:t>
      </w:r>
      <w:r>
        <w:rPr>
          <w:w w:val="105"/>
        </w:rPr>
        <w:t>a    </w:t>
      </w:r>
      <w:r>
        <w:rPr>
          <w:spacing w:val="2"/>
          <w:w w:val="105"/>
        </w:rPr>
        <w:t>specified    </w:t>
      </w:r>
      <w:r>
        <w:rPr>
          <w:w w:val="105"/>
        </w:rPr>
        <w:t>threshold    </w:t>
      </w:r>
      <w:r>
        <w:rPr>
          <w:spacing w:val="2"/>
          <w:w w:val="105"/>
        </w:rPr>
        <w:t>amount    </w:t>
      </w:r>
      <w:r>
        <w:rPr>
          <w:spacing w:val="29"/>
          <w:w w:val="105"/>
        </w:rPr>
        <w:t> </w:t>
      </w:r>
      <w:r>
        <w:rPr>
          <w:spacing w:val="4"/>
          <w:w w:val="105"/>
        </w:rPr>
        <w:t>or</w:t>
      </w:r>
    </w:p>
    <w:p>
      <w:pPr>
        <w:pStyle w:val="BodyText"/>
        <w:spacing w:line="254" w:lineRule="auto" w:before="69"/>
        <w:ind w:left="380" w:right="130"/>
        <w:jc w:val="both"/>
      </w:pPr>
      <w:r>
        <w:rPr/>
        <w:br w:type="column"/>
      </w:r>
      <w:r>
        <w:rPr>
          <w:w w:val="105"/>
        </w:rPr>
        <w:t>credit ratings fall below certain levels. The Company  is  in  the  process  of  negotiating similar  agreements  with  other   counterparties.</w:t>
      </w:r>
    </w:p>
    <w:p>
      <w:pPr>
        <w:pStyle w:val="BodyText"/>
        <w:spacing w:line="254" w:lineRule="auto"/>
        <w:ind w:left="380" w:right="131" w:firstLine="280"/>
        <w:jc w:val="both"/>
      </w:pPr>
      <w:r>
        <w:rPr>
          <w:w w:val="110"/>
        </w:rPr>
        <w:t>The carrying </w:t>
      </w:r>
      <w:r>
        <w:rPr>
          <w:spacing w:val="2"/>
          <w:w w:val="110"/>
        </w:rPr>
        <w:t>amounts </w:t>
      </w:r>
      <w:r>
        <w:rPr>
          <w:w w:val="110"/>
        </w:rPr>
        <w:t>and </w:t>
      </w:r>
      <w:r>
        <w:rPr>
          <w:spacing w:val="2"/>
          <w:w w:val="110"/>
        </w:rPr>
        <w:t>estimated </w:t>
      </w:r>
      <w:r>
        <w:rPr>
          <w:spacing w:val="6"/>
          <w:w w:val="110"/>
        </w:rPr>
        <w:t>fair</w:t>
      </w:r>
      <w:r>
        <w:rPr>
          <w:spacing w:val="61"/>
          <w:w w:val="110"/>
        </w:rPr>
        <w:t> </w:t>
      </w:r>
      <w:r>
        <w:rPr>
          <w:w w:val="110"/>
        </w:rPr>
        <w:t>values of the Company’s long-term debt </w:t>
      </w:r>
      <w:r>
        <w:rPr>
          <w:spacing w:val="4"/>
          <w:w w:val="110"/>
        </w:rPr>
        <w:t>at </w:t>
      </w:r>
      <w:r>
        <w:rPr>
          <w:w w:val="110"/>
        </w:rPr>
        <w:t>December 31, 2002, were as   follows:</w:t>
      </w:r>
    </w:p>
    <w:p>
      <w:pPr>
        <w:spacing w:after="0" w:line="254" w:lineRule="auto"/>
        <w:jc w:val="both"/>
        <w:sectPr>
          <w:headerReference w:type="default" r:id="rId139"/>
          <w:footerReference w:type="default" r:id="rId140"/>
          <w:footerReference w:type="even" r:id="rId141"/>
          <w:pgSz w:w="11520" w:h="14400"/>
          <w:pgMar w:header="0" w:footer="706" w:top="960" w:bottom="900" w:left="700" w:right="820"/>
          <w:pgNumType w:start="45"/>
          <w:cols w:num="2" w:equalWidth="0">
            <w:col w:w="4730" w:space="410"/>
            <w:col w:w="4860"/>
          </w:cols>
        </w:sectPr>
      </w:pPr>
    </w:p>
    <w:p>
      <w:pPr>
        <w:pStyle w:val="BodyText"/>
        <w:spacing w:before="9"/>
        <w:rPr>
          <w:sz w:val="19"/>
        </w:rPr>
      </w:pPr>
    </w:p>
    <w:tbl>
      <w:tblPr>
        <w:tblW w:w="0" w:type="auto"/>
        <w:jc w:val="left"/>
        <w:tblInd w:w="94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51"/>
        <w:gridCol w:w="2016"/>
        <w:gridCol w:w="2553"/>
      </w:tblGrid>
      <w:tr>
        <w:trPr>
          <w:trHeight w:val="300" w:hRule="exact"/>
        </w:trPr>
        <w:tc>
          <w:tcPr>
            <w:tcW w:w="3651"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016" w:type="dxa"/>
            <w:tcBorders>
              <w:top w:val="single" w:sz="8" w:space="0" w:color="000000"/>
              <w:bottom w:val="single" w:sz="8" w:space="0" w:color="000000"/>
            </w:tcBorders>
          </w:tcPr>
          <w:p>
            <w:pPr>
              <w:pStyle w:val="TableParagraph"/>
              <w:spacing w:before="56"/>
              <w:ind w:left="328"/>
              <w:rPr>
                <w:rFonts w:ascii="Franklin Gothic Medium"/>
                <w:sz w:val="20"/>
              </w:rPr>
            </w:pPr>
            <w:r>
              <w:rPr>
                <w:rFonts w:ascii="Franklin Gothic Medium"/>
                <w:spacing w:val="2"/>
                <w:sz w:val="20"/>
              </w:rPr>
              <w:t>Carrying</w:t>
            </w:r>
            <w:r>
              <w:rPr>
                <w:rFonts w:ascii="Franklin Gothic Medium"/>
                <w:spacing w:val="52"/>
                <w:sz w:val="20"/>
              </w:rPr>
              <w:t> </w:t>
            </w:r>
            <w:r>
              <w:rPr>
                <w:rFonts w:ascii="Franklin Gothic Medium"/>
                <w:spacing w:val="3"/>
                <w:sz w:val="20"/>
              </w:rPr>
              <w:t>value</w:t>
            </w:r>
          </w:p>
        </w:tc>
        <w:tc>
          <w:tcPr>
            <w:tcW w:w="2553" w:type="dxa"/>
            <w:tcBorders>
              <w:top w:val="single" w:sz="8" w:space="0" w:color="000000"/>
              <w:bottom w:val="single" w:sz="8" w:space="0" w:color="000000"/>
            </w:tcBorders>
          </w:tcPr>
          <w:p>
            <w:pPr>
              <w:pStyle w:val="TableParagraph"/>
              <w:spacing w:before="56"/>
              <w:ind w:left="388"/>
              <w:rPr>
                <w:rFonts w:ascii="Franklin Gothic Medium"/>
                <w:sz w:val="20"/>
              </w:rPr>
            </w:pPr>
            <w:r>
              <w:rPr>
                <w:rFonts w:ascii="Franklin Gothic Medium"/>
                <w:sz w:val="20"/>
              </w:rPr>
              <w:t>Estimated  fair value</w:t>
            </w:r>
          </w:p>
        </w:tc>
      </w:tr>
      <w:tr>
        <w:trPr>
          <w:trHeight w:val="324" w:hRule="exact"/>
        </w:trPr>
        <w:tc>
          <w:tcPr>
            <w:tcW w:w="3651" w:type="dxa"/>
            <w:tcBorders>
              <w:top w:val="single" w:sz="8" w:space="0" w:color="000000"/>
            </w:tcBorders>
          </w:tcPr>
          <w:p>
            <w:pPr>
              <w:pStyle w:val="TableParagraph"/>
              <w:spacing w:before="49"/>
              <w:ind w:left="300"/>
              <w:rPr>
                <w:sz w:val="20"/>
              </w:rPr>
            </w:pPr>
            <w:r>
              <w:rPr>
                <w:w w:val="115"/>
                <w:sz w:val="20"/>
              </w:rPr>
              <w:t>8 3/4% Notes due 2003</w:t>
            </w:r>
          </w:p>
        </w:tc>
        <w:tc>
          <w:tcPr>
            <w:tcW w:w="2016" w:type="dxa"/>
            <w:tcBorders>
              <w:top w:val="single" w:sz="8" w:space="0" w:color="000000"/>
            </w:tcBorders>
          </w:tcPr>
          <w:p>
            <w:pPr>
              <w:pStyle w:val="TableParagraph"/>
              <w:spacing w:before="49"/>
              <w:ind w:left="441"/>
              <w:rPr>
                <w:sz w:val="20"/>
              </w:rPr>
            </w:pPr>
            <w:r>
              <w:rPr>
                <w:w w:val="120"/>
                <w:sz w:val="20"/>
              </w:rPr>
              <w:t>$ 100,000</w:t>
            </w:r>
          </w:p>
        </w:tc>
        <w:tc>
          <w:tcPr>
            <w:tcW w:w="2553" w:type="dxa"/>
            <w:tcBorders>
              <w:top w:val="single" w:sz="8" w:space="0" w:color="000000"/>
            </w:tcBorders>
          </w:tcPr>
          <w:p>
            <w:pPr>
              <w:pStyle w:val="TableParagraph"/>
              <w:spacing w:before="49"/>
              <w:ind w:left="708"/>
              <w:rPr>
                <w:sz w:val="20"/>
              </w:rPr>
            </w:pPr>
            <w:r>
              <w:rPr>
                <w:w w:val="120"/>
                <w:sz w:val="20"/>
              </w:rPr>
              <w:t>$ 104,380</w:t>
            </w:r>
          </w:p>
        </w:tc>
      </w:tr>
      <w:tr>
        <w:trPr>
          <w:trHeight w:val="280" w:hRule="exact"/>
        </w:trPr>
        <w:tc>
          <w:tcPr>
            <w:tcW w:w="3651" w:type="dxa"/>
          </w:tcPr>
          <w:p>
            <w:pPr>
              <w:pStyle w:val="TableParagraph"/>
              <w:spacing w:before="16"/>
              <w:ind w:left="300"/>
              <w:rPr>
                <w:sz w:val="20"/>
              </w:rPr>
            </w:pPr>
            <w:r>
              <w:rPr>
                <w:w w:val="110"/>
                <w:sz w:val="20"/>
              </w:rPr>
              <w:t>Aircraft Secured Notes due  2004</w:t>
            </w:r>
          </w:p>
        </w:tc>
        <w:tc>
          <w:tcPr>
            <w:tcW w:w="2016" w:type="dxa"/>
          </w:tcPr>
          <w:p>
            <w:pPr>
              <w:pStyle w:val="TableParagraph"/>
              <w:spacing w:before="16"/>
              <w:ind w:left="628"/>
              <w:rPr>
                <w:sz w:val="20"/>
              </w:rPr>
            </w:pPr>
            <w:r>
              <w:rPr>
                <w:w w:val="120"/>
                <w:sz w:val="20"/>
              </w:rPr>
              <w:t>175,000</w:t>
            </w:r>
          </w:p>
        </w:tc>
        <w:tc>
          <w:tcPr>
            <w:tcW w:w="2553" w:type="dxa"/>
          </w:tcPr>
          <w:p>
            <w:pPr>
              <w:pStyle w:val="TableParagraph"/>
              <w:spacing w:before="16"/>
              <w:ind w:left="866" w:right="854"/>
              <w:jc w:val="center"/>
              <w:rPr>
                <w:sz w:val="20"/>
              </w:rPr>
            </w:pPr>
            <w:r>
              <w:rPr>
                <w:w w:val="120"/>
                <w:sz w:val="20"/>
              </w:rPr>
              <w:t>175,000</w:t>
            </w:r>
          </w:p>
        </w:tc>
      </w:tr>
      <w:tr>
        <w:trPr>
          <w:trHeight w:val="280" w:hRule="exact"/>
        </w:trPr>
        <w:tc>
          <w:tcPr>
            <w:tcW w:w="3651" w:type="dxa"/>
          </w:tcPr>
          <w:p>
            <w:pPr>
              <w:pStyle w:val="TableParagraph"/>
              <w:spacing w:before="16"/>
              <w:ind w:left="300"/>
              <w:rPr>
                <w:sz w:val="20"/>
              </w:rPr>
            </w:pPr>
            <w:r>
              <w:rPr>
                <w:w w:val="110"/>
                <w:sz w:val="20"/>
              </w:rPr>
              <w:t>8%  Notes  due 2005</w:t>
            </w:r>
          </w:p>
        </w:tc>
        <w:tc>
          <w:tcPr>
            <w:tcW w:w="2016" w:type="dxa"/>
          </w:tcPr>
          <w:p>
            <w:pPr>
              <w:pStyle w:val="TableParagraph"/>
              <w:spacing w:before="16"/>
              <w:ind w:left="625"/>
              <w:rPr>
                <w:sz w:val="20"/>
              </w:rPr>
            </w:pPr>
            <w:r>
              <w:rPr>
                <w:w w:val="120"/>
                <w:sz w:val="20"/>
              </w:rPr>
              <w:t>100,000</w:t>
            </w:r>
          </w:p>
        </w:tc>
        <w:tc>
          <w:tcPr>
            <w:tcW w:w="2553" w:type="dxa"/>
          </w:tcPr>
          <w:p>
            <w:pPr>
              <w:pStyle w:val="TableParagraph"/>
              <w:spacing w:before="16"/>
              <w:ind w:left="866" w:right="854"/>
              <w:jc w:val="center"/>
              <w:rPr>
                <w:sz w:val="20"/>
              </w:rPr>
            </w:pPr>
            <w:r>
              <w:rPr>
                <w:w w:val="120"/>
                <w:sz w:val="20"/>
              </w:rPr>
              <w:t>109,222</w:t>
            </w:r>
          </w:p>
        </w:tc>
      </w:tr>
      <w:tr>
        <w:trPr>
          <w:trHeight w:val="280" w:hRule="exact"/>
        </w:trPr>
        <w:tc>
          <w:tcPr>
            <w:tcW w:w="3651" w:type="dxa"/>
          </w:tcPr>
          <w:p>
            <w:pPr>
              <w:pStyle w:val="TableParagraph"/>
              <w:spacing w:before="16"/>
              <w:ind w:left="300"/>
              <w:rPr>
                <w:sz w:val="20"/>
              </w:rPr>
            </w:pPr>
            <w:r>
              <w:rPr>
                <w:w w:val="110"/>
                <w:sz w:val="20"/>
              </w:rPr>
              <w:t>Pass  Through Certificates</w:t>
            </w:r>
          </w:p>
        </w:tc>
        <w:tc>
          <w:tcPr>
            <w:tcW w:w="2016" w:type="dxa"/>
          </w:tcPr>
          <w:p>
            <w:pPr>
              <w:pStyle w:val="TableParagraph"/>
              <w:spacing w:before="16"/>
              <w:ind w:left="628"/>
              <w:rPr>
                <w:sz w:val="20"/>
              </w:rPr>
            </w:pPr>
            <w:r>
              <w:rPr>
                <w:w w:val="120"/>
                <w:sz w:val="20"/>
              </w:rPr>
              <w:t>585,661</w:t>
            </w:r>
          </w:p>
        </w:tc>
        <w:tc>
          <w:tcPr>
            <w:tcW w:w="2553" w:type="dxa"/>
          </w:tcPr>
          <w:p>
            <w:pPr>
              <w:pStyle w:val="TableParagraph"/>
              <w:spacing w:before="16"/>
              <w:ind w:left="866" w:right="854"/>
              <w:jc w:val="center"/>
              <w:rPr>
                <w:sz w:val="20"/>
              </w:rPr>
            </w:pPr>
            <w:r>
              <w:rPr>
                <w:w w:val="120"/>
                <w:sz w:val="20"/>
              </w:rPr>
              <w:t>603,953</w:t>
            </w:r>
          </w:p>
        </w:tc>
      </w:tr>
      <w:tr>
        <w:trPr>
          <w:trHeight w:val="280" w:hRule="exact"/>
        </w:trPr>
        <w:tc>
          <w:tcPr>
            <w:tcW w:w="3651" w:type="dxa"/>
          </w:tcPr>
          <w:p>
            <w:pPr>
              <w:pStyle w:val="TableParagraph"/>
              <w:spacing w:before="16"/>
              <w:ind w:left="300"/>
              <w:rPr>
                <w:sz w:val="20"/>
              </w:rPr>
            </w:pPr>
            <w:r>
              <w:rPr>
                <w:w w:val="115"/>
                <w:sz w:val="20"/>
              </w:rPr>
              <w:t>7 7/8% Notes due 2007</w:t>
            </w:r>
          </w:p>
        </w:tc>
        <w:tc>
          <w:tcPr>
            <w:tcW w:w="2016" w:type="dxa"/>
          </w:tcPr>
          <w:p>
            <w:pPr>
              <w:pStyle w:val="TableParagraph"/>
              <w:spacing w:before="16"/>
              <w:ind w:left="622"/>
              <w:rPr>
                <w:sz w:val="20"/>
              </w:rPr>
            </w:pPr>
            <w:r>
              <w:rPr>
                <w:w w:val="120"/>
                <w:sz w:val="20"/>
              </w:rPr>
              <w:t>100,000</w:t>
            </w:r>
          </w:p>
        </w:tc>
        <w:tc>
          <w:tcPr>
            <w:tcW w:w="2553" w:type="dxa"/>
          </w:tcPr>
          <w:p>
            <w:pPr>
              <w:pStyle w:val="TableParagraph"/>
              <w:spacing w:before="16"/>
              <w:ind w:left="865" w:right="855"/>
              <w:jc w:val="center"/>
              <w:rPr>
                <w:sz w:val="20"/>
              </w:rPr>
            </w:pPr>
            <w:r>
              <w:rPr>
                <w:w w:val="120"/>
                <w:sz w:val="20"/>
              </w:rPr>
              <w:t>112,872</w:t>
            </w:r>
          </w:p>
        </w:tc>
      </w:tr>
      <w:tr>
        <w:trPr>
          <w:trHeight w:val="280" w:hRule="exact"/>
        </w:trPr>
        <w:tc>
          <w:tcPr>
            <w:tcW w:w="3651" w:type="dxa"/>
          </w:tcPr>
          <w:p>
            <w:pPr>
              <w:pStyle w:val="TableParagraph"/>
              <w:spacing w:before="16"/>
              <w:ind w:left="300"/>
              <w:rPr>
                <w:sz w:val="20"/>
              </w:rPr>
            </w:pPr>
            <w:r>
              <w:rPr>
                <w:w w:val="105"/>
                <w:sz w:val="20"/>
              </w:rPr>
              <w:t>French  Credit  Agreements</w:t>
            </w:r>
          </w:p>
        </w:tc>
        <w:tc>
          <w:tcPr>
            <w:tcW w:w="2016" w:type="dxa"/>
          </w:tcPr>
          <w:p>
            <w:pPr>
              <w:pStyle w:val="TableParagraph"/>
              <w:spacing w:before="16"/>
              <w:ind w:left="748"/>
              <w:rPr>
                <w:sz w:val="20"/>
              </w:rPr>
            </w:pPr>
            <w:r>
              <w:rPr>
                <w:w w:val="120"/>
                <w:sz w:val="20"/>
              </w:rPr>
              <w:t>50,024</w:t>
            </w:r>
          </w:p>
        </w:tc>
        <w:tc>
          <w:tcPr>
            <w:tcW w:w="2553" w:type="dxa"/>
          </w:tcPr>
          <w:p>
            <w:pPr>
              <w:pStyle w:val="TableParagraph"/>
              <w:spacing w:before="16"/>
              <w:ind w:left="866" w:right="734"/>
              <w:jc w:val="center"/>
              <w:rPr>
                <w:sz w:val="20"/>
              </w:rPr>
            </w:pPr>
            <w:r>
              <w:rPr>
                <w:w w:val="120"/>
                <w:sz w:val="20"/>
              </w:rPr>
              <w:t>50,024</w:t>
            </w:r>
          </w:p>
        </w:tc>
      </w:tr>
      <w:tr>
        <w:trPr>
          <w:trHeight w:val="280" w:hRule="exact"/>
        </w:trPr>
        <w:tc>
          <w:tcPr>
            <w:tcW w:w="3651" w:type="dxa"/>
          </w:tcPr>
          <w:p>
            <w:pPr>
              <w:pStyle w:val="TableParagraph"/>
              <w:spacing w:before="16"/>
              <w:ind w:left="300"/>
              <w:rPr>
                <w:sz w:val="20"/>
              </w:rPr>
            </w:pPr>
            <w:r>
              <w:rPr>
                <w:w w:val="115"/>
                <w:sz w:val="20"/>
              </w:rPr>
              <w:t>6 1/2% Notes due 2012</w:t>
            </w:r>
          </w:p>
        </w:tc>
        <w:tc>
          <w:tcPr>
            <w:tcW w:w="2016" w:type="dxa"/>
          </w:tcPr>
          <w:p>
            <w:pPr>
              <w:pStyle w:val="TableParagraph"/>
              <w:spacing w:before="16"/>
              <w:ind w:left="622"/>
              <w:rPr>
                <w:sz w:val="20"/>
              </w:rPr>
            </w:pPr>
            <w:r>
              <w:rPr>
                <w:w w:val="120"/>
                <w:sz w:val="20"/>
              </w:rPr>
              <w:t>385,000</w:t>
            </w:r>
          </w:p>
        </w:tc>
        <w:tc>
          <w:tcPr>
            <w:tcW w:w="2553" w:type="dxa"/>
          </w:tcPr>
          <w:p>
            <w:pPr>
              <w:pStyle w:val="TableParagraph"/>
              <w:spacing w:before="16"/>
              <w:ind w:left="865" w:right="855"/>
              <w:jc w:val="center"/>
              <w:rPr>
                <w:sz w:val="20"/>
              </w:rPr>
            </w:pPr>
            <w:r>
              <w:rPr>
                <w:w w:val="120"/>
                <w:sz w:val="20"/>
              </w:rPr>
              <w:t>402,213</w:t>
            </w:r>
          </w:p>
        </w:tc>
      </w:tr>
      <w:tr>
        <w:trPr>
          <w:trHeight w:val="256" w:hRule="exact"/>
        </w:trPr>
        <w:tc>
          <w:tcPr>
            <w:tcW w:w="3651" w:type="dxa"/>
          </w:tcPr>
          <w:p>
            <w:pPr>
              <w:pStyle w:val="TableParagraph"/>
              <w:spacing w:before="16"/>
              <w:ind w:left="300"/>
              <w:rPr>
                <w:sz w:val="20"/>
              </w:rPr>
            </w:pPr>
            <w:r>
              <w:rPr>
                <w:w w:val="110"/>
                <w:sz w:val="20"/>
              </w:rPr>
              <w:t>7  3/8%  Debentures  due 2027</w:t>
            </w:r>
          </w:p>
        </w:tc>
        <w:tc>
          <w:tcPr>
            <w:tcW w:w="2016" w:type="dxa"/>
          </w:tcPr>
          <w:p>
            <w:pPr>
              <w:pStyle w:val="TableParagraph"/>
              <w:spacing w:before="16"/>
              <w:ind w:left="625"/>
              <w:rPr>
                <w:sz w:val="20"/>
              </w:rPr>
            </w:pPr>
            <w:r>
              <w:rPr>
                <w:w w:val="120"/>
                <w:sz w:val="20"/>
              </w:rPr>
              <w:t>100,000</w:t>
            </w:r>
          </w:p>
        </w:tc>
        <w:tc>
          <w:tcPr>
            <w:tcW w:w="2553" w:type="dxa"/>
          </w:tcPr>
          <w:p>
            <w:pPr>
              <w:pStyle w:val="TableParagraph"/>
              <w:spacing w:before="16"/>
              <w:ind w:left="866" w:right="854"/>
              <w:jc w:val="center"/>
              <w:rPr>
                <w:sz w:val="20"/>
              </w:rPr>
            </w:pPr>
            <w:r>
              <w:rPr>
                <w:w w:val="120"/>
                <w:sz w:val="20"/>
              </w:rPr>
              <w:t>104,446</w:t>
            </w:r>
          </w:p>
        </w:tc>
      </w:tr>
    </w:tbl>
    <w:p>
      <w:pPr>
        <w:pStyle w:val="BodyText"/>
        <w:spacing w:before="4"/>
        <w:rPr>
          <w:sz w:val="15"/>
        </w:rPr>
      </w:pPr>
    </w:p>
    <w:p>
      <w:pPr>
        <w:pStyle w:val="BodyText"/>
        <w:spacing w:before="92"/>
        <w:ind w:left="660"/>
      </w:pPr>
      <w:r>
        <w:rPr>
          <w:w w:val="105"/>
        </w:rPr>
        <w:t>The  estimated  fair  values  of  the  Company’s  long-term  debt  were  based   on  quoted   market    prices.</w:t>
      </w:r>
    </w:p>
    <w:p>
      <w:pPr>
        <w:pStyle w:val="BodyText"/>
        <w:spacing w:before="15"/>
        <w:ind w:left="380"/>
      </w:pPr>
      <w:r>
        <w:rPr>
          <w:w w:val="105"/>
        </w:rPr>
        <w:t>The  carrying  values  of  all  other  financial  instruments  approximate  their  fair  value.</w:t>
      </w:r>
    </w:p>
    <w:p>
      <w:pPr>
        <w:pStyle w:val="BodyText"/>
        <w:spacing w:before="1"/>
        <w:rPr>
          <w:sz w:val="23"/>
        </w:rPr>
      </w:pPr>
    </w:p>
    <w:p>
      <w:pPr>
        <w:pStyle w:val="ListParagraph"/>
        <w:numPr>
          <w:ilvl w:val="0"/>
          <w:numId w:val="6"/>
        </w:numPr>
        <w:tabs>
          <w:tab w:pos="460" w:val="left" w:leader="none"/>
        </w:tabs>
        <w:spacing w:line="240" w:lineRule="auto" w:before="1" w:after="0"/>
        <w:ind w:left="459" w:right="0" w:hanging="359"/>
        <w:jc w:val="left"/>
        <w:rPr>
          <w:rFonts w:ascii="Franklin Gothic Medium"/>
          <w:sz w:val="20"/>
        </w:rPr>
      </w:pPr>
      <w:r>
        <w:rPr>
          <w:rFonts w:ascii="Franklin Gothic Medium"/>
          <w:spacing w:val="5"/>
          <w:sz w:val="20"/>
        </w:rPr>
        <w:t>Comprehensive</w:t>
      </w:r>
      <w:r>
        <w:rPr>
          <w:rFonts w:ascii="Franklin Gothic Medium"/>
          <w:spacing w:val="12"/>
          <w:sz w:val="20"/>
        </w:rPr>
        <w:t> </w:t>
      </w:r>
      <w:r>
        <w:rPr>
          <w:rFonts w:ascii="Franklin Gothic Medium"/>
          <w:spacing w:val="7"/>
          <w:sz w:val="20"/>
        </w:rPr>
        <w:t>Income</w:t>
      </w:r>
    </w:p>
    <w:p>
      <w:pPr>
        <w:pStyle w:val="BodyText"/>
        <w:spacing w:before="1"/>
        <w:rPr>
          <w:rFonts w:ascii="Franklin Gothic Medium"/>
          <w:sz w:val="17"/>
        </w:rPr>
      </w:pPr>
    </w:p>
    <w:p>
      <w:pPr>
        <w:spacing w:after="0"/>
        <w:rPr>
          <w:rFonts w:ascii="Franklin Gothic Medium"/>
          <w:sz w:val="17"/>
        </w:rPr>
        <w:sectPr>
          <w:type w:val="continuous"/>
          <w:pgSz w:w="11520" w:h="14400"/>
          <w:pgMar w:top="0" w:bottom="280" w:left="700" w:right="820"/>
        </w:sectPr>
      </w:pPr>
    </w:p>
    <w:p>
      <w:pPr>
        <w:pStyle w:val="BodyText"/>
        <w:spacing w:line="254" w:lineRule="auto" w:before="92"/>
        <w:ind w:left="380" w:firstLine="180"/>
        <w:jc w:val="both"/>
      </w:pPr>
      <w:r>
        <w:rPr>
          <w:spacing w:val="7"/>
          <w:w w:val="105"/>
        </w:rPr>
        <w:t>Comprehensive  </w:t>
      </w:r>
      <w:r>
        <w:rPr>
          <w:spacing w:val="9"/>
          <w:w w:val="105"/>
        </w:rPr>
        <w:t>income  </w:t>
      </w:r>
      <w:r>
        <w:rPr>
          <w:spacing w:val="7"/>
          <w:w w:val="105"/>
        </w:rPr>
        <w:t>includes   </w:t>
      </w:r>
      <w:r>
        <w:rPr>
          <w:spacing w:val="9"/>
          <w:w w:val="105"/>
        </w:rPr>
        <w:t>changes </w:t>
      </w:r>
      <w:r>
        <w:rPr>
          <w:spacing w:val="6"/>
          <w:w w:val="105"/>
        </w:rPr>
        <w:t>in </w:t>
      </w:r>
      <w:r>
        <w:rPr>
          <w:spacing w:val="2"/>
          <w:w w:val="105"/>
        </w:rPr>
        <w:t>the </w:t>
      </w:r>
      <w:r>
        <w:rPr>
          <w:spacing w:val="6"/>
          <w:w w:val="105"/>
        </w:rPr>
        <w:t>fair </w:t>
      </w:r>
      <w:r>
        <w:rPr>
          <w:spacing w:val="5"/>
          <w:w w:val="105"/>
        </w:rPr>
        <w:t>value </w:t>
      </w:r>
      <w:r>
        <w:rPr>
          <w:spacing w:val="6"/>
          <w:w w:val="105"/>
        </w:rPr>
        <w:t>of </w:t>
      </w:r>
      <w:r>
        <w:rPr>
          <w:spacing w:val="4"/>
          <w:w w:val="105"/>
        </w:rPr>
        <w:t>certain </w:t>
      </w:r>
      <w:r>
        <w:rPr>
          <w:spacing w:val="8"/>
          <w:w w:val="105"/>
        </w:rPr>
        <w:t>financial derivative </w:t>
      </w:r>
      <w:r>
        <w:rPr>
          <w:spacing w:val="4"/>
          <w:w w:val="105"/>
        </w:rPr>
        <w:t>instruments, </w:t>
      </w:r>
      <w:r>
        <w:rPr>
          <w:spacing w:val="7"/>
          <w:w w:val="105"/>
        </w:rPr>
        <w:t>which </w:t>
      </w:r>
      <w:r>
        <w:rPr>
          <w:spacing w:val="5"/>
          <w:w w:val="105"/>
        </w:rPr>
        <w:t>qualify </w:t>
      </w:r>
      <w:r>
        <w:rPr>
          <w:spacing w:val="4"/>
          <w:w w:val="105"/>
        </w:rPr>
        <w:t>for </w:t>
      </w:r>
      <w:r>
        <w:rPr>
          <w:spacing w:val="7"/>
          <w:w w:val="105"/>
        </w:rPr>
        <w:t>hedge </w:t>
      </w:r>
      <w:r>
        <w:rPr>
          <w:spacing w:val="6"/>
          <w:w w:val="105"/>
        </w:rPr>
        <w:t>accounting, </w:t>
      </w:r>
      <w:r>
        <w:rPr>
          <w:spacing w:val="8"/>
          <w:w w:val="105"/>
        </w:rPr>
        <w:t>and </w:t>
      </w:r>
      <w:r>
        <w:rPr>
          <w:spacing w:val="5"/>
          <w:w w:val="105"/>
        </w:rPr>
        <w:t>unrealized </w:t>
      </w:r>
      <w:r>
        <w:rPr>
          <w:spacing w:val="7"/>
          <w:w w:val="105"/>
        </w:rPr>
        <w:t>gains  </w:t>
      </w:r>
      <w:r>
        <w:rPr>
          <w:spacing w:val="8"/>
          <w:w w:val="105"/>
        </w:rPr>
        <w:t>and  </w:t>
      </w:r>
      <w:r>
        <w:rPr>
          <w:spacing w:val="3"/>
          <w:w w:val="105"/>
        </w:rPr>
        <w:t>losses </w:t>
      </w:r>
      <w:r>
        <w:rPr>
          <w:spacing w:val="6"/>
          <w:w w:val="105"/>
        </w:rPr>
        <w:t>on     </w:t>
      </w:r>
      <w:r>
        <w:rPr>
          <w:spacing w:val="4"/>
          <w:w w:val="105"/>
        </w:rPr>
        <w:t>certain      </w:t>
      </w:r>
      <w:r>
        <w:rPr>
          <w:spacing w:val="6"/>
          <w:w w:val="105"/>
        </w:rPr>
        <w:t>investments.   </w:t>
      </w:r>
      <w:r>
        <w:rPr>
          <w:spacing w:val="48"/>
          <w:w w:val="105"/>
        </w:rPr>
        <w:t> </w:t>
      </w:r>
      <w:r>
        <w:rPr>
          <w:spacing w:val="8"/>
          <w:w w:val="105"/>
        </w:rPr>
        <w:t>Comprehensive</w:t>
      </w:r>
    </w:p>
    <w:p>
      <w:pPr>
        <w:pStyle w:val="BodyText"/>
        <w:spacing w:before="92"/>
        <w:ind w:left="380"/>
        <w:jc w:val="both"/>
      </w:pPr>
      <w:r>
        <w:rPr/>
        <w:br w:type="column"/>
      </w:r>
      <w:r>
        <w:rPr>
          <w:spacing w:val="9"/>
          <w:w w:val="105"/>
        </w:rPr>
        <w:t>income      </w:t>
      </w:r>
      <w:r>
        <w:rPr>
          <w:spacing w:val="2"/>
          <w:w w:val="105"/>
        </w:rPr>
        <w:t>totaled      </w:t>
      </w:r>
      <w:r>
        <w:rPr>
          <w:w w:val="105"/>
        </w:rPr>
        <w:t>$326.2        </w:t>
      </w:r>
      <w:r>
        <w:rPr>
          <w:spacing w:val="5"/>
          <w:w w:val="105"/>
        </w:rPr>
        <w:t>million      </w:t>
      </w:r>
      <w:r>
        <w:rPr>
          <w:spacing w:val="12"/>
          <w:w w:val="105"/>
        </w:rPr>
        <w:t>and</w:t>
      </w:r>
    </w:p>
    <w:p>
      <w:pPr>
        <w:pStyle w:val="BodyText"/>
        <w:spacing w:line="254" w:lineRule="auto" w:before="15"/>
        <w:ind w:left="380" w:right="123"/>
        <w:jc w:val="both"/>
      </w:pPr>
      <w:r>
        <w:rPr>
          <w:w w:val="110"/>
        </w:rPr>
        <w:t>$479.6 </w:t>
      </w:r>
      <w:r>
        <w:rPr>
          <w:spacing w:val="5"/>
          <w:w w:val="110"/>
        </w:rPr>
        <w:t>million </w:t>
      </w:r>
      <w:r>
        <w:rPr>
          <w:spacing w:val="4"/>
          <w:w w:val="110"/>
        </w:rPr>
        <w:t>for </w:t>
      </w:r>
      <w:r>
        <w:rPr>
          <w:w w:val="110"/>
        </w:rPr>
        <w:t>2002 </w:t>
      </w:r>
      <w:r>
        <w:rPr>
          <w:spacing w:val="8"/>
          <w:w w:val="110"/>
        </w:rPr>
        <w:t>and</w:t>
      </w:r>
      <w:r>
        <w:rPr>
          <w:spacing w:val="65"/>
          <w:w w:val="110"/>
        </w:rPr>
        <w:t> </w:t>
      </w:r>
      <w:r>
        <w:rPr>
          <w:w w:val="110"/>
        </w:rPr>
        <w:t>2001, </w:t>
      </w:r>
      <w:r>
        <w:rPr>
          <w:spacing w:val="4"/>
          <w:w w:val="110"/>
        </w:rPr>
        <w:t>respectively. The </w:t>
      </w:r>
      <w:r>
        <w:rPr>
          <w:spacing w:val="6"/>
          <w:w w:val="110"/>
        </w:rPr>
        <w:t>differences</w:t>
      </w:r>
      <w:r>
        <w:rPr>
          <w:spacing w:val="59"/>
          <w:w w:val="110"/>
        </w:rPr>
        <w:t> </w:t>
      </w:r>
      <w:r>
        <w:rPr>
          <w:spacing w:val="7"/>
          <w:w w:val="110"/>
        </w:rPr>
        <w:t>between </w:t>
      </w:r>
      <w:r>
        <w:rPr>
          <w:spacing w:val="10"/>
          <w:w w:val="110"/>
        </w:rPr>
        <w:t>Net</w:t>
      </w:r>
      <w:r>
        <w:rPr>
          <w:spacing w:val="12"/>
          <w:w w:val="103"/>
        </w:rPr>
        <w:t> </w:t>
      </w:r>
      <w:r>
        <w:rPr>
          <w:spacing w:val="9"/>
          <w:w w:val="110"/>
        </w:rPr>
        <w:t>income </w:t>
      </w:r>
      <w:r>
        <w:rPr>
          <w:spacing w:val="8"/>
          <w:w w:val="110"/>
        </w:rPr>
        <w:t>and </w:t>
      </w:r>
      <w:r>
        <w:rPr>
          <w:spacing w:val="7"/>
          <w:w w:val="110"/>
        </w:rPr>
        <w:t>Comprehensive </w:t>
      </w:r>
      <w:r>
        <w:rPr>
          <w:spacing w:val="9"/>
          <w:w w:val="110"/>
        </w:rPr>
        <w:t>income </w:t>
      </w:r>
      <w:r>
        <w:rPr>
          <w:spacing w:val="4"/>
          <w:w w:val="110"/>
        </w:rPr>
        <w:t>for </w:t>
      </w:r>
      <w:r>
        <w:rPr>
          <w:w w:val="110"/>
        </w:rPr>
        <w:t>2002 </w:t>
      </w:r>
      <w:r>
        <w:rPr>
          <w:spacing w:val="8"/>
          <w:w w:val="110"/>
        </w:rPr>
        <w:t>and </w:t>
      </w:r>
      <w:r>
        <w:rPr>
          <w:w w:val="110"/>
        </w:rPr>
        <w:t>2001 </w:t>
      </w:r>
      <w:r>
        <w:rPr>
          <w:spacing w:val="2"/>
          <w:w w:val="110"/>
        </w:rPr>
        <w:t>are </w:t>
      </w:r>
      <w:r>
        <w:rPr>
          <w:spacing w:val="6"/>
          <w:w w:val="110"/>
        </w:rPr>
        <w:t>as</w:t>
      </w:r>
      <w:r>
        <w:rPr>
          <w:spacing w:val="58"/>
          <w:w w:val="110"/>
        </w:rPr>
        <w:t> </w:t>
      </w:r>
      <w:r>
        <w:rPr>
          <w:w w:val="110"/>
        </w:rPr>
        <w:t>follows:</w:t>
      </w:r>
    </w:p>
    <w:p>
      <w:pPr>
        <w:spacing w:after="0" w:line="254" w:lineRule="auto"/>
        <w:jc w:val="both"/>
        <w:sectPr>
          <w:type w:val="continuous"/>
          <w:pgSz w:w="11520" w:h="14400"/>
          <w:pgMar w:top="0" w:bottom="280" w:left="700" w:right="820"/>
          <w:cols w:num="2" w:equalWidth="0">
            <w:col w:w="4697" w:space="483"/>
            <w:col w:w="4820"/>
          </w:cols>
        </w:sectPr>
      </w:pPr>
    </w:p>
    <w:p>
      <w:pPr>
        <w:pStyle w:val="BodyText"/>
      </w:pPr>
    </w:p>
    <w:p>
      <w:pPr>
        <w:pStyle w:val="BodyText"/>
        <w:rPr>
          <w:sz w:val="21"/>
        </w:rPr>
      </w:pPr>
    </w:p>
    <w:tbl>
      <w:tblPr>
        <w:tblW w:w="0" w:type="auto"/>
        <w:jc w:val="left"/>
        <w:tblInd w:w="2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423"/>
        <w:gridCol w:w="2180"/>
        <w:gridCol w:w="1975"/>
      </w:tblGrid>
      <w:tr>
        <w:trPr>
          <w:trHeight w:val="300" w:hRule="exact"/>
        </w:trPr>
        <w:tc>
          <w:tcPr>
            <w:tcW w:w="5423" w:type="dxa"/>
            <w:tcBorders>
              <w:top w:val="single" w:sz="8" w:space="0" w:color="000000"/>
              <w:bottom w:val="single" w:sz="8" w:space="0" w:color="000000"/>
            </w:tcBorders>
          </w:tcPr>
          <w:p>
            <w:pPr>
              <w:pStyle w:val="TableParagraph"/>
              <w:spacing w:before="87"/>
              <w:ind w:left="300"/>
              <w:rPr>
                <w:i/>
                <w:sz w:val="16"/>
              </w:rPr>
            </w:pPr>
            <w:r>
              <w:rPr>
                <w:i/>
                <w:w w:val="105"/>
                <w:sz w:val="16"/>
              </w:rPr>
              <w:t>(In  thousands)</w:t>
            </w:r>
          </w:p>
        </w:tc>
        <w:tc>
          <w:tcPr>
            <w:tcW w:w="2180" w:type="dxa"/>
            <w:tcBorders>
              <w:top w:val="single" w:sz="8" w:space="0" w:color="000000"/>
              <w:bottom w:val="single" w:sz="8" w:space="0" w:color="000000"/>
            </w:tcBorders>
          </w:tcPr>
          <w:p>
            <w:pPr>
              <w:pStyle w:val="TableParagraph"/>
              <w:spacing w:before="56"/>
              <w:ind w:left="884" w:right="786"/>
              <w:jc w:val="center"/>
              <w:rPr>
                <w:rFonts w:ascii="Franklin Gothic Medium"/>
                <w:sz w:val="20"/>
              </w:rPr>
            </w:pPr>
            <w:r>
              <w:rPr>
                <w:rFonts w:ascii="Franklin Gothic Medium"/>
                <w:sz w:val="20"/>
              </w:rPr>
              <w:t>2002</w:t>
            </w:r>
          </w:p>
        </w:tc>
        <w:tc>
          <w:tcPr>
            <w:tcW w:w="1975" w:type="dxa"/>
            <w:tcBorders>
              <w:top w:val="single" w:sz="8" w:space="0" w:color="000000"/>
              <w:bottom w:val="single" w:sz="8" w:space="0" w:color="000000"/>
            </w:tcBorders>
          </w:tcPr>
          <w:p>
            <w:pPr>
              <w:pStyle w:val="TableParagraph"/>
              <w:spacing w:before="56"/>
              <w:ind w:left="600" w:right="654"/>
              <w:jc w:val="center"/>
              <w:rPr>
                <w:rFonts w:ascii="Franklin Gothic Medium"/>
                <w:sz w:val="20"/>
              </w:rPr>
            </w:pPr>
            <w:r>
              <w:rPr>
                <w:rFonts w:ascii="Franklin Gothic Medium"/>
                <w:sz w:val="20"/>
              </w:rPr>
              <w:t>2001</w:t>
            </w:r>
          </w:p>
        </w:tc>
      </w:tr>
      <w:tr>
        <w:trPr>
          <w:trHeight w:val="344" w:hRule="exact"/>
        </w:trPr>
        <w:tc>
          <w:tcPr>
            <w:tcW w:w="5423" w:type="dxa"/>
            <w:tcBorders>
              <w:top w:val="single" w:sz="8" w:space="0" w:color="000000"/>
            </w:tcBorders>
          </w:tcPr>
          <w:p>
            <w:pPr>
              <w:pStyle w:val="TableParagraph"/>
              <w:spacing w:before="49"/>
              <w:ind w:left="300"/>
              <w:rPr>
                <w:sz w:val="20"/>
              </w:rPr>
            </w:pPr>
            <w:r>
              <w:rPr>
                <w:w w:val="105"/>
                <w:sz w:val="20"/>
              </w:rPr>
              <w:t>Net  income</w:t>
            </w:r>
          </w:p>
        </w:tc>
        <w:tc>
          <w:tcPr>
            <w:tcW w:w="2180" w:type="dxa"/>
            <w:tcBorders>
              <w:top w:val="single" w:sz="8" w:space="0" w:color="000000"/>
            </w:tcBorders>
          </w:tcPr>
          <w:p>
            <w:pPr>
              <w:pStyle w:val="TableParagraph"/>
              <w:spacing w:before="56"/>
              <w:ind w:left="537"/>
              <w:rPr>
                <w:rFonts w:ascii="Franklin Gothic Medium"/>
                <w:sz w:val="20"/>
              </w:rPr>
            </w:pPr>
            <w:r>
              <w:rPr>
                <w:rFonts w:ascii="Franklin Gothic Medium"/>
                <w:sz w:val="20"/>
              </w:rPr>
              <w:t>$ 240,969</w:t>
            </w:r>
          </w:p>
        </w:tc>
        <w:tc>
          <w:tcPr>
            <w:tcW w:w="1975" w:type="dxa"/>
            <w:tcBorders>
              <w:top w:val="single" w:sz="8" w:space="0" w:color="000000"/>
            </w:tcBorders>
          </w:tcPr>
          <w:p>
            <w:pPr>
              <w:pStyle w:val="TableParagraph"/>
              <w:spacing w:before="49"/>
              <w:ind w:left="457"/>
              <w:rPr>
                <w:sz w:val="20"/>
              </w:rPr>
            </w:pPr>
            <w:r>
              <w:rPr>
                <w:w w:val="120"/>
                <w:sz w:val="20"/>
              </w:rPr>
              <w:t>$ 511,147</w:t>
            </w:r>
          </w:p>
        </w:tc>
      </w:tr>
      <w:tr>
        <w:trPr>
          <w:trHeight w:val="550" w:hRule="exact"/>
        </w:trPr>
        <w:tc>
          <w:tcPr>
            <w:tcW w:w="5423" w:type="dxa"/>
          </w:tcPr>
          <w:p>
            <w:pPr>
              <w:pStyle w:val="TableParagraph"/>
              <w:spacing w:line="254" w:lineRule="auto" w:before="36"/>
              <w:ind w:left="756" w:hanging="217"/>
              <w:rPr>
                <w:sz w:val="20"/>
              </w:rPr>
            </w:pPr>
            <w:r>
              <w:rPr>
                <w:w w:val="105"/>
                <w:sz w:val="20"/>
              </w:rPr>
              <w:t>Unrealized  gain  (loss)  on  derivative   instruments, net  of  deferred  taxes  of  $56,338  and  ($20,719)</w:t>
            </w:r>
          </w:p>
        </w:tc>
        <w:tc>
          <w:tcPr>
            <w:tcW w:w="2180" w:type="dxa"/>
          </w:tcPr>
          <w:p>
            <w:pPr>
              <w:pStyle w:val="TableParagraph"/>
              <w:spacing w:before="10"/>
              <w:rPr>
                <w:sz w:val="24"/>
              </w:rPr>
            </w:pPr>
          </w:p>
          <w:p>
            <w:pPr>
              <w:pStyle w:val="TableParagraph"/>
              <w:ind w:left="857"/>
              <w:rPr>
                <w:rFonts w:ascii="Franklin Gothic Medium"/>
                <w:sz w:val="20"/>
              </w:rPr>
            </w:pPr>
            <w:r>
              <w:rPr>
                <w:rFonts w:ascii="Franklin Gothic Medium"/>
                <w:sz w:val="20"/>
              </w:rPr>
              <w:t>87,213</w:t>
            </w:r>
          </w:p>
        </w:tc>
        <w:tc>
          <w:tcPr>
            <w:tcW w:w="1975" w:type="dxa"/>
          </w:tcPr>
          <w:p>
            <w:pPr>
              <w:pStyle w:val="TableParagraph"/>
              <w:spacing w:before="3"/>
              <w:rPr>
                <w:sz w:val="24"/>
              </w:rPr>
            </w:pPr>
          </w:p>
          <w:p>
            <w:pPr>
              <w:pStyle w:val="TableParagraph"/>
              <w:ind w:left="697"/>
              <w:rPr>
                <w:sz w:val="20"/>
              </w:rPr>
            </w:pPr>
            <w:r>
              <w:rPr>
                <w:w w:val="115"/>
                <w:sz w:val="20"/>
              </w:rPr>
              <w:t>(31,063)</w:t>
            </w:r>
          </w:p>
        </w:tc>
      </w:tr>
      <w:tr>
        <w:trPr>
          <w:trHeight w:val="540" w:hRule="exact"/>
        </w:trPr>
        <w:tc>
          <w:tcPr>
            <w:tcW w:w="5423" w:type="dxa"/>
          </w:tcPr>
          <w:p>
            <w:pPr>
              <w:pStyle w:val="TableParagraph"/>
              <w:spacing w:line="254" w:lineRule="auto" w:before="6"/>
              <w:ind w:left="720" w:right="111" w:hanging="180"/>
              <w:rPr>
                <w:sz w:val="20"/>
              </w:rPr>
            </w:pPr>
            <w:r>
              <w:rPr>
                <w:w w:val="105"/>
                <w:sz w:val="20"/>
              </w:rPr>
              <w:t>Other,  net  of  deferred  taxes   of   ($1,302)   and ($320)</w:t>
            </w:r>
          </w:p>
        </w:tc>
        <w:tc>
          <w:tcPr>
            <w:tcW w:w="2180" w:type="dxa"/>
          </w:tcPr>
          <w:p>
            <w:pPr>
              <w:pStyle w:val="TableParagraph"/>
              <w:spacing w:before="4"/>
              <w:rPr>
                <w:sz w:val="22"/>
              </w:rPr>
            </w:pPr>
          </w:p>
          <w:p>
            <w:pPr>
              <w:pStyle w:val="TableParagraph"/>
              <w:tabs>
                <w:tab w:pos="908" w:val="left" w:leader="none"/>
                <w:tab w:pos="2041" w:val="left" w:leader="none"/>
              </w:tabs>
              <w:ind w:left="77"/>
              <w:rPr>
                <w:rFonts w:ascii="Franklin Gothic Medium"/>
                <w:sz w:val="20"/>
              </w:rPr>
            </w:pPr>
            <w:r>
              <w:rPr>
                <w:rFonts w:ascii="Franklin Gothic Medium"/>
                <w:w w:val="116"/>
                <w:sz w:val="20"/>
                <w:u w:val="single"/>
              </w:rPr>
              <w:t> </w:t>
            </w:r>
            <w:r>
              <w:rPr>
                <w:rFonts w:ascii="Franklin Gothic Medium"/>
                <w:sz w:val="20"/>
                <w:u w:val="single"/>
              </w:rPr>
              <w:tab/>
              <w:t>(2,017)</w:t>
              <w:tab/>
            </w:r>
          </w:p>
        </w:tc>
        <w:tc>
          <w:tcPr>
            <w:tcW w:w="1975" w:type="dxa"/>
          </w:tcPr>
          <w:p>
            <w:pPr>
              <w:pStyle w:val="TableParagraph"/>
              <w:spacing w:before="9"/>
              <w:rPr>
                <w:sz w:val="21"/>
              </w:rPr>
            </w:pPr>
          </w:p>
          <w:p>
            <w:pPr>
              <w:pStyle w:val="TableParagraph"/>
              <w:tabs>
                <w:tab w:pos="859" w:val="left" w:leader="none"/>
                <w:tab w:pos="1804" w:val="left" w:leader="none"/>
              </w:tabs>
              <w:ind w:right="30"/>
              <w:jc w:val="right"/>
              <w:rPr>
                <w:sz w:val="20"/>
              </w:rPr>
            </w:pPr>
            <w:r>
              <w:rPr>
                <w:w w:val="132"/>
                <w:sz w:val="20"/>
                <w:u w:val="single"/>
              </w:rPr>
              <w:t> </w:t>
            </w:r>
            <w:r>
              <w:rPr>
                <w:sz w:val="20"/>
                <w:u w:val="single"/>
              </w:rPr>
              <w:tab/>
            </w:r>
            <w:r>
              <w:rPr>
                <w:w w:val="110"/>
                <w:sz w:val="20"/>
                <w:u w:val="single"/>
              </w:rPr>
              <w:t>(475)</w:t>
            </w:r>
            <w:r>
              <w:rPr>
                <w:sz w:val="20"/>
                <w:u w:val="single"/>
              </w:rPr>
              <w:tab/>
            </w:r>
          </w:p>
        </w:tc>
      </w:tr>
      <w:tr>
        <w:trPr>
          <w:trHeight w:val="300" w:hRule="exact"/>
        </w:trPr>
        <w:tc>
          <w:tcPr>
            <w:tcW w:w="5423" w:type="dxa"/>
          </w:tcPr>
          <w:p>
            <w:pPr>
              <w:pStyle w:val="TableParagraph"/>
              <w:spacing w:before="26"/>
              <w:ind w:left="300"/>
              <w:rPr>
                <w:sz w:val="20"/>
              </w:rPr>
            </w:pPr>
            <w:r>
              <w:rPr>
                <w:w w:val="105"/>
                <w:sz w:val="20"/>
              </w:rPr>
              <w:t>Total  other  comprehensive  income   (loss)</w:t>
            </w:r>
          </w:p>
        </w:tc>
        <w:tc>
          <w:tcPr>
            <w:tcW w:w="2180" w:type="dxa"/>
          </w:tcPr>
          <w:p>
            <w:pPr>
              <w:pStyle w:val="TableParagraph"/>
              <w:tabs>
                <w:tab w:pos="837" w:val="left" w:leader="none"/>
                <w:tab w:pos="2041" w:val="left" w:leader="none"/>
              </w:tabs>
              <w:spacing w:before="33"/>
              <w:ind w:left="77"/>
              <w:rPr>
                <w:rFonts w:ascii="Franklin Gothic Medium"/>
                <w:sz w:val="20"/>
              </w:rPr>
            </w:pPr>
            <w:r>
              <w:rPr>
                <w:rFonts w:ascii="Franklin Gothic Medium"/>
                <w:w w:val="116"/>
                <w:sz w:val="20"/>
                <w:u w:val="single"/>
              </w:rPr>
              <w:t> </w:t>
            </w:r>
            <w:r>
              <w:rPr>
                <w:rFonts w:ascii="Franklin Gothic Medium"/>
                <w:sz w:val="20"/>
                <w:u w:val="single"/>
              </w:rPr>
              <w:tab/>
            </w:r>
            <w:r>
              <w:rPr>
                <w:rFonts w:ascii="Franklin Gothic Medium"/>
                <w:spacing w:val="3"/>
                <w:sz w:val="20"/>
                <w:u w:val="single"/>
              </w:rPr>
              <w:t>85,196</w:t>
              <w:tab/>
            </w:r>
          </w:p>
        </w:tc>
        <w:tc>
          <w:tcPr>
            <w:tcW w:w="1975" w:type="dxa"/>
          </w:tcPr>
          <w:p>
            <w:pPr>
              <w:pStyle w:val="TableParagraph"/>
              <w:tabs>
                <w:tab w:pos="559" w:val="left" w:leader="none"/>
                <w:tab w:pos="1804" w:val="left" w:leader="none"/>
              </w:tabs>
              <w:spacing w:before="26"/>
              <w:ind w:right="30"/>
              <w:jc w:val="right"/>
              <w:rPr>
                <w:sz w:val="20"/>
              </w:rPr>
            </w:pPr>
            <w:r>
              <w:rPr>
                <w:w w:val="132"/>
                <w:sz w:val="20"/>
                <w:u w:val="single"/>
              </w:rPr>
              <w:t> </w:t>
            </w:r>
            <w:r>
              <w:rPr>
                <w:sz w:val="20"/>
                <w:u w:val="single"/>
              </w:rPr>
              <w:tab/>
            </w:r>
            <w:r>
              <w:rPr>
                <w:w w:val="115"/>
                <w:sz w:val="20"/>
                <w:u w:val="single"/>
              </w:rPr>
              <w:t>(31,538)</w:t>
            </w:r>
            <w:r>
              <w:rPr>
                <w:sz w:val="20"/>
                <w:u w:val="single"/>
              </w:rPr>
              <w:tab/>
            </w:r>
          </w:p>
        </w:tc>
      </w:tr>
      <w:tr>
        <w:trPr>
          <w:trHeight w:val="266" w:hRule="exact"/>
        </w:trPr>
        <w:tc>
          <w:tcPr>
            <w:tcW w:w="5423" w:type="dxa"/>
          </w:tcPr>
          <w:p>
            <w:pPr>
              <w:pStyle w:val="TableParagraph"/>
              <w:spacing w:before="33"/>
              <w:ind w:left="300"/>
              <w:rPr>
                <w:rFonts w:ascii="Franklin Gothic Medium"/>
                <w:sz w:val="20"/>
              </w:rPr>
            </w:pPr>
            <w:r>
              <w:rPr>
                <w:rFonts w:ascii="Franklin Gothic Medium"/>
                <w:sz w:val="20"/>
              </w:rPr>
              <w:t>Comprehensive  income</w:t>
            </w:r>
          </w:p>
        </w:tc>
        <w:tc>
          <w:tcPr>
            <w:tcW w:w="2180" w:type="dxa"/>
          </w:tcPr>
          <w:p>
            <w:pPr>
              <w:pStyle w:val="TableParagraph"/>
              <w:tabs>
                <w:tab w:pos="537" w:val="left" w:leader="none"/>
                <w:tab w:pos="2037" w:val="left" w:leader="none"/>
              </w:tabs>
              <w:spacing w:before="33"/>
              <w:ind w:left="77"/>
              <w:rPr>
                <w:rFonts w:ascii="Franklin Gothic Medium"/>
                <w:sz w:val="20"/>
              </w:rPr>
            </w:pPr>
            <w:r>
              <w:rPr>
                <w:rFonts w:ascii="Franklin Gothic Medium"/>
                <w:w w:val="116"/>
                <w:sz w:val="20"/>
                <w:u w:val="single"/>
              </w:rPr>
              <w:t> </w:t>
            </w:r>
            <w:r>
              <w:rPr>
                <w:rFonts w:ascii="Franklin Gothic Medium"/>
                <w:sz w:val="20"/>
                <w:u w:val="single"/>
              </w:rPr>
              <w:tab/>
              <w:t>$</w:t>
            </w:r>
            <w:r>
              <w:rPr>
                <w:rFonts w:ascii="Franklin Gothic Medium"/>
                <w:spacing w:val="36"/>
                <w:sz w:val="20"/>
                <w:u w:val="single"/>
              </w:rPr>
              <w:t> </w:t>
            </w:r>
            <w:r>
              <w:rPr>
                <w:rFonts w:ascii="Franklin Gothic Medium"/>
                <w:sz w:val="20"/>
                <w:u w:val="single"/>
              </w:rPr>
              <w:t>326,165</w:t>
              <w:tab/>
            </w:r>
          </w:p>
        </w:tc>
        <w:tc>
          <w:tcPr>
            <w:tcW w:w="1975" w:type="dxa"/>
          </w:tcPr>
          <w:p>
            <w:pPr>
              <w:pStyle w:val="TableParagraph"/>
              <w:tabs>
                <w:tab w:pos="319" w:val="left" w:leader="none"/>
                <w:tab w:pos="1799" w:val="left" w:leader="none"/>
              </w:tabs>
              <w:spacing w:before="26"/>
              <w:ind w:right="35"/>
              <w:jc w:val="right"/>
              <w:rPr>
                <w:sz w:val="20"/>
              </w:rPr>
            </w:pPr>
            <w:r>
              <w:rPr>
                <w:w w:val="132"/>
                <w:sz w:val="20"/>
                <w:u w:val="single"/>
              </w:rPr>
              <w:t> </w:t>
            </w:r>
            <w:r>
              <w:rPr>
                <w:sz w:val="20"/>
                <w:u w:val="single"/>
              </w:rPr>
              <w:tab/>
            </w:r>
            <w:r>
              <w:rPr>
                <w:w w:val="120"/>
                <w:sz w:val="20"/>
                <w:u w:val="single"/>
              </w:rPr>
              <w:t>$</w:t>
            </w:r>
            <w:r>
              <w:rPr>
                <w:spacing w:val="-7"/>
                <w:w w:val="120"/>
                <w:sz w:val="20"/>
                <w:u w:val="single"/>
              </w:rPr>
              <w:t> </w:t>
            </w:r>
            <w:r>
              <w:rPr>
                <w:w w:val="120"/>
                <w:sz w:val="20"/>
                <w:u w:val="single"/>
              </w:rPr>
              <w:t>479,609</w:t>
            </w:r>
            <w:r>
              <w:rPr>
                <w:sz w:val="20"/>
                <w:u w:val="single"/>
              </w:rPr>
              <w:tab/>
            </w:r>
          </w:p>
        </w:tc>
      </w:tr>
    </w:tbl>
    <w:p>
      <w:pPr>
        <w:spacing w:after="0"/>
        <w:jc w:val="right"/>
        <w:rPr>
          <w:sz w:val="20"/>
        </w:rPr>
        <w:sectPr>
          <w:type w:val="continuous"/>
          <w:pgSz w:w="11520" w:h="14400"/>
          <w:pgMar w:top="0" w:bottom="280" w:left="700" w:right="820"/>
        </w:sectPr>
      </w:pPr>
    </w:p>
    <w:p>
      <w:pPr>
        <w:pStyle w:val="BodyText"/>
        <w:spacing w:line="254" w:lineRule="auto" w:before="69"/>
        <w:ind w:left="380" w:right="179" w:firstLine="280"/>
      </w:pPr>
      <w:bookmarkStart w:name="Common Stock" w:id="52"/>
      <w:bookmarkEnd w:id="52"/>
      <w:r>
        <w:rPr/>
      </w:r>
      <w:r>
        <w:rPr>
          <w:w w:val="105"/>
        </w:rPr>
        <w:t>A rollforward of the amounts included in “Accumulated other comprehensive income (loss),” net of taxes for 2002  and  2001,  is shown below:</w:t>
      </w:r>
    </w:p>
    <w:p>
      <w:pPr>
        <w:pStyle w:val="BodyText"/>
        <w:spacing w:before="1"/>
        <w:rPr>
          <w:sz w:val="14"/>
        </w:rPr>
      </w:pPr>
    </w:p>
    <w:p>
      <w:pPr>
        <w:spacing w:after="0"/>
        <w:rPr>
          <w:sz w:val="14"/>
        </w:rPr>
        <w:sectPr>
          <w:headerReference w:type="default" r:id="rId142"/>
          <w:pgSz w:w="11520" w:h="14400"/>
          <w:pgMar w:header="0" w:footer="706" w:top="960" w:bottom="900" w:left="700" w:right="820"/>
        </w:sectPr>
      </w:pPr>
    </w:p>
    <w:p>
      <w:pPr>
        <w:pStyle w:val="BodyText"/>
        <w:rPr>
          <w:sz w:val="18"/>
        </w:rPr>
      </w:pPr>
    </w:p>
    <w:p>
      <w:pPr>
        <w:pStyle w:val="BodyText"/>
        <w:rPr>
          <w:sz w:val="18"/>
        </w:rPr>
      </w:pPr>
    </w:p>
    <w:p>
      <w:pPr>
        <w:pStyle w:val="BodyText"/>
        <w:spacing w:before="12"/>
        <w:rPr>
          <w:sz w:val="16"/>
        </w:rPr>
      </w:pPr>
    </w:p>
    <w:p>
      <w:pPr>
        <w:spacing w:before="0"/>
        <w:ind w:left="660" w:right="0" w:firstLine="0"/>
        <w:jc w:val="left"/>
        <w:rPr>
          <w:i/>
          <w:sz w:val="16"/>
        </w:rPr>
      </w:pPr>
      <w:r>
        <w:rPr>
          <w:i/>
          <w:w w:val="105"/>
          <w:sz w:val="16"/>
        </w:rPr>
        <w:t>(In  thousands)</w:t>
      </w:r>
    </w:p>
    <w:p>
      <w:pPr>
        <w:pStyle w:val="BodyText"/>
        <w:spacing w:line="276" w:lineRule="auto" w:before="96"/>
        <w:ind w:left="880" w:right="1813" w:firstLine="80"/>
        <w:rPr>
          <w:rFonts w:ascii="Franklin Gothic Medium"/>
        </w:rPr>
      </w:pPr>
      <w:r>
        <w:rPr/>
        <w:br w:type="column"/>
      </w:r>
      <w:r>
        <w:rPr>
          <w:rFonts w:ascii="Franklin Gothic Medium"/>
        </w:rPr>
        <w:t>Fuel hedge</w:t>
      </w:r>
    </w:p>
    <w:p>
      <w:pPr>
        <w:pStyle w:val="BodyText"/>
        <w:tabs>
          <w:tab w:pos="2759" w:val="left" w:leader="none"/>
        </w:tabs>
        <w:spacing w:line="226" w:lineRule="exact"/>
        <w:ind w:left="660"/>
        <w:rPr>
          <w:rFonts w:ascii="Franklin Gothic Medium"/>
        </w:rPr>
      </w:pPr>
      <w:r>
        <w:rPr/>
        <w:pict>
          <v:line style="position:absolute;mso-position-horizontal-relative:page;mso-position-vertical-relative:paragraph;z-index:-276568" from="53pt,11.626587pt" to="521pt,11.626587pt" stroked="true" strokeweight="1pt" strokecolor="#000000">
            <v:stroke dashstyle="solid"/>
            <w10:wrap type="none"/>
          </v:line>
        </w:pict>
      </w:r>
      <w:r>
        <w:rPr>
          <w:rFonts w:ascii="Franklin Gothic Medium"/>
          <w:spacing w:val="4"/>
        </w:rPr>
        <w:t>derivatives</w:t>
        <w:tab/>
      </w:r>
      <w:r>
        <w:rPr>
          <w:rFonts w:ascii="Franklin Gothic Medium"/>
        </w:rPr>
        <w:t>Other</w:t>
      </w:r>
    </w:p>
    <w:p>
      <w:pPr>
        <w:pStyle w:val="BodyText"/>
        <w:spacing w:line="276" w:lineRule="auto" w:before="96"/>
        <w:ind w:left="687" w:right="641"/>
        <w:jc w:val="center"/>
        <w:rPr>
          <w:rFonts w:ascii="Franklin Gothic Medium"/>
        </w:rPr>
      </w:pPr>
      <w:r>
        <w:rPr/>
        <w:br w:type="column"/>
      </w:r>
      <w:r>
        <w:rPr>
          <w:rFonts w:ascii="Franklin Gothic Medium"/>
        </w:rPr>
        <w:t>Accumulated other comprehensive income  (loss)</w:t>
      </w:r>
    </w:p>
    <w:p>
      <w:pPr>
        <w:spacing w:after="0" w:line="276" w:lineRule="auto"/>
        <w:jc w:val="center"/>
        <w:rPr>
          <w:rFonts w:ascii="Franklin Gothic Medium"/>
        </w:rPr>
        <w:sectPr>
          <w:type w:val="continuous"/>
          <w:pgSz w:w="11520" w:h="14400"/>
          <w:pgMar w:top="0" w:bottom="280" w:left="700" w:right="820"/>
          <w:cols w:num="3" w:equalWidth="0">
            <w:col w:w="1745" w:space="1595"/>
            <w:col w:w="3243" w:space="417"/>
            <w:col w:w="3000"/>
          </w:cols>
        </w:sectPr>
      </w:pPr>
    </w:p>
    <w:p>
      <w:pPr>
        <w:pStyle w:val="BodyText"/>
        <w:tabs>
          <w:tab w:pos="3979" w:val="left" w:leader="none"/>
          <w:tab w:pos="4736" w:val="left" w:leader="none"/>
          <w:tab w:pos="5720" w:val="left" w:leader="none"/>
          <w:tab w:pos="6257" w:val="left" w:leader="none"/>
          <w:tab w:pos="7739" w:val="left" w:leader="none"/>
          <w:tab w:pos="8496" w:val="left" w:leader="none"/>
        </w:tabs>
        <w:spacing w:before="52"/>
        <w:ind w:left="660"/>
      </w:pPr>
      <w:r>
        <w:rPr/>
        <w:t>Balance   at   December </w:t>
      </w:r>
      <w:r>
        <w:rPr>
          <w:spacing w:val="25"/>
        </w:rPr>
        <w:t> </w:t>
      </w:r>
      <w:r>
        <w:rPr/>
        <w:t>31, </w:t>
      </w:r>
      <w:r>
        <w:rPr>
          <w:spacing w:val="38"/>
        </w:rPr>
        <w:t> </w:t>
      </w:r>
      <w:r>
        <w:rPr/>
        <w:t>2000</w:t>
        <w:tab/>
        <w:t>$</w:t>
        <w:tab/>
        <w:t>-</w:t>
        <w:tab/>
        <w:t>$</w:t>
        <w:tab/>
        <w:t>-</w:t>
        <w:tab/>
        <w:t>$</w:t>
        <w:tab/>
        <w:t>-</w:t>
      </w:r>
    </w:p>
    <w:p>
      <w:pPr>
        <w:pStyle w:val="BodyText"/>
        <w:spacing w:before="15"/>
        <w:ind w:left="760"/>
      </w:pPr>
      <w:r>
        <w:rPr>
          <w:w w:val="110"/>
        </w:rPr>
        <w:t>January  1,  2001 transition</w:t>
      </w:r>
    </w:p>
    <w:p>
      <w:pPr>
        <w:pStyle w:val="BodyText"/>
        <w:tabs>
          <w:tab w:pos="4459" w:val="left" w:leader="none"/>
          <w:tab w:pos="6239" w:val="left" w:leader="none"/>
          <w:tab w:pos="8279" w:val="left" w:leader="none"/>
        </w:tabs>
        <w:spacing w:before="15"/>
        <w:ind w:left="887"/>
      </w:pPr>
      <w:r>
        <w:rPr>
          <w:w w:val="105"/>
        </w:rPr>
        <w:t>adjustment</w:t>
        <w:tab/>
        <w:t>46,089</w:t>
        <w:tab/>
      </w:r>
      <w:r>
        <w:rPr/>
        <w:t>-</w:t>
        <w:tab/>
      </w:r>
      <w:r>
        <w:rPr>
          <w:w w:val="105"/>
        </w:rPr>
        <w:t>46,089</w:t>
      </w:r>
    </w:p>
    <w:p>
      <w:pPr>
        <w:pStyle w:val="BodyText"/>
        <w:tabs>
          <w:tab w:pos="3799" w:val="left" w:leader="none"/>
          <w:tab w:pos="4399" w:val="left" w:leader="none"/>
          <w:tab w:pos="5639" w:val="left" w:leader="none"/>
          <w:tab w:pos="6239" w:val="left" w:leader="none"/>
          <w:tab w:pos="6944" w:val="left" w:leader="none"/>
          <w:tab w:pos="7199" w:val="left" w:leader="none"/>
          <w:tab w:pos="8219" w:val="left" w:leader="none"/>
          <w:tab w:pos="9724" w:val="left" w:leader="none"/>
        </w:tabs>
        <w:spacing w:line="295" w:lineRule="auto" w:before="55"/>
        <w:ind w:left="820" w:right="273"/>
      </w:pPr>
      <w:r>
        <w:rPr>
          <w:w w:val="110"/>
        </w:rPr>
        <w:t>2001  changes  in</w:t>
      </w:r>
      <w:r>
        <w:rPr>
          <w:spacing w:val="16"/>
          <w:w w:val="110"/>
        </w:rPr>
        <w:t> </w:t>
      </w:r>
      <w:r>
        <w:rPr>
          <w:w w:val="110"/>
        </w:rPr>
        <w:t>fair</w:t>
      </w:r>
      <w:r>
        <w:rPr>
          <w:spacing w:val="38"/>
          <w:w w:val="110"/>
        </w:rPr>
        <w:t> </w:t>
      </w:r>
      <w:r>
        <w:rPr>
          <w:w w:val="110"/>
        </w:rPr>
        <w:t>value</w:t>
        <w:tab/>
        <w:tab/>
        <w:t>(31,665)</w:t>
        <w:tab/>
        <w:tab/>
        <w:t>(475)</w:t>
        <w:tab/>
        <w:tab/>
        <w:tab/>
        <w:t>(32,140) </w:t>
      </w:r>
      <w:r>
        <w:rPr>
          <w:spacing w:val="2"/>
          <w:w w:val="110"/>
        </w:rPr>
        <w:t>Reclassification</w:t>
      </w:r>
      <w:r>
        <w:rPr>
          <w:spacing w:val="44"/>
          <w:w w:val="110"/>
        </w:rPr>
        <w:t> </w:t>
      </w:r>
      <w:r>
        <w:rPr>
          <w:w w:val="110"/>
        </w:rPr>
        <w:t>to</w:t>
      </w:r>
      <w:r>
        <w:rPr>
          <w:spacing w:val="44"/>
          <w:w w:val="110"/>
        </w:rPr>
        <w:t> </w:t>
      </w:r>
      <w:r>
        <w:rPr>
          <w:spacing w:val="2"/>
          <w:w w:val="110"/>
        </w:rPr>
        <w:t>earnings</w:t>
        <w:tab/>
      </w:r>
      <w:r>
        <w:rPr>
          <w:spacing w:val="2"/>
          <w:w w:val="110"/>
          <w:u w:val="single"/>
        </w:rPr>
        <w:t> </w:t>
        <w:tab/>
      </w:r>
      <w:r>
        <w:rPr>
          <w:w w:val="110"/>
          <w:u w:val="single"/>
        </w:rPr>
        <w:t>(45,487)</w:t>
      </w:r>
      <w:r>
        <w:rPr>
          <w:w w:val="110"/>
        </w:rPr>
        <w:tab/>
      </w:r>
      <w:r>
        <w:rPr>
          <w:w w:val="110"/>
          <w:u w:val="single"/>
        </w:rPr>
        <w:t> </w:t>
        <w:tab/>
      </w:r>
      <w:r>
        <w:rPr>
          <w:u w:val="single"/>
        </w:rPr>
        <w:t>-</w:t>
        <w:tab/>
      </w:r>
      <w:r>
        <w:rPr/>
        <w:tab/>
      </w:r>
      <w:r>
        <w:rPr>
          <w:u w:val="single"/>
        </w:rPr>
        <w:t> </w:t>
        <w:tab/>
      </w:r>
      <w:r>
        <w:rPr>
          <w:w w:val="110"/>
          <w:u w:val="single"/>
        </w:rPr>
        <w:t>(45,487)</w:t>
      </w:r>
      <w:r>
        <w:rPr>
          <w:u w:val="single"/>
        </w:rPr>
        <w:tab/>
      </w:r>
    </w:p>
    <w:p>
      <w:pPr>
        <w:pStyle w:val="BodyText"/>
        <w:tabs>
          <w:tab w:pos="4034" w:val="left" w:leader="none"/>
          <w:tab w:pos="4399" w:val="left" w:leader="none"/>
          <w:tab w:pos="5759" w:val="left" w:leader="none"/>
          <w:tab w:pos="6239" w:val="left" w:leader="none"/>
          <w:tab w:pos="7739" w:val="left" w:leader="none"/>
          <w:tab w:pos="8219" w:val="left" w:leader="none"/>
        </w:tabs>
        <w:spacing w:before="39"/>
        <w:ind w:left="660"/>
      </w:pPr>
      <w:r>
        <w:rPr>
          <w:w w:val="115"/>
        </w:rPr>
        <w:t>Balance at December</w:t>
      </w:r>
      <w:r>
        <w:rPr>
          <w:spacing w:val="43"/>
          <w:w w:val="115"/>
        </w:rPr>
        <w:t> </w:t>
      </w:r>
      <w:r>
        <w:rPr>
          <w:w w:val="115"/>
        </w:rPr>
        <w:t>31,</w:t>
      </w:r>
      <w:r>
        <w:rPr>
          <w:spacing w:val="14"/>
          <w:w w:val="115"/>
        </w:rPr>
        <w:t> </w:t>
      </w:r>
      <w:r>
        <w:rPr>
          <w:w w:val="115"/>
        </w:rPr>
        <w:t>2001</w:t>
        <w:tab/>
        <w:t>$</w:t>
        <w:tab/>
        <w:t>(31,063)</w:t>
        <w:tab/>
        <w:t>$</w:t>
        <w:tab/>
        <w:t>(475)</w:t>
        <w:tab/>
        <w:t>$</w:t>
        <w:tab/>
        <w:t>(31,538)</w:t>
      </w:r>
    </w:p>
    <w:p>
      <w:pPr>
        <w:pStyle w:val="BodyText"/>
        <w:spacing w:before="8"/>
        <w:rPr>
          <w:sz w:val="17"/>
        </w:rPr>
      </w:pPr>
    </w:p>
    <w:p>
      <w:pPr>
        <w:pStyle w:val="BodyText"/>
        <w:tabs>
          <w:tab w:pos="3799" w:val="left" w:leader="none"/>
          <w:tab w:pos="4093" w:val="left" w:leader="none"/>
          <w:tab w:pos="4339" w:val="left" w:leader="none"/>
          <w:tab w:pos="4399" w:val="left" w:leader="none"/>
          <w:tab w:pos="4459" w:val="left" w:leader="none"/>
          <w:tab w:pos="5359" w:val="left" w:leader="none"/>
          <w:tab w:pos="5639" w:val="left" w:leader="none"/>
          <w:tab w:pos="6059" w:val="left" w:leader="none"/>
          <w:tab w:pos="6239" w:val="left" w:leader="none"/>
          <w:tab w:pos="6939" w:val="left" w:leader="none"/>
          <w:tab w:pos="7199" w:val="left" w:leader="none"/>
          <w:tab w:pos="7739" w:val="left" w:leader="none"/>
          <w:tab w:pos="8159" w:val="left" w:leader="none"/>
          <w:tab w:pos="8219" w:val="left" w:leader="none"/>
          <w:tab w:pos="8279" w:val="left" w:leader="none"/>
          <w:tab w:pos="9719" w:val="left" w:leader="none"/>
        </w:tabs>
        <w:spacing w:line="304" w:lineRule="auto"/>
        <w:ind w:left="660" w:right="273"/>
      </w:pPr>
      <w:r>
        <w:rPr>
          <w:w w:val="110"/>
        </w:rPr>
        <w:t>2002  changes  in</w:t>
      </w:r>
      <w:r>
        <w:rPr>
          <w:spacing w:val="16"/>
          <w:w w:val="110"/>
        </w:rPr>
        <w:t> </w:t>
      </w:r>
      <w:r>
        <w:rPr>
          <w:w w:val="110"/>
        </w:rPr>
        <w:t>fair</w:t>
      </w:r>
      <w:r>
        <w:rPr>
          <w:spacing w:val="38"/>
          <w:w w:val="110"/>
        </w:rPr>
        <w:t> </w:t>
      </w:r>
      <w:r>
        <w:rPr>
          <w:w w:val="110"/>
        </w:rPr>
        <w:t>value</w:t>
        <w:tab/>
        <w:tab/>
        <w:tab/>
        <w:t>109,571</w:t>
        <w:tab/>
        <w:tab/>
        <w:tab/>
        <w:t>(2,017)</w:t>
        <w:tab/>
        <w:tab/>
        <w:tab/>
        <w:tab/>
        <w:t>107,554 </w:t>
      </w:r>
      <w:r>
        <w:rPr>
          <w:spacing w:val="2"/>
          <w:w w:val="110"/>
        </w:rPr>
        <w:t>Reclassification</w:t>
      </w:r>
      <w:r>
        <w:rPr>
          <w:spacing w:val="44"/>
          <w:w w:val="110"/>
        </w:rPr>
        <w:t> </w:t>
      </w:r>
      <w:r>
        <w:rPr>
          <w:w w:val="110"/>
        </w:rPr>
        <w:t>to</w:t>
      </w:r>
      <w:r>
        <w:rPr>
          <w:spacing w:val="44"/>
          <w:w w:val="110"/>
        </w:rPr>
        <w:t> </w:t>
      </w:r>
      <w:r>
        <w:rPr>
          <w:spacing w:val="2"/>
          <w:w w:val="110"/>
        </w:rPr>
        <w:t>earnings</w:t>
        <w:tab/>
      </w:r>
      <w:r>
        <w:rPr>
          <w:spacing w:val="2"/>
          <w:w w:val="110"/>
          <w:u w:val="single"/>
        </w:rPr>
        <w:t> </w:t>
        <w:tab/>
        <w:tab/>
        <w:tab/>
      </w:r>
      <w:r>
        <w:rPr>
          <w:w w:val="110"/>
          <w:u w:val="single"/>
        </w:rPr>
        <w:t>(22,358)</w:t>
      </w:r>
      <w:r>
        <w:rPr>
          <w:w w:val="110"/>
        </w:rPr>
        <w:tab/>
      </w:r>
      <w:r>
        <w:rPr>
          <w:w w:val="110"/>
          <w:u w:val="single"/>
        </w:rPr>
        <w:t> </w:t>
        <w:tab/>
        <w:tab/>
        <w:tab/>
      </w:r>
      <w:r>
        <w:rPr>
          <w:u w:val="single"/>
        </w:rPr>
        <w:t>-</w:t>
        <w:tab/>
      </w:r>
      <w:r>
        <w:rPr/>
        <w:tab/>
      </w:r>
      <w:r>
        <w:rPr>
          <w:u w:val="single"/>
        </w:rPr>
        <w:t> </w:t>
        <w:tab/>
        <w:tab/>
        <w:tab/>
      </w:r>
      <w:r>
        <w:rPr>
          <w:w w:val="110"/>
          <w:u w:val="single"/>
        </w:rPr>
        <w:t>(22,358)</w:t>
        <w:tab/>
      </w:r>
      <w:r>
        <w:rPr>
          <w:w w:val="110"/>
        </w:rPr>
        <w:t> Balance  at  December</w:t>
      </w:r>
      <w:r>
        <w:rPr>
          <w:spacing w:val="10"/>
          <w:w w:val="110"/>
        </w:rPr>
        <w:t> </w:t>
      </w:r>
      <w:r>
        <w:rPr>
          <w:w w:val="110"/>
        </w:rPr>
        <w:t>31,</w:t>
      </w:r>
      <w:r>
        <w:rPr>
          <w:spacing w:val="36"/>
          <w:w w:val="110"/>
        </w:rPr>
        <w:t> </w:t>
      </w:r>
      <w:r>
        <w:rPr>
          <w:w w:val="110"/>
        </w:rPr>
        <w:t>2002</w:t>
        <w:tab/>
      </w:r>
      <w:r>
        <w:rPr>
          <w:w w:val="110"/>
          <w:u w:val="single"/>
        </w:rPr>
        <w:t> </w:t>
        <w:tab/>
        <w:t>$</w:t>
        <w:tab/>
        <w:tab/>
        <w:tab/>
        <w:t>56,150</w:t>
        <w:tab/>
      </w:r>
      <w:r>
        <w:rPr>
          <w:w w:val="110"/>
        </w:rPr>
        <w:tab/>
      </w:r>
      <w:r>
        <w:rPr>
          <w:w w:val="110"/>
          <w:u w:val="single"/>
        </w:rPr>
        <w:t>$   </w:t>
      </w:r>
      <w:r>
        <w:rPr>
          <w:spacing w:val="1"/>
          <w:w w:val="110"/>
          <w:u w:val="single"/>
        </w:rPr>
        <w:t> </w:t>
      </w:r>
      <w:r>
        <w:rPr>
          <w:w w:val="110"/>
          <w:u w:val="single"/>
        </w:rPr>
        <w:t>(2,492)</w:t>
        <w:tab/>
      </w:r>
      <w:r>
        <w:rPr>
          <w:w w:val="110"/>
        </w:rPr>
        <w:tab/>
      </w:r>
      <w:r>
        <w:rPr>
          <w:w w:val="110"/>
          <w:u w:val="single"/>
        </w:rPr>
        <w:t> </w:t>
        <w:tab/>
        <w:t>$</w:t>
        <w:tab/>
        <w:tab/>
        <w:tab/>
        <w:t>53,658</w:t>
      </w:r>
      <w:r>
        <w:rPr>
          <w:u w:val="single"/>
        </w:rPr>
        <w:tab/>
      </w:r>
    </w:p>
    <w:p>
      <w:pPr>
        <w:pStyle w:val="BodyText"/>
        <w:spacing w:before="3"/>
        <w:rPr>
          <w:sz w:val="11"/>
        </w:rPr>
      </w:pPr>
    </w:p>
    <w:p>
      <w:pPr>
        <w:spacing w:after="0"/>
        <w:rPr>
          <w:sz w:val="11"/>
        </w:rPr>
        <w:sectPr>
          <w:type w:val="continuous"/>
          <w:pgSz w:w="11520" w:h="14400"/>
          <w:pgMar w:top="0" w:bottom="280" w:left="700" w:right="820"/>
        </w:sectPr>
      </w:pPr>
    </w:p>
    <w:p>
      <w:pPr>
        <w:pStyle w:val="ListParagraph"/>
        <w:numPr>
          <w:ilvl w:val="0"/>
          <w:numId w:val="6"/>
        </w:numPr>
        <w:tabs>
          <w:tab w:pos="460" w:val="left" w:leader="none"/>
        </w:tabs>
        <w:spacing w:line="240" w:lineRule="auto" w:before="99" w:after="0"/>
        <w:ind w:left="459" w:right="0" w:hanging="359"/>
        <w:jc w:val="left"/>
        <w:rPr>
          <w:rFonts w:ascii="Franklin Gothic Medium"/>
          <w:sz w:val="20"/>
        </w:rPr>
      </w:pPr>
      <w:r>
        <w:rPr>
          <w:rFonts w:ascii="Franklin Gothic Medium"/>
          <w:spacing w:val="7"/>
          <w:sz w:val="20"/>
        </w:rPr>
        <w:t>Common</w:t>
      </w:r>
      <w:r>
        <w:rPr>
          <w:rFonts w:ascii="Franklin Gothic Medium"/>
          <w:spacing w:val="22"/>
          <w:sz w:val="20"/>
        </w:rPr>
        <w:t> </w:t>
      </w:r>
      <w:r>
        <w:rPr>
          <w:rFonts w:ascii="Franklin Gothic Medium"/>
          <w:spacing w:val="4"/>
          <w:sz w:val="20"/>
        </w:rPr>
        <w:t>Stock</w:t>
      </w:r>
    </w:p>
    <w:p>
      <w:pPr>
        <w:pStyle w:val="BodyText"/>
        <w:spacing w:before="2"/>
        <w:rPr>
          <w:rFonts w:ascii="Franklin Gothic Medium"/>
          <w:sz w:val="25"/>
        </w:rPr>
      </w:pPr>
    </w:p>
    <w:p>
      <w:pPr>
        <w:pStyle w:val="BodyText"/>
        <w:spacing w:line="254" w:lineRule="auto"/>
        <w:ind w:left="460" w:right="2" w:firstLine="200"/>
        <w:jc w:val="both"/>
      </w:pPr>
      <w:r>
        <w:rPr>
          <w:spacing w:val="4"/>
          <w:w w:val="105"/>
        </w:rPr>
        <w:t>The </w:t>
      </w:r>
      <w:r>
        <w:rPr>
          <w:spacing w:val="8"/>
          <w:w w:val="105"/>
        </w:rPr>
        <w:t>Company has one </w:t>
      </w:r>
      <w:r>
        <w:rPr>
          <w:w w:val="105"/>
        </w:rPr>
        <w:t>class </w:t>
      </w:r>
      <w:r>
        <w:rPr>
          <w:spacing w:val="6"/>
          <w:w w:val="105"/>
        </w:rPr>
        <w:t>of </w:t>
      </w:r>
      <w:r>
        <w:rPr>
          <w:spacing w:val="12"/>
          <w:w w:val="105"/>
        </w:rPr>
        <w:t>common </w:t>
      </w:r>
      <w:r>
        <w:rPr>
          <w:w w:val="105"/>
        </w:rPr>
        <w:t>stock. </w:t>
      </w:r>
      <w:r>
        <w:rPr>
          <w:spacing w:val="4"/>
          <w:w w:val="105"/>
        </w:rPr>
        <w:t>Holders </w:t>
      </w:r>
      <w:r>
        <w:rPr>
          <w:spacing w:val="6"/>
          <w:w w:val="105"/>
        </w:rPr>
        <w:t>of </w:t>
      </w:r>
      <w:r>
        <w:rPr>
          <w:spacing w:val="4"/>
          <w:w w:val="105"/>
        </w:rPr>
        <w:t>shares </w:t>
      </w:r>
      <w:r>
        <w:rPr>
          <w:spacing w:val="6"/>
          <w:w w:val="105"/>
        </w:rPr>
        <w:t>of </w:t>
      </w:r>
      <w:r>
        <w:rPr>
          <w:spacing w:val="10"/>
          <w:w w:val="105"/>
        </w:rPr>
        <w:t>common </w:t>
      </w:r>
      <w:r>
        <w:rPr>
          <w:w w:val="105"/>
        </w:rPr>
        <w:t>stock </w:t>
      </w:r>
      <w:r>
        <w:rPr>
          <w:spacing w:val="2"/>
          <w:w w:val="105"/>
        </w:rPr>
        <w:t>are </w:t>
      </w:r>
      <w:r>
        <w:rPr>
          <w:spacing w:val="4"/>
          <w:w w:val="105"/>
        </w:rPr>
        <w:t>entitled </w:t>
      </w:r>
      <w:r>
        <w:rPr>
          <w:w w:val="105"/>
        </w:rPr>
        <w:t>to </w:t>
      </w:r>
      <w:r>
        <w:rPr>
          <w:spacing w:val="6"/>
          <w:w w:val="105"/>
        </w:rPr>
        <w:t>receive</w:t>
      </w:r>
      <w:r>
        <w:rPr>
          <w:spacing w:val="59"/>
          <w:w w:val="105"/>
        </w:rPr>
        <w:t> </w:t>
      </w:r>
      <w:r>
        <w:rPr>
          <w:spacing w:val="10"/>
          <w:w w:val="105"/>
        </w:rPr>
        <w:t>dividends </w:t>
      </w:r>
      <w:r>
        <w:rPr>
          <w:spacing w:val="8"/>
          <w:w w:val="105"/>
        </w:rPr>
        <w:t>when and </w:t>
      </w:r>
      <w:r>
        <w:rPr>
          <w:spacing w:val="12"/>
          <w:w w:val="105"/>
        </w:rPr>
        <w:t>if </w:t>
      </w:r>
      <w:r>
        <w:rPr>
          <w:spacing w:val="5"/>
          <w:w w:val="105"/>
        </w:rPr>
        <w:t>declared </w:t>
      </w:r>
      <w:r>
        <w:rPr>
          <w:spacing w:val="6"/>
          <w:w w:val="105"/>
        </w:rPr>
        <w:t>by </w:t>
      </w:r>
      <w:r>
        <w:rPr>
          <w:spacing w:val="2"/>
          <w:w w:val="105"/>
        </w:rPr>
        <w:t>the </w:t>
      </w:r>
      <w:r>
        <w:rPr>
          <w:spacing w:val="3"/>
          <w:w w:val="105"/>
        </w:rPr>
        <w:t>Board </w:t>
      </w:r>
      <w:r>
        <w:rPr>
          <w:spacing w:val="6"/>
          <w:w w:val="105"/>
        </w:rPr>
        <w:t>of </w:t>
      </w:r>
      <w:r>
        <w:rPr>
          <w:spacing w:val="4"/>
          <w:w w:val="105"/>
        </w:rPr>
        <w:t>Directors </w:t>
      </w:r>
      <w:r>
        <w:rPr>
          <w:spacing w:val="8"/>
          <w:w w:val="105"/>
        </w:rPr>
        <w:t>and </w:t>
      </w:r>
      <w:r>
        <w:rPr>
          <w:spacing w:val="2"/>
          <w:w w:val="105"/>
        </w:rPr>
        <w:t>are </w:t>
      </w:r>
      <w:r>
        <w:rPr>
          <w:spacing w:val="4"/>
          <w:w w:val="105"/>
        </w:rPr>
        <w:t>entitled </w:t>
      </w:r>
      <w:r>
        <w:rPr>
          <w:w w:val="105"/>
        </w:rPr>
        <w:t>to </w:t>
      </w:r>
      <w:r>
        <w:rPr>
          <w:spacing w:val="8"/>
          <w:w w:val="105"/>
        </w:rPr>
        <w:t>one </w:t>
      </w:r>
      <w:r>
        <w:rPr>
          <w:spacing w:val="5"/>
          <w:w w:val="105"/>
        </w:rPr>
        <w:t>vote </w:t>
      </w:r>
      <w:r>
        <w:rPr>
          <w:spacing w:val="8"/>
          <w:w w:val="105"/>
        </w:rPr>
        <w:t>per </w:t>
      </w:r>
      <w:r>
        <w:rPr>
          <w:spacing w:val="3"/>
          <w:w w:val="105"/>
        </w:rPr>
        <w:t>share </w:t>
      </w:r>
      <w:r>
        <w:rPr>
          <w:spacing w:val="6"/>
          <w:w w:val="105"/>
        </w:rPr>
        <w:t>on </w:t>
      </w:r>
      <w:r>
        <w:rPr>
          <w:w w:val="105"/>
        </w:rPr>
        <w:t>all </w:t>
      </w:r>
      <w:r>
        <w:rPr>
          <w:spacing w:val="4"/>
          <w:w w:val="105"/>
        </w:rPr>
        <w:t>matters </w:t>
      </w:r>
      <w:r>
        <w:rPr>
          <w:spacing w:val="5"/>
          <w:w w:val="105"/>
        </w:rPr>
        <w:t>submitted </w:t>
      </w:r>
      <w:r>
        <w:rPr>
          <w:w w:val="105"/>
        </w:rPr>
        <w:t>to  a  </w:t>
      </w:r>
      <w:r>
        <w:rPr>
          <w:spacing w:val="5"/>
          <w:w w:val="105"/>
        </w:rPr>
        <w:t>vote </w:t>
      </w:r>
      <w:r>
        <w:rPr>
          <w:spacing w:val="6"/>
          <w:w w:val="105"/>
        </w:rPr>
        <w:t>of </w:t>
      </w:r>
      <w:r>
        <w:rPr>
          <w:spacing w:val="2"/>
          <w:w w:val="105"/>
        </w:rPr>
        <w:t>the </w:t>
      </w:r>
      <w:r>
        <w:rPr>
          <w:spacing w:val="4"/>
          <w:w w:val="105"/>
        </w:rPr>
        <w:t>shareholders.</w:t>
      </w:r>
    </w:p>
    <w:p>
      <w:pPr>
        <w:pStyle w:val="BodyText"/>
        <w:spacing w:line="254" w:lineRule="auto" w:before="1"/>
        <w:ind w:left="460" w:firstLine="200"/>
        <w:jc w:val="both"/>
      </w:pPr>
      <w:r>
        <w:rPr>
          <w:spacing w:val="4"/>
          <w:w w:val="105"/>
        </w:rPr>
        <w:t>At </w:t>
      </w:r>
      <w:r>
        <w:rPr>
          <w:spacing w:val="9"/>
          <w:w w:val="105"/>
        </w:rPr>
        <w:t>December </w:t>
      </w:r>
      <w:r>
        <w:rPr>
          <w:w w:val="105"/>
        </w:rPr>
        <w:t>31, 2002, </w:t>
      </w:r>
      <w:r>
        <w:rPr>
          <w:spacing w:val="2"/>
          <w:w w:val="105"/>
        </w:rPr>
        <w:t>the </w:t>
      </w:r>
      <w:r>
        <w:rPr>
          <w:spacing w:val="8"/>
          <w:w w:val="105"/>
        </w:rPr>
        <w:t>Company </w:t>
      </w:r>
      <w:r>
        <w:rPr>
          <w:spacing w:val="12"/>
          <w:w w:val="105"/>
        </w:rPr>
        <w:t>had </w:t>
      </w:r>
      <w:r>
        <w:rPr>
          <w:spacing w:val="10"/>
          <w:w w:val="105"/>
        </w:rPr>
        <w:t>common  </w:t>
      </w:r>
      <w:r>
        <w:rPr>
          <w:w w:val="105"/>
        </w:rPr>
        <w:t>stock  </w:t>
      </w:r>
      <w:r>
        <w:rPr>
          <w:spacing w:val="4"/>
          <w:w w:val="105"/>
        </w:rPr>
        <w:t>reserved  for  </w:t>
      </w:r>
      <w:r>
        <w:rPr>
          <w:spacing w:val="5"/>
          <w:w w:val="105"/>
        </w:rPr>
        <w:t>issuance </w:t>
      </w:r>
      <w:r>
        <w:rPr>
          <w:spacing w:val="6"/>
          <w:w w:val="105"/>
        </w:rPr>
        <w:t>pursuant</w:t>
      </w:r>
      <w:r>
        <w:rPr>
          <w:spacing w:val="59"/>
          <w:w w:val="105"/>
        </w:rPr>
        <w:t> </w:t>
      </w:r>
      <w:r>
        <w:rPr>
          <w:w w:val="105"/>
        </w:rPr>
        <w:t>to </w:t>
      </w:r>
      <w:r>
        <w:rPr>
          <w:spacing w:val="6"/>
          <w:w w:val="105"/>
        </w:rPr>
        <w:t>Employee</w:t>
      </w:r>
      <w:r>
        <w:rPr>
          <w:spacing w:val="59"/>
          <w:w w:val="105"/>
        </w:rPr>
        <w:t> </w:t>
      </w:r>
      <w:r>
        <w:rPr>
          <w:w w:val="105"/>
        </w:rPr>
        <w:t>stock </w:t>
      </w:r>
      <w:r>
        <w:rPr>
          <w:spacing w:val="8"/>
          <w:w w:val="105"/>
        </w:rPr>
        <w:t>benefit</w:t>
      </w:r>
      <w:r>
        <w:rPr>
          <w:spacing w:val="63"/>
          <w:w w:val="105"/>
        </w:rPr>
        <w:t> </w:t>
      </w:r>
      <w:r>
        <w:rPr>
          <w:spacing w:val="8"/>
          <w:w w:val="105"/>
        </w:rPr>
        <w:t>plans </w:t>
      </w:r>
      <w:r>
        <w:rPr>
          <w:w w:val="105"/>
        </w:rPr>
        <w:t>(218    </w:t>
      </w:r>
      <w:r>
        <w:rPr>
          <w:spacing w:val="5"/>
          <w:w w:val="105"/>
        </w:rPr>
        <w:t>million    </w:t>
      </w:r>
      <w:r>
        <w:rPr>
          <w:spacing w:val="4"/>
          <w:w w:val="105"/>
        </w:rPr>
        <w:t>shares    </w:t>
      </w:r>
      <w:r>
        <w:rPr>
          <w:spacing w:val="6"/>
          <w:w w:val="105"/>
        </w:rPr>
        <w:t>authorized    of  </w:t>
      </w:r>
      <w:r>
        <w:rPr>
          <w:spacing w:val="7"/>
          <w:w w:val="105"/>
        </w:rPr>
        <w:t>which</w:t>
      </w:r>
    </w:p>
    <w:p>
      <w:pPr>
        <w:pStyle w:val="BodyText"/>
        <w:spacing w:line="254" w:lineRule="auto" w:before="1"/>
        <w:ind w:left="460" w:right="10"/>
        <w:jc w:val="both"/>
      </w:pPr>
      <w:r>
        <w:rPr>
          <w:w w:val="105"/>
        </w:rPr>
        <w:t>57.8 </w:t>
      </w:r>
      <w:r>
        <w:rPr>
          <w:spacing w:val="5"/>
          <w:w w:val="105"/>
        </w:rPr>
        <w:t>million </w:t>
      </w:r>
      <w:r>
        <w:rPr>
          <w:spacing w:val="4"/>
          <w:w w:val="105"/>
        </w:rPr>
        <w:t>shares </w:t>
      </w:r>
      <w:r>
        <w:rPr>
          <w:spacing w:val="9"/>
          <w:w w:val="105"/>
        </w:rPr>
        <w:t>have </w:t>
      </w:r>
      <w:r>
        <w:rPr>
          <w:spacing w:val="8"/>
          <w:w w:val="105"/>
        </w:rPr>
        <w:t>not</w:t>
      </w:r>
      <w:r>
        <w:rPr>
          <w:spacing w:val="63"/>
          <w:w w:val="105"/>
        </w:rPr>
        <w:t> </w:t>
      </w:r>
      <w:r>
        <w:rPr>
          <w:spacing w:val="2"/>
          <w:w w:val="105"/>
        </w:rPr>
        <w:t>yet  </w:t>
      </w:r>
      <w:r>
        <w:rPr>
          <w:spacing w:val="12"/>
          <w:w w:val="105"/>
        </w:rPr>
        <w:t>been </w:t>
      </w:r>
      <w:r>
        <w:rPr>
          <w:spacing w:val="5"/>
          <w:w w:val="105"/>
        </w:rPr>
        <w:t>granted)  </w:t>
      </w:r>
      <w:r>
        <w:rPr>
          <w:spacing w:val="8"/>
          <w:w w:val="105"/>
        </w:rPr>
        <w:t>and</w:t>
      </w:r>
      <w:r>
        <w:rPr>
          <w:spacing w:val="63"/>
          <w:w w:val="105"/>
        </w:rPr>
        <w:t> </w:t>
      </w:r>
      <w:r>
        <w:rPr>
          <w:spacing w:val="9"/>
          <w:w w:val="105"/>
        </w:rPr>
        <w:t>upon   </w:t>
      </w:r>
      <w:r>
        <w:rPr>
          <w:spacing w:val="5"/>
          <w:w w:val="105"/>
        </w:rPr>
        <w:t>exercise   </w:t>
      </w:r>
      <w:r>
        <w:rPr>
          <w:spacing w:val="6"/>
          <w:w w:val="105"/>
        </w:rPr>
        <w:t>of </w:t>
      </w:r>
      <w:r>
        <w:rPr>
          <w:spacing w:val="59"/>
          <w:w w:val="105"/>
        </w:rPr>
        <w:t> </w:t>
      </w:r>
      <w:r>
        <w:rPr>
          <w:spacing w:val="2"/>
          <w:w w:val="105"/>
        </w:rPr>
        <w:t>rights  </w:t>
      </w:r>
      <w:r>
        <w:rPr>
          <w:w w:val="105"/>
        </w:rPr>
        <w:t>(474.0 </w:t>
      </w:r>
      <w:r>
        <w:rPr>
          <w:spacing w:val="5"/>
          <w:w w:val="105"/>
        </w:rPr>
        <w:t>million </w:t>
      </w:r>
      <w:r>
        <w:rPr>
          <w:spacing w:val="3"/>
          <w:w w:val="105"/>
        </w:rPr>
        <w:t>shares) </w:t>
      </w:r>
      <w:r>
        <w:rPr>
          <w:spacing w:val="6"/>
          <w:w w:val="105"/>
        </w:rPr>
        <w:t>pursuant</w:t>
      </w:r>
      <w:r>
        <w:rPr>
          <w:spacing w:val="59"/>
          <w:w w:val="105"/>
        </w:rPr>
        <w:t> </w:t>
      </w:r>
      <w:r>
        <w:rPr>
          <w:w w:val="105"/>
        </w:rPr>
        <w:t>to  </w:t>
      </w:r>
      <w:r>
        <w:rPr>
          <w:spacing w:val="6"/>
          <w:w w:val="105"/>
        </w:rPr>
        <w:t>the </w:t>
      </w:r>
      <w:r>
        <w:rPr>
          <w:spacing w:val="8"/>
          <w:w w:val="105"/>
        </w:rPr>
        <w:t>Common </w:t>
      </w:r>
      <w:r>
        <w:rPr>
          <w:spacing w:val="3"/>
          <w:w w:val="105"/>
        </w:rPr>
        <w:t>Share </w:t>
      </w:r>
      <w:r>
        <w:rPr>
          <w:spacing w:val="5"/>
          <w:w w:val="105"/>
        </w:rPr>
        <w:t>Purchase  </w:t>
      </w:r>
      <w:r>
        <w:rPr>
          <w:spacing w:val="2"/>
          <w:w w:val="105"/>
        </w:rPr>
        <w:t>Rights  </w:t>
      </w:r>
      <w:r>
        <w:rPr>
          <w:spacing w:val="6"/>
          <w:w w:val="105"/>
        </w:rPr>
        <w:t>Agreement, as </w:t>
      </w:r>
      <w:r>
        <w:rPr>
          <w:spacing w:val="10"/>
          <w:w w:val="105"/>
        </w:rPr>
        <w:t>amended</w:t>
      </w:r>
      <w:r>
        <w:rPr>
          <w:spacing w:val="48"/>
          <w:w w:val="105"/>
        </w:rPr>
        <w:t> </w:t>
      </w:r>
      <w:r>
        <w:rPr>
          <w:spacing w:val="5"/>
          <w:w w:val="105"/>
        </w:rPr>
        <w:t>(Agreement).</w:t>
      </w:r>
    </w:p>
    <w:p>
      <w:pPr>
        <w:pStyle w:val="BodyText"/>
        <w:spacing w:line="254" w:lineRule="auto" w:before="1"/>
        <w:ind w:left="460" w:right="3" w:firstLine="200"/>
        <w:jc w:val="both"/>
      </w:pPr>
      <w:r>
        <w:rPr>
          <w:spacing w:val="6"/>
          <w:w w:val="105"/>
        </w:rPr>
        <w:t>Pursuant </w:t>
      </w:r>
      <w:r>
        <w:rPr>
          <w:w w:val="105"/>
        </w:rPr>
        <w:t>to </w:t>
      </w:r>
      <w:r>
        <w:rPr>
          <w:spacing w:val="2"/>
          <w:w w:val="105"/>
        </w:rPr>
        <w:t>the  </w:t>
      </w:r>
      <w:r>
        <w:rPr>
          <w:spacing w:val="6"/>
          <w:w w:val="105"/>
        </w:rPr>
        <w:t>Agreement,</w:t>
      </w:r>
      <w:r>
        <w:rPr>
          <w:spacing w:val="59"/>
          <w:w w:val="105"/>
        </w:rPr>
        <w:t> </w:t>
      </w:r>
      <w:r>
        <w:rPr>
          <w:spacing w:val="7"/>
          <w:w w:val="105"/>
        </w:rPr>
        <w:t>each </w:t>
      </w:r>
      <w:r>
        <w:rPr>
          <w:spacing w:val="6"/>
          <w:w w:val="105"/>
        </w:rPr>
        <w:t>outstanding </w:t>
      </w:r>
      <w:r>
        <w:rPr>
          <w:spacing w:val="3"/>
          <w:w w:val="105"/>
        </w:rPr>
        <w:t>share </w:t>
      </w:r>
      <w:r>
        <w:rPr>
          <w:spacing w:val="6"/>
          <w:w w:val="105"/>
        </w:rPr>
        <w:t>of </w:t>
      </w:r>
      <w:r>
        <w:rPr>
          <w:spacing w:val="2"/>
          <w:w w:val="105"/>
        </w:rPr>
        <w:t>the </w:t>
      </w:r>
      <w:r>
        <w:rPr>
          <w:spacing w:val="6"/>
          <w:w w:val="105"/>
        </w:rPr>
        <w:t>Company’s </w:t>
      </w:r>
      <w:r>
        <w:rPr>
          <w:spacing w:val="12"/>
          <w:w w:val="105"/>
        </w:rPr>
        <w:t>common </w:t>
      </w:r>
      <w:r>
        <w:rPr>
          <w:w w:val="105"/>
        </w:rPr>
        <w:t>stock </w:t>
      </w:r>
      <w:r>
        <w:rPr>
          <w:spacing w:val="6"/>
          <w:w w:val="105"/>
        </w:rPr>
        <w:t>is </w:t>
      </w:r>
      <w:r>
        <w:rPr>
          <w:spacing w:val="9"/>
          <w:w w:val="105"/>
        </w:rPr>
        <w:t>accompanied </w:t>
      </w:r>
      <w:r>
        <w:rPr>
          <w:spacing w:val="6"/>
          <w:w w:val="105"/>
        </w:rPr>
        <w:t>by </w:t>
      </w:r>
      <w:r>
        <w:rPr>
          <w:spacing w:val="8"/>
          <w:w w:val="105"/>
        </w:rPr>
        <w:t>one </w:t>
      </w:r>
      <w:r>
        <w:rPr>
          <w:spacing w:val="10"/>
          <w:w w:val="105"/>
        </w:rPr>
        <w:t>common </w:t>
      </w:r>
      <w:r>
        <w:rPr>
          <w:spacing w:val="3"/>
          <w:w w:val="105"/>
        </w:rPr>
        <w:t>share </w:t>
      </w:r>
      <w:r>
        <w:rPr>
          <w:spacing w:val="5"/>
          <w:w w:val="105"/>
        </w:rPr>
        <w:t>purchase </w:t>
      </w:r>
      <w:r>
        <w:rPr>
          <w:spacing w:val="4"/>
          <w:w w:val="105"/>
        </w:rPr>
        <w:t>right </w:t>
      </w:r>
      <w:r>
        <w:rPr>
          <w:w w:val="105"/>
        </w:rPr>
        <w:t>(Right). </w:t>
      </w:r>
      <w:r>
        <w:rPr>
          <w:spacing w:val="6"/>
          <w:w w:val="105"/>
        </w:rPr>
        <w:t>Each</w:t>
      </w:r>
      <w:r>
        <w:rPr>
          <w:spacing w:val="59"/>
          <w:w w:val="105"/>
        </w:rPr>
        <w:t> </w:t>
      </w:r>
      <w:r>
        <w:rPr>
          <w:spacing w:val="4"/>
          <w:w w:val="105"/>
        </w:rPr>
        <w:t>Right </w:t>
      </w:r>
      <w:r>
        <w:rPr>
          <w:spacing w:val="6"/>
          <w:w w:val="105"/>
        </w:rPr>
        <w:t>is exer- </w:t>
      </w:r>
      <w:r>
        <w:rPr>
          <w:spacing w:val="4"/>
          <w:w w:val="105"/>
        </w:rPr>
        <w:t>cisable only </w:t>
      </w:r>
      <w:r>
        <w:rPr>
          <w:spacing w:val="6"/>
          <w:w w:val="105"/>
        </w:rPr>
        <w:t>in</w:t>
      </w:r>
      <w:r>
        <w:rPr>
          <w:spacing w:val="59"/>
          <w:w w:val="105"/>
        </w:rPr>
        <w:t> </w:t>
      </w:r>
      <w:r>
        <w:rPr>
          <w:spacing w:val="2"/>
          <w:w w:val="105"/>
        </w:rPr>
        <w:t>the </w:t>
      </w:r>
      <w:r>
        <w:rPr>
          <w:spacing w:val="9"/>
          <w:w w:val="105"/>
        </w:rPr>
        <w:t>event </w:t>
      </w:r>
      <w:r>
        <w:rPr>
          <w:spacing w:val="6"/>
          <w:w w:val="105"/>
        </w:rPr>
        <w:t>of</w:t>
      </w:r>
      <w:r>
        <w:rPr>
          <w:spacing w:val="59"/>
          <w:w w:val="105"/>
        </w:rPr>
        <w:t> </w:t>
      </w:r>
      <w:r>
        <w:rPr>
          <w:w w:val="105"/>
        </w:rPr>
        <w:t>a </w:t>
      </w:r>
      <w:r>
        <w:rPr>
          <w:spacing w:val="8"/>
          <w:w w:val="105"/>
        </w:rPr>
        <w:t>proposed </w:t>
      </w:r>
      <w:r>
        <w:rPr>
          <w:spacing w:val="5"/>
          <w:w w:val="105"/>
        </w:rPr>
        <w:t>takeover, </w:t>
      </w:r>
      <w:r>
        <w:rPr>
          <w:spacing w:val="6"/>
          <w:w w:val="105"/>
        </w:rPr>
        <w:t>as </w:t>
      </w:r>
      <w:r>
        <w:rPr>
          <w:spacing w:val="8"/>
          <w:w w:val="105"/>
        </w:rPr>
        <w:t>defined </w:t>
      </w:r>
      <w:r>
        <w:rPr>
          <w:spacing w:val="6"/>
          <w:w w:val="105"/>
        </w:rPr>
        <w:t>by </w:t>
      </w:r>
      <w:r>
        <w:rPr>
          <w:spacing w:val="2"/>
          <w:w w:val="105"/>
        </w:rPr>
        <w:t>the </w:t>
      </w:r>
      <w:r>
        <w:rPr>
          <w:spacing w:val="6"/>
          <w:w w:val="105"/>
        </w:rPr>
        <w:t>Agreement. </w:t>
      </w:r>
      <w:r>
        <w:rPr>
          <w:spacing w:val="8"/>
          <w:w w:val="105"/>
        </w:rPr>
        <w:t>The Company </w:t>
      </w:r>
      <w:r>
        <w:rPr>
          <w:spacing w:val="9"/>
          <w:w w:val="105"/>
        </w:rPr>
        <w:t>may </w:t>
      </w:r>
      <w:r>
        <w:rPr>
          <w:spacing w:val="7"/>
          <w:w w:val="105"/>
        </w:rPr>
        <w:t>redeem </w:t>
      </w:r>
      <w:r>
        <w:rPr>
          <w:spacing w:val="2"/>
          <w:w w:val="105"/>
        </w:rPr>
        <w:t>the Rights  </w:t>
      </w:r>
      <w:r>
        <w:rPr>
          <w:spacing w:val="6"/>
          <w:w w:val="105"/>
        </w:rPr>
        <w:t>at  </w:t>
      </w:r>
      <w:r>
        <w:rPr>
          <w:w w:val="105"/>
        </w:rPr>
        <w:t>$.0022 </w:t>
      </w:r>
      <w:r>
        <w:rPr>
          <w:spacing w:val="8"/>
          <w:w w:val="105"/>
        </w:rPr>
        <w:t>per </w:t>
      </w:r>
      <w:r>
        <w:rPr>
          <w:spacing w:val="4"/>
          <w:w w:val="105"/>
        </w:rPr>
        <w:t>Right </w:t>
      </w:r>
      <w:r>
        <w:rPr>
          <w:spacing w:val="6"/>
          <w:w w:val="105"/>
        </w:rPr>
        <w:t>prior </w:t>
      </w:r>
      <w:r>
        <w:rPr>
          <w:w w:val="105"/>
        </w:rPr>
        <w:t>to </w:t>
      </w:r>
      <w:r>
        <w:rPr>
          <w:spacing w:val="2"/>
          <w:w w:val="105"/>
        </w:rPr>
        <w:t>the </w:t>
      </w:r>
      <w:r>
        <w:rPr>
          <w:spacing w:val="6"/>
          <w:w w:val="105"/>
        </w:rPr>
        <w:t>time </w:t>
      </w:r>
      <w:r>
        <w:rPr>
          <w:spacing w:val="5"/>
          <w:w w:val="105"/>
        </w:rPr>
        <w:t>that </w:t>
      </w:r>
      <w:r>
        <w:rPr>
          <w:w w:val="105"/>
        </w:rPr>
        <w:t>15 </w:t>
      </w:r>
      <w:r>
        <w:rPr>
          <w:spacing w:val="6"/>
          <w:w w:val="105"/>
        </w:rPr>
        <w:t>percent </w:t>
      </w:r>
      <w:r>
        <w:rPr>
          <w:spacing w:val="12"/>
          <w:w w:val="105"/>
        </w:rPr>
        <w:t>of </w:t>
      </w:r>
      <w:r>
        <w:rPr>
          <w:spacing w:val="2"/>
          <w:w w:val="105"/>
        </w:rPr>
        <w:t>the </w:t>
      </w:r>
      <w:r>
        <w:rPr>
          <w:spacing w:val="10"/>
          <w:w w:val="105"/>
        </w:rPr>
        <w:t>common </w:t>
      </w:r>
      <w:r>
        <w:rPr>
          <w:w w:val="105"/>
        </w:rPr>
        <w:t>stock </w:t>
      </w:r>
      <w:r>
        <w:rPr>
          <w:spacing w:val="8"/>
          <w:w w:val="105"/>
        </w:rPr>
        <w:t>has </w:t>
      </w:r>
      <w:r>
        <w:rPr>
          <w:spacing w:val="9"/>
          <w:w w:val="105"/>
        </w:rPr>
        <w:t>been </w:t>
      </w:r>
      <w:r>
        <w:rPr>
          <w:spacing w:val="7"/>
          <w:w w:val="105"/>
        </w:rPr>
        <w:t>acquired </w:t>
      </w:r>
      <w:r>
        <w:rPr>
          <w:spacing w:val="6"/>
          <w:w w:val="105"/>
        </w:rPr>
        <w:t>by </w:t>
      </w:r>
      <w:r>
        <w:rPr>
          <w:w w:val="105"/>
        </w:rPr>
        <w:t>a </w:t>
      </w:r>
      <w:r>
        <w:rPr>
          <w:spacing w:val="4"/>
          <w:w w:val="105"/>
        </w:rPr>
        <w:t>person </w:t>
      </w:r>
      <w:r>
        <w:rPr>
          <w:spacing w:val="6"/>
          <w:w w:val="105"/>
        </w:rPr>
        <w:t>or</w:t>
      </w:r>
      <w:r>
        <w:rPr>
          <w:spacing w:val="59"/>
          <w:w w:val="105"/>
        </w:rPr>
        <w:t> </w:t>
      </w:r>
      <w:r>
        <w:rPr>
          <w:spacing w:val="5"/>
          <w:w w:val="105"/>
        </w:rPr>
        <w:t>group. </w:t>
      </w:r>
      <w:r>
        <w:rPr>
          <w:w w:val="105"/>
        </w:rPr>
        <w:t>The </w:t>
      </w:r>
      <w:r>
        <w:rPr>
          <w:spacing w:val="2"/>
          <w:w w:val="105"/>
        </w:rPr>
        <w:t>Agreement </w:t>
      </w:r>
      <w:r>
        <w:rPr>
          <w:w w:val="105"/>
        </w:rPr>
        <w:t>is </w:t>
      </w:r>
      <w:r>
        <w:rPr>
          <w:spacing w:val="6"/>
          <w:w w:val="105"/>
        </w:rPr>
        <w:t>not </w:t>
      </w:r>
      <w:r>
        <w:rPr>
          <w:spacing w:val="2"/>
          <w:w w:val="105"/>
        </w:rPr>
        <w:t>applicable </w:t>
      </w:r>
      <w:r>
        <w:rPr>
          <w:w w:val="105"/>
        </w:rPr>
        <w:t>to a fully </w:t>
      </w:r>
      <w:r>
        <w:rPr>
          <w:spacing w:val="3"/>
          <w:w w:val="105"/>
        </w:rPr>
        <w:t>financed </w:t>
      </w:r>
      <w:r>
        <w:rPr>
          <w:w w:val="105"/>
        </w:rPr>
        <w:t>or  cash  </w:t>
      </w:r>
      <w:r>
        <w:rPr>
          <w:spacing w:val="8"/>
          <w:w w:val="105"/>
        </w:rPr>
        <w:t>tender </w:t>
      </w:r>
      <w:r>
        <w:rPr>
          <w:w w:val="105"/>
        </w:rPr>
        <w:t>offer   for    all   of    the    Company’s    shares    </w:t>
      </w:r>
      <w:r>
        <w:rPr>
          <w:spacing w:val="6"/>
          <w:w w:val="105"/>
        </w:rPr>
        <w:t>of</w:t>
      </w:r>
    </w:p>
    <w:p>
      <w:pPr>
        <w:pStyle w:val="BodyText"/>
        <w:spacing w:line="254" w:lineRule="auto" w:before="92"/>
        <w:ind w:left="100" w:right="128"/>
        <w:jc w:val="both"/>
      </w:pPr>
      <w:r>
        <w:rPr/>
        <w:br w:type="column"/>
      </w:r>
      <w:r>
        <w:rPr>
          <w:w w:val="105"/>
        </w:rPr>
        <w:t>common stock,  which  remains  open  for  at least 60 calendar days,  is  at  a  price  equal  to the higher of (a) 65 percent over the average closing  price  of  the  common   stock  during the</w:t>
      </w:r>
    </w:p>
    <w:p>
      <w:pPr>
        <w:pStyle w:val="BodyText"/>
        <w:spacing w:line="254" w:lineRule="auto" w:before="1"/>
        <w:ind w:left="100" w:right="130"/>
        <w:jc w:val="both"/>
      </w:pPr>
      <w:r>
        <w:rPr>
          <w:w w:val="105"/>
        </w:rPr>
        <w:t>90 days  </w:t>
      </w:r>
      <w:r>
        <w:rPr>
          <w:spacing w:val="2"/>
          <w:w w:val="105"/>
        </w:rPr>
        <w:t>preceding  </w:t>
      </w:r>
      <w:r>
        <w:rPr>
          <w:w w:val="105"/>
        </w:rPr>
        <w:t>the  offer  and  (b)  </w:t>
      </w:r>
      <w:r>
        <w:rPr>
          <w:spacing w:val="6"/>
          <w:w w:val="105"/>
        </w:rPr>
        <w:t>the </w:t>
      </w:r>
      <w:r>
        <w:rPr>
          <w:w w:val="105"/>
        </w:rPr>
        <w:t>highest closing price during the 52 </w:t>
      </w:r>
      <w:r>
        <w:rPr>
          <w:spacing w:val="7"/>
          <w:w w:val="105"/>
        </w:rPr>
        <w:t>weeks </w:t>
      </w:r>
      <w:r>
        <w:rPr>
          <w:w w:val="105"/>
        </w:rPr>
        <w:t>preceding the offer, and is accompanied by a written fairness </w:t>
      </w:r>
      <w:r>
        <w:rPr>
          <w:spacing w:val="4"/>
          <w:w w:val="105"/>
        </w:rPr>
        <w:t>opinion </w:t>
      </w:r>
      <w:r>
        <w:rPr>
          <w:w w:val="105"/>
        </w:rPr>
        <w:t>of a </w:t>
      </w:r>
      <w:r>
        <w:rPr>
          <w:spacing w:val="5"/>
          <w:w w:val="105"/>
        </w:rPr>
        <w:t>nationally </w:t>
      </w:r>
      <w:r>
        <w:rPr>
          <w:spacing w:val="2"/>
          <w:w w:val="105"/>
        </w:rPr>
        <w:t>recognized investment banking </w:t>
      </w:r>
      <w:r>
        <w:rPr>
          <w:w w:val="105"/>
        </w:rPr>
        <w:t>firm. </w:t>
      </w:r>
      <w:r>
        <w:rPr>
          <w:spacing w:val="4"/>
          <w:w w:val="105"/>
        </w:rPr>
        <w:t>If </w:t>
      </w:r>
      <w:r>
        <w:rPr>
          <w:spacing w:val="2"/>
          <w:w w:val="105"/>
        </w:rPr>
        <w:t>the </w:t>
      </w:r>
      <w:r>
        <w:rPr>
          <w:spacing w:val="8"/>
          <w:w w:val="105"/>
        </w:rPr>
        <w:t>Company </w:t>
      </w:r>
      <w:r>
        <w:rPr>
          <w:spacing w:val="6"/>
          <w:w w:val="105"/>
        </w:rPr>
        <w:t>is</w:t>
      </w:r>
      <w:r>
        <w:rPr>
          <w:spacing w:val="59"/>
          <w:w w:val="105"/>
        </w:rPr>
        <w:t> </w:t>
      </w:r>
      <w:r>
        <w:rPr>
          <w:spacing w:val="8"/>
          <w:w w:val="105"/>
        </w:rPr>
        <w:t>acquired, </w:t>
      </w:r>
      <w:r>
        <w:rPr>
          <w:spacing w:val="6"/>
          <w:w w:val="105"/>
        </w:rPr>
        <w:t>as</w:t>
      </w:r>
      <w:r>
        <w:rPr>
          <w:spacing w:val="59"/>
          <w:w w:val="105"/>
        </w:rPr>
        <w:t> </w:t>
      </w:r>
      <w:r>
        <w:rPr>
          <w:spacing w:val="8"/>
          <w:w w:val="105"/>
        </w:rPr>
        <w:t>defined </w:t>
      </w:r>
      <w:r>
        <w:rPr>
          <w:spacing w:val="6"/>
          <w:w w:val="105"/>
        </w:rPr>
        <w:t>in</w:t>
      </w:r>
      <w:r>
        <w:rPr>
          <w:spacing w:val="59"/>
          <w:w w:val="105"/>
        </w:rPr>
        <w:t> </w:t>
      </w:r>
      <w:r>
        <w:rPr>
          <w:spacing w:val="6"/>
          <w:w w:val="105"/>
        </w:rPr>
        <w:t>the Agreement, </w:t>
      </w:r>
      <w:r>
        <w:rPr>
          <w:spacing w:val="7"/>
          <w:w w:val="105"/>
        </w:rPr>
        <w:t>each </w:t>
      </w:r>
      <w:r>
        <w:rPr>
          <w:spacing w:val="4"/>
          <w:w w:val="105"/>
        </w:rPr>
        <w:t>Right </w:t>
      </w:r>
      <w:r>
        <w:rPr>
          <w:spacing w:val="3"/>
          <w:w w:val="105"/>
        </w:rPr>
        <w:t>will </w:t>
      </w:r>
      <w:r>
        <w:rPr>
          <w:spacing w:val="2"/>
          <w:w w:val="105"/>
        </w:rPr>
        <w:t>entitle its </w:t>
      </w:r>
      <w:r>
        <w:rPr>
          <w:spacing w:val="6"/>
          <w:w w:val="105"/>
        </w:rPr>
        <w:t>holder </w:t>
      </w:r>
      <w:r>
        <w:rPr>
          <w:w w:val="105"/>
        </w:rPr>
        <w:t>to </w:t>
      </w:r>
      <w:r>
        <w:rPr>
          <w:spacing w:val="5"/>
          <w:w w:val="105"/>
        </w:rPr>
        <w:t>purchase </w:t>
      </w:r>
      <w:r>
        <w:rPr>
          <w:spacing w:val="4"/>
          <w:w w:val="105"/>
        </w:rPr>
        <w:t>for </w:t>
      </w:r>
      <w:r>
        <w:rPr>
          <w:w w:val="105"/>
        </w:rPr>
        <w:t>$3.29 </w:t>
      </w:r>
      <w:r>
        <w:rPr>
          <w:spacing w:val="5"/>
          <w:w w:val="105"/>
        </w:rPr>
        <w:t>that </w:t>
      </w:r>
      <w:r>
        <w:rPr>
          <w:spacing w:val="10"/>
          <w:w w:val="105"/>
        </w:rPr>
        <w:t>number </w:t>
      </w:r>
      <w:r>
        <w:rPr>
          <w:spacing w:val="6"/>
          <w:w w:val="105"/>
        </w:rPr>
        <w:t>of</w:t>
      </w:r>
      <w:r>
        <w:rPr>
          <w:spacing w:val="59"/>
          <w:w w:val="105"/>
        </w:rPr>
        <w:t> </w:t>
      </w:r>
      <w:r>
        <w:rPr>
          <w:spacing w:val="2"/>
          <w:w w:val="105"/>
        </w:rPr>
        <w:t>the </w:t>
      </w:r>
      <w:r>
        <w:rPr>
          <w:spacing w:val="8"/>
          <w:w w:val="105"/>
        </w:rPr>
        <w:t>acquiring </w:t>
      </w:r>
      <w:r>
        <w:rPr>
          <w:spacing w:val="7"/>
          <w:w w:val="105"/>
        </w:rPr>
        <w:t>company’s </w:t>
      </w:r>
      <w:r>
        <w:rPr>
          <w:spacing w:val="6"/>
          <w:w w:val="105"/>
        </w:rPr>
        <w:t>or </w:t>
      </w:r>
      <w:r>
        <w:rPr>
          <w:spacing w:val="2"/>
          <w:w w:val="105"/>
        </w:rPr>
        <w:t>the </w:t>
      </w:r>
      <w:r>
        <w:rPr>
          <w:spacing w:val="6"/>
          <w:w w:val="105"/>
        </w:rPr>
        <w:t>Company’s </w:t>
      </w:r>
      <w:r>
        <w:rPr>
          <w:spacing w:val="10"/>
          <w:w w:val="105"/>
        </w:rPr>
        <w:t>common </w:t>
      </w:r>
      <w:r>
        <w:rPr>
          <w:spacing w:val="3"/>
          <w:w w:val="105"/>
        </w:rPr>
        <w:t>shares, </w:t>
      </w:r>
      <w:r>
        <w:rPr>
          <w:spacing w:val="6"/>
          <w:w w:val="105"/>
        </w:rPr>
        <w:t>as </w:t>
      </w:r>
      <w:r>
        <w:rPr>
          <w:spacing w:val="8"/>
          <w:w w:val="105"/>
        </w:rPr>
        <w:t>provided </w:t>
      </w:r>
      <w:r>
        <w:rPr>
          <w:spacing w:val="6"/>
          <w:w w:val="105"/>
        </w:rPr>
        <w:t>in the Agreement, </w:t>
      </w:r>
      <w:r>
        <w:rPr>
          <w:spacing w:val="10"/>
          <w:w w:val="105"/>
        </w:rPr>
        <w:t>having </w:t>
      </w:r>
      <w:r>
        <w:rPr>
          <w:w w:val="105"/>
        </w:rPr>
        <w:t>a </w:t>
      </w:r>
      <w:r>
        <w:rPr>
          <w:spacing w:val="6"/>
          <w:w w:val="105"/>
        </w:rPr>
        <w:t>market </w:t>
      </w:r>
      <w:r>
        <w:rPr>
          <w:spacing w:val="5"/>
          <w:w w:val="105"/>
        </w:rPr>
        <w:t>value </w:t>
      </w:r>
      <w:r>
        <w:rPr>
          <w:spacing w:val="6"/>
          <w:w w:val="105"/>
        </w:rPr>
        <w:t>of</w:t>
      </w:r>
      <w:r>
        <w:rPr>
          <w:spacing w:val="59"/>
          <w:w w:val="105"/>
        </w:rPr>
        <w:t> </w:t>
      </w:r>
      <w:r>
        <w:rPr>
          <w:w w:val="105"/>
        </w:rPr>
        <w:t>two </w:t>
      </w:r>
      <w:r>
        <w:rPr>
          <w:spacing w:val="7"/>
          <w:w w:val="105"/>
        </w:rPr>
        <w:t>times </w:t>
      </w:r>
      <w:r>
        <w:rPr>
          <w:spacing w:val="2"/>
          <w:w w:val="105"/>
        </w:rPr>
        <w:t>the </w:t>
      </w:r>
      <w:r>
        <w:rPr>
          <w:spacing w:val="5"/>
          <w:w w:val="105"/>
        </w:rPr>
        <w:t>exercise </w:t>
      </w:r>
      <w:r>
        <w:rPr>
          <w:spacing w:val="4"/>
          <w:w w:val="105"/>
        </w:rPr>
        <w:t>price </w:t>
      </w:r>
      <w:r>
        <w:rPr>
          <w:spacing w:val="6"/>
          <w:w w:val="105"/>
        </w:rPr>
        <w:t>of </w:t>
      </w:r>
      <w:r>
        <w:rPr>
          <w:spacing w:val="2"/>
          <w:w w:val="105"/>
        </w:rPr>
        <w:t>the Right. </w:t>
      </w:r>
      <w:r>
        <w:rPr>
          <w:spacing w:val="8"/>
          <w:w w:val="105"/>
        </w:rPr>
        <w:t>The  </w:t>
      </w:r>
      <w:r>
        <w:rPr>
          <w:spacing w:val="2"/>
          <w:w w:val="105"/>
        </w:rPr>
        <w:t>Rights </w:t>
      </w:r>
      <w:r>
        <w:rPr>
          <w:spacing w:val="3"/>
          <w:w w:val="105"/>
        </w:rPr>
        <w:t>will </w:t>
      </w:r>
      <w:r>
        <w:rPr>
          <w:spacing w:val="7"/>
          <w:w w:val="105"/>
        </w:rPr>
        <w:t>expire  </w:t>
      </w:r>
      <w:r>
        <w:rPr>
          <w:spacing w:val="6"/>
          <w:w w:val="105"/>
        </w:rPr>
        <w:t>no  </w:t>
      </w:r>
      <w:r>
        <w:rPr>
          <w:spacing w:val="2"/>
          <w:w w:val="105"/>
        </w:rPr>
        <w:t>later </w:t>
      </w:r>
      <w:r>
        <w:rPr>
          <w:spacing w:val="5"/>
          <w:w w:val="105"/>
        </w:rPr>
        <w:t>than  </w:t>
      </w:r>
      <w:r>
        <w:rPr>
          <w:w w:val="105"/>
        </w:rPr>
        <w:t>July 30,</w:t>
      </w:r>
      <w:r>
        <w:rPr>
          <w:spacing w:val="16"/>
          <w:w w:val="105"/>
        </w:rPr>
        <w:t> </w:t>
      </w:r>
      <w:r>
        <w:rPr>
          <w:w w:val="105"/>
        </w:rPr>
        <w:t>2005.</w:t>
      </w:r>
    </w:p>
    <w:p>
      <w:pPr>
        <w:pStyle w:val="BodyText"/>
        <w:spacing w:line="254" w:lineRule="auto" w:before="1"/>
        <w:ind w:left="100" w:right="119" w:firstLine="200"/>
        <w:jc w:val="both"/>
      </w:pPr>
      <w:r>
        <w:rPr>
          <w:spacing w:val="4"/>
          <w:w w:val="105"/>
        </w:rPr>
        <w:t>On </w:t>
      </w:r>
      <w:r>
        <w:rPr>
          <w:spacing w:val="6"/>
          <w:w w:val="105"/>
        </w:rPr>
        <w:t>January </w:t>
      </w:r>
      <w:r>
        <w:rPr>
          <w:w w:val="105"/>
        </w:rPr>
        <w:t>18, 2001,  </w:t>
      </w:r>
      <w:r>
        <w:rPr>
          <w:spacing w:val="2"/>
          <w:w w:val="105"/>
        </w:rPr>
        <w:t>the  </w:t>
      </w:r>
      <w:r>
        <w:rPr>
          <w:spacing w:val="6"/>
          <w:w w:val="105"/>
        </w:rPr>
        <w:t>Company’s  </w:t>
      </w:r>
      <w:r>
        <w:rPr>
          <w:spacing w:val="3"/>
          <w:w w:val="105"/>
        </w:rPr>
        <w:t>Board </w:t>
      </w:r>
      <w:r>
        <w:rPr>
          <w:spacing w:val="6"/>
          <w:w w:val="105"/>
        </w:rPr>
        <w:t>of </w:t>
      </w:r>
      <w:r>
        <w:rPr>
          <w:spacing w:val="4"/>
          <w:w w:val="105"/>
        </w:rPr>
        <w:t>Directors </w:t>
      </w:r>
      <w:r>
        <w:rPr>
          <w:spacing w:val="5"/>
          <w:w w:val="105"/>
        </w:rPr>
        <w:t>declared </w:t>
      </w:r>
      <w:r>
        <w:rPr>
          <w:w w:val="105"/>
        </w:rPr>
        <w:t>a  </w:t>
      </w:r>
      <w:r>
        <w:rPr>
          <w:spacing w:val="2"/>
          <w:w w:val="105"/>
        </w:rPr>
        <w:t>three-for-two  </w:t>
      </w:r>
      <w:r>
        <w:rPr>
          <w:w w:val="105"/>
        </w:rPr>
        <w:t>stock split, </w:t>
      </w:r>
      <w:r>
        <w:rPr>
          <w:spacing w:val="5"/>
          <w:w w:val="105"/>
        </w:rPr>
        <w:t>distributing </w:t>
      </w:r>
      <w:r>
        <w:rPr>
          <w:w w:val="105"/>
        </w:rPr>
        <w:t>253.9 </w:t>
      </w:r>
      <w:r>
        <w:rPr>
          <w:spacing w:val="5"/>
          <w:w w:val="105"/>
        </w:rPr>
        <w:t>million </w:t>
      </w:r>
      <w:r>
        <w:rPr>
          <w:spacing w:val="4"/>
          <w:w w:val="105"/>
        </w:rPr>
        <w:t>shares </w:t>
      </w:r>
      <w:r>
        <w:rPr>
          <w:spacing w:val="12"/>
          <w:w w:val="105"/>
        </w:rPr>
        <w:t>on </w:t>
      </w:r>
      <w:r>
        <w:rPr>
          <w:spacing w:val="5"/>
          <w:w w:val="105"/>
        </w:rPr>
        <w:t>February </w:t>
      </w:r>
      <w:r>
        <w:rPr>
          <w:w w:val="105"/>
        </w:rPr>
        <w:t>15, 2001.  </w:t>
      </w:r>
      <w:r>
        <w:rPr>
          <w:spacing w:val="4"/>
          <w:w w:val="105"/>
        </w:rPr>
        <w:t>Unless  otherwise  </w:t>
      </w:r>
      <w:r>
        <w:rPr>
          <w:spacing w:val="3"/>
          <w:w w:val="105"/>
        </w:rPr>
        <w:t>stated,  </w:t>
      </w:r>
      <w:r>
        <w:rPr>
          <w:w w:val="105"/>
        </w:rPr>
        <w:t>all </w:t>
      </w:r>
      <w:r>
        <w:rPr>
          <w:spacing w:val="3"/>
          <w:w w:val="105"/>
        </w:rPr>
        <w:t>share </w:t>
      </w:r>
      <w:r>
        <w:rPr>
          <w:spacing w:val="8"/>
          <w:w w:val="105"/>
        </w:rPr>
        <w:t>and per </w:t>
      </w:r>
      <w:r>
        <w:rPr>
          <w:spacing w:val="3"/>
          <w:w w:val="105"/>
        </w:rPr>
        <w:t>share </w:t>
      </w:r>
      <w:r>
        <w:rPr>
          <w:spacing w:val="5"/>
          <w:w w:val="105"/>
        </w:rPr>
        <w:t>data presented </w:t>
      </w:r>
      <w:r>
        <w:rPr>
          <w:spacing w:val="6"/>
          <w:w w:val="105"/>
        </w:rPr>
        <w:t>in the</w:t>
      </w:r>
      <w:r>
        <w:rPr>
          <w:spacing w:val="59"/>
          <w:w w:val="105"/>
        </w:rPr>
        <w:t> </w:t>
      </w:r>
      <w:r>
        <w:rPr>
          <w:spacing w:val="8"/>
          <w:w w:val="105"/>
        </w:rPr>
        <w:t>accompanying </w:t>
      </w:r>
      <w:r>
        <w:rPr>
          <w:spacing w:val="6"/>
          <w:w w:val="105"/>
        </w:rPr>
        <w:t>consolidated </w:t>
      </w:r>
      <w:r>
        <w:rPr>
          <w:spacing w:val="9"/>
          <w:w w:val="105"/>
        </w:rPr>
        <w:t>financial </w:t>
      </w:r>
      <w:r>
        <w:rPr>
          <w:spacing w:val="4"/>
          <w:w w:val="105"/>
        </w:rPr>
        <w:t>statements </w:t>
      </w:r>
      <w:r>
        <w:rPr>
          <w:spacing w:val="8"/>
          <w:w w:val="105"/>
        </w:rPr>
        <w:t>and </w:t>
      </w:r>
      <w:r>
        <w:rPr>
          <w:spacing w:val="6"/>
          <w:w w:val="105"/>
        </w:rPr>
        <w:t>notes </w:t>
      </w:r>
      <w:r>
        <w:rPr>
          <w:spacing w:val="3"/>
          <w:w w:val="105"/>
        </w:rPr>
        <w:t>thereto </w:t>
      </w:r>
      <w:r>
        <w:rPr>
          <w:spacing w:val="9"/>
          <w:w w:val="105"/>
        </w:rPr>
        <w:t>have </w:t>
      </w:r>
      <w:r>
        <w:rPr>
          <w:spacing w:val="12"/>
          <w:w w:val="105"/>
        </w:rPr>
        <w:t>been </w:t>
      </w:r>
      <w:r>
        <w:rPr>
          <w:spacing w:val="2"/>
          <w:w w:val="105"/>
        </w:rPr>
        <w:t>restated  </w:t>
      </w:r>
      <w:r>
        <w:rPr>
          <w:w w:val="105"/>
        </w:rPr>
        <w:t>to  </w:t>
      </w:r>
      <w:r>
        <w:rPr>
          <w:spacing w:val="6"/>
          <w:w w:val="105"/>
        </w:rPr>
        <w:t>give </w:t>
      </w:r>
      <w:r>
        <w:rPr>
          <w:spacing w:val="4"/>
          <w:w w:val="105"/>
        </w:rPr>
        <w:t>effect </w:t>
      </w:r>
      <w:r>
        <w:rPr>
          <w:w w:val="105"/>
        </w:rPr>
        <w:t>to  </w:t>
      </w:r>
      <w:r>
        <w:rPr>
          <w:spacing w:val="5"/>
          <w:w w:val="105"/>
        </w:rPr>
        <w:t>this </w:t>
      </w:r>
      <w:r>
        <w:rPr>
          <w:w w:val="105"/>
        </w:rPr>
        <w:t>stock</w:t>
      </w:r>
      <w:r>
        <w:rPr>
          <w:spacing w:val="26"/>
          <w:w w:val="105"/>
        </w:rPr>
        <w:t> </w:t>
      </w:r>
      <w:r>
        <w:rPr>
          <w:w w:val="105"/>
        </w:rPr>
        <w:t>split.</w:t>
      </w:r>
    </w:p>
    <w:p>
      <w:pPr>
        <w:pStyle w:val="BodyText"/>
        <w:spacing w:line="254" w:lineRule="auto" w:before="1"/>
        <w:ind w:left="100" w:right="135" w:firstLine="200"/>
        <w:jc w:val="both"/>
      </w:pPr>
      <w:r>
        <w:rPr>
          <w:spacing w:val="4"/>
          <w:w w:val="105"/>
        </w:rPr>
        <w:t>In </w:t>
      </w:r>
      <w:r>
        <w:rPr>
          <w:w w:val="105"/>
        </w:rPr>
        <w:t>1999, </w:t>
      </w:r>
      <w:r>
        <w:rPr>
          <w:spacing w:val="2"/>
          <w:w w:val="105"/>
        </w:rPr>
        <w:t>the </w:t>
      </w:r>
      <w:r>
        <w:rPr>
          <w:spacing w:val="6"/>
          <w:w w:val="105"/>
        </w:rPr>
        <w:t>Company’s </w:t>
      </w:r>
      <w:r>
        <w:rPr>
          <w:spacing w:val="3"/>
          <w:w w:val="105"/>
        </w:rPr>
        <w:t>Board </w:t>
      </w:r>
      <w:r>
        <w:rPr>
          <w:spacing w:val="6"/>
          <w:w w:val="105"/>
        </w:rPr>
        <w:t>of </w:t>
      </w:r>
      <w:r>
        <w:rPr>
          <w:spacing w:val="4"/>
          <w:w w:val="105"/>
        </w:rPr>
        <w:t>Directors </w:t>
      </w:r>
      <w:r>
        <w:rPr>
          <w:spacing w:val="6"/>
          <w:w w:val="105"/>
        </w:rPr>
        <w:t>authorized     </w:t>
      </w:r>
      <w:r>
        <w:rPr>
          <w:spacing w:val="2"/>
          <w:w w:val="105"/>
        </w:rPr>
        <w:t>the     </w:t>
      </w:r>
      <w:r>
        <w:rPr>
          <w:spacing w:val="5"/>
          <w:w w:val="105"/>
        </w:rPr>
        <w:t>repurchase     </w:t>
      </w:r>
      <w:r>
        <w:rPr>
          <w:spacing w:val="6"/>
          <w:w w:val="105"/>
        </w:rPr>
        <w:t>of     up    </w:t>
      </w:r>
      <w:r>
        <w:rPr>
          <w:spacing w:val="57"/>
          <w:w w:val="105"/>
        </w:rPr>
        <w:t> </w:t>
      </w:r>
      <w:r>
        <w:rPr>
          <w:w w:val="105"/>
        </w:rPr>
        <w:t>to</w:t>
      </w:r>
    </w:p>
    <w:p>
      <w:pPr>
        <w:pStyle w:val="BodyText"/>
        <w:spacing w:line="254" w:lineRule="auto" w:before="1"/>
        <w:ind w:left="100" w:right="139"/>
        <w:jc w:val="both"/>
      </w:pPr>
      <w:r>
        <w:rPr>
          <w:w w:val="105"/>
        </w:rPr>
        <w:t>$250 </w:t>
      </w:r>
      <w:r>
        <w:rPr>
          <w:spacing w:val="5"/>
          <w:w w:val="105"/>
        </w:rPr>
        <w:t>million </w:t>
      </w:r>
      <w:r>
        <w:rPr>
          <w:spacing w:val="6"/>
          <w:w w:val="105"/>
        </w:rPr>
        <w:t>of</w:t>
      </w:r>
      <w:r>
        <w:rPr>
          <w:spacing w:val="59"/>
          <w:w w:val="105"/>
        </w:rPr>
        <w:t> </w:t>
      </w:r>
      <w:r>
        <w:rPr>
          <w:spacing w:val="2"/>
          <w:w w:val="105"/>
        </w:rPr>
        <w:t>its  </w:t>
      </w:r>
      <w:r>
        <w:rPr>
          <w:spacing w:val="6"/>
          <w:w w:val="105"/>
        </w:rPr>
        <w:t>outstanding</w:t>
      </w:r>
      <w:r>
        <w:rPr>
          <w:spacing w:val="59"/>
          <w:w w:val="105"/>
        </w:rPr>
        <w:t> </w:t>
      </w:r>
      <w:r>
        <w:rPr>
          <w:spacing w:val="12"/>
          <w:w w:val="105"/>
        </w:rPr>
        <w:t>common </w:t>
      </w:r>
      <w:r>
        <w:rPr>
          <w:w w:val="105"/>
        </w:rPr>
        <w:t>stock.      </w:t>
      </w:r>
      <w:r>
        <w:rPr>
          <w:spacing w:val="6"/>
          <w:w w:val="105"/>
        </w:rPr>
        <w:t>This     </w:t>
      </w:r>
      <w:r>
        <w:rPr>
          <w:spacing w:val="4"/>
          <w:w w:val="105"/>
        </w:rPr>
        <w:t>program      </w:t>
      </w:r>
      <w:r>
        <w:rPr>
          <w:w w:val="105"/>
        </w:rPr>
        <w:t>resulted      </w:t>
      </w:r>
      <w:r>
        <w:rPr>
          <w:spacing w:val="6"/>
          <w:w w:val="105"/>
        </w:rPr>
        <w:t>in     the</w:t>
      </w:r>
    </w:p>
    <w:p>
      <w:pPr>
        <w:spacing w:after="0" w:line="254" w:lineRule="auto"/>
        <w:jc w:val="both"/>
        <w:sectPr>
          <w:type w:val="continuous"/>
          <w:pgSz w:w="11520" w:h="14400"/>
          <w:pgMar w:top="0" w:bottom="280" w:left="700" w:right="820"/>
          <w:cols w:num="2" w:equalWidth="0">
            <w:col w:w="4737" w:space="763"/>
            <w:col w:w="4500"/>
          </w:cols>
        </w:sectPr>
      </w:pPr>
    </w:p>
    <w:p>
      <w:pPr>
        <w:pStyle w:val="BodyText"/>
        <w:spacing w:line="254" w:lineRule="auto" w:before="69"/>
        <w:ind w:left="460" w:right="4"/>
        <w:jc w:val="both"/>
      </w:pPr>
      <w:bookmarkStart w:name="Stock Plans" w:id="53"/>
      <w:bookmarkEnd w:id="53"/>
      <w:r>
        <w:rPr/>
      </w:r>
      <w:r>
        <w:rPr>
          <w:spacing w:val="5"/>
          <w:w w:val="105"/>
        </w:rPr>
        <w:t>repurchase </w:t>
      </w:r>
      <w:r>
        <w:rPr>
          <w:spacing w:val="6"/>
          <w:w w:val="105"/>
        </w:rPr>
        <w:t>of</w:t>
      </w:r>
      <w:r>
        <w:rPr>
          <w:spacing w:val="59"/>
          <w:w w:val="105"/>
        </w:rPr>
        <w:t> </w:t>
      </w:r>
      <w:r>
        <w:rPr>
          <w:w w:val="105"/>
        </w:rPr>
        <w:t>18.3 </w:t>
      </w:r>
      <w:r>
        <w:rPr>
          <w:spacing w:val="5"/>
          <w:w w:val="105"/>
        </w:rPr>
        <w:t>million </w:t>
      </w:r>
      <w:r>
        <w:rPr>
          <w:spacing w:val="4"/>
          <w:w w:val="105"/>
        </w:rPr>
        <w:t>shares </w:t>
      </w:r>
      <w:r>
        <w:rPr>
          <w:spacing w:val="6"/>
          <w:w w:val="105"/>
        </w:rPr>
        <w:t>at</w:t>
      </w:r>
      <w:r>
        <w:rPr>
          <w:spacing w:val="59"/>
          <w:w w:val="105"/>
        </w:rPr>
        <w:t> </w:t>
      </w:r>
      <w:r>
        <w:rPr>
          <w:spacing w:val="12"/>
          <w:w w:val="105"/>
        </w:rPr>
        <w:t>an </w:t>
      </w:r>
      <w:r>
        <w:rPr>
          <w:spacing w:val="6"/>
          <w:w w:val="105"/>
        </w:rPr>
        <w:t>average </w:t>
      </w:r>
      <w:r>
        <w:rPr>
          <w:spacing w:val="3"/>
          <w:w w:val="105"/>
        </w:rPr>
        <w:t>cost </w:t>
      </w:r>
      <w:r>
        <w:rPr>
          <w:spacing w:val="6"/>
          <w:w w:val="105"/>
        </w:rPr>
        <w:t>of</w:t>
      </w:r>
      <w:r>
        <w:rPr>
          <w:spacing w:val="59"/>
          <w:w w:val="105"/>
        </w:rPr>
        <w:t> </w:t>
      </w:r>
      <w:r>
        <w:rPr>
          <w:w w:val="105"/>
        </w:rPr>
        <w:t>$10.85 </w:t>
      </w:r>
      <w:r>
        <w:rPr>
          <w:spacing w:val="8"/>
          <w:w w:val="105"/>
        </w:rPr>
        <w:t>per </w:t>
      </w:r>
      <w:r>
        <w:rPr>
          <w:spacing w:val="3"/>
          <w:w w:val="105"/>
        </w:rPr>
        <w:t>share </w:t>
      </w:r>
      <w:r>
        <w:rPr>
          <w:spacing w:val="7"/>
          <w:w w:val="105"/>
        </w:rPr>
        <w:t>between </w:t>
      </w:r>
      <w:r>
        <w:rPr>
          <w:spacing w:val="6"/>
          <w:w w:val="105"/>
        </w:rPr>
        <w:t>October </w:t>
      </w:r>
      <w:r>
        <w:rPr>
          <w:w w:val="105"/>
        </w:rPr>
        <w:t>1999 </w:t>
      </w:r>
      <w:r>
        <w:rPr>
          <w:spacing w:val="8"/>
          <w:w w:val="105"/>
        </w:rPr>
        <w:t>and </w:t>
      </w:r>
      <w:r>
        <w:rPr>
          <w:spacing w:val="9"/>
          <w:w w:val="105"/>
        </w:rPr>
        <w:t>December </w:t>
      </w:r>
      <w:r>
        <w:rPr>
          <w:w w:val="105"/>
        </w:rPr>
        <w:t>2000.  All  </w:t>
      </w:r>
      <w:r>
        <w:rPr>
          <w:spacing w:val="6"/>
          <w:w w:val="105"/>
        </w:rPr>
        <w:t>of </w:t>
      </w:r>
      <w:r>
        <w:rPr>
          <w:spacing w:val="3"/>
          <w:w w:val="105"/>
        </w:rPr>
        <w:t>these </w:t>
      </w:r>
      <w:r>
        <w:rPr>
          <w:spacing w:val="7"/>
          <w:w w:val="105"/>
        </w:rPr>
        <w:t>acquired </w:t>
      </w:r>
      <w:r>
        <w:rPr>
          <w:spacing w:val="4"/>
          <w:w w:val="105"/>
        </w:rPr>
        <w:t>shares were </w:t>
      </w:r>
      <w:r>
        <w:rPr>
          <w:spacing w:val="5"/>
          <w:w w:val="105"/>
        </w:rPr>
        <w:t>subsequently </w:t>
      </w:r>
      <w:r>
        <w:rPr>
          <w:spacing w:val="4"/>
          <w:w w:val="105"/>
        </w:rPr>
        <w:t>reissued </w:t>
      </w:r>
      <w:r>
        <w:rPr>
          <w:spacing w:val="9"/>
          <w:w w:val="105"/>
        </w:rPr>
        <w:t>under </w:t>
      </w:r>
      <w:r>
        <w:rPr>
          <w:spacing w:val="6"/>
          <w:w w:val="105"/>
        </w:rPr>
        <w:t>Employee</w:t>
      </w:r>
      <w:r>
        <w:rPr>
          <w:spacing w:val="59"/>
          <w:w w:val="105"/>
        </w:rPr>
        <w:t> </w:t>
      </w:r>
      <w:r>
        <w:rPr>
          <w:w w:val="105"/>
        </w:rPr>
        <w:t>stock </w:t>
      </w:r>
      <w:r>
        <w:rPr>
          <w:spacing w:val="4"/>
          <w:w w:val="105"/>
        </w:rPr>
        <w:t>plans. No shares were  </w:t>
      </w:r>
      <w:r>
        <w:rPr>
          <w:spacing w:val="5"/>
          <w:w w:val="105"/>
        </w:rPr>
        <w:t>repurchased  </w:t>
      </w:r>
      <w:r>
        <w:rPr>
          <w:spacing w:val="6"/>
          <w:w w:val="105"/>
        </w:rPr>
        <w:t>in  </w:t>
      </w:r>
      <w:r>
        <w:rPr>
          <w:w w:val="105"/>
        </w:rPr>
        <w:t>2002  </w:t>
      </w:r>
      <w:r>
        <w:rPr>
          <w:spacing w:val="6"/>
          <w:w w:val="105"/>
        </w:rPr>
        <w:t>or</w:t>
      </w:r>
      <w:r>
        <w:rPr>
          <w:spacing w:val="27"/>
          <w:w w:val="105"/>
        </w:rPr>
        <w:t> </w:t>
      </w:r>
      <w:r>
        <w:rPr>
          <w:w w:val="105"/>
        </w:rPr>
        <w:t>2001.</w:t>
      </w:r>
    </w:p>
    <w:p>
      <w:pPr>
        <w:pStyle w:val="BodyText"/>
        <w:spacing w:before="11"/>
        <w:rPr>
          <w:sz w:val="21"/>
        </w:rPr>
      </w:pPr>
    </w:p>
    <w:p>
      <w:pPr>
        <w:pStyle w:val="ListParagraph"/>
        <w:numPr>
          <w:ilvl w:val="0"/>
          <w:numId w:val="6"/>
        </w:numPr>
        <w:tabs>
          <w:tab w:pos="460" w:val="left" w:leader="none"/>
        </w:tabs>
        <w:spacing w:line="240" w:lineRule="auto" w:before="0" w:after="0"/>
        <w:ind w:left="459" w:right="0" w:hanging="359"/>
        <w:jc w:val="left"/>
        <w:rPr>
          <w:rFonts w:ascii="Franklin Gothic Medium"/>
          <w:sz w:val="20"/>
        </w:rPr>
      </w:pPr>
      <w:r>
        <w:rPr>
          <w:rFonts w:ascii="Franklin Gothic Medium"/>
          <w:spacing w:val="4"/>
          <w:sz w:val="20"/>
        </w:rPr>
        <w:t>Stock</w:t>
      </w:r>
      <w:r>
        <w:rPr>
          <w:rFonts w:ascii="Franklin Gothic Medium"/>
          <w:spacing w:val="26"/>
          <w:sz w:val="20"/>
        </w:rPr>
        <w:t> </w:t>
      </w:r>
      <w:r>
        <w:rPr>
          <w:rFonts w:ascii="Franklin Gothic Medium"/>
          <w:spacing w:val="6"/>
          <w:sz w:val="20"/>
        </w:rPr>
        <w:t>Plans</w:t>
      </w:r>
    </w:p>
    <w:p>
      <w:pPr>
        <w:pStyle w:val="BodyText"/>
        <w:spacing w:before="2"/>
        <w:rPr>
          <w:rFonts w:ascii="Franklin Gothic Medium"/>
          <w:sz w:val="25"/>
        </w:rPr>
      </w:pPr>
    </w:p>
    <w:p>
      <w:pPr>
        <w:pStyle w:val="BodyText"/>
        <w:spacing w:line="254" w:lineRule="auto"/>
        <w:ind w:left="460" w:firstLine="200"/>
        <w:jc w:val="both"/>
      </w:pPr>
      <w:r>
        <w:rPr>
          <w:w w:val="105"/>
        </w:rPr>
        <w:t>The Company has stock plans </w:t>
      </w:r>
      <w:r>
        <w:rPr>
          <w:spacing w:val="8"/>
          <w:w w:val="105"/>
        </w:rPr>
        <w:t>covering </w:t>
      </w:r>
      <w:r>
        <w:rPr>
          <w:w w:val="105"/>
        </w:rPr>
        <w:t>Employees subject to collective </w:t>
      </w:r>
      <w:r>
        <w:rPr>
          <w:spacing w:val="8"/>
          <w:w w:val="105"/>
        </w:rPr>
        <w:t>bargaining </w:t>
      </w:r>
      <w:r>
        <w:rPr>
          <w:spacing w:val="2"/>
          <w:w w:val="105"/>
        </w:rPr>
        <w:t>agreements </w:t>
      </w:r>
      <w:r>
        <w:rPr>
          <w:w w:val="105"/>
        </w:rPr>
        <w:t>(collective </w:t>
      </w:r>
      <w:r>
        <w:rPr>
          <w:spacing w:val="3"/>
          <w:w w:val="105"/>
        </w:rPr>
        <w:t>bargaining </w:t>
      </w:r>
      <w:r>
        <w:rPr>
          <w:w w:val="105"/>
        </w:rPr>
        <w:t>plans) </w:t>
      </w:r>
      <w:r>
        <w:rPr>
          <w:spacing w:val="12"/>
          <w:w w:val="105"/>
        </w:rPr>
        <w:t>and </w:t>
      </w:r>
      <w:r>
        <w:rPr>
          <w:w w:val="105"/>
        </w:rPr>
        <w:t>stock  plans  </w:t>
      </w:r>
      <w:r>
        <w:rPr>
          <w:spacing w:val="2"/>
          <w:w w:val="105"/>
        </w:rPr>
        <w:t>covering  Employees  </w:t>
      </w:r>
      <w:r>
        <w:rPr>
          <w:w w:val="105"/>
        </w:rPr>
        <w:t>not   </w:t>
      </w:r>
      <w:r>
        <w:rPr>
          <w:spacing w:val="4"/>
          <w:w w:val="105"/>
        </w:rPr>
        <w:t>subject </w:t>
      </w:r>
      <w:r>
        <w:rPr>
          <w:w w:val="105"/>
        </w:rPr>
        <w:t>to collective </w:t>
      </w:r>
      <w:r>
        <w:rPr>
          <w:spacing w:val="3"/>
          <w:w w:val="105"/>
        </w:rPr>
        <w:t>bargaining </w:t>
      </w:r>
      <w:r>
        <w:rPr>
          <w:spacing w:val="2"/>
          <w:w w:val="105"/>
        </w:rPr>
        <w:t>agreements </w:t>
      </w:r>
      <w:r>
        <w:rPr>
          <w:spacing w:val="5"/>
          <w:w w:val="105"/>
        </w:rPr>
        <w:t>(other </w:t>
      </w:r>
      <w:r>
        <w:rPr>
          <w:spacing w:val="2"/>
          <w:w w:val="105"/>
        </w:rPr>
        <w:t>Employee </w:t>
      </w:r>
      <w:r>
        <w:rPr>
          <w:w w:val="105"/>
        </w:rPr>
        <w:t>plans). None of the </w:t>
      </w:r>
      <w:r>
        <w:rPr>
          <w:spacing w:val="5"/>
          <w:w w:val="105"/>
        </w:rPr>
        <w:t>collective </w:t>
      </w:r>
      <w:r>
        <w:rPr>
          <w:spacing w:val="3"/>
          <w:w w:val="105"/>
        </w:rPr>
        <w:t>bargaining</w:t>
      </w:r>
      <w:r>
        <w:rPr>
          <w:spacing w:val="53"/>
          <w:w w:val="105"/>
        </w:rPr>
        <w:t> </w:t>
      </w:r>
      <w:r>
        <w:rPr>
          <w:w w:val="105"/>
        </w:rPr>
        <w:t>plans  were  </w:t>
      </w:r>
      <w:r>
        <w:rPr>
          <w:spacing w:val="2"/>
          <w:w w:val="105"/>
        </w:rPr>
        <w:t>required  </w:t>
      </w:r>
      <w:r>
        <w:rPr>
          <w:w w:val="105"/>
        </w:rPr>
        <w:t>to   </w:t>
      </w:r>
      <w:r>
        <w:rPr>
          <w:spacing w:val="11"/>
          <w:w w:val="105"/>
        </w:rPr>
        <w:t>be </w:t>
      </w:r>
      <w:r>
        <w:rPr>
          <w:w w:val="105"/>
        </w:rPr>
        <w:t>approved by shareholders. Options granted </w:t>
      </w:r>
      <w:r>
        <w:rPr>
          <w:spacing w:val="4"/>
          <w:w w:val="105"/>
        </w:rPr>
        <w:t>to </w:t>
      </w:r>
      <w:r>
        <w:rPr>
          <w:w w:val="105"/>
        </w:rPr>
        <w:t>Employees under  collective  </w:t>
      </w:r>
      <w:r>
        <w:rPr>
          <w:spacing w:val="3"/>
          <w:w w:val="105"/>
        </w:rPr>
        <w:t>bargaining</w:t>
      </w:r>
      <w:r>
        <w:rPr>
          <w:spacing w:val="53"/>
          <w:w w:val="105"/>
        </w:rPr>
        <w:t> </w:t>
      </w:r>
      <w:r>
        <w:rPr>
          <w:spacing w:val="6"/>
          <w:w w:val="105"/>
        </w:rPr>
        <w:t>plans </w:t>
      </w:r>
      <w:r>
        <w:rPr>
          <w:w w:val="105"/>
        </w:rPr>
        <w:t>are granted at or </w:t>
      </w:r>
      <w:r>
        <w:rPr>
          <w:spacing w:val="3"/>
          <w:w w:val="105"/>
        </w:rPr>
        <w:t>above </w:t>
      </w:r>
      <w:r>
        <w:rPr>
          <w:w w:val="105"/>
        </w:rPr>
        <w:t>the fair  market  </w:t>
      </w:r>
      <w:r>
        <w:rPr>
          <w:spacing w:val="10"/>
          <w:w w:val="105"/>
        </w:rPr>
        <w:t>value  </w:t>
      </w:r>
      <w:r>
        <w:rPr>
          <w:w w:val="105"/>
        </w:rPr>
        <w:t>of the Company’s common  stock  on  the  </w:t>
      </w:r>
      <w:r>
        <w:rPr>
          <w:spacing w:val="10"/>
          <w:w w:val="105"/>
        </w:rPr>
        <w:t>date </w:t>
      </w:r>
      <w:r>
        <w:rPr>
          <w:w w:val="105"/>
        </w:rPr>
        <w:t>of  grant,  generally   </w:t>
      </w:r>
      <w:r>
        <w:rPr>
          <w:spacing w:val="2"/>
          <w:w w:val="105"/>
        </w:rPr>
        <w:t>have   </w:t>
      </w:r>
      <w:r>
        <w:rPr>
          <w:w w:val="105"/>
        </w:rPr>
        <w:t>terms   ranging  </w:t>
      </w:r>
      <w:r>
        <w:rPr>
          <w:spacing w:val="24"/>
          <w:w w:val="105"/>
        </w:rPr>
        <w:t> </w:t>
      </w:r>
      <w:r>
        <w:rPr>
          <w:spacing w:val="8"/>
          <w:w w:val="105"/>
        </w:rPr>
        <w:t>from</w:t>
      </w:r>
    </w:p>
    <w:p>
      <w:pPr>
        <w:pStyle w:val="BodyText"/>
        <w:spacing w:line="254" w:lineRule="auto" w:before="69"/>
        <w:ind w:left="100" w:right="106"/>
        <w:jc w:val="both"/>
      </w:pPr>
      <w:r>
        <w:rPr/>
        <w:br w:type="column"/>
      </w:r>
      <w:r>
        <w:rPr>
          <w:w w:val="105"/>
        </w:rPr>
        <w:t>six to 12  years,  and  vest  primarily  </w:t>
      </w:r>
      <w:r>
        <w:rPr>
          <w:spacing w:val="12"/>
          <w:w w:val="105"/>
        </w:rPr>
        <w:t>in </w:t>
      </w:r>
      <w:r>
        <w:rPr>
          <w:spacing w:val="3"/>
          <w:w w:val="105"/>
        </w:rPr>
        <w:t>accordance </w:t>
      </w:r>
      <w:r>
        <w:rPr>
          <w:w w:val="105"/>
        </w:rPr>
        <w:t>with the </w:t>
      </w:r>
      <w:r>
        <w:rPr>
          <w:spacing w:val="2"/>
          <w:w w:val="105"/>
        </w:rPr>
        <w:t>period covered </w:t>
      </w:r>
      <w:r>
        <w:rPr>
          <w:w w:val="105"/>
        </w:rPr>
        <w:t>by </w:t>
      </w:r>
      <w:r>
        <w:rPr>
          <w:spacing w:val="6"/>
          <w:w w:val="105"/>
        </w:rPr>
        <w:t>the </w:t>
      </w:r>
      <w:r>
        <w:rPr>
          <w:spacing w:val="2"/>
          <w:w w:val="105"/>
        </w:rPr>
        <w:t>respective </w:t>
      </w:r>
      <w:r>
        <w:rPr>
          <w:w w:val="105"/>
        </w:rPr>
        <w:t>collective </w:t>
      </w:r>
      <w:r>
        <w:rPr>
          <w:spacing w:val="3"/>
          <w:w w:val="105"/>
        </w:rPr>
        <w:t>bargaining </w:t>
      </w:r>
      <w:r>
        <w:rPr>
          <w:spacing w:val="7"/>
          <w:w w:val="105"/>
        </w:rPr>
        <w:t>agreement. </w:t>
      </w:r>
      <w:r>
        <w:rPr>
          <w:w w:val="105"/>
        </w:rPr>
        <w:t>Neither  </w:t>
      </w:r>
      <w:r>
        <w:rPr>
          <w:spacing w:val="3"/>
          <w:w w:val="105"/>
        </w:rPr>
        <w:t>Executive</w:t>
      </w:r>
      <w:r>
        <w:rPr>
          <w:spacing w:val="53"/>
          <w:w w:val="105"/>
        </w:rPr>
        <w:t> </w:t>
      </w:r>
      <w:r>
        <w:rPr>
          <w:w w:val="105"/>
        </w:rPr>
        <w:t>Officers  nor  </w:t>
      </w:r>
      <w:r>
        <w:rPr>
          <w:spacing w:val="2"/>
          <w:w w:val="105"/>
        </w:rPr>
        <w:t>members   </w:t>
      </w:r>
      <w:r>
        <w:rPr>
          <w:spacing w:val="6"/>
          <w:w w:val="105"/>
        </w:rPr>
        <w:t>of </w:t>
      </w:r>
      <w:r>
        <w:rPr>
          <w:w w:val="105"/>
        </w:rPr>
        <w:t>the Company’s Board  of  Directors  are  </w:t>
      </w:r>
      <w:r>
        <w:rPr>
          <w:spacing w:val="6"/>
          <w:w w:val="105"/>
        </w:rPr>
        <w:t>eligible </w:t>
      </w:r>
      <w:r>
        <w:rPr>
          <w:w w:val="105"/>
        </w:rPr>
        <w:t>to </w:t>
      </w:r>
      <w:r>
        <w:rPr>
          <w:spacing w:val="2"/>
          <w:w w:val="105"/>
        </w:rPr>
        <w:t>participate </w:t>
      </w:r>
      <w:r>
        <w:rPr>
          <w:w w:val="105"/>
        </w:rPr>
        <w:t>in any of these </w:t>
      </w:r>
      <w:r>
        <w:rPr>
          <w:spacing w:val="5"/>
          <w:w w:val="105"/>
        </w:rPr>
        <w:t>collective </w:t>
      </w:r>
      <w:r>
        <w:rPr>
          <w:spacing w:val="3"/>
          <w:w w:val="105"/>
        </w:rPr>
        <w:t>bargaining </w:t>
      </w:r>
      <w:r>
        <w:rPr>
          <w:w w:val="105"/>
        </w:rPr>
        <w:t>plans. Options granted to  </w:t>
      </w:r>
      <w:r>
        <w:rPr>
          <w:spacing w:val="5"/>
          <w:w w:val="105"/>
        </w:rPr>
        <w:t>Employ- </w:t>
      </w:r>
      <w:r>
        <w:rPr>
          <w:w w:val="105"/>
        </w:rPr>
        <w:t>ees  through  other  </w:t>
      </w:r>
      <w:r>
        <w:rPr>
          <w:spacing w:val="2"/>
          <w:w w:val="105"/>
        </w:rPr>
        <w:t>Employee   </w:t>
      </w:r>
      <w:r>
        <w:rPr>
          <w:w w:val="105"/>
        </w:rPr>
        <w:t>plans   </w:t>
      </w:r>
      <w:r>
        <w:rPr>
          <w:spacing w:val="6"/>
          <w:w w:val="105"/>
        </w:rPr>
        <w:t>are </w:t>
      </w:r>
      <w:r>
        <w:rPr>
          <w:w w:val="105"/>
        </w:rPr>
        <w:t>granted at the fair market value of  </w:t>
      </w:r>
      <w:r>
        <w:rPr>
          <w:spacing w:val="6"/>
          <w:w w:val="105"/>
        </w:rPr>
        <w:t>the </w:t>
      </w:r>
      <w:r>
        <w:rPr>
          <w:w w:val="105"/>
        </w:rPr>
        <w:t>Company’s  </w:t>
      </w:r>
      <w:r>
        <w:rPr>
          <w:spacing w:val="3"/>
          <w:w w:val="105"/>
        </w:rPr>
        <w:t>common</w:t>
      </w:r>
      <w:r>
        <w:rPr>
          <w:spacing w:val="53"/>
          <w:w w:val="105"/>
        </w:rPr>
        <w:t> </w:t>
      </w:r>
      <w:r>
        <w:rPr>
          <w:w w:val="105"/>
        </w:rPr>
        <w:t>stock  on  the  date  </w:t>
      </w:r>
      <w:r>
        <w:rPr>
          <w:spacing w:val="6"/>
          <w:w w:val="105"/>
        </w:rPr>
        <w:t>of </w:t>
      </w:r>
      <w:r>
        <w:rPr>
          <w:w w:val="105"/>
        </w:rPr>
        <w:t>grant, </w:t>
      </w:r>
      <w:r>
        <w:rPr>
          <w:spacing w:val="2"/>
          <w:w w:val="105"/>
        </w:rPr>
        <w:t>have </w:t>
      </w:r>
      <w:r>
        <w:rPr>
          <w:w w:val="105"/>
        </w:rPr>
        <w:t>ten-year terms, and vest  </w:t>
      </w:r>
      <w:r>
        <w:rPr>
          <w:spacing w:val="12"/>
          <w:w w:val="105"/>
        </w:rPr>
        <w:t>and </w:t>
      </w:r>
      <w:r>
        <w:rPr>
          <w:spacing w:val="3"/>
          <w:w w:val="105"/>
        </w:rPr>
        <w:t>become </w:t>
      </w:r>
      <w:r>
        <w:rPr>
          <w:w w:val="105"/>
        </w:rPr>
        <w:t>fully </w:t>
      </w:r>
      <w:r>
        <w:rPr>
          <w:spacing w:val="2"/>
          <w:w w:val="105"/>
        </w:rPr>
        <w:t>exercisable  </w:t>
      </w:r>
      <w:r>
        <w:rPr>
          <w:w w:val="105"/>
        </w:rPr>
        <w:t>over  three,  five,  </w:t>
      </w:r>
      <w:r>
        <w:rPr>
          <w:spacing w:val="4"/>
          <w:w w:val="105"/>
        </w:rPr>
        <w:t>or </w:t>
      </w:r>
      <w:r>
        <w:rPr>
          <w:w w:val="105"/>
        </w:rPr>
        <w:t>ten years of  </w:t>
      </w:r>
      <w:r>
        <w:rPr>
          <w:spacing w:val="3"/>
          <w:w w:val="105"/>
        </w:rPr>
        <w:t>continued</w:t>
      </w:r>
      <w:r>
        <w:rPr>
          <w:spacing w:val="53"/>
          <w:w w:val="105"/>
        </w:rPr>
        <w:t> </w:t>
      </w:r>
      <w:r>
        <w:rPr>
          <w:spacing w:val="7"/>
          <w:w w:val="105"/>
        </w:rPr>
        <w:t>employment, </w:t>
      </w:r>
      <w:r>
        <w:rPr>
          <w:spacing w:val="4"/>
          <w:w w:val="105"/>
        </w:rPr>
        <w:t>depending </w:t>
      </w:r>
      <w:r>
        <w:rPr>
          <w:spacing w:val="2"/>
          <w:w w:val="105"/>
        </w:rPr>
        <w:t>upon </w:t>
      </w:r>
      <w:r>
        <w:rPr>
          <w:w w:val="105"/>
        </w:rPr>
        <w:t>the grant type. All of  </w:t>
      </w:r>
      <w:r>
        <w:rPr>
          <w:spacing w:val="7"/>
          <w:w w:val="105"/>
        </w:rPr>
        <w:t>these </w:t>
      </w:r>
      <w:r>
        <w:rPr>
          <w:w w:val="105"/>
        </w:rPr>
        <w:t>other  </w:t>
      </w:r>
      <w:r>
        <w:rPr>
          <w:spacing w:val="2"/>
          <w:w w:val="105"/>
        </w:rPr>
        <w:t>Employee  </w:t>
      </w:r>
      <w:r>
        <w:rPr>
          <w:w w:val="105"/>
        </w:rPr>
        <w:t>plans  </w:t>
      </w:r>
      <w:r>
        <w:rPr>
          <w:spacing w:val="2"/>
          <w:w w:val="105"/>
        </w:rPr>
        <w:t>have   been   </w:t>
      </w:r>
      <w:r>
        <w:rPr>
          <w:spacing w:val="11"/>
          <w:w w:val="105"/>
        </w:rPr>
        <w:t>approved </w:t>
      </w:r>
      <w:r>
        <w:rPr>
          <w:w w:val="105"/>
        </w:rPr>
        <w:t>by shareholders except the plan </w:t>
      </w:r>
      <w:r>
        <w:rPr>
          <w:spacing w:val="8"/>
          <w:w w:val="105"/>
        </w:rPr>
        <w:t>covering </w:t>
      </w:r>
      <w:r>
        <w:rPr>
          <w:spacing w:val="4"/>
          <w:w w:val="105"/>
        </w:rPr>
        <w:t>non-management, </w:t>
      </w:r>
      <w:r>
        <w:rPr>
          <w:w w:val="105"/>
        </w:rPr>
        <w:t>non-contract </w:t>
      </w:r>
      <w:r>
        <w:rPr>
          <w:spacing w:val="6"/>
          <w:w w:val="105"/>
        </w:rPr>
        <w:t>Employees, </w:t>
      </w:r>
      <w:r>
        <w:rPr>
          <w:w w:val="105"/>
        </w:rPr>
        <w:t>which had 6.8 </w:t>
      </w:r>
      <w:r>
        <w:rPr>
          <w:spacing w:val="2"/>
          <w:w w:val="105"/>
        </w:rPr>
        <w:t>million options outstanding </w:t>
      </w:r>
      <w:r>
        <w:rPr>
          <w:spacing w:val="4"/>
          <w:w w:val="105"/>
        </w:rPr>
        <w:t>to </w:t>
      </w:r>
      <w:r>
        <w:rPr>
          <w:spacing w:val="2"/>
          <w:w w:val="105"/>
        </w:rPr>
        <w:t>purchase  </w:t>
      </w:r>
      <w:r>
        <w:rPr>
          <w:w w:val="105"/>
        </w:rPr>
        <w:t>the  Company’s  </w:t>
      </w:r>
      <w:r>
        <w:rPr>
          <w:spacing w:val="3"/>
          <w:w w:val="105"/>
        </w:rPr>
        <w:t>common</w:t>
      </w:r>
      <w:r>
        <w:rPr>
          <w:spacing w:val="53"/>
          <w:w w:val="105"/>
        </w:rPr>
        <w:t> </w:t>
      </w:r>
      <w:r>
        <w:rPr>
          <w:w w:val="105"/>
        </w:rPr>
        <w:t>stock  </w:t>
      </w:r>
      <w:r>
        <w:rPr>
          <w:spacing w:val="12"/>
          <w:w w:val="105"/>
        </w:rPr>
        <w:t>and </w:t>
      </w:r>
      <w:r>
        <w:rPr>
          <w:w w:val="105"/>
        </w:rPr>
        <w:t>an </w:t>
      </w:r>
      <w:r>
        <w:rPr>
          <w:spacing w:val="3"/>
          <w:w w:val="105"/>
        </w:rPr>
        <w:t>additional </w:t>
      </w:r>
      <w:r>
        <w:rPr>
          <w:w w:val="105"/>
        </w:rPr>
        <w:t>2.0 million shares  </w:t>
      </w:r>
      <w:r>
        <w:rPr>
          <w:spacing w:val="2"/>
          <w:w w:val="105"/>
        </w:rPr>
        <w:t>available  </w:t>
      </w:r>
      <w:r>
        <w:rPr>
          <w:spacing w:val="4"/>
          <w:w w:val="105"/>
        </w:rPr>
        <w:t>to </w:t>
      </w:r>
      <w:r>
        <w:rPr>
          <w:w w:val="105"/>
        </w:rPr>
        <w:t>grant  as  of  December  31, </w:t>
      </w:r>
      <w:r>
        <w:rPr>
          <w:spacing w:val="41"/>
          <w:w w:val="105"/>
        </w:rPr>
        <w:t> </w:t>
      </w:r>
      <w:r>
        <w:rPr>
          <w:w w:val="105"/>
        </w:rPr>
        <w:t>2002.</w:t>
      </w:r>
    </w:p>
    <w:p>
      <w:pPr>
        <w:spacing w:after="0" w:line="254" w:lineRule="auto"/>
        <w:jc w:val="both"/>
        <w:sectPr>
          <w:headerReference w:type="default" r:id="rId143"/>
          <w:footerReference w:type="default" r:id="rId144"/>
          <w:footerReference w:type="even" r:id="rId145"/>
          <w:pgSz w:w="11520" w:h="14400"/>
          <w:pgMar w:header="0" w:footer="706" w:top="960" w:bottom="900" w:left="700" w:right="840"/>
          <w:pgNumType w:start="47"/>
          <w:cols w:num="2" w:equalWidth="0">
            <w:col w:w="4731" w:space="769"/>
            <w:col w:w="4480"/>
          </w:cols>
        </w:sectPr>
      </w:pPr>
    </w:p>
    <w:p>
      <w:pPr>
        <w:pStyle w:val="BodyText"/>
        <w:spacing w:line="254" w:lineRule="auto" w:before="69"/>
        <w:ind w:left="460" w:right="179" w:firstLine="200"/>
      </w:pPr>
      <w:r>
        <w:rPr>
          <w:w w:val="110"/>
        </w:rPr>
        <w:t>Aggregated information regarding the Company’s fixed stock option plans, as  adjusted  for  stock splits,  is  summarized below:</w:t>
      </w:r>
    </w:p>
    <w:p>
      <w:pPr>
        <w:pStyle w:val="BodyText"/>
        <w:spacing w:before="11"/>
        <w:rPr>
          <w:sz w:val="18"/>
        </w:rPr>
      </w:pPr>
    </w:p>
    <w:p>
      <w:pPr>
        <w:pStyle w:val="BodyText"/>
        <w:spacing w:line="20" w:lineRule="exact"/>
        <w:ind w:left="4110"/>
        <w:rPr>
          <w:sz w:val="2"/>
        </w:rPr>
      </w:pPr>
      <w:r>
        <w:rPr>
          <w:sz w:val="2"/>
        </w:rPr>
        <w:pict>
          <v:group style="width:277pt;height:1pt;mso-position-horizontal-relative:char;mso-position-vertical-relative:line" coordorigin="0,0" coordsize="5540,20">
            <v:line style="position:absolute" from="10,10" to="5530,10" stroked="true" strokeweight="1pt" strokecolor="#000000">
              <v:stroke dashstyle="solid"/>
            </v:line>
          </v:group>
        </w:pict>
      </w:r>
      <w:r>
        <w:rPr>
          <w:sz w:val="2"/>
        </w:rPr>
      </w:r>
    </w:p>
    <w:p>
      <w:pPr>
        <w:spacing w:after="0" w:line="20" w:lineRule="exact"/>
        <w:rPr>
          <w:sz w:val="2"/>
        </w:rPr>
        <w:sectPr>
          <w:headerReference w:type="default" r:id="rId146"/>
          <w:pgSz w:w="11520" w:h="14400"/>
          <w:pgMar w:header="0" w:footer="706" w:top="960" w:bottom="900" w:left="700" w:right="820"/>
        </w:sectPr>
      </w:pPr>
    </w:p>
    <w:p>
      <w:pPr>
        <w:spacing w:line="200" w:lineRule="exact" w:before="40"/>
        <w:ind w:left="4579" w:right="0" w:firstLine="340"/>
        <w:jc w:val="left"/>
        <w:rPr>
          <w:rFonts w:ascii="Franklin Gothic Medium"/>
          <w:sz w:val="18"/>
        </w:rPr>
      </w:pPr>
      <w:r>
        <w:rPr/>
        <w:pict>
          <v:line style="position:absolute;mso-position-horizontal-relative:page;mso-position-vertical-relative:paragraph;z-index:6928" from="241pt,24.500122pt" to="381pt,24.500122pt" stroked="true" strokeweight="1pt" strokecolor="#000000">
            <v:stroke dashstyle="solid"/>
            <w10:wrap type="none"/>
          </v:line>
        </w:pict>
      </w:r>
      <w:r>
        <w:rPr>
          <w:rFonts w:ascii="Franklin Gothic Medium"/>
          <w:sz w:val="18"/>
        </w:rPr>
        <w:t>COLLECTIVE BARGAINING  PLANS</w:t>
      </w:r>
    </w:p>
    <w:p>
      <w:pPr>
        <w:spacing w:before="155"/>
        <w:ind w:left="0" w:right="0" w:firstLine="0"/>
        <w:jc w:val="right"/>
        <w:rPr>
          <w:rFonts w:ascii="Franklin Gothic Medium"/>
          <w:sz w:val="18"/>
        </w:rPr>
      </w:pPr>
      <w:r>
        <w:rPr>
          <w:rFonts w:ascii="Franklin Gothic Medium"/>
          <w:sz w:val="18"/>
        </w:rPr>
        <w:t>Average</w:t>
      </w:r>
    </w:p>
    <w:p>
      <w:pPr>
        <w:spacing w:before="135"/>
        <w:ind w:left="547" w:right="0" w:firstLine="0"/>
        <w:jc w:val="left"/>
        <w:rPr>
          <w:rFonts w:ascii="Franklin Gothic Medium"/>
          <w:sz w:val="18"/>
        </w:rPr>
      </w:pPr>
      <w:r>
        <w:rPr/>
        <w:br w:type="column"/>
      </w:r>
      <w:r>
        <w:rPr>
          <w:rFonts w:ascii="Franklin Gothic Medium"/>
          <w:sz w:val="18"/>
        </w:rPr>
        <w:t>OTHER  EMPLOYEE  PLANS</w:t>
      </w:r>
    </w:p>
    <w:p>
      <w:pPr>
        <w:pStyle w:val="BodyText"/>
        <w:spacing w:before="11"/>
        <w:rPr>
          <w:rFonts w:ascii="Franklin Gothic Medium"/>
          <w:sz w:val="8"/>
        </w:rPr>
      </w:pPr>
      <w:r>
        <w:rPr/>
        <w:pict>
          <v:line style="position:absolute;mso-position-horizontal-relative:page;mso-position-vertical-relative:paragraph;z-index:6880;mso-wrap-distance-left:0;mso-wrap-distance-right:0" from="386pt,7.544189pt" to="517pt,7.544189pt" stroked="true" strokeweight="1pt" strokecolor="#000000">
            <v:stroke dashstyle="solid"/>
            <w10:wrap type="topAndBottom"/>
          </v:line>
        </w:pict>
      </w:r>
    </w:p>
    <w:p>
      <w:pPr>
        <w:spacing w:before="66"/>
        <w:ind w:left="1967" w:right="0" w:firstLine="0"/>
        <w:jc w:val="left"/>
        <w:rPr>
          <w:rFonts w:ascii="Franklin Gothic Medium"/>
          <w:sz w:val="18"/>
        </w:rPr>
      </w:pPr>
      <w:r>
        <w:rPr>
          <w:rFonts w:ascii="Franklin Gothic Medium"/>
          <w:sz w:val="18"/>
        </w:rPr>
        <w:t>Average</w:t>
      </w:r>
    </w:p>
    <w:p>
      <w:pPr>
        <w:spacing w:after="0"/>
        <w:jc w:val="left"/>
        <w:rPr>
          <w:rFonts w:ascii="Franklin Gothic Medium"/>
          <w:sz w:val="18"/>
        </w:rPr>
        <w:sectPr>
          <w:type w:val="continuous"/>
          <w:pgSz w:w="11520" w:h="14400"/>
          <w:pgMar w:top="0" w:bottom="280" w:left="700" w:right="820"/>
          <w:cols w:num="2" w:equalWidth="0">
            <w:col w:w="6533" w:space="40"/>
            <w:col w:w="3427"/>
          </w:cols>
        </w:sectPr>
      </w:pPr>
    </w:p>
    <w:tbl>
      <w:tblPr>
        <w:tblW w:w="0" w:type="auto"/>
        <w:jc w:val="left"/>
        <w:tblInd w:w="4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612"/>
        <w:gridCol w:w="1408"/>
        <w:gridCol w:w="1422"/>
        <w:gridCol w:w="1318"/>
        <w:gridCol w:w="1420"/>
      </w:tblGrid>
      <w:tr>
        <w:trPr>
          <w:trHeight w:val="227" w:hRule="exact"/>
        </w:trPr>
        <w:tc>
          <w:tcPr>
            <w:tcW w:w="3612" w:type="dxa"/>
            <w:tcBorders>
              <w:bottom w:val="single" w:sz="8" w:space="0" w:color="000000"/>
            </w:tcBorders>
          </w:tcPr>
          <w:p>
            <w:pPr>
              <w:pStyle w:val="TableParagraph"/>
              <w:spacing w:line="215" w:lineRule="exact"/>
              <w:ind w:left="300"/>
              <w:rPr>
                <w:i/>
                <w:sz w:val="16"/>
              </w:rPr>
            </w:pPr>
            <w:r>
              <w:rPr>
                <w:i/>
                <w:w w:val="105"/>
                <w:sz w:val="20"/>
              </w:rPr>
              <w:t>(</w:t>
            </w:r>
            <w:r>
              <w:rPr>
                <w:i/>
                <w:w w:val="105"/>
                <w:sz w:val="16"/>
              </w:rPr>
              <w:t>In  thousands,   except   exercise  prices)</w:t>
            </w:r>
          </w:p>
        </w:tc>
        <w:tc>
          <w:tcPr>
            <w:tcW w:w="1408" w:type="dxa"/>
            <w:tcBorders>
              <w:bottom w:val="single" w:sz="8" w:space="0" w:color="000000"/>
            </w:tcBorders>
          </w:tcPr>
          <w:p>
            <w:pPr>
              <w:pStyle w:val="TableParagraph"/>
              <w:spacing w:line="200" w:lineRule="exact"/>
              <w:ind w:left="348"/>
              <w:rPr>
                <w:rFonts w:ascii="Franklin Gothic Medium"/>
                <w:sz w:val="18"/>
              </w:rPr>
            </w:pPr>
            <w:r>
              <w:rPr>
                <w:rFonts w:ascii="Franklin Gothic Medium"/>
                <w:sz w:val="18"/>
              </w:rPr>
              <w:t>Options</w:t>
            </w:r>
          </w:p>
        </w:tc>
        <w:tc>
          <w:tcPr>
            <w:tcW w:w="1422" w:type="dxa"/>
            <w:tcBorders>
              <w:bottom w:val="single" w:sz="8" w:space="0" w:color="000000"/>
            </w:tcBorders>
          </w:tcPr>
          <w:p>
            <w:pPr>
              <w:pStyle w:val="TableParagraph"/>
              <w:spacing w:line="200" w:lineRule="exact"/>
              <w:ind w:left="80"/>
              <w:rPr>
                <w:rFonts w:ascii="Franklin Gothic Medium"/>
                <w:sz w:val="18"/>
              </w:rPr>
            </w:pPr>
            <w:r>
              <w:rPr>
                <w:rFonts w:ascii="Franklin Gothic Medium"/>
                <w:spacing w:val="10"/>
                <w:sz w:val="18"/>
              </w:rPr>
              <w:t>exercise</w:t>
            </w:r>
            <w:r>
              <w:rPr>
                <w:rFonts w:ascii="Franklin Gothic Medium"/>
                <w:spacing w:val="62"/>
                <w:sz w:val="18"/>
              </w:rPr>
              <w:t> </w:t>
            </w:r>
            <w:r>
              <w:rPr>
                <w:rFonts w:ascii="Franklin Gothic Medium"/>
                <w:spacing w:val="4"/>
                <w:sz w:val="18"/>
              </w:rPr>
              <w:t>price</w:t>
            </w:r>
          </w:p>
        </w:tc>
        <w:tc>
          <w:tcPr>
            <w:tcW w:w="1318" w:type="dxa"/>
            <w:tcBorders>
              <w:bottom w:val="single" w:sz="8" w:space="0" w:color="000000"/>
            </w:tcBorders>
          </w:tcPr>
          <w:p>
            <w:pPr>
              <w:pStyle w:val="TableParagraph"/>
              <w:spacing w:line="200" w:lineRule="exact"/>
              <w:ind w:left="397"/>
              <w:rPr>
                <w:rFonts w:ascii="Franklin Gothic Medium"/>
                <w:sz w:val="18"/>
              </w:rPr>
            </w:pPr>
            <w:r>
              <w:rPr>
                <w:rFonts w:ascii="Franklin Gothic Medium"/>
                <w:sz w:val="18"/>
              </w:rPr>
              <w:t>Options</w:t>
            </w:r>
          </w:p>
        </w:tc>
        <w:tc>
          <w:tcPr>
            <w:tcW w:w="1420" w:type="dxa"/>
            <w:tcBorders>
              <w:bottom w:val="single" w:sz="8" w:space="0" w:color="000000"/>
            </w:tcBorders>
          </w:tcPr>
          <w:p>
            <w:pPr>
              <w:pStyle w:val="TableParagraph"/>
              <w:spacing w:line="200" w:lineRule="exact"/>
              <w:ind w:left="80"/>
              <w:rPr>
                <w:rFonts w:ascii="Franklin Gothic Medium"/>
                <w:sz w:val="18"/>
              </w:rPr>
            </w:pPr>
            <w:r>
              <w:rPr>
                <w:rFonts w:ascii="Franklin Gothic Medium"/>
                <w:sz w:val="18"/>
              </w:rPr>
              <w:t>exercise  price</w:t>
            </w:r>
          </w:p>
        </w:tc>
      </w:tr>
      <w:tr>
        <w:trPr>
          <w:trHeight w:val="310" w:hRule="exact"/>
        </w:trPr>
        <w:tc>
          <w:tcPr>
            <w:tcW w:w="3612" w:type="dxa"/>
            <w:tcBorders>
              <w:top w:val="single" w:sz="8" w:space="0" w:color="000000"/>
            </w:tcBorders>
          </w:tcPr>
          <w:p>
            <w:pPr>
              <w:pStyle w:val="TableParagraph"/>
              <w:spacing w:before="32"/>
              <w:ind w:left="300"/>
              <w:rPr>
                <w:sz w:val="18"/>
              </w:rPr>
            </w:pPr>
            <w:r>
              <w:rPr>
                <w:w w:val="110"/>
                <w:sz w:val="18"/>
              </w:rPr>
              <w:t>Outstanding  December 31, 1999</w:t>
            </w:r>
          </w:p>
        </w:tc>
        <w:tc>
          <w:tcPr>
            <w:tcW w:w="1408" w:type="dxa"/>
            <w:tcBorders>
              <w:top w:val="single" w:sz="8" w:space="0" w:color="000000"/>
            </w:tcBorders>
          </w:tcPr>
          <w:p>
            <w:pPr>
              <w:pStyle w:val="TableParagraph"/>
              <w:spacing w:before="32"/>
              <w:ind w:left="368"/>
              <w:rPr>
                <w:sz w:val="18"/>
              </w:rPr>
            </w:pPr>
            <w:r>
              <w:rPr>
                <w:w w:val="120"/>
                <w:sz w:val="18"/>
              </w:rPr>
              <w:t>67,274</w:t>
            </w:r>
          </w:p>
        </w:tc>
        <w:tc>
          <w:tcPr>
            <w:tcW w:w="1422" w:type="dxa"/>
            <w:tcBorders>
              <w:top w:val="single" w:sz="8" w:space="0" w:color="000000"/>
            </w:tcBorders>
          </w:tcPr>
          <w:p>
            <w:pPr>
              <w:pStyle w:val="TableParagraph"/>
              <w:tabs>
                <w:tab w:pos="699" w:val="left" w:leader="none"/>
              </w:tabs>
              <w:spacing w:before="32"/>
              <w:ind w:left="380"/>
              <w:rPr>
                <w:sz w:val="18"/>
              </w:rPr>
            </w:pPr>
            <w:r>
              <w:rPr>
                <w:w w:val="120"/>
                <w:sz w:val="18"/>
              </w:rPr>
              <w:t>$</w:t>
              <w:tab/>
            </w:r>
            <w:r>
              <w:rPr>
                <w:spacing w:val="-6"/>
                <w:w w:val="120"/>
                <w:sz w:val="18"/>
              </w:rPr>
              <w:t>4.32</w:t>
            </w:r>
          </w:p>
        </w:tc>
        <w:tc>
          <w:tcPr>
            <w:tcW w:w="1318" w:type="dxa"/>
            <w:tcBorders>
              <w:top w:val="single" w:sz="8" w:space="0" w:color="000000"/>
            </w:tcBorders>
          </w:tcPr>
          <w:p>
            <w:pPr>
              <w:pStyle w:val="TableParagraph"/>
              <w:spacing w:before="32"/>
              <w:ind w:left="497"/>
              <w:rPr>
                <w:sz w:val="18"/>
              </w:rPr>
            </w:pPr>
            <w:r>
              <w:rPr>
                <w:w w:val="120"/>
                <w:sz w:val="18"/>
              </w:rPr>
              <w:t>33,331</w:t>
            </w:r>
          </w:p>
        </w:tc>
        <w:tc>
          <w:tcPr>
            <w:tcW w:w="1420" w:type="dxa"/>
            <w:tcBorders>
              <w:top w:val="single" w:sz="8" w:space="0" w:color="000000"/>
            </w:tcBorders>
          </w:tcPr>
          <w:p>
            <w:pPr>
              <w:pStyle w:val="TableParagraph"/>
              <w:spacing w:before="32"/>
              <w:ind w:left="360"/>
              <w:rPr>
                <w:sz w:val="18"/>
              </w:rPr>
            </w:pPr>
            <w:r>
              <w:rPr>
                <w:w w:val="120"/>
                <w:sz w:val="18"/>
              </w:rPr>
              <w:t>$   4.61</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488"/>
              <w:rPr>
                <w:sz w:val="18"/>
              </w:rPr>
            </w:pPr>
            <w:r>
              <w:rPr>
                <w:w w:val="120"/>
                <w:sz w:val="18"/>
              </w:rPr>
              <w:t>4,707</w:t>
            </w:r>
          </w:p>
        </w:tc>
        <w:tc>
          <w:tcPr>
            <w:tcW w:w="1422" w:type="dxa"/>
          </w:tcPr>
          <w:p>
            <w:pPr>
              <w:pStyle w:val="TableParagraph"/>
              <w:spacing w:before="12"/>
              <w:ind w:left="580"/>
              <w:rPr>
                <w:sz w:val="18"/>
              </w:rPr>
            </w:pPr>
            <w:r>
              <w:rPr>
                <w:w w:val="120"/>
                <w:sz w:val="18"/>
              </w:rPr>
              <w:t>18.23</w:t>
            </w:r>
          </w:p>
        </w:tc>
        <w:tc>
          <w:tcPr>
            <w:tcW w:w="1318" w:type="dxa"/>
          </w:tcPr>
          <w:p>
            <w:pPr>
              <w:pStyle w:val="TableParagraph"/>
              <w:spacing w:before="12"/>
              <w:ind w:left="497"/>
              <w:rPr>
                <w:sz w:val="18"/>
              </w:rPr>
            </w:pPr>
            <w:r>
              <w:rPr>
                <w:w w:val="120"/>
                <w:sz w:val="18"/>
              </w:rPr>
              <w:t>11,904</w:t>
            </w:r>
          </w:p>
        </w:tc>
        <w:tc>
          <w:tcPr>
            <w:tcW w:w="1420" w:type="dxa"/>
          </w:tcPr>
          <w:p>
            <w:pPr>
              <w:pStyle w:val="TableParagraph"/>
              <w:spacing w:before="12"/>
              <w:ind w:left="500"/>
              <w:rPr>
                <w:sz w:val="18"/>
              </w:rPr>
            </w:pPr>
            <w:r>
              <w:rPr>
                <w:w w:val="120"/>
                <w:sz w:val="18"/>
              </w:rPr>
              <w:t>13.86</w:t>
            </w:r>
          </w:p>
        </w:tc>
      </w:tr>
      <w:tr>
        <w:trPr>
          <w:trHeight w:val="280" w:hRule="exact"/>
        </w:trPr>
        <w:tc>
          <w:tcPr>
            <w:tcW w:w="3612" w:type="dxa"/>
          </w:tcPr>
          <w:p>
            <w:pPr>
              <w:pStyle w:val="TableParagraph"/>
              <w:spacing w:before="12"/>
              <w:ind w:left="480"/>
              <w:rPr>
                <w:sz w:val="18"/>
              </w:rPr>
            </w:pPr>
            <w:r>
              <w:rPr>
                <w:w w:val="110"/>
                <w:sz w:val="18"/>
              </w:rPr>
              <w:t>Exercised</w:t>
            </w:r>
          </w:p>
        </w:tc>
        <w:tc>
          <w:tcPr>
            <w:tcW w:w="1408" w:type="dxa"/>
          </w:tcPr>
          <w:p>
            <w:pPr>
              <w:pStyle w:val="TableParagraph"/>
              <w:spacing w:before="12"/>
              <w:ind w:left="428"/>
              <w:rPr>
                <w:sz w:val="18"/>
              </w:rPr>
            </w:pPr>
            <w:r>
              <w:rPr>
                <w:w w:val="115"/>
                <w:sz w:val="18"/>
              </w:rPr>
              <w:t>(7,895)</w:t>
            </w:r>
          </w:p>
        </w:tc>
        <w:tc>
          <w:tcPr>
            <w:tcW w:w="1422" w:type="dxa"/>
          </w:tcPr>
          <w:p>
            <w:pPr>
              <w:pStyle w:val="TableParagraph"/>
              <w:spacing w:before="12"/>
              <w:ind w:left="706"/>
              <w:rPr>
                <w:sz w:val="18"/>
              </w:rPr>
            </w:pPr>
            <w:r>
              <w:rPr>
                <w:w w:val="120"/>
                <w:sz w:val="18"/>
              </w:rPr>
              <w:t>4.47</w:t>
            </w:r>
          </w:p>
        </w:tc>
        <w:tc>
          <w:tcPr>
            <w:tcW w:w="1318" w:type="dxa"/>
          </w:tcPr>
          <w:p>
            <w:pPr>
              <w:pStyle w:val="TableParagraph"/>
              <w:spacing w:before="12"/>
              <w:ind w:right="180"/>
              <w:jc w:val="right"/>
              <w:rPr>
                <w:sz w:val="18"/>
              </w:rPr>
            </w:pPr>
            <w:r>
              <w:rPr>
                <w:w w:val="110"/>
                <w:sz w:val="18"/>
              </w:rPr>
              <w:t>(7,416)</w:t>
            </w:r>
          </w:p>
        </w:tc>
        <w:tc>
          <w:tcPr>
            <w:tcW w:w="1420" w:type="dxa"/>
          </w:tcPr>
          <w:p>
            <w:pPr>
              <w:pStyle w:val="TableParagraph"/>
              <w:spacing w:before="12"/>
              <w:ind w:left="620"/>
              <w:rPr>
                <w:sz w:val="18"/>
              </w:rPr>
            </w:pPr>
            <w:r>
              <w:rPr>
                <w:w w:val="120"/>
                <w:sz w:val="18"/>
              </w:rPr>
              <w:t>3.47</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7" w:val="left" w:leader="none"/>
                <w:tab w:pos="1327" w:val="left" w:leader="none"/>
              </w:tabs>
              <w:spacing w:before="12"/>
              <w:ind w:left="48"/>
              <w:rPr>
                <w:sz w:val="18"/>
              </w:rPr>
            </w:pPr>
            <w:r>
              <w:rPr>
                <w:w w:val="132"/>
                <w:sz w:val="18"/>
                <w:u w:val="single"/>
              </w:rPr>
              <w:t> </w:t>
            </w:r>
            <w:r>
              <w:rPr>
                <w:sz w:val="18"/>
                <w:u w:val="single"/>
              </w:rPr>
              <w:tab/>
            </w:r>
            <w:r>
              <w:rPr>
                <w:spacing w:val="-3"/>
                <w:w w:val="110"/>
                <w:sz w:val="18"/>
                <w:u w:val="single"/>
              </w:rPr>
              <w:t>(686)</w:t>
            </w:r>
            <w:r>
              <w:rPr>
                <w:spacing w:val="-3"/>
                <w:sz w:val="18"/>
                <w:u w:val="single"/>
              </w:rPr>
              <w:tab/>
            </w:r>
          </w:p>
        </w:tc>
        <w:tc>
          <w:tcPr>
            <w:tcW w:w="1422" w:type="dxa"/>
          </w:tcPr>
          <w:p>
            <w:pPr>
              <w:pStyle w:val="TableParagraph"/>
              <w:spacing w:before="12"/>
              <w:ind w:left="706"/>
              <w:rPr>
                <w:sz w:val="18"/>
              </w:rPr>
            </w:pPr>
            <w:r>
              <w:rPr>
                <w:w w:val="120"/>
                <w:sz w:val="18"/>
              </w:rPr>
              <w:t>5.15</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3"/>
                <w:w w:val="115"/>
                <w:sz w:val="18"/>
                <w:u w:val="single"/>
              </w:rPr>
              <w:t>(1,461)</w:t>
            </w:r>
            <w:r>
              <w:rPr>
                <w:spacing w:val="18"/>
                <w:sz w:val="18"/>
                <w:u w:val="single"/>
              </w:rPr>
              <w:t> </w:t>
            </w:r>
          </w:p>
        </w:tc>
        <w:tc>
          <w:tcPr>
            <w:tcW w:w="1420" w:type="dxa"/>
          </w:tcPr>
          <w:p>
            <w:pPr>
              <w:pStyle w:val="TableParagraph"/>
              <w:spacing w:before="12"/>
              <w:ind w:left="620"/>
              <w:rPr>
                <w:sz w:val="18"/>
              </w:rPr>
            </w:pPr>
            <w:r>
              <w:rPr>
                <w:w w:val="120"/>
                <w:sz w:val="18"/>
              </w:rPr>
              <w:t>8.67</w:t>
            </w:r>
          </w:p>
        </w:tc>
      </w:tr>
      <w:tr>
        <w:trPr>
          <w:trHeight w:val="280" w:hRule="exact"/>
        </w:trPr>
        <w:tc>
          <w:tcPr>
            <w:tcW w:w="3612" w:type="dxa"/>
          </w:tcPr>
          <w:p>
            <w:pPr>
              <w:pStyle w:val="TableParagraph"/>
              <w:spacing w:before="12"/>
              <w:ind w:left="300"/>
              <w:rPr>
                <w:sz w:val="18"/>
              </w:rPr>
            </w:pPr>
            <w:r>
              <w:rPr>
                <w:w w:val="110"/>
                <w:sz w:val="18"/>
              </w:rPr>
              <w:t>Outstanding  December 31, 2000</w:t>
            </w:r>
          </w:p>
        </w:tc>
        <w:tc>
          <w:tcPr>
            <w:tcW w:w="1408" w:type="dxa"/>
          </w:tcPr>
          <w:p>
            <w:pPr>
              <w:pStyle w:val="TableParagraph"/>
              <w:spacing w:before="12"/>
              <w:ind w:left="368"/>
              <w:rPr>
                <w:sz w:val="18"/>
              </w:rPr>
            </w:pPr>
            <w:r>
              <w:rPr>
                <w:w w:val="120"/>
                <w:sz w:val="18"/>
              </w:rPr>
              <w:t>63,400</w:t>
            </w:r>
          </w:p>
        </w:tc>
        <w:tc>
          <w:tcPr>
            <w:tcW w:w="1422" w:type="dxa"/>
          </w:tcPr>
          <w:p>
            <w:pPr>
              <w:pStyle w:val="TableParagraph"/>
              <w:spacing w:before="12"/>
              <w:ind w:left="706"/>
              <w:rPr>
                <w:sz w:val="18"/>
              </w:rPr>
            </w:pPr>
            <w:r>
              <w:rPr>
                <w:w w:val="120"/>
                <w:sz w:val="18"/>
              </w:rPr>
              <w:t>5.59</w:t>
            </w:r>
          </w:p>
        </w:tc>
        <w:tc>
          <w:tcPr>
            <w:tcW w:w="1318" w:type="dxa"/>
          </w:tcPr>
          <w:p>
            <w:pPr>
              <w:pStyle w:val="TableParagraph"/>
              <w:spacing w:before="12"/>
              <w:ind w:left="497"/>
              <w:rPr>
                <w:sz w:val="18"/>
              </w:rPr>
            </w:pPr>
            <w:r>
              <w:rPr>
                <w:w w:val="120"/>
                <w:sz w:val="18"/>
              </w:rPr>
              <w:t>36,358</w:t>
            </w:r>
          </w:p>
        </w:tc>
        <w:tc>
          <w:tcPr>
            <w:tcW w:w="1420" w:type="dxa"/>
          </w:tcPr>
          <w:p>
            <w:pPr>
              <w:pStyle w:val="TableParagraph"/>
              <w:spacing w:before="12"/>
              <w:ind w:left="620"/>
              <w:rPr>
                <w:sz w:val="18"/>
              </w:rPr>
            </w:pPr>
            <w:r>
              <w:rPr>
                <w:w w:val="120"/>
                <w:sz w:val="18"/>
              </w:rPr>
              <w:t>8.66</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488"/>
              <w:rPr>
                <w:sz w:val="18"/>
              </w:rPr>
            </w:pPr>
            <w:r>
              <w:rPr>
                <w:w w:val="120"/>
                <w:sz w:val="18"/>
              </w:rPr>
              <w:t>1,665</w:t>
            </w:r>
          </w:p>
        </w:tc>
        <w:tc>
          <w:tcPr>
            <w:tcW w:w="1422" w:type="dxa"/>
          </w:tcPr>
          <w:p>
            <w:pPr>
              <w:pStyle w:val="TableParagraph"/>
              <w:spacing w:before="12"/>
              <w:ind w:left="580"/>
              <w:rPr>
                <w:sz w:val="18"/>
              </w:rPr>
            </w:pPr>
            <w:r>
              <w:rPr>
                <w:w w:val="120"/>
                <w:sz w:val="18"/>
              </w:rPr>
              <w:t>19.05</w:t>
            </w:r>
          </w:p>
        </w:tc>
        <w:tc>
          <w:tcPr>
            <w:tcW w:w="1318" w:type="dxa"/>
          </w:tcPr>
          <w:p>
            <w:pPr>
              <w:pStyle w:val="TableParagraph"/>
              <w:spacing w:before="12"/>
              <w:ind w:right="219"/>
              <w:jc w:val="right"/>
              <w:rPr>
                <w:sz w:val="18"/>
              </w:rPr>
            </w:pPr>
            <w:r>
              <w:rPr>
                <w:w w:val="115"/>
                <w:sz w:val="18"/>
              </w:rPr>
              <w:t>4,022</w:t>
            </w:r>
          </w:p>
        </w:tc>
        <w:tc>
          <w:tcPr>
            <w:tcW w:w="1420" w:type="dxa"/>
          </w:tcPr>
          <w:p>
            <w:pPr>
              <w:pStyle w:val="TableParagraph"/>
              <w:spacing w:before="12"/>
              <w:ind w:left="500"/>
              <w:rPr>
                <w:sz w:val="18"/>
              </w:rPr>
            </w:pPr>
            <w:r>
              <w:rPr>
                <w:w w:val="120"/>
                <w:sz w:val="18"/>
              </w:rPr>
              <w:t>18.75</w:t>
            </w:r>
          </w:p>
        </w:tc>
      </w:tr>
      <w:tr>
        <w:trPr>
          <w:trHeight w:val="280" w:hRule="exact"/>
        </w:trPr>
        <w:tc>
          <w:tcPr>
            <w:tcW w:w="3612" w:type="dxa"/>
          </w:tcPr>
          <w:p>
            <w:pPr>
              <w:pStyle w:val="TableParagraph"/>
              <w:spacing w:before="12"/>
              <w:ind w:left="480"/>
              <w:rPr>
                <w:sz w:val="18"/>
              </w:rPr>
            </w:pPr>
            <w:r>
              <w:rPr>
                <w:w w:val="110"/>
                <w:sz w:val="18"/>
              </w:rPr>
              <w:t>Exercised</w:t>
            </w:r>
          </w:p>
        </w:tc>
        <w:tc>
          <w:tcPr>
            <w:tcW w:w="1408" w:type="dxa"/>
          </w:tcPr>
          <w:p>
            <w:pPr>
              <w:pStyle w:val="TableParagraph"/>
              <w:spacing w:before="12"/>
              <w:ind w:left="428"/>
              <w:rPr>
                <w:sz w:val="18"/>
              </w:rPr>
            </w:pPr>
            <w:r>
              <w:rPr>
                <w:w w:val="115"/>
                <w:sz w:val="18"/>
              </w:rPr>
              <w:t>(4,166)</w:t>
            </w:r>
          </w:p>
        </w:tc>
        <w:tc>
          <w:tcPr>
            <w:tcW w:w="1422" w:type="dxa"/>
          </w:tcPr>
          <w:p>
            <w:pPr>
              <w:pStyle w:val="TableParagraph"/>
              <w:spacing w:before="12"/>
              <w:ind w:left="706"/>
              <w:rPr>
                <w:sz w:val="18"/>
              </w:rPr>
            </w:pPr>
            <w:r>
              <w:rPr>
                <w:w w:val="120"/>
                <w:sz w:val="18"/>
              </w:rPr>
              <w:t>4.48</w:t>
            </w:r>
          </w:p>
        </w:tc>
        <w:tc>
          <w:tcPr>
            <w:tcW w:w="1318" w:type="dxa"/>
          </w:tcPr>
          <w:p>
            <w:pPr>
              <w:pStyle w:val="TableParagraph"/>
              <w:spacing w:before="12"/>
              <w:ind w:right="180"/>
              <w:jc w:val="right"/>
              <w:rPr>
                <w:sz w:val="18"/>
              </w:rPr>
            </w:pPr>
            <w:r>
              <w:rPr>
                <w:w w:val="110"/>
                <w:sz w:val="18"/>
              </w:rPr>
              <w:t>(4,135)</w:t>
            </w:r>
          </w:p>
        </w:tc>
        <w:tc>
          <w:tcPr>
            <w:tcW w:w="1420" w:type="dxa"/>
          </w:tcPr>
          <w:p>
            <w:pPr>
              <w:pStyle w:val="TableParagraph"/>
              <w:spacing w:before="12"/>
              <w:ind w:left="620"/>
              <w:rPr>
                <w:sz w:val="18"/>
              </w:rPr>
            </w:pPr>
            <w:r>
              <w:rPr>
                <w:w w:val="120"/>
                <w:sz w:val="18"/>
              </w:rPr>
              <w:t>4.77</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9" w:val="left" w:leader="none"/>
                <w:tab w:pos="1327" w:val="left" w:leader="none"/>
              </w:tabs>
              <w:spacing w:before="12"/>
              <w:ind w:left="48"/>
              <w:rPr>
                <w:sz w:val="18"/>
              </w:rPr>
            </w:pPr>
            <w:r>
              <w:rPr>
                <w:w w:val="132"/>
                <w:sz w:val="18"/>
                <w:u w:val="single"/>
              </w:rPr>
              <w:t> </w:t>
            </w:r>
            <w:r>
              <w:rPr>
                <w:sz w:val="18"/>
                <w:u w:val="single"/>
              </w:rPr>
              <w:tab/>
            </w:r>
            <w:r>
              <w:rPr>
                <w:spacing w:val="-4"/>
                <w:w w:val="110"/>
                <w:sz w:val="18"/>
                <w:u w:val="single"/>
              </w:rPr>
              <w:t>(349)</w:t>
            </w:r>
            <w:r>
              <w:rPr>
                <w:spacing w:val="-4"/>
                <w:sz w:val="18"/>
                <w:u w:val="single"/>
              </w:rPr>
              <w:tab/>
            </w:r>
          </w:p>
        </w:tc>
        <w:tc>
          <w:tcPr>
            <w:tcW w:w="1422" w:type="dxa"/>
          </w:tcPr>
          <w:p>
            <w:pPr>
              <w:pStyle w:val="TableParagraph"/>
              <w:spacing w:before="12"/>
              <w:ind w:left="706"/>
              <w:rPr>
                <w:sz w:val="18"/>
              </w:rPr>
            </w:pPr>
            <w:r>
              <w:rPr>
                <w:w w:val="120"/>
                <w:sz w:val="18"/>
              </w:rPr>
              <w:t>8.71</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2"/>
                <w:w w:val="110"/>
                <w:sz w:val="18"/>
                <w:u w:val="single"/>
              </w:rPr>
              <w:t>(1,394)</w:t>
            </w:r>
            <w:r>
              <w:rPr>
                <w:spacing w:val="16"/>
                <w:sz w:val="18"/>
                <w:u w:val="single"/>
              </w:rPr>
              <w:t> </w:t>
            </w:r>
          </w:p>
        </w:tc>
        <w:tc>
          <w:tcPr>
            <w:tcW w:w="1420" w:type="dxa"/>
          </w:tcPr>
          <w:p>
            <w:pPr>
              <w:pStyle w:val="TableParagraph"/>
              <w:spacing w:before="12"/>
              <w:ind w:left="502"/>
              <w:rPr>
                <w:sz w:val="18"/>
              </w:rPr>
            </w:pPr>
            <w:r>
              <w:rPr>
                <w:w w:val="120"/>
                <w:sz w:val="18"/>
              </w:rPr>
              <w:t>10.87</w:t>
            </w:r>
          </w:p>
        </w:tc>
      </w:tr>
      <w:tr>
        <w:trPr>
          <w:trHeight w:val="280" w:hRule="exact"/>
        </w:trPr>
        <w:tc>
          <w:tcPr>
            <w:tcW w:w="3612" w:type="dxa"/>
          </w:tcPr>
          <w:p>
            <w:pPr>
              <w:pStyle w:val="TableParagraph"/>
              <w:spacing w:before="12"/>
              <w:ind w:left="300"/>
              <w:rPr>
                <w:sz w:val="18"/>
              </w:rPr>
            </w:pPr>
            <w:r>
              <w:rPr>
                <w:w w:val="110"/>
                <w:sz w:val="18"/>
              </w:rPr>
              <w:t>Outstanding  December 31, 2001</w:t>
            </w:r>
          </w:p>
        </w:tc>
        <w:tc>
          <w:tcPr>
            <w:tcW w:w="1408" w:type="dxa"/>
          </w:tcPr>
          <w:p>
            <w:pPr>
              <w:pStyle w:val="TableParagraph"/>
              <w:spacing w:before="12"/>
              <w:ind w:left="368"/>
              <w:rPr>
                <w:sz w:val="18"/>
              </w:rPr>
            </w:pPr>
            <w:r>
              <w:rPr>
                <w:w w:val="120"/>
                <w:sz w:val="18"/>
              </w:rPr>
              <w:t>60,550</w:t>
            </w:r>
          </w:p>
        </w:tc>
        <w:tc>
          <w:tcPr>
            <w:tcW w:w="1422" w:type="dxa"/>
          </w:tcPr>
          <w:p>
            <w:pPr>
              <w:pStyle w:val="TableParagraph"/>
              <w:spacing w:before="12"/>
              <w:ind w:left="706"/>
              <w:rPr>
                <w:sz w:val="18"/>
              </w:rPr>
            </w:pPr>
            <w:r>
              <w:rPr>
                <w:w w:val="120"/>
                <w:sz w:val="18"/>
              </w:rPr>
              <w:t>6.05</w:t>
            </w:r>
          </w:p>
        </w:tc>
        <w:tc>
          <w:tcPr>
            <w:tcW w:w="1318" w:type="dxa"/>
          </w:tcPr>
          <w:p>
            <w:pPr>
              <w:pStyle w:val="TableParagraph"/>
              <w:spacing w:before="12"/>
              <w:ind w:left="517"/>
              <w:rPr>
                <w:sz w:val="18"/>
              </w:rPr>
            </w:pPr>
            <w:r>
              <w:rPr>
                <w:w w:val="120"/>
                <w:sz w:val="18"/>
              </w:rPr>
              <w:t>34,851</w:t>
            </w:r>
          </w:p>
        </w:tc>
        <w:tc>
          <w:tcPr>
            <w:tcW w:w="1420" w:type="dxa"/>
          </w:tcPr>
          <w:p>
            <w:pPr>
              <w:pStyle w:val="TableParagraph"/>
              <w:spacing w:before="12"/>
              <w:ind w:left="500"/>
              <w:rPr>
                <w:sz w:val="18"/>
              </w:rPr>
            </w:pPr>
            <w:r>
              <w:rPr>
                <w:w w:val="120"/>
                <w:sz w:val="18"/>
              </w:rPr>
              <w:t>10.20</w:t>
            </w:r>
          </w:p>
        </w:tc>
      </w:tr>
      <w:tr>
        <w:trPr>
          <w:trHeight w:val="280" w:hRule="exact"/>
        </w:trPr>
        <w:tc>
          <w:tcPr>
            <w:tcW w:w="3612" w:type="dxa"/>
          </w:tcPr>
          <w:p>
            <w:pPr>
              <w:pStyle w:val="TableParagraph"/>
              <w:spacing w:before="12"/>
              <w:ind w:left="480"/>
              <w:rPr>
                <w:sz w:val="18"/>
              </w:rPr>
            </w:pPr>
            <w:r>
              <w:rPr>
                <w:w w:val="105"/>
                <w:sz w:val="18"/>
              </w:rPr>
              <w:t>Granted</w:t>
            </w:r>
          </w:p>
        </w:tc>
        <w:tc>
          <w:tcPr>
            <w:tcW w:w="1408" w:type="dxa"/>
          </w:tcPr>
          <w:p>
            <w:pPr>
              <w:pStyle w:val="TableParagraph"/>
              <w:spacing w:before="12"/>
              <w:ind w:left="368"/>
              <w:rPr>
                <w:sz w:val="18"/>
              </w:rPr>
            </w:pPr>
            <w:r>
              <w:rPr>
                <w:w w:val="120"/>
                <w:sz w:val="18"/>
              </w:rPr>
              <w:t>48,414</w:t>
            </w:r>
          </w:p>
        </w:tc>
        <w:tc>
          <w:tcPr>
            <w:tcW w:w="1422" w:type="dxa"/>
          </w:tcPr>
          <w:p>
            <w:pPr>
              <w:pStyle w:val="TableParagraph"/>
              <w:spacing w:before="12"/>
              <w:ind w:left="579"/>
              <w:rPr>
                <w:sz w:val="18"/>
              </w:rPr>
            </w:pPr>
            <w:r>
              <w:rPr>
                <w:w w:val="120"/>
                <w:sz w:val="18"/>
              </w:rPr>
              <w:t>13.37</w:t>
            </w:r>
          </w:p>
        </w:tc>
        <w:tc>
          <w:tcPr>
            <w:tcW w:w="1318" w:type="dxa"/>
          </w:tcPr>
          <w:p>
            <w:pPr>
              <w:pStyle w:val="TableParagraph"/>
              <w:spacing w:before="12"/>
              <w:ind w:right="199"/>
              <w:jc w:val="right"/>
              <w:rPr>
                <w:sz w:val="18"/>
              </w:rPr>
            </w:pPr>
            <w:r>
              <w:rPr>
                <w:w w:val="115"/>
                <w:sz w:val="18"/>
              </w:rPr>
              <w:t>4,423</w:t>
            </w:r>
          </w:p>
        </w:tc>
        <w:tc>
          <w:tcPr>
            <w:tcW w:w="1420" w:type="dxa"/>
          </w:tcPr>
          <w:p>
            <w:pPr>
              <w:pStyle w:val="TableParagraph"/>
              <w:spacing w:before="12"/>
              <w:ind w:left="500"/>
              <w:rPr>
                <w:sz w:val="18"/>
              </w:rPr>
            </w:pPr>
            <w:r>
              <w:rPr>
                <w:w w:val="120"/>
                <w:sz w:val="18"/>
              </w:rPr>
              <w:t>16.90</w:t>
            </w:r>
          </w:p>
        </w:tc>
      </w:tr>
      <w:tr>
        <w:trPr>
          <w:trHeight w:val="280" w:hRule="exact"/>
        </w:trPr>
        <w:tc>
          <w:tcPr>
            <w:tcW w:w="3612" w:type="dxa"/>
          </w:tcPr>
          <w:p>
            <w:pPr>
              <w:pStyle w:val="TableParagraph"/>
              <w:spacing w:before="12"/>
              <w:ind w:left="479"/>
              <w:rPr>
                <w:sz w:val="18"/>
              </w:rPr>
            </w:pPr>
            <w:r>
              <w:rPr>
                <w:w w:val="110"/>
                <w:sz w:val="18"/>
              </w:rPr>
              <w:t>Exercised</w:t>
            </w:r>
          </w:p>
        </w:tc>
        <w:tc>
          <w:tcPr>
            <w:tcW w:w="1408" w:type="dxa"/>
          </w:tcPr>
          <w:p>
            <w:pPr>
              <w:pStyle w:val="TableParagraph"/>
              <w:spacing w:before="12"/>
              <w:ind w:left="455"/>
              <w:rPr>
                <w:sz w:val="18"/>
              </w:rPr>
            </w:pPr>
            <w:r>
              <w:rPr>
                <w:w w:val="115"/>
                <w:sz w:val="18"/>
              </w:rPr>
              <w:t>(4,211)</w:t>
            </w:r>
          </w:p>
        </w:tc>
        <w:tc>
          <w:tcPr>
            <w:tcW w:w="1422" w:type="dxa"/>
          </w:tcPr>
          <w:p>
            <w:pPr>
              <w:pStyle w:val="TableParagraph"/>
              <w:spacing w:before="12"/>
              <w:ind w:left="706"/>
              <w:rPr>
                <w:sz w:val="18"/>
              </w:rPr>
            </w:pPr>
            <w:r>
              <w:rPr>
                <w:w w:val="120"/>
                <w:sz w:val="18"/>
              </w:rPr>
              <w:t>4.48</w:t>
            </w:r>
          </w:p>
        </w:tc>
        <w:tc>
          <w:tcPr>
            <w:tcW w:w="1318" w:type="dxa"/>
          </w:tcPr>
          <w:p>
            <w:pPr>
              <w:pStyle w:val="TableParagraph"/>
              <w:spacing w:before="12"/>
              <w:ind w:right="180"/>
              <w:jc w:val="right"/>
              <w:rPr>
                <w:sz w:val="18"/>
              </w:rPr>
            </w:pPr>
            <w:r>
              <w:rPr>
                <w:w w:val="110"/>
                <w:sz w:val="18"/>
              </w:rPr>
              <w:t>(3,805)</w:t>
            </w:r>
          </w:p>
        </w:tc>
        <w:tc>
          <w:tcPr>
            <w:tcW w:w="1420" w:type="dxa"/>
          </w:tcPr>
          <w:p>
            <w:pPr>
              <w:pStyle w:val="TableParagraph"/>
              <w:spacing w:before="12"/>
              <w:ind w:left="620"/>
              <w:rPr>
                <w:sz w:val="18"/>
              </w:rPr>
            </w:pPr>
            <w:r>
              <w:rPr>
                <w:w w:val="120"/>
                <w:sz w:val="18"/>
              </w:rPr>
              <w:t>5.75</w:t>
            </w:r>
          </w:p>
        </w:tc>
      </w:tr>
      <w:tr>
        <w:trPr>
          <w:trHeight w:val="280" w:hRule="exact"/>
        </w:trPr>
        <w:tc>
          <w:tcPr>
            <w:tcW w:w="3612" w:type="dxa"/>
          </w:tcPr>
          <w:p>
            <w:pPr>
              <w:pStyle w:val="TableParagraph"/>
              <w:spacing w:before="12"/>
              <w:ind w:left="480"/>
              <w:rPr>
                <w:sz w:val="18"/>
              </w:rPr>
            </w:pPr>
            <w:r>
              <w:rPr>
                <w:w w:val="105"/>
                <w:sz w:val="18"/>
              </w:rPr>
              <w:t>Surrendered</w:t>
            </w:r>
          </w:p>
        </w:tc>
        <w:tc>
          <w:tcPr>
            <w:tcW w:w="1408" w:type="dxa"/>
          </w:tcPr>
          <w:p>
            <w:pPr>
              <w:pStyle w:val="TableParagraph"/>
              <w:tabs>
                <w:tab w:pos="587" w:val="left" w:leader="none"/>
                <w:tab w:pos="1327" w:val="left" w:leader="none"/>
              </w:tabs>
              <w:spacing w:before="12"/>
              <w:ind w:left="48"/>
              <w:rPr>
                <w:sz w:val="18"/>
              </w:rPr>
            </w:pPr>
            <w:r>
              <w:rPr>
                <w:w w:val="132"/>
                <w:sz w:val="18"/>
                <w:u w:val="single"/>
              </w:rPr>
              <w:t> </w:t>
            </w:r>
            <w:r>
              <w:rPr>
                <w:sz w:val="18"/>
                <w:u w:val="single"/>
              </w:rPr>
              <w:tab/>
            </w:r>
            <w:r>
              <w:rPr>
                <w:spacing w:val="-3"/>
                <w:w w:val="110"/>
                <w:sz w:val="18"/>
                <w:u w:val="single"/>
              </w:rPr>
              <w:t>(733)</w:t>
            </w:r>
            <w:r>
              <w:rPr>
                <w:spacing w:val="-3"/>
                <w:sz w:val="18"/>
                <w:u w:val="single"/>
              </w:rPr>
              <w:tab/>
            </w:r>
          </w:p>
        </w:tc>
        <w:tc>
          <w:tcPr>
            <w:tcW w:w="1422" w:type="dxa"/>
          </w:tcPr>
          <w:p>
            <w:pPr>
              <w:pStyle w:val="TableParagraph"/>
              <w:spacing w:before="12"/>
              <w:ind w:left="706"/>
              <w:rPr>
                <w:sz w:val="18"/>
              </w:rPr>
            </w:pPr>
            <w:r>
              <w:rPr>
                <w:w w:val="120"/>
                <w:sz w:val="18"/>
              </w:rPr>
              <w:t>8.69</w:t>
            </w:r>
          </w:p>
        </w:tc>
        <w:tc>
          <w:tcPr>
            <w:tcW w:w="1318" w:type="dxa"/>
          </w:tcPr>
          <w:p>
            <w:pPr>
              <w:pStyle w:val="TableParagraph"/>
              <w:tabs>
                <w:tab w:pos="439" w:val="left" w:leader="none"/>
              </w:tabs>
              <w:spacing w:before="12"/>
              <w:ind w:right="78"/>
              <w:jc w:val="right"/>
              <w:rPr>
                <w:sz w:val="18"/>
              </w:rPr>
            </w:pPr>
            <w:r>
              <w:rPr>
                <w:w w:val="132"/>
                <w:sz w:val="18"/>
                <w:u w:val="single"/>
              </w:rPr>
              <w:t> </w:t>
            </w:r>
            <w:r>
              <w:rPr>
                <w:sz w:val="18"/>
                <w:u w:val="single"/>
              </w:rPr>
              <w:tab/>
            </w:r>
            <w:r>
              <w:rPr>
                <w:spacing w:val="-2"/>
                <w:w w:val="110"/>
                <w:sz w:val="18"/>
                <w:u w:val="single"/>
              </w:rPr>
              <w:t>(1,317)</w:t>
            </w:r>
            <w:r>
              <w:rPr>
                <w:spacing w:val="16"/>
                <w:sz w:val="18"/>
                <w:u w:val="single"/>
              </w:rPr>
              <w:t> </w:t>
            </w:r>
          </w:p>
        </w:tc>
        <w:tc>
          <w:tcPr>
            <w:tcW w:w="1420" w:type="dxa"/>
          </w:tcPr>
          <w:p>
            <w:pPr>
              <w:pStyle w:val="TableParagraph"/>
              <w:spacing w:before="12"/>
              <w:ind w:left="502"/>
              <w:rPr>
                <w:sz w:val="18"/>
              </w:rPr>
            </w:pPr>
            <w:r>
              <w:rPr>
                <w:w w:val="120"/>
                <w:sz w:val="18"/>
              </w:rPr>
              <w:t>12.48</w:t>
            </w:r>
          </w:p>
        </w:tc>
      </w:tr>
      <w:tr>
        <w:trPr>
          <w:trHeight w:val="280" w:hRule="exact"/>
        </w:trPr>
        <w:tc>
          <w:tcPr>
            <w:tcW w:w="3612" w:type="dxa"/>
          </w:tcPr>
          <w:p>
            <w:pPr>
              <w:pStyle w:val="TableParagraph"/>
              <w:spacing w:before="12"/>
              <w:ind w:left="300"/>
              <w:rPr>
                <w:sz w:val="18"/>
              </w:rPr>
            </w:pPr>
            <w:r>
              <w:rPr>
                <w:w w:val="110"/>
                <w:sz w:val="18"/>
              </w:rPr>
              <w:t>Outstanding  December 31, 2002</w:t>
            </w:r>
          </w:p>
        </w:tc>
        <w:tc>
          <w:tcPr>
            <w:tcW w:w="1408" w:type="dxa"/>
          </w:tcPr>
          <w:p>
            <w:pPr>
              <w:pStyle w:val="TableParagraph"/>
              <w:tabs>
                <w:tab w:pos="1327" w:val="left" w:leader="none"/>
              </w:tabs>
              <w:spacing w:before="12"/>
              <w:ind w:left="48"/>
              <w:rPr>
                <w:sz w:val="18"/>
              </w:rPr>
            </w:pPr>
            <w:r>
              <w:rPr>
                <w:w w:val="132"/>
                <w:sz w:val="18"/>
                <w:u w:val="single"/>
              </w:rPr>
              <w:t> </w:t>
            </w:r>
            <w:r>
              <w:rPr>
                <w:sz w:val="18"/>
                <w:u w:val="single"/>
              </w:rPr>
              <w:t>   </w:t>
            </w:r>
            <w:r>
              <w:rPr>
                <w:spacing w:val="4"/>
                <w:sz w:val="18"/>
                <w:u w:val="single"/>
              </w:rPr>
              <w:t> </w:t>
            </w:r>
            <w:r>
              <w:rPr>
                <w:w w:val="120"/>
                <w:sz w:val="18"/>
                <w:u w:val="single"/>
              </w:rPr>
              <w:t>104,020</w:t>
            </w:r>
            <w:r>
              <w:rPr>
                <w:sz w:val="18"/>
                <w:u w:val="single"/>
              </w:rPr>
              <w:tab/>
            </w:r>
          </w:p>
        </w:tc>
        <w:tc>
          <w:tcPr>
            <w:tcW w:w="1422" w:type="dxa"/>
          </w:tcPr>
          <w:p>
            <w:pPr>
              <w:pStyle w:val="TableParagraph"/>
              <w:tabs>
                <w:tab w:pos="699" w:val="left" w:leader="none"/>
              </w:tabs>
              <w:spacing w:before="12"/>
              <w:ind w:left="380"/>
              <w:rPr>
                <w:sz w:val="18"/>
              </w:rPr>
            </w:pPr>
            <w:r>
              <w:rPr>
                <w:w w:val="120"/>
                <w:sz w:val="18"/>
              </w:rPr>
              <w:t>$</w:t>
              <w:tab/>
            </w:r>
            <w:r>
              <w:rPr>
                <w:spacing w:val="-6"/>
                <w:w w:val="120"/>
                <w:sz w:val="18"/>
              </w:rPr>
              <w:t>9.51</w:t>
            </w:r>
          </w:p>
        </w:tc>
        <w:tc>
          <w:tcPr>
            <w:tcW w:w="1318" w:type="dxa"/>
          </w:tcPr>
          <w:p>
            <w:pPr>
              <w:pStyle w:val="TableParagraph"/>
              <w:tabs>
                <w:tab w:pos="379" w:val="left" w:leader="none"/>
              </w:tabs>
              <w:spacing w:before="12"/>
              <w:ind w:right="78"/>
              <w:jc w:val="right"/>
              <w:rPr>
                <w:sz w:val="18"/>
              </w:rPr>
            </w:pPr>
            <w:r>
              <w:rPr>
                <w:w w:val="132"/>
                <w:sz w:val="18"/>
                <w:u w:val="single"/>
              </w:rPr>
              <w:t> </w:t>
            </w:r>
            <w:r>
              <w:rPr>
                <w:sz w:val="18"/>
                <w:u w:val="single"/>
              </w:rPr>
              <w:tab/>
            </w:r>
            <w:r>
              <w:rPr>
                <w:spacing w:val="-3"/>
                <w:w w:val="115"/>
                <w:sz w:val="18"/>
                <w:u w:val="single"/>
              </w:rPr>
              <w:t>34,152</w:t>
            </w:r>
            <w:r>
              <w:rPr>
                <w:spacing w:val="-4"/>
                <w:sz w:val="18"/>
                <w:u w:val="single"/>
              </w:rPr>
              <w:t> </w:t>
            </w:r>
          </w:p>
        </w:tc>
        <w:tc>
          <w:tcPr>
            <w:tcW w:w="1420" w:type="dxa"/>
          </w:tcPr>
          <w:p>
            <w:pPr>
              <w:pStyle w:val="TableParagraph"/>
              <w:spacing w:before="12"/>
              <w:ind w:left="280"/>
              <w:rPr>
                <w:sz w:val="18"/>
              </w:rPr>
            </w:pPr>
            <w:r>
              <w:rPr>
                <w:w w:val="120"/>
                <w:sz w:val="18"/>
              </w:rPr>
              <w:t>$ 11.47</w:t>
            </w:r>
          </w:p>
        </w:tc>
      </w:tr>
      <w:tr>
        <w:trPr>
          <w:trHeight w:val="270" w:hRule="exact"/>
        </w:trPr>
        <w:tc>
          <w:tcPr>
            <w:tcW w:w="3612" w:type="dxa"/>
          </w:tcPr>
          <w:p>
            <w:pPr>
              <w:pStyle w:val="TableParagraph"/>
              <w:spacing w:before="12"/>
              <w:ind w:left="300"/>
              <w:rPr>
                <w:sz w:val="18"/>
              </w:rPr>
            </w:pPr>
            <w:r>
              <w:rPr>
                <w:w w:val="115"/>
                <w:sz w:val="18"/>
              </w:rPr>
              <w:t>Exercisable December 31, 2002</w:t>
            </w:r>
          </w:p>
        </w:tc>
        <w:tc>
          <w:tcPr>
            <w:tcW w:w="1408" w:type="dxa"/>
          </w:tcPr>
          <w:p>
            <w:pPr>
              <w:pStyle w:val="TableParagraph"/>
              <w:spacing w:before="12"/>
              <w:ind w:left="368"/>
              <w:rPr>
                <w:sz w:val="18"/>
              </w:rPr>
            </w:pPr>
            <w:r>
              <w:rPr>
                <w:w w:val="120"/>
                <w:sz w:val="18"/>
              </w:rPr>
              <w:t>52,733</w:t>
            </w:r>
          </w:p>
        </w:tc>
        <w:tc>
          <w:tcPr>
            <w:tcW w:w="1422" w:type="dxa"/>
          </w:tcPr>
          <w:p>
            <w:pPr>
              <w:pStyle w:val="TableParagraph"/>
              <w:tabs>
                <w:tab w:pos="699" w:val="left" w:leader="none"/>
              </w:tabs>
              <w:spacing w:before="12"/>
              <w:ind w:left="379"/>
              <w:rPr>
                <w:sz w:val="18"/>
              </w:rPr>
            </w:pPr>
            <w:r>
              <w:rPr>
                <w:w w:val="120"/>
                <w:sz w:val="18"/>
              </w:rPr>
              <w:t>$</w:t>
              <w:tab/>
            </w:r>
            <w:r>
              <w:rPr>
                <w:spacing w:val="-6"/>
                <w:w w:val="120"/>
                <w:sz w:val="18"/>
              </w:rPr>
              <w:t>6.77</w:t>
            </w:r>
          </w:p>
        </w:tc>
        <w:tc>
          <w:tcPr>
            <w:tcW w:w="1318" w:type="dxa"/>
          </w:tcPr>
          <w:p>
            <w:pPr>
              <w:pStyle w:val="TableParagraph"/>
              <w:spacing w:before="12"/>
              <w:ind w:left="497"/>
              <w:rPr>
                <w:sz w:val="18"/>
              </w:rPr>
            </w:pPr>
            <w:r>
              <w:rPr>
                <w:w w:val="120"/>
                <w:sz w:val="18"/>
              </w:rPr>
              <w:t>12,924</w:t>
            </w:r>
          </w:p>
        </w:tc>
        <w:tc>
          <w:tcPr>
            <w:tcW w:w="1420" w:type="dxa"/>
          </w:tcPr>
          <w:p>
            <w:pPr>
              <w:pStyle w:val="TableParagraph"/>
              <w:spacing w:before="12"/>
              <w:ind w:left="280"/>
              <w:rPr>
                <w:sz w:val="18"/>
              </w:rPr>
            </w:pPr>
            <w:r>
              <w:rPr>
                <w:w w:val="120"/>
                <w:sz w:val="18"/>
              </w:rPr>
              <w:t>$ 11.33</w:t>
            </w:r>
          </w:p>
        </w:tc>
      </w:tr>
      <w:tr>
        <w:trPr>
          <w:trHeight w:val="235" w:hRule="exact"/>
        </w:trPr>
        <w:tc>
          <w:tcPr>
            <w:tcW w:w="3612" w:type="dxa"/>
          </w:tcPr>
          <w:p>
            <w:pPr>
              <w:pStyle w:val="TableParagraph"/>
              <w:spacing w:before="2"/>
              <w:ind w:left="300"/>
              <w:rPr>
                <w:sz w:val="18"/>
              </w:rPr>
            </w:pPr>
            <w:r>
              <w:rPr>
                <w:w w:val="105"/>
                <w:sz w:val="18"/>
              </w:rPr>
              <w:t>Available  for  granting  in  future periods</w:t>
            </w:r>
          </w:p>
        </w:tc>
        <w:tc>
          <w:tcPr>
            <w:tcW w:w="1408" w:type="dxa"/>
          </w:tcPr>
          <w:p>
            <w:pPr>
              <w:pStyle w:val="TableParagraph"/>
              <w:spacing w:before="2"/>
              <w:ind w:left="368"/>
              <w:rPr>
                <w:sz w:val="18"/>
              </w:rPr>
            </w:pPr>
            <w:r>
              <w:rPr>
                <w:w w:val="120"/>
                <w:sz w:val="18"/>
              </w:rPr>
              <w:t>39,850</w:t>
            </w:r>
          </w:p>
        </w:tc>
        <w:tc>
          <w:tcPr>
            <w:tcW w:w="1422" w:type="dxa"/>
          </w:tcPr>
          <w:p>
            <w:pPr/>
          </w:p>
        </w:tc>
        <w:tc>
          <w:tcPr>
            <w:tcW w:w="1318" w:type="dxa"/>
          </w:tcPr>
          <w:p>
            <w:pPr>
              <w:pStyle w:val="TableParagraph"/>
              <w:spacing w:before="2"/>
              <w:ind w:left="497"/>
              <w:rPr>
                <w:sz w:val="18"/>
              </w:rPr>
            </w:pPr>
            <w:r>
              <w:rPr>
                <w:w w:val="120"/>
                <w:sz w:val="18"/>
              </w:rPr>
              <w:t>17,982</w:t>
            </w:r>
          </w:p>
        </w:tc>
        <w:tc>
          <w:tcPr>
            <w:tcW w:w="1420" w:type="dxa"/>
          </w:tcPr>
          <w:p>
            <w:pPr/>
          </w:p>
        </w:tc>
      </w:tr>
    </w:tbl>
    <w:p>
      <w:pPr>
        <w:pStyle w:val="BodyText"/>
        <w:spacing w:before="5"/>
        <w:rPr>
          <w:rFonts w:ascii="Franklin Gothic Medium"/>
          <w:sz w:val="15"/>
        </w:rPr>
      </w:pPr>
    </w:p>
    <w:p>
      <w:pPr>
        <w:pStyle w:val="BodyText"/>
        <w:spacing w:line="254" w:lineRule="auto" w:before="93"/>
        <w:ind w:left="460" w:right="179" w:firstLine="200"/>
      </w:pPr>
      <w:r>
        <w:rPr>
          <w:w w:val="105"/>
        </w:rPr>
        <w:t>The  following  table  </w:t>
      </w:r>
      <w:r>
        <w:rPr>
          <w:spacing w:val="2"/>
          <w:w w:val="105"/>
        </w:rPr>
        <w:t>summarizes  </w:t>
      </w:r>
      <w:r>
        <w:rPr>
          <w:spacing w:val="3"/>
          <w:w w:val="105"/>
        </w:rPr>
        <w:t>information</w:t>
      </w:r>
      <w:r>
        <w:rPr>
          <w:spacing w:val="53"/>
          <w:w w:val="105"/>
        </w:rPr>
        <w:t> </w:t>
      </w:r>
      <w:r>
        <w:rPr>
          <w:w w:val="105"/>
        </w:rPr>
        <w:t>about  stock  </w:t>
      </w:r>
      <w:r>
        <w:rPr>
          <w:spacing w:val="2"/>
          <w:w w:val="105"/>
        </w:rPr>
        <w:t>options  outstanding  </w:t>
      </w:r>
      <w:r>
        <w:rPr>
          <w:w w:val="105"/>
        </w:rPr>
        <w:t>under  the   </w:t>
      </w:r>
      <w:r>
        <w:rPr>
          <w:spacing w:val="12"/>
          <w:w w:val="105"/>
        </w:rPr>
        <w:t>fixed  </w:t>
      </w:r>
      <w:r>
        <w:rPr>
          <w:w w:val="105"/>
        </w:rPr>
        <w:t>option  plans  at  December  31,  </w:t>
      </w:r>
      <w:r>
        <w:rPr>
          <w:spacing w:val="20"/>
          <w:w w:val="105"/>
        </w:rPr>
        <w:t> </w:t>
      </w:r>
      <w:r>
        <w:rPr>
          <w:w w:val="105"/>
        </w:rPr>
        <w:t>2002:</w:t>
      </w:r>
    </w:p>
    <w:p>
      <w:pPr>
        <w:pStyle w:val="BodyText"/>
        <w:spacing w:before="9"/>
        <w:rPr>
          <w:sz w:val="15"/>
        </w:rPr>
      </w:pPr>
      <w:r>
        <w:rPr/>
        <w:pict>
          <v:line style="position:absolute;mso-position-horizontal-relative:page;mso-position-vertical-relative:paragraph;z-index:6904;mso-wrap-distance-left:0;mso-wrap-distance-right:0" from="151pt,12.074414pt" to="519pt,12.074414pt" stroked="true" strokeweight="1pt" strokecolor="#000000">
            <v:stroke dashstyle="solid"/>
            <w10:wrap type="topAndBottom"/>
          </v:line>
        </w:pict>
      </w:r>
    </w:p>
    <w:p>
      <w:pPr>
        <w:tabs>
          <w:tab w:pos="3479" w:val="left" w:leader="none"/>
          <w:tab w:pos="6539" w:val="left" w:leader="none"/>
          <w:tab w:pos="7264" w:val="left" w:leader="none"/>
          <w:tab w:pos="9679" w:val="left" w:leader="none"/>
        </w:tabs>
        <w:spacing w:before="46"/>
        <w:ind w:left="2320" w:right="0" w:firstLine="0"/>
        <w:jc w:val="lef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3"/>
          <w:sz w:val="18"/>
          <w:u w:val="single"/>
        </w:rPr>
        <w:t>OPTIONS </w:t>
      </w:r>
      <w:r>
        <w:rPr>
          <w:rFonts w:ascii="Franklin Gothic Medium"/>
          <w:spacing w:val="19"/>
          <w:sz w:val="18"/>
          <w:u w:val="single"/>
        </w:rPr>
        <w:t> </w:t>
      </w:r>
      <w:r>
        <w:rPr>
          <w:rFonts w:ascii="Franklin Gothic Medium"/>
          <w:spacing w:val="3"/>
          <w:sz w:val="18"/>
          <w:u w:val="single"/>
        </w:rPr>
        <w:t>OUTSTANDING</w:t>
        <w:tab/>
        <w:t> </w:t>
        <w:tab/>
        <w:t>OPTIONS </w:t>
      </w:r>
      <w:r>
        <w:rPr>
          <w:rFonts w:ascii="Franklin Gothic Medium"/>
          <w:spacing w:val="29"/>
          <w:sz w:val="18"/>
          <w:u w:val="single"/>
        </w:rPr>
        <w:t> </w:t>
      </w:r>
      <w:r>
        <w:rPr>
          <w:rFonts w:ascii="Franklin Gothic Medium"/>
          <w:spacing w:val="3"/>
          <w:sz w:val="18"/>
          <w:u w:val="single"/>
        </w:rPr>
        <w:t>EXERCISABLE</w:t>
        <w:tab/>
      </w:r>
    </w:p>
    <w:p>
      <w:pPr>
        <w:spacing w:before="176"/>
        <w:ind w:left="4376" w:right="5226" w:firstLine="0"/>
        <w:jc w:val="center"/>
        <w:rPr>
          <w:rFonts w:ascii="Franklin Gothic Medium"/>
          <w:sz w:val="18"/>
        </w:rPr>
      </w:pPr>
      <w:r>
        <w:rPr>
          <w:rFonts w:ascii="Franklin Gothic Medium"/>
          <w:sz w:val="18"/>
        </w:rPr>
        <w:t>Wtd-</w:t>
      </w:r>
    </w:p>
    <w:tbl>
      <w:tblPr>
        <w:tblW w:w="0" w:type="auto"/>
        <w:jc w:val="left"/>
        <w:tblInd w:w="3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1900"/>
        <w:gridCol w:w="1662"/>
        <w:gridCol w:w="1413"/>
        <w:gridCol w:w="1172"/>
        <w:gridCol w:w="1925"/>
        <w:gridCol w:w="1312"/>
      </w:tblGrid>
      <w:tr>
        <w:trPr>
          <w:trHeight w:val="805" w:hRule="exact"/>
        </w:trPr>
        <w:tc>
          <w:tcPr>
            <w:tcW w:w="1900" w:type="dxa"/>
            <w:tcBorders>
              <w:bottom w:val="single" w:sz="2" w:space="0" w:color="000000"/>
            </w:tcBorders>
          </w:tcPr>
          <w:p>
            <w:pPr>
              <w:pStyle w:val="TableParagraph"/>
              <w:rPr>
                <w:rFonts w:ascii="Franklin Gothic Medium"/>
                <w:sz w:val="20"/>
              </w:rPr>
            </w:pPr>
          </w:p>
          <w:p>
            <w:pPr>
              <w:pStyle w:val="TableParagraph"/>
              <w:spacing w:line="202" w:lineRule="exact" w:before="168"/>
              <w:ind w:left="204"/>
              <w:jc w:val="center"/>
              <w:rPr>
                <w:rFonts w:ascii="Franklin Gothic Medium"/>
                <w:sz w:val="18"/>
              </w:rPr>
            </w:pPr>
            <w:r>
              <w:rPr>
                <w:rFonts w:ascii="Franklin Gothic Medium"/>
                <w:sz w:val="18"/>
              </w:rPr>
              <w:t>Range  of</w:t>
            </w:r>
          </w:p>
          <w:p>
            <w:pPr>
              <w:pStyle w:val="TableParagraph"/>
              <w:spacing w:line="202" w:lineRule="exact"/>
              <w:ind w:left="203"/>
              <w:jc w:val="center"/>
              <w:rPr>
                <w:rFonts w:ascii="Franklin Gothic Medium"/>
                <w:sz w:val="18"/>
              </w:rPr>
            </w:pPr>
            <w:r>
              <w:rPr>
                <w:rFonts w:ascii="Franklin Gothic Medium"/>
                <w:spacing w:val="10"/>
                <w:sz w:val="18"/>
              </w:rPr>
              <w:t>exercise </w:t>
            </w:r>
            <w:r>
              <w:rPr>
                <w:rFonts w:ascii="Franklin Gothic Medium"/>
                <w:spacing w:val="4"/>
                <w:sz w:val="18"/>
              </w:rPr>
              <w:t>prices</w:t>
            </w:r>
          </w:p>
        </w:tc>
        <w:tc>
          <w:tcPr>
            <w:tcW w:w="1662" w:type="dxa"/>
            <w:tcBorders>
              <w:bottom w:val="single" w:sz="2" w:space="0" w:color="000000"/>
            </w:tcBorders>
          </w:tcPr>
          <w:p>
            <w:pPr>
              <w:pStyle w:val="TableParagraph"/>
              <w:spacing w:line="197" w:lineRule="exact"/>
              <w:ind w:left="222" w:right="370"/>
              <w:jc w:val="center"/>
              <w:rPr>
                <w:rFonts w:ascii="Franklin Gothic Medium"/>
                <w:sz w:val="18"/>
              </w:rPr>
            </w:pPr>
            <w:r>
              <w:rPr>
                <w:rFonts w:ascii="Franklin Gothic Medium"/>
                <w:sz w:val="18"/>
              </w:rPr>
              <w:t>Options</w:t>
            </w:r>
          </w:p>
          <w:p>
            <w:pPr>
              <w:pStyle w:val="TableParagraph"/>
              <w:spacing w:line="200" w:lineRule="exact" w:before="3"/>
              <w:ind w:left="222" w:right="392"/>
              <w:jc w:val="center"/>
              <w:rPr>
                <w:rFonts w:ascii="Franklin Gothic Medium"/>
                <w:sz w:val="18"/>
              </w:rPr>
            </w:pPr>
            <w:r>
              <w:rPr>
                <w:rFonts w:ascii="Franklin Gothic Medium"/>
                <w:sz w:val="18"/>
              </w:rPr>
              <w:t>outstanding at 12/31/02 (000s)</w:t>
            </w:r>
          </w:p>
        </w:tc>
        <w:tc>
          <w:tcPr>
            <w:tcW w:w="1413" w:type="dxa"/>
            <w:tcBorders>
              <w:bottom w:val="single" w:sz="2" w:space="0" w:color="000000"/>
            </w:tcBorders>
          </w:tcPr>
          <w:p>
            <w:pPr>
              <w:pStyle w:val="TableParagraph"/>
              <w:spacing w:line="200" w:lineRule="exact"/>
              <w:ind w:left="217" w:right="165" w:firstLine="80"/>
              <w:rPr>
                <w:rFonts w:ascii="Franklin Gothic Medium"/>
                <w:sz w:val="18"/>
              </w:rPr>
            </w:pPr>
            <w:r>
              <w:rPr>
                <w:rFonts w:ascii="Franklin Gothic Medium"/>
                <w:sz w:val="18"/>
              </w:rPr>
              <w:t>average remaining</w:t>
            </w:r>
          </w:p>
          <w:p>
            <w:pPr>
              <w:pStyle w:val="TableParagraph"/>
              <w:spacing w:line="200" w:lineRule="exact"/>
              <w:ind w:left="517" w:right="165" w:hanging="360"/>
              <w:rPr>
                <w:rFonts w:ascii="Franklin Gothic Medium"/>
                <w:sz w:val="18"/>
              </w:rPr>
            </w:pPr>
            <w:r>
              <w:rPr>
                <w:rFonts w:ascii="Franklin Gothic Medium"/>
                <w:sz w:val="18"/>
              </w:rPr>
              <w:t>contractual life</w:t>
            </w:r>
          </w:p>
        </w:tc>
        <w:tc>
          <w:tcPr>
            <w:tcW w:w="1172" w:type="dxa"/>
            <w:tcBorders>
              <w:bottom w:val="single" w:sz="2" w:space="0" w:color="000000"/>
            </w:tcBorders>
          </w:tcPr>
          <w:p>
            <w:pPr>
              <w:pStyle w:val="TableParagraph"/>
              <w:spacing w:line="197" w:lineRule="exact"/>
              <w:ind w:left="439" w:right="335"/>
              <w:jc w:val="center"/>
              <w:rPr>
                <w:rFonts w:ascii="Franklin Gothic Medium"/>
                <w:sz w:val="18"/>
              </w:rPr>
            </w:pPr>
            <w:r>
              <w:rPr>
                <w:rFonts w:ascii="Franklin Gothic Medium"/>
                <w:sz w:val="18"/>
              </w:rPr>
              <w:t>Wtd-</w:t>
            </w:r>
          </w:p>
          <w:p>
            <w:pPr>
              <w:pStyle w:val="TableParagraph"/>
              <w:spacing w:line="200" w:lineRule="exact" w:before="3"/>
              <w:ind w:left="264" w:right="170" w:firstLine="20"/>
              <w:jc w:val="center"/>
              <w:rPr>
                <w:rFonts w:ascii="Franklin Gothic Medium"/>
                <w:sz w:val="18"/>
              </w:rPr>
            </w:pPr>
            <w:r>
              <w:rPr>
                <w:rFonts w:ascii="Franklin Gothic Medium"/>
                <w:sz w:val="18"/>
              </w:rPr>
              <w:t>average</w:t>
            </w:r>
            <w:r>
              <w:rPr>
                <w:rFonts w:ascii="Franklin Gothic Medium"/>
                <w:w w:val="99"/>
                <w:sz w:val="18"/>
              </w:rPr>
              <w:t> </w:t>
            </w:r>
            <w:r>
              <w:rPr>
                <w:rFonts w:ascii="Franklin Gothic Medium"/>
                <w:sz w:val="18"/>
              </w:rPr>
              <w:t>exercise price</w:t>
            </w:r>
          </w:p>
        </w:tc>
        <w:tc>
          <w:tcPr>
            <w:tcW w:w="1925" w:type="dxa"/>
            <w:tcBorders>
              <w:bottom w:val="single" w:sz="2" w:space="0" w:color="000000"/>
            </w:tcBorders>
          </w:tcPr>
          <w:p>
            <w:pPr>
              <w:pStyle w:val="TableParagraph"/>
              <w:spacing w:line="197" w:lineRule="exact"/>
              <w:ind w:left="615" w:right="680"/>
              <w:jc w:val="center"/>
              <w:rPr>
                <w:rFonts w:ascii="Franklin Gothic Medium"/>
                <w:sz w:val="18"/>
              </w:rPr>
            </w:pPr>
            <w:r>
              <w:rPr>
                <w:rFonts w:ascii="Franklin Gothic Medium"/>
                <w:sz w:val="18"/>
              </w:rPr>
              <w:t>Options</w:t>
            </w:r>
          </w:p>
          <w:p>
            <w:pPr>
              <w:pStyle w:val="TableParagraph"/>
              <w:spacing w:line="200" w:lineRule="exact" w:before="3"/>
              <w:ind w:left="412" w:right="489" w:firstLine="10"/>
              <w:jc w:val="center"/>
              <w:rPr>
                <w:rFonts w:ascii="Franklin Gothic Medium"/>
                <w:sz w:val="18"/>
              </w:rPr>
            </w:pPr>
            <w:r>
              <w:rPr>
                <w:rFonts w:ascii="Franklin Gothic Medium"/>
                <w:sz w:val="18"/>
              </w:rPr>
              <w:t>exercisable at 12/31/02 (000s)</w:t>
            </w:r>
          </w:p>
        </w:tc>
        <w:tc>
          <w:tcPr>
            <w:tcW w:w="1312" w:type="dxa"/>
            <w:tcBorders>
              <w:bottom w:val="single" w:sz="2" w:space="0" w:color="000000"/>
            </w:tcBorders>
          </w:tcPr>
          <w:p>
            <w:pPr>
              <w:pStyle w:val="TableParagraph"/>
              <w:spacing w:line="197" w:lineRule="exact"/>
              <w:ind w:left="424" w:right="491"/>
              <w:jc w:val="center"/>
              <w:rPr>
                <w:rFonts w:ascii="Franklin Gothic Medium"/>
                <w:sz w:val="18"/>
              </w:rPr>
            </w:pPr>
            <w:r>
              <w:rPr>
                <w:rFonts w:ascii="Franklin Gothic Medium"/>
                <w:sz w:val="18"/>
              </w:rPr>
              <w:t>Wtd-</w:t>
            </w:r>
          </w:p>
          <w:p>
            <w:pPr>
              <w:pStyle w:val="TableParagraph"/>
              <w:spacing w:line="200" w:lineRule="exact" w:before="3"/>
              <w:ind w:left="267" w:right="308" w:firstLine="20"/>
              <w:jc w:val="center"/>
              <w:rPr>
                <w:rFonts w:ascii="Franklin Gothic Medium"/>
                <w:sz w:val="18"/>
              </w:rPr>
            </w:pPr>
            <w:r>
              <w:rPr>
                <w:rFonts w:ascii="Franklin Gothic Medium"/>
                <w:sz w:val="18"/>
              </w:rPr>
              <w:t>average</w:t>
            </w:r>
            <w:r>
              <w:rPr>
                <w:rFonts w:ascii="Franklin Gothic Medium"/>
                <w:w w:val="99"/>
                <w:sz w:val="18"/>
              </w:rPr>
              <w:t> </w:t>
            </w:r>
            <w:r>
              <w:rPr>
                <w:rFonts w:ascii="Franklin Gothic Medium"/>
                <w:sz w:val="18"/>
              </w:rPr>
              <w:t>exercise price</w:t>
            </w:r>
          </w:p>
        </w:tc>
      </w:tr>
      <w:tr>
        <w:trPr>
          <w:trHeight w:val="335" w:hRule="exact"/>
        </w:trPr>
        <w:tc>
          <w:tcPr>
            <w:tcW w:w="1900" w:type="dxa"/>
            <w:tcBorders>
              <w:top w:val="single" w:sz="2" w:space="0" w:color="000000"/>
            </w:tcBorders>
          </w:tcPr>
          <w:p>
            <w:pPr>
              <w:pStyle w:val="TableParagraph"/>
              <w:tabs>
                <w:tab w:pos="1218" w:val="left" w:leader="none"/>
              </w:tabs>
              <w:spacing w:before="84"/>
              <w:ind w:left="78"/>
              <w:jc w:val="center"/>
              <w:rPr>
                <w:sz w:val="18"/>
              </w:rPr>
            </w:pPr>
            <w:r>
              <w:rPr>
                <w:w w:val="110"/>
                <w:sz w:val="18"/>
              </w:rPr>
              <w:t>$3.30   </w:t>
            </w:r>
            <w:r>
              <w:rPr>
                <w:spacing w:val="9"/>
                <w:w w:val="110"/>
                <w:sz w:val="18"/>
              </w:rPr>
              <w:t> </w:t>
            </w:r>
            <w:r>
              <w:rPr>
                <w:w w:val="110"/>
                <w:sz w:val="18"/>
              </w:rPr>
              <w:t>to</w:t>
              <w:tab/>
              <w:t>$4.99</w:t>
            </w:r>
          </w:p>
        </w:tc>
        <w:tc>
          <w:tcPr>
            <w:tcW w:w="1662" w:type="dxa"/>
            <w:tcBorders>
              <w:top w:val="single" w:sz="2" w:space="0" w:color="000000"/>
            </w:tcBorders>
          </w:tcPr>
          <w:p>
            <w:pPr>
              <w:pStyle w:val="TableParagraph"/>
              <w:spacing w:before="84"/>
              <w:ind w:left="639"/>
              <w:rPr>
                <w:sz w:val="18"/>
              </w:rPr>
            </w:pPr>
            <w:r>
              <w:rPr>
                <w:w w:val="120"/>
                <w:sz w:val="18"/>
              </w:rPr>
              <w:t>50,811</w:t>
            </w:r>
          </w:p>
        </w:tc>
        <w:tc>
          <w:tcPr>
            <w:tcW w:w="1413" w:type="dxa"/>
            <w:tcBorders>
              <w:top w:val="single" w:sz="2" w:space="0" w:color="000000"/>
            </w:tcBorders>
          </w:tcPr>
          <w:p>
            <w:pPr>
              <w:pStyle w:val="TableParagraph"/>
              <w:spacing w:before="84"/>
              <w:ind w:left="417"/>
              <w:rPr>
                <w:sz w:val="18"/>
              </w:rPr>
            </w:pPr>
            <w:r>
              <w:rPr>
                <w:w w:val="115"/>
                <w:sz w:val="18"/>
              </w:rPr>
              <w:t>3.9 yrs</w:t>
            </w:r>
          </w:p>
        </w:tc>
        <w:tc>
          <w:tcPr>
            <w:tcW w:w="1172" w:type="dxa"/>
            <w:tcBorders>
              <w:top w:val="single" w:sz="2" w:space="0" w:color="000000"/>
            </w:tcBorders>
          </w:tcPr>
          <w:p>
            <w:pPr>
              <w:pStyle w:val="TableParagraph"/>
              <w:spacing w:before="84"/>
              <w:ind w:right="208"/>
              <w:jc w:val="right"/>
              <w:rPr>
                <w:sz w:val="18"/>
              </w:rPr>
            </w:pPr>
            <w:r>
              <w:rPr>
                <w:w w:val="120"/>
                <w:sz w:val="18"/>
              </w:rPr>
              <w:t>$ 4.05</w:t>
            </w:r>
          </w:p>
        </w:tc>
        <w:tc>
          <w:tcPr>
            <w:tcW w:w="1925" w:type="dxa"/>
            <w:tcBorders>
              <w:top w:val="single" w:sz="2" w:space="0" w:color="000000"/>
            </w:tcBorders>
          </w:tcPr>
          <w:p>
            <w:pPr>
              <w:pStyle w:val="TableParagraph"/>
              <w:spacing w:before="84"/>
              <w:ind w:left="732"/>
              <w:rPr>
                <w:sz w:val="18"/>
              </w:rPr>
            </w:pPr>
            <w:r>
              <w:rPr>
                <w:w w:val="120"/>
                <w:sz w:val="18"/>
              </w:rPr>
              <w:t>38,717</w:t>
            </w:r>
          </w:p>
        </w:tc>
        <w:tc>
          <w:tcPr>
            <w:tcW w:w="1312" w:type="dxa"/>
            <w:tcBorders>
              <w:top w:val="single" w:sz="2" w:space="0" w:color="000000"/>
            </w:tcBorders>
          </w:tcPr>
          <w:p>
            <w:pPr>
              <w:pStyle w:val="TableParagraph"/>
              <w:spacing w:before="84"/>
              <w:ind w:right="466"/>
              <w:jc w:val="right"/>
              <w:rPr>
                <w:sz w:val="18"/>
              </w:rPr>
            </w:pPr>
            <w:r>
              <w:rPr>
                <w:w w:val="120"/>
                <w:sz w:val="18"/>
              </w:rPr>
              <w:t>$ 4.01</w:t>
            </w:r>
          </w:p>
        </w:tc>
      </w:tr>
      <w:tr>
        <w:trPr>
          <w:trHeight w:val="280" w:hRule="exact"/>
        </w:trPr>
        <w:tc>
          <w:tcPr>
            <w:tcW w:w="1900" w:type="dxa"/>
          </w:tcPr>
          <w:p>
            <w:pPr>
              <w:pStyle w:val="TableParagraph"/>
              <w:tabs>
                <w:tab w:pos="1218" w:val="left" w:leader="none"/>
              </w:tabs>
              <w:spacing w:before="28"/>
              <w:ind w:left="78"/>
              <w:jc w:val="center"/>
              <w:rPr>
                <w:sz w:val="18"/>
              </w:rPr>
            </w:pPr>
            <w:r>
              <w:rPr>
                <w:w w:val="110"/>
                <w:sz w:val="18"/>
              </w:rPr>
              <w:t>$5.11   </w:t>
            </w:r>
            <w:r>
              <w:rPr>
                <w:spacing w:val="9"/>
                <w:w w:val="110"/>
                <w:sz w:val="18"/>
              </w:rPr>
              <w:t> </w:t>
            </w:r>
            <w:r>
              <w:rPr>
                <w:w w:val="110"/>
                <w:sz w:val="18"/>
              </w:rPr>
              <w:t>to</w:t>
              <w:tab/>
              <w:t>$7.41</w:t>
            </w:r>
          </w:p>
        </w:tc>
        <w:tc>
          <w:tcPr>
            <w:tcW w:w="1662" w:type="dxa"/>
          </w:tcPr>
          <w:p>
            <w:pPr>
              <w:pStyle w:val="TableParagraph"/>
              <w:spacing w:before="28"/>
              <w:ind w:left="759"/>
              <w:rPr>
                <w:sz w:val="18"/>
              </w:rPr>
            </w:pPr>
            <w:r>
              <w:rPr>
                <w:w w:val="120"/>
                <w:sz w:val="18"/>
              </w:rPr>
              <w:t>3,341</w:t>
            </w:r>
          </w:p>
        </w:tc>
        <w:tc>
          <w:tcPr>
            <w:tcW w:w="1413" w:type="dxa"/>
          </w:tcPr>
          <w:p>
            <w:pPr>
              <w:pStyle w:val="TableParagraph"/>
              <w:spacing w:before="28"/>
              <w:ind w:left="417"/>
              <w:rPr>
                <w:sz w:val="18"/>
              </w:rPr>
            </w:pPr>
            <w:r>
              <w:rPr>
                <w:w w:val="115"/>
                <w:sz w:val="18"/>
              </w:rPr>
              <w:t>3.0 yrs</w:t>
            </w:r>
          </w:p>
        </w:tc>
        <w:tc>
          <w:tcPr>
            <w:tcW w:w="1172" w:type="dxa"/>
          </w:tcPr>
          <w:p>
            <w:pPr>
              <w:pStyle w:val="TableParagraph"/>
              <w:spacing w:before="28"/>
              <w:ind w:right="210"/>
              <w:jc w:val="right"/>
              <w:rPr>
                <w:sz w:val="18"/>
              </w:rPr>
            </w:pPr>
            <w:r>
              <w:rPr>
                <w:w w:val="115"/>
                <w:sz w:val="18"/>
              </w:rPr>
              <w:t>5.85</w:t>
            </w:r>
          </w:p>
        </w:tc>
        <w:tc>
          <w:tcPr>
            <w:tcW w:w="1925" w:type="dxa"/>
          </w:tcPr>
          <w:p>
            <w:pPr>
              <w:pStyle w:val="TableParagraph"/>
              <w:spacing w:before="28"/>
              <w:ind w:left="852"/>
              <w:rPr>
                <w:sz w:val="18"/>
              </w:rPr>
            </w:pPr>
            <w:r>
              <w:rPr>
                <w:w w:val="120"/>
                <w:sz w:val="18"/>
              </w:rPr>
              <w:t>2,586</w:t>
            </w:r>
          </w:p>
        </w:tc>
        <w:tc>
          <w:tcPr>
            <w:tcW w:w="1312" w:type="dxa"/>
          </w:tcPr>
          <w:p>
            <w:pPr>
              <w:pStyle w:val="TableParagraph"/>
              <w:spacing w:before="28"/>
              <w:ind w:right="468"/>
              <w:jc w:val="right"/>
              <w:rPr>
                <w:sz w:val="18"/>
              </w:rPr>
            </w:pPr>
            <w:r>
              <w:rPr>
                <w:w w:val="115"/>
                <w:sz w:val="18"/>
              </w:rPr>
              <w:t>5.91</w:t>
            </w:r>
          </w:p>
        </w:tc>
      </w:tr>
      <w:tr>
        <w:trPr>
          <w:trHeight w:val="280" w:hRule="exact"/>
        </w:trPr>
        <w:tc>
          <w:tcPr>
            <w:tcW w:w="1900" w:type="dxa"/>
          </w:tcPr>
          <w:p>
            <w:pPr>
              <w:pStyle w:val="TableParagraph"/>
              <w:tabs>
                <w:tab w:pos="1116" w:val="left" w:leader="none"/>
              </w:tabs>
              <w:spacing w:before="28"/>
              <w:ind w:left="76"/>
              <w:jc w:val="center"/>
              <w:rPr>
                <w:sz w:val="18"/>
              </w:rPr>
            </w:pPr>
            <w:r>
              <w:rPr>
                <w:w w:val="115"/>
                <w:sz w:val="18"/>
              </w:rPr>
              <w:t>$7.86  </w:t>
            </w:r>
            <w:r>
              <w:rPr>
                <w:spacing w:val="30"/>
                <w:w w:val="115"/>
                <w:sz w:val="18"/>
              </w:rPr>
              <w:t> </w:t>
            </w:r>
            <w:r>
              <w:rPr>
                <w:w w:val="115"/>
                <w:sz w:val="18"/>
              </w:rPr>
              <w:t>to</w:t>
              <w:tab/>
            </w:r>
            <w:r>
              <w:rPr>
                <w:spacing w:val="-3"/>
                <w:w w:val="115"/>
                <w:sz w:val="18"/>
              </w:rPr>
              <w:t>$11.73</w:t>
            </w:r>
          </w:p>
        </w:tc>
        <w:tc>
          <w:tcPr>
            <w:tcW w:w="1662" w:type="dxa"/>
          </w:tcPr>
          <w:p>
            <w:pPr>
              <w:pStyle w:val="TableParagraph"/>
              <w:spacing w:before="28"/>
              <w:ind w:left="639"/>
              <w:rPr>
                <w:sz w:val="18"/>
              </w:rPr>
            </w:pPr>
            <w:r>
              <w:rPr>
                <w:w w:val="120"/>
                <w:sz w:val="18"/>
              </w:rPr>
              <w:t>14,247</w:t>
            </w:r>
          </w:p>
        </w:tc>
        <w:tc>
          <w:tcPr>
            <w:tcW w:w="1413" w:type="dxa"/>
          </w:tcPr>
          <w:p>
            <w:pPr>
              <w:pStyle w:val="TableParagraph"/>
              <w:spacing w:before="28"/>
              <w:ind w:left="417"/>
              <w:rPr>
                <w:sz w:val="18"/>
              </w:rPr>
            </w:pPr>
            <w:r>
              <w:rPr>
                <w:w w:val="115"/>
                <w:sz w:val="18"/>
              </w:rPr>
              <w:t>5.9 yrs</w:t>
            </w:r>
          </w:p>
        </w:tc>
        <w:tc>
          <w:tcPr>
            <w:tcW w:w="1172" w:type="dxa"/>
          </w:tcPr>
          <w:p>
            <w:pPr>
              <w:pStyle w:val="TableParagraph"/>
              <w:spacing w:before="28"/>
              <w:ind w:right="210"/>
              <w:jc w:val="right"/>
              <w:rPr>
                <w:sz w:val="18"/>
              </w:rPr>
            </w:pPr>
            <w:r>
              <w:rPr>
                <w:w w:val="115"/>
                <w:sz w:val="18"/>
              </w:rPr>
              <w:t>9.84</w:t>
            </w:r>
          </w:p>
        </w:tc>
        <w:tc>
          <w:tcPr>
            <w:tcW w:w="1925" w:type="dxa"/>
          </w:tcPr>
          <w:p>
            <w:pPr>
              <w:pStyle w:val="TableParagraph"/>
              <w:spacing w:before="28"/>
              <w:ind w:left="852"/>
              <w:rPr>
                <w:sz w:val="18"/>
              </w:rPr>
            </w:pPr>
            <w:r>
              <w:rPr>
                <w:w w:val="120"/>
                <w:sz w:val="18"/>
              </w:rPr>
              <w:t>6,548</w:t>
            </w:r>
          </w:p>
        </w:tc>
        <w:tc>
          <w:tcPr>
            <w:tcW w:w="1312" w:type="dxa"/>
          </w:tcPr>
          <w:p>
            <w:pPr>
              <w:pStyle w:val="TableParagraph"/>
              <w:spacing w:before="28"/>
              <w:ind w:right="468"/>
              <w:jc w:val="right"/>
              <w:rPr>
                <w:sz w:val="18"/>
              </w:rPr>
            </w:pPr>
            <w:r>
              <w:rPr>
                <w:w w:val="115"/>
                <w:sz w:val="18"/>
              </w:rPr>
              <w:t>9.94</w:t>
            </w:r>
          </w:p>
        </w:tc>
      </w:tr>
      <w:tr>
        <w:trPr>
          <w:trHeight w:val="280" w:hRule="exact"/>
        </w:trPr>
        <w:tc>
          <w:tcPr>
            <w:tcW w:w="1900" w:type="dxa"/>
          </w:tcPr>
          <w:p>
            <w:pPr>
              <w:pStyle w:val="TableParagraph"/>
              <w:spacing w:before="28"/>
              <w:ind w:left="76" w:right="77"/>
              <w:jc w:val="center"/>
              <w:rPr>
                <w:sz w:val="18"/>
              </w:rPr>
            </w:pPr>
            <w:r>
              <w:rPr>
                <w:w w:val="115"/>
                <w:sz w:val="18"/>
              </w:rPr>
              <w:t>$12.11    to    $18.07</w:t>
            </w:r>
          </w:p>
        </w:tc>
        <w:tc>
          <w:tcPr>
            <w:tcW w:w="1662" w:type="dxa"/>
          </w:tcPr>
          <w:p>
            <w:pPr>
              <w:pStyle w:val="TableParagraph"/>
              <w:spacing w:before="28"/>
              <w:ind w:left="639"/>
              <w:rPr>
                <w:sz w:val="18"/>
              </w:rPr>
            </w:pPr>
            <w:r>
              <w:rPr>
                <w:w w:val="120"/>
                <w:sz w:val="18"/>
              </w:rPr>
              <w:t>61,369</w:t>
            </w:r>
          </w:p>
        </w:tc>
        <w:tc>
          <w:tcPr>
            <w:tcW w:w="1413" w:type="dxa"/>
          </w:tcPr>
          <w:p>
            <w:pPr>
              <w:pStyle w:val="TableParagraph"/>
              <w:spacing w:before="28"/>
              <w:ind w:left="417"/>
              <w:rPr>
                <w:sz w:val="18"/>
              </w:rPr>
            </w:pPr>
            <w:r>
              <w:rPr>
                <w:w w:val="115"/>
                <w:sz w:val="18"/>
              </w:rPr>
              <w:t>8.4 yrs</w:t>
            </w:r>
          </w:p>
        </w:tc>
        <w:tc>
          <w:tcPr>
            <w:tcW w:w="1172" w:type="dxa"/>
          </w:tcPr>
          <w:p>
            <w:pPr>
              <w:pStyle w:val="TableParagraph"/>
              <w:spacing w:before="28"/>
              <w:ind w:right="206"/>
              <w:jc w:val="right"/>
              <w:rPr>
                <w:sz w:val="18"/>
              </w:rPr>
            </w:pPr>
            <w:r>
              <w:rPr>
                <w:w w:val="115"/>
                <w:sz w:val="18"/>
              </w:rPr>
              <w:t>13.85</w:t>
            </w:r>
          </w:p>
        </w:tc>
        <w:tc>
          <w:tcPr>
            <w:tcW w:w="1925" w:type="dxa"/>
          </w:tcPr>
          <w:p>
            <w:pPr>
              <w:pStyle w:val="TableParagraph"/>
              <w:spacing w:before="28"/>
              <w:ind w:left="732"/>
              <w:rPr>
                <w:sz w:val="18"/>
              </w:rPr>
            </w:pPr>
            <w:r>
              <w:rPr>
                <w:w w:val="120"/>
                <w:sz w:val="18"/>
              </w:rPr>
              <w:t>14,738</w:t>
            </w:r>
          </w:p>
        </w:tc>
        <w:tc>
          <w:tcPr>
            <w:tcW w:w="1312" w:type="dxa"/>
          </w:tcPr>
          <w:p>
            <w:pPr>
              <w:pStyle w:val="TableParagraph"/>
              <w:spacing w:before="28"/>
              <w:ind w:right="464"/>
              <w:jc w:val="right"/>
              <w:rPr>
                <w:sz w:val="18"/>
              </w:rPr>
            </w:pPr>
            <w:r>
              <w:rPr>
                <w:w w:val="115"/>
                <w:sz w:val="18"/>
              </w:rPr>
              <w:t>14.01</w:t>
            </w:r>
          </w:p>
        </w:tc>
      </w:tr>
      <w:tr>
        <w:trPr>
          <w:trHeight w:val="310" w:hRule="exact"/>
        </w:trPr>
        <w:tc>
          <w:tcPr>
            <w:tcW w:w="1900" w:type="dxa"/>
          </w:tcPr>
          <w:p>
            <w:pPr>
              <w:pStyle w:val="TableParagraph"/>
              <w:spacing w:before="28"/>
              <w:jc w:val="center"/>
              <w:rPr>
                <w:sz w:val="18"/>
              </w:rPr>
            </w:pPr>
            <w:r>
              <w:rPr>
                <w:w w:val="115"/>
                <w:sz w:val="18"/>
              </w:rPr>
              <w:t>$18.26    to    $23.94</w:t>
            </w:r>
          </w:p>
        </w:tc>
        <w:tc>
          <w:tcPr>
            <w:tcW w:w="1662" w:type="dxa"/>
          </w:tcPr>
          <w:p>
            <w:pPr>
              <w:pStyle w:val="TableParagraph"/>
              <w:tabs>
                <w:tab w:pos="762" w:val="left" w:leader="none"/>
                <w:tab w:pos="1504" w:val="left" w:leader="none"/>
              </w:tabs>
              <w:spacing w:before="28"/>
              <w:ind w:left="99"/>
              <w:rPr>
                <w:sz w:val="18"/>
              </w:rPr>
            </w:pPr>
            <w:r>
              <w:rPr>
                <w:w w:val="132"/>
                <w:sz w:val="18"/>
                <w:u w:val="single"/>
              </w:rPr>
              <w:t> </w:t>
            </w:r>
            <w:r>
              <w:rPr>
                <w:sz w:val="18"/>
                <w:u w:val="single"/>
              </w:rPr>
              <w:tab/>
            </w:r>
            <w:r>
              <w:rPr>
                <w:spacing w:val="-3"/>
                <w:w w:val="120"/>
                <w:sz w:val="18"/>
                <w:u w:val="single"/>
              </w:rPr>
              <w:t>8,404</w:t>
            </w:r>
            <w:r>
              <w:rPr>
                <w:spacing w:val="-3"/>
                <w:sz w:val="18"/>
                <w:u w:val="single"/>
              </w:rPr>
              <w:tab/>
            </w:r>
          </w:p>
        </w:tc>
        <w:tc>
          <w:tcPr>
            <w:tcW w:w="1413" w:type="dxa"/>
          </w:tcPr>
          <w:p>
            <w:pPr>
              <w:pStyle w:val="TableParagraph"/>
              <w:spacing w:before="28"/>
              <w:ind w:left="417"/>
              <w:rPr>
                <w:sz w:val="18"/>
              </w:rPr>
            </w:pPr>
            <w:r>
              <w:rPr>
                <w:w w:val="115"/>
                <w:sz w:val="18"/>
              </w:rPr>
              <w:t>7.2 yrs</w:t>
            </w:r>
          </w:p>
        </w:tc>
        <w:tc>
          <w:tcPr>
            <w:tcW w:w="1172" w:type="dxa"/>
          </w:tcPr>
          <w:p>
            <w:pPr>
              <w:pStyle w:val="TableParagraph"/>
              <w:spacing w:before="28"/>
              <w:ind w:right="206"/>
              <w:jc w:val="right"/>
              <w:rPr>
                <w:sz w:val="18"/>
              </w:rPr>
            </w:pPr>
            <w:r>
              <w:rPr>
                <w:w w:val="115"/>
                <w:sz w:val="18"/>
              </w:rPr>
              <w:t>19.65</w:t>
            </w:r>
          </w:p>
        </w:tc>
        <w:tc>
          <w:tcPr>
            <w:tcW w:w="1925" w:type="dxa"/>
          </w:tcPr>
          <w:p>
            <w:pPr>
              <w:pStyle w:val="TableParagraph"/>
              <w:tabs>
                <w:tab w:pos="852" w:val="left" w:leader="none"/>
                <w:tab w:pos="1657" w:val="left" w:leader="none"/>
              </w:tabs>
              <w:spacing w:before="28"/>
              <w:ind w:left="172"/>
              <w:rPr>
                <w:sz w:val="18"/>
              </w:rPr>
            </w:pPr>
            <w:r>
              <w:rPr>
                <w:w w:val="132"/>
                <w:sz w:val="18"/>
                <w:u w:val="single"/>
              </w:rPr>
              <w:t> </w:t>
            </w:r>
            <w:r>
              <w:rPr>
                <w:sz w:val="18"/>
                <w:u w:val="single"/>
              </w:rPr>
              <w:tab/>
            </w:r>
            <w:r>
              <w:rPr>
                <w:w w:val="120"/>
                <w:sz w:val="18"/>
                <w:u w:val="single"/>
              </w:rPr>
              <w:t>3,068</w:t>
            </w:r>
            <w:r>
              <w:rPr>
                <w:sz w:val="18"/>
                <w:u w:val="single"/>
              </w:rPr>
              <w:tab/>
            </w:r>
          </w:p>
        </w:tc>
        <w:tc>
          <w:tcPr>
            <w:tcW w:w="1312" w:type="dxa"/>
          </w:tcPr>
          <w:p>
            <w:pPr>
              <w:pStyle w:val="TableParagraph"/>
              <w:spacing w:before="28"/>
              <w:ind w:right="464"/>
              <w:jc w:val="right"/>
              <w:rPr>
                <w:sz w:val="18"/>
              </w:rPr>
            </w:pPr>
            <w:r>
              <w:rPr>
                <w:w w:val="115"/>
                <w:sz w:val="18"/>
              </w:rPr>
              <w:t>19.91</w:t>
            </w:r>
          </w:p>
        </w:tc>
      </w:tr>
      <w:tr>
        <w:trPr>
          <w:trHeight w:val="275" w:hRule="exact"/>
        </w:trPr>
        <w:tc>
          <w:tcPr>
            <w:tcW w:w="1900" w:type="dxa"/>
          </w:tcPr>
          <w:p>
            <w:pPr>
              <w:pStyle w:val="TableParagraph"/>
              <w:tabs>
                <w:tab w:pos="1116" w:val="left" w:leader="none"/>
              </w:tabs>
              <w:spacing w:before="58"/>
              <w:ind w:left="76"/>
              <w:jc w:val="center"/>
              <w:rPr>
                <w:sz w:val="18"/>
              </w:rPr>
            </w:pPr>
            <w:r>
              <w:rPr>
                <w:w w:val="115"/>
                <w:sz w:val="18"/>
              </w:rPr>
              <w:t>$3.30  </w:t>
            </w:r>
            <w:r>
              <w:rPr>
                <w:spacing w:val="30"/>
                <w:w w:val="115"/>
                <w:sz w:val="18"/>
              </w:rPr>
              <w:t> </w:t>
            </w:r>
            <w:r>
              <w:rPr>
                <w:w w:val="115"/>
                <w:sz w:val="18"/>
              </w:rPr>
              <w:t>to</w:t>
              <w:tab/>
            </w:r>
            <w:r>
              <w:rPr>
                <w:spacing w:val="-3"/>
                <w:w w:val="115"/>
                <w:sz w:val="18"/>
              </w:rPr>
              <w:t>$23.94</w:t>
            </w:r>
          </w:p>
        </w:tc>
        <w:tc>
          <w:tcPr>
            <w:tcW w:w="1662" w:type="dxa"/>
          </w:tcPr>
          <w:p>
            <w:pPr>
              <w:pStyle w:val="TableParagraph"/>
              <w:tabs>
                <w:tab w:pos="539" w:val="left" w:leader="none"/>
                <w:tab w:pos="1499" w:val="left" w:leader="none"/>
              </w:tabs>
              <w:spacing w:before="58"/>
              <w:ind w:left="99"/>
              <w:rPr>
                <w:sz w:val="18"/>
              </w:rPr>
            </w:pPr>
            <w:r>
              <w:rPr>
                <w:w w:val="132"/>
                <w:sz w:val="18"/>
                <w:u w:val="single"/>
              </w:rPr>
              <w:t> </w:t>
            </w:r>
            <w:r>
              <w:rPr>
                <w:sz w:val="18"/>
                <w:u w:val="single"/>
              </w:rPr>
              <w:tab/>
            </w:r>
            <w:r>
              <w:rPr>
                <w:w w:val="120"/>
                <w:sz w:val="18"/>
                <w:u w:val="single"/>
              </w:rPr>
              <w:t>138,172</w:t>
            </w:r>
            <w:r>
              <w:rPr>
                <w:sz w:val="18"/>
                <w:u w:val="single"/>
              </w:rPr>
              <w:tab/>
            </w:r>
          </w:p>
        </w:tc>
        <w:tc>
          <w:tcPr>
            <w:tcW w:w="1413" w:type="dxa"/>
          </w:tcPr>
          <w:p>
            <w:pPr>
              <w:pStyle w:val="TableParagraph"/>
              <w:spacing w:before="58"/>
              <w:ind w:left="420"/>
              <w:rPr>
                <w:sz w:val="18"/>
              </w:rPr>
            </w:pPr>
            <w:r>
              <w:rPr>
                <w:w w:val="115"/>
                <w:sz w:val="18"/>
              </w:rPr>
              <w:t>6.3 yrs</w:t>
            </w:r>
          </w:p>
        </w:tc>
        <w:tc>
          <w:tcPr>
            <w:tcW w:w="1172" w:type="dxa"/>
          </w:tcPr>
          <w:p>
            <w:pPr>
              <w:pStyle w:val="TableParagraph"/>
              <w:spacing w:before="58"/>
              <w:ind w:right="208"/>
              <w:jc w:val="right"/>
              <w:rPr>
                <w:sz w:val="18"/>
              </w:rPr>
            </w:pPr>
            <w:r>
              <w:rPr>
                <w:w w:val="120"/>
                <w:sz w:val="18"/>
              </w:rPr>
              <w:t>$ 9.99</w:t>
            </w:r>
          </w:p>
        </w:tc>
        <w:tc>
          <w:tcPr>
            <w:tcW w:w="1925" w:type="dxa"/>
          </w:tcPr>
          <w:p>
            <w:pPr>
              <w:pStyle w:val="TableParagraph"/>
              <w:tabs>
                <w:tab w:pos="732" w:val="left" w:leader="none"/>
                <w:tab w:pos="1652" w:val="left" w:leader="none"/>
              </w:tabs>
              <w:spacing w:before="58"/>
              <w:ind w:left="172"/>
              <w:rPr>
                <w:sz w:val="18"/>
              </w:rPr>
            </w:pPr>
            <w:r>
              <w:rPr>
                <w:w w:val="132"/>
                <w:sz w:val="18"/>
                <w:u w:val="single"/>
              </w:rPr>
              <w:t> </w:t>
            </w:r>
            <w:r>
              <w:rPr>
                <w:sz w:val="18"/>
                <w:u w:val="single"/>
              </w:rPr>
              <w:tab/>
            </w:r>
            <w:r>
              <w:rPr>
                <w:spacing w:val="-3"/>
                <w:w w:val="120"/>
                <w:sz w:val="18"/>
                <w:u w:val="single"/>
              </w:rPr>
              <w:t>65,657</w:t>
            </w:r>
            <w:r>
              <w:rPr>
                <w:spacing w:val="-3"/>
                <w:sz w:val="18"/>
                <w:u w:val="single"/>
              </w:rPr>
              <w:tab/>
            </w:r>
          </w:p>
        </w:tc>
        <w:tc>
          <w:tcPr>
            <w:tcW w:w="1312" w:type="dxa"/>
          </w:tcPr>
          <w:p>
            <w:pPr>
              <w:pStyle w:val="TableParagraph"/>
              <w:spacing w:before="58"/>
              <w:ind w:right="466"/>
              <w:jc w:val="right"/>
              <w:rPr>
                <w:sz w:val="18"/>
              </w:rPr>
            </w:pPr>
            <w:r>
              <w:rPr>
                <w:w w:val="120"/>
                <w:sz w:val="18"/>
              </w:rPr>
              <w:t>$ 7.67</w:t>
            </w:r>
          </w:p>
        </w:tc>
      </w:tr>
    </w:tbl>
    <w:p>
      <w:pPr>
        <w:spacing w:after="0"/>
        <w:jc w:val="right"/>
        <w:rPr>
          <w:sz w:val="18"/>
        </w:rPr>
        <w:sectPr>
          <w:type w:val="continuous"/>
          <w:pgSz w:w="11520" w:h="14400"/>
          <w:pgMar w:top="0" w:bottom="280" w:left="700" w:right="820"/>
        </w:sectPr>
      </w:pPr>
    </w:p>
    <w:p>
      <w:pPr>
        <w:pStyle w:val="BodyText"/>
        <w:spacing w:line="254" w:lineRule="auto" w:before="69"/>
        <w:ind w:left="140" w:firstLine="280"/>
        <w:jc w:val="both"/>
      </w:pPr>
      <w:r>
        <w:rPr>
          <w:w w:val="110"/>
        </w:rPr>
        <w:t>Under the </w:t>
      </w:r>
      <w:r>
        <w:rPr>
          <w:spacing w:val="4"/>
          <w:w w:val="110"/>
        </w:rPr>
        <w:t>amended </w:t>
      </w:r>
      <w:r>
        <w:rPr>
          <w:w w:val="110"/>
        </w:rPr>
        <w:t>1991 </w:t>
      </w:r>
      <w:r>
        <w:rPr>
          <w:spacing w:val="2"/>
          <w:w w:val="110"/>
        </w:rPr>
        <w:t>Employee </w:t>
      </w:r>
      <w:r>
        <w:rPr>
          <w:w w:val="110"/>
        </w:rPr>
        <w:t>Stock Purchase Plan (ESPP), which has  </w:t>
      </w:r>
      <w:r>
        <w:rPr>
          <w:spacing w:val="16"/>
          <w:w w:val="110"/>
        </w:rPr>
        <w:t>been  </w:t>
      </w:r>
      <w:r>
        <w:rPr>
          <w:spacing w:val="3"/>
          <w:w w:val="110"/>
        </w:rPr>
        <w:t>approved </w:t>
      </w:r>
      <w:r>
        <w:rPr>
          <w:w w:val="110"/>
        </w:rPr>
        <w:t>by shareholders,  as  of  </w:t>
      </w:r>
      <w:r>
        <w:rPr>
          <w:spacing w:val="10"/>
          <w:w w:val="110"/>
        </w:rPr>
        <w:t>December </w:t>
      </w:r>
      <w:r>
        <w:rPr>
          <w:w w:val="110"/>
        </w:rPr>
        <w:t>31, 2002, the </w:t>
      </w:r>
      <w:r>
        <w:rPr>
          <w:spacing w:val="2"/>
          <w:w w:val="110"/>
        </w:rPr>
        <w:t>Company </w:t>
      </w:r>
      <w:r>
        <w:rPr>
          <w:w w:val="110"/>
        </w:rPr>
        <w:t>is </w:t>
      </w:r>
      <w:r>
        <w:rPr>
          <w:spacing w:val="2"/>
          <w:w w:val="110"/>
        </w:rPr>
        <w:t>authorized  </w:t>
      </w:r>
      <w:r>
        <w:rPr>
          <w:w w:val="110"/>
        </w:rPr>
        <w:t>to  </w:t>
      </w:r>
      <w:r>
        <w:rPr>
          <w:spacing w:val="7"/>
          <w:w w:val="110"/>
        </w:rPr>
        <w:t>issue </w:t>
      </w:r>
      <w:r>
        <w:rPr>
          <w:w w:val="110"/>
        </w:rPr>
        <w:t>up to a </w:t>
      </w:r>
      <w:r>
        <w:rPr>
          <w:spacing w:val="3"/>
          <w:w w:val="110"/>
        </w:rPr>
        <w:t>remaining </w:t>
      </w:r>
      <w:r>
        <w:rPr>
          <w:spacing w:val="2"/>
          <w:w w:val="110"/>
        </w:rPr>
        <w:t>balance  </w:t>
      </w:r>
      <w:r>
        <w:rPr>
          <w:w w:val="110"/>
        </w:rPr>
        <w:t>of  6.5  </w:t>
      </w:r>
      <w:r>
        <w:rPr>
          <w:spacing w:val="8"/>
          <w:w w:val="110"/>
        </w:rPr>
        <w:t>million </w:t>
      </w:r>
      <w:r>
        <w:rPr>
          <w:w w:val="110"/>
        </w:rPr>
        <w:t>shares of </w:t>
      </w:r>
      <w:r>
        <w:rPr>
          <w:spacing w:val="3"/>
          <w:w w:val="110"/>
        </w:rPr>
        <w:t>common </w:t>
      </w:r>
      <w:r>
        <w:rPr>
          <w:w w:val="110"/>
        </w:rPr>
        <w:t>stock to Employees of </w:t>
      </w:r>
      <w:r>
        <w:rPr>
          <w:spacing w:val="6"/>
          <w:w w:val="110"/>
        </w:rPr>
        <w:t>the </w:t>
      </w:r>
      <w:r>
        <w:rPr>
          <w:w w:val="110"/>
        </w:rPr>
        <w:t>Company. These shares may be  issued  at  a price equal to 90 percent of the market  </w:t>
      </w:r>
      <w:r>
        <w:rPr>
          <w:spacing w:val="10"/>
          <w:w w:val="110"/>
        </w:rPr>
        <w:t>value </w:t>
      </w:r>
      <w:r>
        <w:rPr>
          <w:w w:val="110"/>
        </w:rPr>
        <w:t>at the end of </w:t>
      </w:r>
      <w:r>
        <w:rPr>
          <w:spacing w:val="2"/>
          <w:w w:val="110"/>
        </w:rPr>
        <w:t>each purchase period. </w:t>
      </w:r>
      <w:r>
        <w:rPr>
          <w:spacing w:val="12"/>
          <w:w w:val="110"/>
        </w:rPr>
        <w:t>Common </w:t>
      </w:r>
      <w:r>
        <w:rPr>
          <w:w w:val="110"/>
        </w:rPr>
        <w:t>stock purchases are </w:t>
      </w:r>
      <w:r>
        <w:rPr>
          <w:spacing w:val="2"/>
          <w:w w:val="110"/>
        </w:rPr>
        <w:t>paid </w:t>
      </w:r>
      <w:r>
        <w:rPr>
          <w:w w:val="110"/>
        </w:rPr>
        <w:t>for through </w:t>
      </w:r>
      <w:r>
        <w:rPr>
          <w:spacing w:val="10"/>
          <w:w w:val="110"/>
        </w:rPr>
        <w:t>periodic </w:t>
      </w:r>
      <w:r>
        <w:rPr>
          <w:w w:val="110"/>
        </w:rPr>
        <w:t>payroll </w:t>
      </w:r>
      <w:r>
        <w:rPr>
          <w:spacing w:val="2"/>
          <w:w w:val="110"/>
        </w:rPr>
        <w:t>deductions. </w:t>
      </w:r>
      <w:r>
        <w:rPr>
          <w:spacing w:val="5"/>
          <w:w w:val="110"/>
        </w:rPr>
        <w:t>Participants  </w:t>
      </w:r>
      <w:r>
        <w:rPr>
          <w:spacing w:val="9"/>
          <w:w w:val="110"/>
        </w:rPr>
        <w:t>under  </w:t>
      </w:r>
      <w:r>
        <w:rPr>
          <w:spacing w:val="6"/>
          <w:w w:val="110"/>
        </w:rPr>
        <w:t>the </w:t>
      </w:r>
      <w:r>
        <w:rPr>
          <w:spacing w:val="4"/>
          <w:w w:val="110"/>
        </w:rPr>
        <w:t>plan   </w:t>
      </w:r>
      <w:r>
        <w:rPr>
          <w:spacing w:val="7"/>
          <w:w w:val="110"/>
        </w:rPr>
        <w:t>received   </w:t>
      </w:r>
      <w:r>
        <w:rPr>
          <w:w w:val="110"/>
        </w:rPr>
        <w:t>1.4   </w:t>
      </w:r>
      <w:r>
        <w:rPr>
          <w:spacing w:val="5"/>
          <w:w w:val="110"/>
        </w:rPr>
        <w:t>million   </w:t>
      </w:r>
      <w:r>
        <w:rPr>
          <w:spacing w:val="4"/>
          <w:w w:val="110"/>
        </w:rPr>
        <w:t>shares   </w:t>
      </w:r>
      <w:r>
        <w:rPr>
          <w:spacing w:val="6"/>
          <w:w w:val="110"/>
        </w:rPr>
        <w:t>in</w:t>
      </w:r>
      <w:r>
        <w:rPr>
          <w:spacing w:val="54"/>
          <w:w w:val="110"/>
        </w:rPr>
        <w:t> </w:t>
      </w:r>
      <w:r>
        <w:rPr>
          <w:w w:val="110"/>
        </w:rPr>
        <w:t>2002,</w:t>
      </w:r>
    </w:p>
    <w:p>
      <w:pPr>
        <w:pStyle w:val="BodyText"/>
        <w:spacing w:line="254" w:lineRule="auto"/>
        <w:ind w:left="140" w:right="14"/>
        <w:jc w:val="both"/>
      </w:pPr>
      <w:r>
        <w:rPr>
          <w:w w:val="110"/>
        </w:rPr>
        <w:t>1.0 million shares in 2001, and 1.0 million shares  in  2000  at  average  prices  of $14.70,</w:t>
      </w:r>
    </w:p>
    <w:p>
      <w:pPr>
        <w:pStyle w:val="BodyText"/>
        <w:spacing w:line="254" w:lineRule="auto"/>
        <w:ind w:left="140" w:right="2"/>
        <w:jc w:val="both"/>
      </w:pPr>
      <w:r>
        <w:rPr>
          <w:w w:val="105"/>
        </w:rPr>
        <w:t>$16.42, and $13.34, respectively. The weighted-average fair value of each purchase right  under   the   ESPP   granted   in   2002,  2001,</w:t>
      </w:r>
    </w:p>
    <w:p>
      <w:pPr>
        <w:pStyle w:val="BodyText"/>
        <w:spacing w:line="254" w:lineRule="auto" w:before="69"/>
        <w:ind w:left="140" w:right="109"/>
        <w:jc w:val="both"/>
      </w:pPr>
      <w:r>
        <w:rPr/>
        <w:br w:type="column"/>
      </w:r>
      <w:r>
        <w:rPr>
          <w:w w:val="105"/>
        </w:rPr>
        <w:t>and 2000, which is equal to the ten </w:t>
      </w:r>
      <w:r>
        <w:rPr>
          <w:spacing w:val="7"/>
          <w:w w:val="105"/>
        </w:rPr>
        <w:t>percent </w:t>
      </w:r>
      <w:r>
        <w:rPr>
          <w:spacing w:val="2"/>
          <w:w w:val="105"/>
        </w:rPr>
        <w:t>discount </w:t>
      </w:r>
      <w:r>
        <w:rPr>
          <w:w w:val="105"/>
        </w:rPr>
        <w:t>from  the  market  value  of  </w:t>
      </w:r>
      <w:r>
        <w:rPr>
          <w:spacing w:val="6"/>
          <w:w w:val="105"/>
        </w:rPr>
        <w:t>the  </w:t>
      </w:r>
      <w:r>
        <w:rPr>
          <w:spacing w:val="3"/>
          <w:w w:val="105"/>
        </w:rPr>
        <w:t>common </w:t>
      </w:r>
      <w:r>
        <w:rPr>
          <w:w w:val="105"/>
        </w:rPr>
        <w:t>stock at the end of each </w:t>
      </w:r>
      <w:r>
        <w:rPr>
          <w:spacing w:val="8"/>
          <w:w w:val="105"/>
        </w:rPr>
        <w:t>purchase </w:t>
      </w:r>
      <w:r>
        <w:rPr>
          <w:spacing w:val="2"/>
          <w:w w:val="105"/>
        </w:rPr>
        <w:t>period, </w:t>
      </w:r>
      <w:r>
        <w:rPr>
          <w:w w:val="105"/>
        </w:rPr>
        <w:t>was $1.63, $1.82, and  $1.48,  </w:t>
      </w:r>
      <w:r>
        <w:rPr>
          <w:spacing w:val="4"/>
          <w:w w:val="105"/>
        </w:rPr>
        <w:t>respectively.</w:t>
      </w:r>
    </w:p>
    <w:p>
      <w:pPr>
        <w:pStyle w:val="BodyText"/>
        <w:spacing w:line="254" w:lineRule="auto"/>
        <w:ind w:left="140" w:right="103" w:firstLine="280"/>
        <w:jc w:val="both"/>
      </w:pPr>
      <w:r>
        <w:rPr>
          <w:w w:val="105"/>
        </w:rPr>
        <w:t>Pro </w:t>
      </w:r>
      <w:r>
        <w:rPr>
          <w:spacing w:val="4"/>
          <w:w w:val="105"/>
        </w:rPr>
        <w:t>forma </w:t>
      </w:r>
      <w:r>
        <w:rPr>
          <w:spacing w:val="7"/>
          <w:w w:val="105"/>
        </w:rPr>
        <w:t>information </w:t>
      </w:r>
      <w:r>
        <w:rPr>
          <w:spacing w:val="5"/>
          <w:w w:val="105"/>
        </w:rPr>
        <w:t>regarding  </w:t>
      </w:r>
      <w:r>
        <w:rPr>
          <w:spacing w:val="12"/>
          <w:w w:val="105"/>
        </w:rPr>
        <w:t>net </w:t>
      </w:r>
      <w:r>
        <w:rPr>
          <w:spacing w:val="9"/>
          <w:w w:val="105"/>
        </w:rPr>
        <w:t>income </w:t>
      </w:r>
      <w:r>
        <w:rPr>
          <w:spacing w:val="8"/>
          <w:w w:val="105"/>
        </w:rPr>
        <w:t>and net </w:t>
      </w:r>
      <w:r>
        <w:rPr>
          <w:spacing w:val="9"/>
          <w:w w:val="105"/>
        </w:rPr>
        <w:t>income </w:t>
      </w:r>
      <w:r>
        <w:rPr>
          <w:spacing w:val="8"/>
          <w:w w:val="105"/>
        </w:rPr>
        <w:t>per </w:t>
      </w:r>
      <w:r>
        <w:rPr>
          <w:spacing w:val="4"/>
          <w:w w:val="105"/>
        </w:rPr>
        <w:t>share,  </w:t>
      </w:r>
      <w:r>
        <w:rPr>
          <w:spacing w:val="12"/>
          <w:w w:val="105"/>
        </w:rPr>
        <w:t>as  </w:t>
      </w:r>
      <w:r>
        <w:rPr>
          <w:spacing w:val="4"/>
          <w:w w:val="105"/>
        </w:rPr>
        <w:t>disclosed  </w:t>
      </w:r>
      <w:r>
        <w:rPr>
          <w:spacing w:val="6"/>
          <w:w w:val="105"/>
        </w:rPr>
        <w:t>in  </w:t>
      </w:r>
      <w:r>
        <w:rPr>
          <w:spacing w:val="4"/>
          <w:w w:val="105"/>
        </w:rPr>
        <w:t>Note  </w:t>
      </w:r>
      <w:r>
        <w:rPr>
          <w:w w:val="105"/>
        </w:rPr>
        <w:t>1,  has  </w:t>
      </w:r>
      <w:r>
        <w:rPr>
          <w:spacing w:val="2"/>
          <w:w w:val="105"/>
        </w:rPr>
        <w:t>been  </w:t>
      </w:r>
      <w:r>
        <w:rPr>
          <w:spacing w:val="3"/>
          <w:w w:val="105"/>
        </w:rPr>
        <w:t>determined   </w:t>
      </w:r>
      <w:r>
        <w:rPr>
          <w:spacing w:val="4"/>
          <w:w w:val="105"/>
        </w:rPr>
        <w:t>as </w:t>
      </w:r>
      <w:r>
        <w:rPr>
          <w:w w:val="105"/>
        </w:rPr>
        <w:t>if  the  </w:t>
      </w:r>
      <w:r>
        <w:rPr>
          <w:spacing w:val="2"/>
          <w:w w:val="105"/>
        </w:rPr>
        <w:t>Company  </w:t>
      </w:r>
      <w:r>
        <w:rPr>
          <w:w w:val="105"/>
        </w:rPr>
        <w:t>had  </w:t>
      </w:r>
      <w:r>
        <w:rPr>
          <w:spacing w:val="3"/>
          <w:w w:val="105"/>
        </w:rPr>
        <w:t>accounted</w:t>
      </w:r>
      <w:r>
        <w:rPr>
          <w:spacing w:val="53"/>
          <w:w w:val="105"/>
        </w:rPr>
        <w:t> </w:t>
      </w:r>
      <w:r>
        <w:rPr>
          <w:w w:val="105"/>
        </w:rPr>
        <w:t>for  its </w:t>
      </w:r>
      <w:r>
        <w:rPr>
          <w:spacing w:val="2"/>
          <w:w w:val="105"/>
        </w:rPr>
        <w:t>Employee   </w:t>
      </w:r>
      <w:r>
        <w:rPr>
          <w:w w:val="105"/>
        </w:rPr>
        <w:t>stock-based   </w:t>
      </w:r>
      <w:r>
        <w:rPr>
          <w:spacing w:val="3"/>
          <w:w w:val="105"/>
        </w:rPr>
        <w:t>compensation    </w:t>
      </w:r>
      <w:r>
        <w:rPr>
          <w:spacing w:val="6"/>
          <w:w w:val="105"/>
        </w:rPr>
        <w:t>plans </w:t>
      </w:r>
      <w:r>
        <w:rPr>
          <w:w w:val="105"/>
        </w:rPr>
        <w:t>and other stock </w:t>
      </w:r>
      <w:r>
        <w:rPr>
          <w:spacing w:val="2"/>
          <w:w w:val="105"/>
        </w:rPr>
        <w:t>options under </w:t>
      </w:r>
      <w:r>
        <w:rPr>
          <w:w w:val="105"/>
        </w:rPr>
        <w:t>the fair </w:t>
      </w:r>
      <w:r>
        <w:rPr>
          <w:spacing w:val="10"/>
          <w:w w:val="105"/>
        </w:rPr>
        <w:t>value </w:t>
      </w:r>
      <w:r>
        <w:rPr>
          <w:spacing w:val="2"/>
          <w:w w:val="105"/>
        </w:rPr>
        <w:t>method </w:t>
      </w:r>
      <w:r>
        <w:rPr>
          <w:w w:val="105"/>
        </w:rPr>
        <w:t>of SFAS 123. The fair value  of  </w:t>
      </w:r>
      <w:r>
        <w:rPr>
          <w:spacing w:val="13"/>
          <w:w w:val="105"/>
        </w:rPr>
        <w:t>each </w:t>
      </w:r>
      <w:r>
        <w:rPr>
          <w:w w:val="105"/>
        </w:rPr>
        <w:t>option grant is estimated on the date of </w:t>
      </w:r>
      <w:r>
        <w:rPr>
          <w:spacing w:val="4"/>
          <w:w w:val="105"/>
        </w:rPr>
        <w:t>grant </w:t>
      </w:r>
      <w:r>
        <w:rPr>
          <w:w w:val="105"/>
        </w:rPr>
        <w:t>using the Black-Scholes  </w:t>
      </w:r>
      <w:r>
        <w:rPr>
          <w:spacing w:val="2"/>
          <w:w w:val="105"/>
        </w:rPr>
        <w:t>option  pricing  </w:t>
      </w:r>
      <w:r>
        <w:rPr>
          <w:spacing w:val="11"/>
          <w:w w:val="105"/>
        </w:rPr>
        <w:t>model </w:t>
      </w:r>
      <w:r>
        <w:rPr>
          <w:w w:val="105"/>
        </w:rPr>
        <w:t>with the following </w:t>
      </w:r>
      <w:r>
        <w:rPr>
          <w:spacing w:val="3"/>
          <w:w w:val="105"/>
        </w:rPr>
        <w:t>weighted-average </w:t>
      </w:r>
      <w:r>
        <w:rPr>
          <w:spacing w:val="6"/>
          <w:w w:val="105"/>
        </w:rPr>
        <w:t>assump- </w:t>
      </w:r>
      <w:r>
        <w:rPr>
          <w:w w:val="105"/>
        </w:rPr>
        <w:t>tions used for grants under the </w:t>
      </w:r>
      <w:r>
        <w:rPr>
          <w:spacing w:val="2"/>
          <w:w w:val="105"/>
        </w:rPr>
        <w:t>fixed </w:t>
      </w:r>
      <w:r>
        <w:rPr>
          <w:spacing w:val="11"/>
          <w:w w:val="105"/>
        </w:rPr>
        <w:t>option  </w:t>
      </w:r>
      <w:r>
        <w:rPr>
          <w:spacing w:val="4"/>
          <w:w w:val="105"/>
        </w:rPr>
        <w:t>plans:</w:t>
      </w:r>
    </w:p>
    <w:p>
      <w:pPr>
        <w:spacing w:after="0" w:line="254" w:lineRule="auto"/>
        <w:jc w:val="both"/>
        <w:sectPr>
          <w:headerReference w:type="default" r:id="rId147"/>
          <w:footerReference w:type="default" r:id="rId148"/>
          <w:footerReference w:type="even" r:id="rId149"/>
          <w:pgSz w:w="11520" w:h="14400"/>
          <w:pgMar w:header="0" w:footer="706" w:top="960" w:bottom="900" w:left="940" w:right="840"/>
          <w:pgNumType w:start="49"/>
          <w:cols w:num="2" w:equalWidth="0">
            <w:col w:w="4497" w:space="643"/>
            <w:col w:w="4600"/>
          </w:cols>
        </w:sectPr>
      </w:pPr>
    </w:p>
    <w:p>
      <w:pPr>
        <w:pStyle w:val="BodyText"/>
        <w:spacing w:before="5"/>
        <w:rPr>
          <w:sz w:val="17"/>
        </w:rPr>
      </w:pPr>
    </w:p>
    <w:tbl>
      <w:tblPr>
        <w:tblW w:w="0" w:type="auto"/>
        <w:jc w:val="left"/>
        <w:tblInd w:w="1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4372"/>
        <w:gridCol w:w="2072"/>
        <w:gridCol w:w="1517"/>
        <w:gridCol w:w="1440"/>
      </w:tblGrid>
      <w:tr>
        <w:trPr>
          <w:trHeight w:val="228" w:hRule="exact"/>
        </w:trPr>
        <w:tc>
          <w:tcPr>
            <w:tcW w:w="4372" w:type="dxa"/>
            <w:tcBorders>
              <w:bottom w:val="single" w:sz="8" w:space="0" w:color="000000"/>
            </w:tcBorders>
          </w:tcPr>
          <w:p>
            <w:pPr/>
          </w:p>
        </w:tc>
        <w:tc>
          <w:tcPr>
            <w:tcW w:w="2072" w:type="dxa"/>
            <w:tcBorders>
              <w:bottom w:val="single" w:sz="8" w:space="0" w:color="000000"/>
            </w:tcBorders>
          </w:tcPr>
          <w:p>
            <w:pPr>
              <w:pStyle w:val="TableParagraph"/>
              <w:spacing w:line="222" w:lineRule="exact"/>
              <w:ind w:right="537"/>
              <w:jc w:val="right"/>
              <w:rPr>
                <w:rFonts w:ascii="Franklin Gothic Medium"/>
                <w:sz w:val="20"/>
              </w:rPr>
            </w:pPr>
            <w:r>
              <w:rPr>
                <w:rFonts w:ascii="Franklin Gothic Medium"/>
                <w:sz w:val="20"/>
              </w:rPr>
              <w:t>2002</w:t>
            </w:r>
          </w:p>
        </w:tc>
        <w:tc>
          <w:tcPr>
            <w:tcW w:w="1517" w:type="dxa"/>
            <w:tcBorders>
              <w:bottom w:val="single" w:sz="8" w:space="0" w:color="000000"/>
            </w:tcBorders>
          </w:tcPr>
          <w:p>
            <w:pPr>
              <w:pStyle w:val="TableParagraph"/>
              <w:spacing w:line="222" w:lineRule="exact"/>
              <w:ind w:left="536"/>
              <w:rPr>
                <w:rFonts w:ascii="Franklin Gothic Medium"/>
                <w:sz w:val="20"/>
              </w:rPr>
            </w:pPr>
            <w:r>
              <w:rPr>
                <w:rFonts w:ascii="Franklin Gothic Medium"/>
                <w:sz w:val="20"/>
              </w:rPr>
              <w:t>2001</w:t>
            </w:r>
          </w:p>
        </w:tc>
        <w:tc>
          <w:tcPr>
            <w:tcW w:w="1440" w:type="dxa"/>
            <w:tcBorders>
              <w:bottom w:val="single" w:sz="8" w:space="0" w:color="000000"/>
            </w:tcBorders>
          </w:tcPr>
          <w:p>
            <w:pPr>
              <w:pStyle w:val="TableParagraph"/>
              <w:spacing w:line="222" w:lineRule="exact"/>
              <w:ind w:right="434"/>
              <w:jc w:val="right"/>
              <w:rPr>
                <w:rFonts w:ascii="Franklin Gothic Medium"/>
                <w:sz w:val="20"/>
              </w:rPr>
            </w:pPr>
            <w:r>
              <w:rPr>
                <w:rFonts w:ascii="Franklin Gothic Medium"/>
                <w:sz w:val="20"/>
              </w:rPr>
              <w:t>2000</w:t>
            </w:r>
          </w:p>
        </w:tc>
      </w:tr>
      <w:tr>
        <w:trPr>
          <w:trHeight w:val="294" w:hRule="exact"/>
        </w:trPr>
        <w:tc>
          <w:tcPr>
            <w:tcW w:w="4372" w:type="dxa"/>
            <w:tcBorders>
              <w:top w:val="single" w:sz="8" w:space="0" w:color="000000"/>
            </w:tcBorders>
          </w:tcPr>
          <w:p>
            <w:pPr>
              <w:pStyle w:val="TableParagraph"/>
              <w:spacing w:before="29"/>
              <w:ind w:left="300"/>
              <w:rPr>
                <w:sz w:val="20"/>
              </w:rPr>
            </w:pPr>
            <w:r>
              <w:rPr>
                <w:w w:val="105"/>
                <w:sz w:val="20"/>
              </w:rPr>
              <w:t>Wtd-average  risk-free  interest rate</w:t>
            </w:r>
          </w:p>
        </w:tc>
        <w:tc>
          <w:tcPr>
            <w:tcW w:w="2072" w:type="dxa"/>
            <w:tcBorders>
              <w:top w:val="single" w:sz="8" w:space="0" w:color="000000"/>
            </w:tcBorders>
          </w:tcPr>
          <w:p>
            <w:pPr>
              <w:pStyle w:val="TableParagraph"/>
              <w:spacing w:before="36"/>
              <w:ind w:right="519"/>
              <w:jc w:val="right"/>
              <w:rPr>
                <w:rFonts w:ascii="Franklin Gothic Medium"/>
                <w:sz w:val="20"/>
              </w:rPr>
            </w:pPr>
            <w:r>
              <w:rPr>
                <w:rFonts w:ascii="Franklin Gothic Medium"/>
                <w:sz w:val="20"/>
              </w:rPr>
              <w:t>3.4%</w:t>
            </w:r>
          </w:p>
        </w:tc>
        <w:tc>
          <w:tcPr>
            <w:tcW w:w="1517" w:type="dxa"/>
            <w:tcBorders>
              <w:top w:val="single" w:sz="8" w:space="0" w:color="000000"/>
            </w:tcBorders>
          </w:tcPr>
          <w:p>
            <w:pPr>
              <w:pStyle w:val="TableParagraph"/>
              <w:spacing w:before="29"/>
              <w:ind w:left="636"/>
              <w:rPr>
                <w:sz w:val="20"/>
              </w:rPr>
            </w:pPr>
            <w:r>
              <w:rPr>
                <w:w w:val="110"/>
                <w:sz w:val="20"/>
              </w:rPr>
              <w:t>4.5%</w:t>
            </w:r>
          </w:p>
        </w:tc>
        <w:tc>
          <w:tcPr>
            <w:tcW w:w="1440" w:type="dxa"/>
            <w:tcBorders>
              <w:top w:val="single" w:sz="8" w:space="0" w:color="000000"/>
            </w:tcBorders>
          </w:tcPr>
          <w:p>
            <w:pPr>
              <w:pStyle w:val="TableParagraph"/>
              <w:spacing w:before="29"/>
              <w:ind w:right="439"/>
              <w:jc w:val="right"/>
              <w:rPr>
                <w:sz w:val="20"/>
              </w:rPr>
            </w:pPr>
            <w:r>
              <w:rPr>
                <w:w w:val="110"/>
                <w:sz w:val="20"/>
              </w:rPr>
              <w:t>5.0%</w:t>
            </w:r>
          </w:p>
        </w:tc>
      </w:tr>
      <w:tr>
        <w:trPr>
          <w:trHeight w:val="260" w:hRule="exact"/>
        </w:trPr>
        <w:tc>
          <w:tcPr>
            <w:tcW w:w="4372" w:type="dxa"/>
          </w:tcPr>
          <w:p>
            <w:pPr>
              <w:pStyle w:val="TableParagraph"/>
              <w:spacing w:before="6"/>
              <w:ind w:left="300"/>
              <w:rPr>
                <w:sz w:val="20"/>
              </w:rPr>
            </w:pPr>
            <w:r>
              <w:rPr>
                <w:w w:val="105"/>
                <w:sz w:val="20"/>
              </w:rPr>
              <w:t>Expected  life  of  option  (years)</w:t>
            </w:r>
          </w:p>
        </w:tc>
        <w:tc>
          <w:tcPr>
            <w:tcW w:w="2072" w:type="dxa"/>
          </w:tcPr>
          <w:p>
            <w:pPr>
              <w:pStyle w:val="TableParagraph"/>
              <w:spacing w:before="13"/>
              <w:ind w:left="1102"/>
              <w:rPr>
                <w:rFonts w:ascii="Franklin Gothic Medium"/>
                <w:sz w:val="20"/>
              </w:rPr>
            </w:pPr>
            <w:r>
              <w:rPr>
                <w:rFonts w:ascii="Franklin Gothic Medium"/>
                <w:sz w:val="20"/>
              </w:rPr>
              <w:t>5.0</w:t>
            </w:r>
          </w:p>
        </w:tc>
        <w:tc>
          <w:tcPr>
            <w:tcW w:w="1517" w:type="dxa"/>
          </w:tcPr>
          <w:p>
            <w:pPr>
              <w:pStyle w:val="TableParagraph"/>
              <w:spacing w:before="6"/>
              <w:ind w:left="614" w:right="558"/>
              <w:jc w:val="center"/>
              <w:rPr>
                <w:sz w:val="20"/>
              </w:rPr>
            </w:pPr>
            <w:r>
              <w:rPr>
                <w:w w:val="120"/>
                <w:sz w:val="20"/>
              </w:rPr>
              <w:t>5.9</w:t>
            </w:r>
          </w:p>
        </w:tc>
        <w:tc>
          <w:tcPr>
            <w:tcW w:w="1440" w:type="dxa"/>
          </w:tcPr>
          <w:p>
            <w:pPr>
              <w:pStyle w:val="TableParagraph"/>
              <w:spacing w:before="6"/>
              <w:ind w:left="538" w:right="557"/>
              <w:jc w:val="center"/>
              <w:rPr>
                <w:sz w:val="20"/>
              </w:rPr>
            </w:pPr>
            <w:r>
              <w:rPr>
                <w:w w:val="120"/>
                <w:sz w:val="20"/>
              </w:rPr>
              <w:t>6.0</w:t>
            </w:r>
          </w:p>
        </w:tc>
      </w:tr>
      <w:tr>
        <w:trPr>
          <w:trHeight w:val="260" w:hRule="exact"/>
        </w:trPr>
        <w:tc>
          <w:tcPr>
            <w:tcW w:w="4372" w:type="dxa"/>
          </w:tcPr>
          <w:p>
            <w:pPr>
              <w:pStyle w:val="TableParagraph"/>
              <w:spacing w:before="6"/>
              <w:ind w:left="300"/>
              <w:rPr>
                <w:sz w:val="20"/>
              </w:rPr>
            </w:pPr>
            <w:r>
              <w:rPr>
                <w:w w:val="105"/>
                <w:sz w:val="20"/>
              </w:rPr>
              <w:t>Expected  stock  volatility</w:t>
            </w:r>
          </w:p>
        </w:tc>
        <w:tc>
          <w:tcPr>
            <w:tcW w:w="2072" w:type="dxa"/>
          </w:tcPr>
          <w:p>
            <w:pPr>
              <w:pStyle w:val="TableParagraph"/>
              <w:spacing w:before="13"/>
              <w:ind w:right="514"/>
              <w:jc w:val="right"/>
              <w:rPr>
                <w:rFonts w:ascii="Franklin Gothic Medium"/>
                <w:sz w:val="20"/>
              </w:rPr>
            </w:pPr>
            <w:r>
              <w:rPr>
                <w:rFonts w:ascii="Franklin Gothic Medium"/>
                <w:sz w:val="20"/>
              </w:rPr>
              <w:t>34.0%</w:t>
            </w:r>
          </w:p>
        </w:tc>
        <w:tc>
          <w:tcPr>
            <w:tcW w:w="1517" w:type="dxa"/>
          </w:tcPr>
          <w:p>
            <w:pPr>
              <w:pStyle w:val="TableParagraph"/>
              <w:spacing w:before="6"/>
              <w:ind w:left="516"/>
              <w:rPr>
                <w:sz w:val="20"/>
              </w:rPr>
            </w:pPr>
            <w:r>
              <w:rPr>
                <w:w w:val="115"/>
                <w:sz w:val="20"/>
              </w:rPr>
              <w:t>34.8%</w:t>
            </w:r>
          </w:p>
        </w:tc>
        <w:tc>
          <w:tcPr>
            <w:tcW w:w="1440" w:type="dxa"/>
          </w:tcPr>
          <w:p>
            <w:pPr>
              <w:pStyle w:val="TableParagraph"/>
              <w:spacing w:before="6"/>
              <w:ind w:right="439"/>
              <w:jc w:val="right"/>
              <w:rPr>
                <w:sz w:val="20"/>
              </w:rPr>
            </w:pPr>
            <w:r>
              <w:rPr>
                <w:w w:val="110"/>
                <w:sz w:val="20"/>
              </w:rPr>
              <w:t>34.9%</w:t>
            </w:r>
          </w:p>
        </w:tc>
      </w:tr>
      <w:tr>
        <w:trPr>
          <w:trHeight w:val="246" w:hRule="exact"/>
        </w:trPr>
        <w:tc>
          <w:tcPr>
            <w:tcW w:w="4372" w:type="dxa"/>
          </w:tcPr>
          <w:p>
            <w:pPr>
              <w:pStyle w:val="TableParagraph"/>
              <w:spacing w:before="6"/>
              <w:ind w:left="300"/>
              <w:rPr>
                <w:sz w:val="20"/>
              </w:rPr>
            </w:pPr>
            <w:r>
              <w:rPr>
                <w:w w:val="105"/>
                <w:sz w:val="20"/>
              </w:rPr>
              <w:t>Expected  dividend  yield</w:t>
            </w:r>
          </w:p>
        </w:tc>
        <w:tc>
          <w:tcPr>
            <w:tcW w:w="2072" w:type="dxa"/>
          </w:tcPr>
          <w:p>
            <w:pPr>
              <w:pStyle w:val="TableParagraph"/>
              <w:spacing w:before="13"/>
              <w:ind w:right="514"/>
              <w:jc w:val="right"/>
              <w:rPr>
                <w:rFonts w:ascii="Franklin Gothic Medium"/>
                <w:sz w:val="20"/>
              </w:rPr>
            </w:pPr>
            <w:r>
              <w:rPr>
                <w:rFonts w:ascii="Franklin Gothic Medium"/>
                <w:sz w:val="20"/>
              </w:rPr>
              <w:t>0.13%</w:t>
            </w:r>
          </w:p>
        </w:tc>
        <w:tc>
          <w:tcPr>
            <w:tcW w:w="1517" w:type="dxa"/>
          </w:tcPr>
          <w:p>
            <w:pPr>
              <w:pStyle w:val="TableParagraph"/>
              <w:spacing w:before="6"/>
              <w:ind w:left="516"/>
              <w:rPr>
                <w:sz w:val="20"/>
              </w:rPr>
            </w:pPr>
            <w:r>
              <w:rPr>
                <w:w w:val="115"/>
                <w:sz w:val="20"/>
              </w:rPr>
              <w:t>0.07%</w:t>
            </w:r>
          </w:p>
        </w:tc>
        <w:tc>
          <w:tcPr>
            <w:tcW w:w="1440" w:type="dxa"/>
          </w:tcPr>
          <w:p>
            <w:pPr>
              <w:pStyle w:val="TableParagraph"/>
              <w:spacing w:before="6"/>
              <w:ind w:right="439"/>
              <w:jc w:val="right"/>
              <w:rPr>
                <w:sz w:val="20"/>
              </w:rPr>
            </w:pPr>
            <w:r>
              <w:rPr>
                <w:w w:val="110"/>
                <w:sz w:val="20"/>
              </w:rPr>
              <w:t>0.10%</w:t>
            </w:r>
          </w:p>
        </w:tc>
      </w:tr>
    </w:tbl>
    <w:p>
      <w:pPr>
        <w:pStyle w:val="BodyText"/>
        <w:spacing w:before="11"/>
        <w:rPr>
          <w:sz w:val="16"/>
        </w:rPr>
      </w:pPr>
    </w:p>
    <w:p>
      <w:pPr>
        <w:spacing w:after="0"/>
        <w:rPr>
          <w:sz w:val="16"/>
        </w:rPr>
        <w:sectPr>
          <w:type w:val="continuous"/>
          <w:pgSz w:w="11520" w:h="14400"/>
          <w:pgMar w:top="0" w:bottom="280" w:left="940" w:right="840"/>
        </w:sectPr>
      </w:pPr>
    </w:p>
    <w:p>
      <w:pPr>
        <w:pStyle w:val="BodyText"/>
        <w:spacing w:line="254" w:lineRule="auto" w:before="93"/>
        <w:ind w:left="140" w:firstLine="260"/>
        <w:jc w:val="both"/>
      </w:pPr>
      <w:r>
        <w:rPr>
          <w:w w:val="105"/>
        </w:rPr>
        <w:t>The Black-Scholes  </w:t>
      </w:r>
      <w:r>
        <w:rPr>
          <w:spacing w:val="2"/>
          <w:w w:val="105"/>
        </w:rPr>
        <w:t>option  valuation  </w:t>
      </w:r>
      <w:r>
        <w:rPr>
          <w:spacing w:val="11"/>
          <w:w w:val="105"/>
        </w:rPr>
        <w:t>model </w:t>
      </w:r>
      <w:r>
        <w:rPr>
          <w:w w:val="105"/>
        </w:rPr>
        <w:t>was </w:t>
      </w:r>
      <w:r>
        <w:rPr>
          <w:spacing w:val="3"/>
          <w:w w:val="105"/>
        </w:rPr>
        <w:t>developed </w:t>
      </w:r>
      <w:r>
        <w:rPr>
          <w:w w:val="105"/>
        </w:rPr>
        <w:t>for use in </w:t>
      </w:r>
      <w:r>
        <w:rPr>
          <w:spacing w:val="2"/>
          <w:w w:val="105"/>
        </w:rPr>
        <w:t>estimating  </w:t>
      </w:r>
      <w:r>
        <w:rPr>
          <w:w w:val="105"/>
        </w:rPr>
        <w:t>the  </w:t>
      </w:r>
      <w:r>
        <w:rPr>
          <w:spacing w:val="6"/>
          <w:w w:val="105"/>
        </w:rPr>
        <w:t>fair </w:t>
      </w:r>
      <w:r>
        <w:rPr>
          <w:w w:val="105"/>
        </w:rPr>
        <w:t>value of short-term  traded  options  that  </w:t>
      </w:r>
      <w:r>
        <w:rPr>
          <w:spacing w:val="16"/>
          <w:w w:val="105"/>
        </w:rPr>
        <w:t>have  </w:t>
      </w:r>
      <w:r>
        <w:rPr>
          <w:w w:val="105"/>
        </w:rPr>
        <w:t>no vesting restrictions and  are  fully  transfer- able. In </w:t>
      </w:r>
      <w:r>
        <w:rPr>
          <w:spacing w:val="2"/>
          <w:w w:val="105"/>
        </w:rPr>
        <w:t>addition, option valuation  </w:t>
      </w:r>
      <w:r>
        <w:rPr>
          <w:spacing w:val="8"/>
          <w:w w:val="105"/>
        </w:rPr>
        <w:t>models </w:t>
      </w:r>
      <w:r>
        <w:rPr>
          <w:spacing w:val="2"/>
          <w:w w:val="105"/>
        </w:rPr>
        <w:t>require </w:t>
      </w:r>
      <w:r>
        <w:rPr>
          <w:w w:val="105"/>
        </w:rPr>
        <w:t>the input of highly  </w:t>
      </w:r>
      <w:r>
        <w:rPr>
          <w:spacing w:val="7"/>
          <w:w w:val="105"/>
        </w:rPr>
        <w:t>subjective </w:t>
      </w:r>
      <w:r>
        <w:rPr>
          <w:spacing w:val="2"/>
          <w:w w:val="105"/>
        </w:rPr>
        <w:t>assumptions including expected </w:t>
      </w:r>
      <w:r>
        <w:rPr>
          <w:w w:val="105"/>
        </w:rPr>
        <w:t>stock </w:t>
      </w:r>
      <w:r>
        <w:rPr>
          <w:spacing w:val="9"/>
          <w:w w:val="105"/>
        </w:rPr>
        <w:t>price </w:t>
      </w:r>
      <w:r>
        <w:rPr>
          <w:w w:val="105"/>
        </w:rPr>
        <w:t>volatility. Because  the  Company’s  </w:t>
      </w:r>
      <w:r>
        <w:rPr>
          <w:spacing w:val="8"/>
          <w:w w:val="105"/>
        </w:rPr>
        <w:t>Employee </w:t>
      </w:r>
      <w:r>
        <w:rPr>
          <w:w w:val="105"/>
        </w:rPr>
        <w:t>stock options have characteristics </w:t>
      </w:r>
      <w:r>
        <w:rPr>
          <w:spacing w:val="4"/>
          <w:w w:val="105"/>
        </w:rPr>
        <w:t>significantly </w:t>
      </w:r>
      <w:r>
        <w:rPr>
          <w:w w:val="105"/>
        </w:rPr>
        <w:t>different from those of traded </w:t>
      </w:r>
      <w:r>
        <w:rPr>
          <w:spacing w:val="2"/>
          <w:w w:val="105"/>
        </w:rPr>
        <w:t>options </w:t>
      </w:r>
      <w:r>
        <w:rPr>
          <w:spacing w:val="12"/>
          <w:w w:val="105"/>
        </w:rPr>
        <w:t>and </w:t>
      </w:r>
      <w:r>
        <w:rPr>
          <w:spacing w:val="2"/>
          <w:w w:val="105"/>
        </w:rPr>
        <w:t>because changes </w:t>
      </w:r>
      <w:r>
        <w:rPr>
          <w:w w:val="105"/>
        </w:rPr>
        <w:t>in the </w:t>
      </w:r>
      <w:r>
        <w:rPr>
          <w:spacing w:val="2"/>
          <w:w w:val="105"/>
        </w:rPr>
        <w:t>subjective </w:t>
      </w:r>
      <w:r>
        <w:rPr>
          <w:spacing w:val="11"/>
          <w:w w:val="105"/>
        </w:rPr>
        <w:t>input </w:t>
      </w:r>
      <w:r>
        <w:rPr>
          <w:spacing w:val="2"/>
          <w:w w:val="105"/>
        </w:rPr>
        <w:t>assumptions  </w:t>
      </w:r>
      <w:r>
        <w:rPr>
          <w:w w:val="105"/>
        </w:rPr>
        <w:t>can  materially  affect   the   </w:t>
      </w:r>
      <w:r>
        <w:rPr>
          <w:spacing w:val="6"/>
          <w:w w:val="105"/>
        </w:rPr>
        <w:t>fair </w:t>
      </w:r>
      <w:r>
        <w:rPr>
          <w:w w:val="105"/>
        </w:rPr>
        <w:t>value estimate, in </w:t>
      </w:r>
      <w:r>
        <w:rPr>
          <w:spacing w:val="3"/>
          <w:w w:val="105"/>
        </w:rPr>
        <w:t>management’s opinion </w:t>
      </w:r>
      <w:r>
        <w:rPr>
          <w:spacing w:val="6"/>
          <w:w w:val="105"/>
        </w:rPr>
        <w:t>the </w:t>
      </w:r>
      <w:r>
        <w:rPr>
          <w:w w:val="105"/>
        </w:rPr>
        <w:t>existing models do not necessarily </w:t>
      </w:r>
      <w:r>
        <w:rPr>
          <w:spacing w:val="3"/>
          <w:w w:val="105"/>
        </w:rPr>
        <w:t>provide </w:t>
      </w:r>
      <w:r>
        <w:rPr>
          <w:w w:val="105"/>
        </w:rPr>
        <w:t>a reliable single </w:t>
      </w:r>
      <w:r>
        <w:rPr>
          <w:spacing w:val="2"/>
          <w:w w:val="105"/>
        </w:rPr>
        <w:t>measure </w:t>
      </w:r>
      <w:r>
        <w:rPr>
          <w:w w:val="105"/>
        </w:rPr>
        <w:t>of the fair value of </w:t>
      </w:r>
      <w:r>
        <w:rPr>
          <w:spacing w:val="2"/>
          <w:w w:val="105"/>
        </w:rPr>
        <w:t>its </w:t>
      </w:r>
      <w:r>
        <w:rPr>
          <w:w w:val="105"/>
        </w:rPr>
        <w:t>Employee   stock </w:t>
      </w:r>
      <w:r>
        <w:rPr>
          <w:spacing w:val="22"/>
          <w:w w:val="105"/>
        </w:rPr>
        <w:t> </w:t>
      </w:r>
      <w:r>
        <w:rPr>
          <w:w w:val="105"/>
        </w:rPr>
        <w:t>options.</w:t>
      </w:r>
    </w:p>
    <w:p>
      <w:pPr>
        <w:pStyle w:val="BodyText"/>
        <w:spacing w:line="254" w:lineRule="auto" w:before="93"/>
        <w:ind w:left="140" w:right="108" w:firstLine="280"/>
      </w:pPr>
      <w:r>
        <w:rPr/>
        <w:br w:type="column"/>
      </w:r>
      <w:r>
        <w:rPr>
          <w:w w:val="105"/>
        </w:rPr>
        <w:t>The fair value of options granted under the fixed   option   plans   during   2002   ranged  from</w:t>
      </w:r>
    </w:p>
    <w:p>
      <w:pPr>
        <w:pStyle w:val="BodyText"/>
        <w:spacing w:line="254" w:lineRule="auto" w:before="1"/>
        <w:ind w:left="140" w:right="105"/>
        <w:jc w:val="both"/>
      </w:pPr>
      <w:r>
        <w:rPr>
          <w:w w:val="110"/>
        </w:rPr>
        <w:t>$3.54 to $8.52. The fair value  of  </w:t>
      </w:r>
      <w:r>
        <w:rPr>
          <w:spacing w:val="8"/>
          <w:w w:val="110"/>
        </w:rPr>
        <w:t>options </w:t>
      </w:r>
      <w:r>
        <w:rPr>
          <w:w w:val="110"/>
        </w:rPr>
        <w:t>granted under the </w:t>
      </w:r>
      <w:r>
        <w:rPr>
          <w:spacing w:val="2"/>
          <w:w w:val="110"/>
        </w:rPr>
        <w:t>fixed option </w:t>
      </w:r>
      <w:r>
        <w:rPr>
          <w:w w:val="110"/>
        </w:rPr>
        <w:t>plans </w:t>
      </w:r>
      <w:r>
        <w:rPr>
          <w:spacing w:val="8"/>
          <w:w w:val="110"/>
        </w:rPr>
        <w:t>during </w:t>
      </w:r>
      <w:r>
        <w:rPr>
          <w:w w:val="110"/>
        </w:rPr>
        <w:t>2001 ranged from $5.69 to  $9.11.  The  </w:t>
      </w:r>
      <w:r>
        <w:rPr>
          <w:spacing w:val="6"/>
          <w:w w:val="110"/>
        </w:rPr>
        <w:t>fair </w:t>
      </w:r>
      <w:r>
        <w:rPr>
          <w:w w:val="110"/>
        </w:rPr>
        <w:t>value of options granted under  the  </w:t>
      </w:r>
      <w:r>
        <w:rPr>
          <w:spacing w:val="12"/>
          <w:w w:val="110"/>
        </w:rPr>
        <w:t>fixed  </w:t>
      </w:r>
      <w:r>
        <w:rPr>
          <w:spacing w:val="2"/>
          <w:w w:val="110"/>
        </w:rPr>
        <w:t>option </w:t>
      </w:r>
      <w:r>
        <w:rPr>
          <w:w w:val="110"/>
        </w:rPr>
        <w:t>plans during  2000  ranged  from  $4.47  to</w:t>
      </w:r>
      <w:r>
        <w:rPr>
          <w:spacing w:val="40"/>
          <w:w w:val="110"/>
        </w:rPr>
        <w:t> </w:t>
      </w:r>
      <w:r>
        <w:rPr>
          <w:w w:val="110"/>
        </w:rPr>
        <w:t>$9.79.</w:t>
      </w:r>
    </w:p>
    <w:p>
      <w:pPr>
        <w:spacing w:after="0" w:line="254" w:lineRule="auto"/>
        <w:jc w:val="both"/>
        <w:sectPr>
          <w:type w:val="continuous"/>
          <w:pgSz w:w="11520" w:h="14400"/>
          <w:pgMar w:top="0" w:bottom="280" w:left="940" w:right="840"/>
          <w:cols w:num="2" w:equalWidth="0">
            <w:col w:w="4497" w:space="643"/>
            <w:col w:w="4600"/>
          </w:cols>
        </w:sectPr>
      </w:pPr>
    </w:p>
    <w:p>
      <w:pPr>
        <w:pStyle w:val="ListParagraph"/>
        <w:numPr>
          <w:ilvl w:val="0"/>
          <w:numId w:val="6"/>
        </w:numPr>
        <w:tabs>
          <w:tab w:pos="460" w:val="left" w:leader="none"/>
        </w:tabs>
        <w:spacing w:line="240" w:lineRule="auto" w:before="76" w:after="0"/>
        <w:ind w:left="459" w:right="0" w:hanging="359"/>
        <w:jc w:val="left"/>
        <w:rPr>
          <w:rFonts w:ascii="Franklin Gothic Medium"/>
          <w:sz w:val="20"/>
        </w:rPr>
      </w:pPr>
      <w:bookmarkStart w:name="Employee Retirement Plans" w:id="54"/>
      <w:bookmarkEnd w:id="54"/>
      <w:r>
        <w:rPr/>
      </w:r>
      <w:bookmarkStart w:name="Income Taxes" w:id="55"/>
      <w:bookmarkEnd w:id="55"/>
      <w:r>
        <w:rPr/>
      </w:r>
      <w:bookmarkStart w:name="Income Taxes" w:id="56"/>
      <w:bookmarkEnd w:id="56"/>
      <w:r>
        <w:rPr>
          <w:rFonts w:ascii="Franklin Gothic Medium"/>
          <w:spacing w:val="7"/>
          <w:sz w:val="20"/>
        </w:rPr>
        <w:t>E</w:t>
      </w:r>
      <w:r>
        <w:rPr>
          <w:rFonts w:ascii="Franklin Gothic Medium"/>
          <w:spacing w:val="7"/>
          <w:sz w:val="20"/>
        </w:rPr>
        <w:t>mployee </w:t>
      </w:r>
      <w:r>
        <w:rPr>
          <w:rFonts w:ascii="Franklin Gothic Medium"/>
          <w:sz w:val="20"/>
        </w:rPr>
        <w:t>Retirement</w:t>
      </w:r>
      <w:r>
        <w:rPr>
          <w:rFonts w:ascii="Franklin Gothic Medium"/>
          <w:spacing w:val="17"/>
          <w:sz w:val="20"/>
        </w:rPr>
        <w:t> </w:t>
      </w:r>
      <w:r>
        <w:rPr>
          <w:rFonts w:ascii="Franklin Gothic Medium"/>
          <w:spacing w:val="6"/>
          <w:sz w:val="20"/>
        </w:rPr>
        <w:t>Plans</w:t>
      </w:r>
    </w:p>
    <w:p>
      <w:pPr>
        <w:pStyle w:val="BodyText"/>
        <w:spacing w:before="1"/>
        <w:rPr>
          <w:rFonts w:ascii="Franklin Gothic Medium"/>
          <w:sz w:val="25"/>
        </w:rPr>
      </w:pPr>
    </w:p>
    <w:p>
      <w:pPr>
        <w:pStyle w:val="BodyText"/>
        <w:spacing w:line="254" w:lineRule="auto" w:before="1"/>
        <w:ind w:left="380" w:firstLine="280"/>
        <w:jc w:val="both"/>
      </w:pPr>
      <w:r>
        <w:rPr>
          <w:spacing w:val="4"/>
          <w:w w:val="105"/>
        </w:rPr>
        <w:t>The </w:t>
      </w:r>
      <w:r>
        <w:rPr>
          <w:spacing w:val="8"/>
          <w:w w:val="105"/>
        </w:rPr>
        <w:t>Company has defined </w:t>
      </w:r>
      <w:r>
        <w:rPr>
          <w:spacing w:val="7"/>
          <w:w w:val="105"/>
        </w:rPr>
        <w:t>contribution </w:t>
      </w:r>
      <w:r>
        <w:rPr>
          <w:spacing w:val="5"/>
          <w:w w:val="105"/>
        </w:rPr>
        <w:t>plans </w:t>
      </w:r>
      <w:r>
        <w:rPr>
          <w:spacing w:val="7"/>
          <w:w w:val="105"/>
        </w:rPr>
        <w:t>covering </w:t>
      </w:r>
      <w:r>
        <w:rPr>
          <w:spacing w:val="3"/>
          <w:w w:val="105"/>
        </w:rPr>
        <w:t>substantially </w:t>
      </w:r>
      <w:r>
        <w:rPr>
          <w:w w:val="105"/>
        </w:rPr>
        <w:t>all </w:t>
      </w:r>
      <w:r>
        <w:rPr>
          <w:spacing w:val="6"/>
          <w:w w:val="105"/>
        </w:rPr>
        <w:t>of </w:t>
      </w:r>
      <w:r>
        <w:rPr>
          <w:spacing w:val="3"/>
          <w:w w:val="105"/>
        </w:rPr>
        <w:t>Southwest’s </w:t>
      </w:r>
      <w:r>
        <w:rPr>
          <w:spacing w:val="5"/>
          <w:w w:val="105"/>
        </w:rPr>
        <w:t>Employees. </w:t>
      </w:r>
      <w:r>
        <w:rPr>
          <w:spacing w:val="4"/>
          <w:w w:val="105"/>
        </w:rPr>
        <w:t>The Southwest </w:t>
      </w:r>
      <w:r>
        <w:rPr>
          <w:spacing w:val="5"/>
          <w:w w:val="105"/>
        </w:rPr>
        <w:t>Airlines </w:t>
      </w:r>
      <w:r>
        <w:rPr>
          <w:spacing w:val="2"/>
          <w:w w:val="105"/>
        </w:rPr>
        <w:t>Co. </w:t>
      </w:r>
      <w:r>
        <w:rPr>
          <w:spacing w:val="3"/>
          <w:w w:val="105"/>
        </w:rPr>
        <w:t>Profit- </w:t>
      </w:r>
      <w:r>
        <w:rPr>
          <w:spacing w:val="5"/>
          <w:w w:val="105"/>
        </w:rPr>
        <w:t>sharing </w:t>
      </w:r>
      <w:r>
        <w:rPr>
          <w:spacing w:val="3"/>
          <w:w w:val="105"/>
        </w:rPr>
        <w:t>Plan </w:t>
      </w:r>
      <w:r>
        <w:rPr>
          <w:spacing w:val="6"/>
          <w:w w:val="105"/>
        </w:rPr>
        <w:t>is </w:t>
      </w:r>
      <w:r>
        <w:rPr>
          <w:w w:val="105"/>
        </w:rPr>
        <w:t>a </w:t>
      </w:r>
      <w:r>
        <w:rPr>
          <w:spacing w:val="10"/>
          <w:w w:val="105"/>
        </w:rPr>
        <w:t>money </w:t>
      </w:r>
      <w:r>
        <w:rPr>
          <w:spacing w:val="5"/>
          <w:w w:val="105"/>
        </w:rPr>
        <w:t>purchase </w:t>
      </w:r>
      <w:r>
        <w:rPr>
          <w:spacing w:val="10"/>
          <w:w w:val="105"/>
        </w:rPr>
        <w:t>defined </w:t>
      </w:r>
      <w:r>
        <w:rPr>
          <w:spacing w:val="6"/>
          <w:w w:val="105"/>
        </w:rPr>
        <w:t>contribution</w:t>
      </w:r>
      <w:r>
        <w:rPr>
          <w:spacing w:val="59"/>
          <w:w w:val="105"/>
        </w:rPr>
        <w:t> </w:t>
      </w:r>
      <w:r>
        <w:rPr>
          <w:spacing w:val="4"/>
          <w:w w:val="105"/>
        </w:rPr>
        <w:t>plan </w:t>
      </w:r>
      <w:r>
        <w:rPr>
          <w:spacing w:val="8"/>
          <w:w w:val="105"/>
        </w:rPr>
        <w:t>and </w:t>
      </w:r>
      <w:r>
        <w:rPr>
          <w:spacing w:val="6"/>
          <w:w w:val="105"/>
        </w:rPr>
        <w:t>Employee</w:t>
      </w:r>
      <w:r>
        <w:rPr>
          <w:spacing w:val="59"/>
          <w:w w:val="105"/>
        </w:rPr>
        <w:t> </w:t>
      </w:r>
      <w:r>
        <w:rPr>
          <w:w w:val="105"/>
        </w:rPr>
        <w:t>stock </w:t>
      </w:r>
      <w:r>
        <w:rPr>
          <w:spacing w:val="5"/>
          <w:w w:val="105"/>
        </w:rPr>
        <w:t>pur- </w:t>
      </w:r>
      <w:r>
        <w:rPr>
          <w:spacing w:val="4"/>
          <w:w w:val="105"/>
        </w:rPr>
        <w:t>chase </w:t>
      </w:r>
      <w:r>
        <w:rPr>
          <w:spacing w:val="5"/>
          <w:w w:val="105"/>
        </w:rPr>
        <w:t>plan. </w:t>
      </w:r>
      <w:r>
        <w:rPr>
          <w:spacing w:val="4"/>
          <w:w w:val="105"/>
        </w:rPr>
        <w:t>The </w:t>
      </w:r>
      <w:r>
        <w:rPr>
          <w:spacing w:val="8"/>
          <w:w w:val="105"/>
        </w:rPr>
        <w:t>Company</w:t>
      </w:r>
      <w:r>
        <w:rPr>
          <w:spacing w:val="62"/>
          <w:w w:val="105"/>
        </w:rPr>
        <w:t> </w:t>
      </w:r>
      <w:r>
        <w:rPr>
          <w:w w:val="105"/>
        </w:rPr>
        <w:t>also</w:t>
      </w:r>
      <w:r>
        <w:rPr>
          <w:spacing w:val="28"/>
          <w:w w:val="105"/>
        </w:rPr>
        <w:t> </w:t>
      </w:r>
      <w:r>
        <w:rPr>
          <w:spacing w:val="4"/>
          <w:w w:val="105"/>
        </w:rPr>
        <w:t>sponsors</w:t>
      </w:r>
      <w:r>
        <w:rPr>
          <w:w w:val="132"/>
        </w:rPr>
        <w:t> </w:t>
      </w:r>
      <w:r>
        <w:rPr>
          <w:spacing w:val="6"/>
          <w:w w:val="105"/>
        </w:rPr>
        <w:t>Employee savings </w:t>
      </w:r>
      <w:r>
        <w:rPr>
          <w:spacing w:val="5"/>
          <w:w w:val="105"/>
        </w:rPr>
        <w:t>plans </w:t>
      </w:r>
      <w:r>
        <w:rPr>
          <w:spacing w:val="9"/>
          <w:w w:val="105"/>
        </w:rPr>
        <w:t>under </w:t>
      </w:r>
      <w:r>
        <w:rPr>
          <w:spacing w:val="4"/>
          <w:w w:val="105"/>
        </w:rPr>
        <w:t>section  </w:t>
      </w:r>
      <w:r>
        <w:rPr>
          <w:w w:val="105"/>
        </w:rPr>
        <w:t>401(k)  </w:t>
      </w:r>
      <w:r>
        <w:rPr>
          <w:spacing w:val="6"/>
          <w:w w:val="105"/>
        </w:rPr>
        <w:t>of </w:t>
      </w:r>
      <w:r>
        <w:rPr>
          <w:spacing w:val="2"/>
          <w:w w:val="105"/>
        </w:rPr>
        <w:t>the </w:t>
      </w:r>
      <w:r>
        <w:rPr>
          <w:spacing w:val="6"/>
          <w:w w:val="105"/>
        </w:rPr>
        <w:t>Internal </w:t>
      </w:r>
      <w:r>
        <w:rPr>
          <w:spacing w:val="8"/>
          <w:w w:val="105"/>
        </w:rPr>
        <w:t>Revenue </w:t>
      </w:r>
      <w:r>
        <w:rPr>
          <w:spacing w:val="6"/>
          <w:w w:val="105"/>
        </w:rPr>
        <w:t>Code, </w:t>
      </w:r>
      <w:r>
        <w:rPr>
          <w:spacing w:val="7"/>
          <w:w w:val="105"/>
        </w:rPr>
        <w:t>which </w:t>
      </w:r>
      <w:r>
        <w:rPr>
          <w:spacing w:val="8"/>
          <w:w w:val="105"/>
        </w:rPr>
        <w:t>include Company matching </w:t>
      </w:r>
      <w:r>
        <w:rPr>
          <w:spacing w:val="6"/>
          <w:w w:val="105"/>
        </w:rPr>
        <w:t>contributions. </w:t>
      </w:r>
      <w:r>
        <w:rPr>
          <w:spacing w:val="4"/>
          <w:w w:val="105"/>
        </w:rPr>
        <w:t>The </w:t>
      </w:r>
      <w:r>
        <w:rPr>
          <w:w w:val="105"/>
        </w:rPr>
        <w:t>401(k) </w:t>
      </w:r>
      <w:r>
        <w:rPr>
          <w:spacing w:val="5"/>
          <w:w w:val="105"/>
        </w:rPr>
        <w:t>plans </w:t>
      </w:r>
      <w:r>
        <w:rPr>
          <w:spacing w:val="8"/>
          <w:w w:val="105"/>
        </w:rPr>
        <w:t>cover </w:t>
      </w:r>
      <w:r>
        <w:rPr>
          <w:spacing w:val="3"/>
          <w:w w:val="105"/>
        </w:rPr>
        <w:t>substantially </w:t>
      </w:r>
      <w:r>
        <w:rPr>
          <w:w w:val="105"/>
        </w:rPr>
        <w:t>all </w:t>
      </w:r>
      <w:r>
        <w:rPr>
          <w:spacing w:val="5"/>
          <w:w w:val="105"/>
        </w:rPr>
        <w:t>Employees. </w:t>
      </w:r>
      <w:r>
        <w:rPr>
          <w:spacing w:val="6"/>
          <w:w w:val="105"/>
        </w:rPr>
        <w:t>Contributions </w:t>
      </w:r>
      <w:r>
        <w:rPr>
          <w:spacing w:val="9"/>
          <w:w w:val="105"/>
        </w:rPr>
        <w:t>under </w:t>
      </w:r>
      <w:r>
        <w:rPr>
          <w:w w:val="105"/>
        </w:rPr>
        <w:t>all </w:t>
      </w:r>
      <w:r>
        <w:rPr>
          <w:spacing w:val="8"/>
          <w:w w:val="105"/>
        </w:rPr>
        <w:t>defined </w:t>
      </w:r>
      <w:r>
        <w:rPr>
          <w:spacing w:val="7"/>
          <w:w w:val="105"/>
        </w:rPr>
        <w:t>contribution </w:t>
      </w:r>
      <w:r>
        <w:rPr>
          <w:spacing w:val="5"/>
          <w:w w:val="105"/>
        </w:rPr>
        <w:t>plans </w:t>
      </w:r>
      <w:r>
        <w:rPr>
          <w:spacing w:val="2"/>
          <w:w w:val="105"/>
        </w:rPr>
        <w:t>are </w:t>
      </w:r>
      <w:r>
        <w:rPr>
          <w:spacing w:val="6"/>
          <w:w w:val="105"/>
        </w:rPr>
        <w:t>based </w:t>
      </w:r>
      <w:r>
        <w:rPr>
          <w:spacing w:val="5"/>
          <w:w w:val="105"/>
        </w:rPr>
        <w:t>primarily </w:t>
      </w:r>
      <w:r>
        <w:rPr>
          <w:spacing w:val="6"/>
          <w:w w:val="105"/>
        </w:rPr>
        <w:t>on </w:t>
      </w:r>
      <w:r>
        <w:rPr>
          <w:spacing w:val="7"/>
          <w:w w:val="105"/>
        </w:rPr>
        <w:t>Employee </w:t>
      </w:r>
      <w:r>
        <w:rPr>
          <w:spacing w:val="8"/>
          <w:w w:val="105"/>
        </w:rPr>
        <w:t>compensation and </w:t>
      </w:r>
      <w:r>
        <w:rPr>
          <w:spacing w:val="6"/>
          <w:w w:val="105"/>
        </w:rPr>
        <w:t>performance of the </w:t>
      </w:r>
      <w:r>
        <w:rPr>
          <w:spacing w:val="7"/>
          <w:w w:val="105"/>
        </w:rPr>
        <w:t>Company.</w:t>
      </w:r>
    </w:p>
    <w:p>
      <w:pPr>
        <w:pStyle w:val="BodyText"/>
        <w:spacing w:line="254" w:lineRule="auto" w:before="69"/>
        <w:ind w:left="380" w:right="103" w:firstLine="280"/>
        <w:jc w:val="both"/>
      </w:pPr>
      <w:r>
        <w:rPr/>
        <w:br w:type="column"/>
      </w:r>
      <w:r>
        <w:rPr>
          <w:spacing w:val="8"/>
          <w:w w:val="105"/>
        </w:rPr>
        <w:t>Company </w:t>
      </w:r>
      <w:r>
        <w:rPr>
          <w:spacing w:val="6"/>
          <w:w w:val="105"/>
        </w:rPr>
        <w:t>contributions</w:t>
      </w:r>
      <w:r>
        <w:rPr>
          <w:spacing w:val="59"/>
          <w:w w:val="105"/>
        </w:rPr>
        <w:t> </w:t>
      </w:r>
      <w:r>
        <w:rPr>
          <w:w w:val="105"/>
        </w:rPr>
        <w:t>to all </w:t>
      </w:r>
      <w:r>
        <w:rPr>
          <w:spacing w:val="7"/>
          <w:w w:val="105"/>
        </w:rPr>
        <w:t>retirement </w:t>
      </w:r>
      <w:r>
        <w:rPr>
          <w:spacing w:val="5"/>
          <w:w w:val="105"/>
        </w:rPr>
        <w:t>plans  </w:t>
      </w:r>
      <w:r>
        <w:rPr>
          <w:spacing w:val="8"/>
          <w:w w:val="105"/>
        </w:rPr>
        <w:t>expensed</w:t>
      </w:r>
      <w:r>
        <w:rPr>
          <w:spacing w:val="63"/>
          <w:w w:val="105"/>
        </w:rPr>
        <w:t> </w:t>
      </w:r>
      <w:r>
        <w:rPr>
          <w:spacing w:val="6"/>
          <w:w w:val="105"/>
        </w:rPr>
        <w:t>in</w:t>
      </w:r>
      <w:r>
        <w:rPr>
          <w:spacing w:val="59"/>
          <w:w w:val="105"/>
        </w:rPr>
        <w:t> </w:t>
      </w:r>
      <w:r>
        <w:rPr>
          <w:w w:val="105"/>
        </w:rPr>
        <w:t>2002,  2001,   </w:t>
      </w:r>
      <w:r>
        <w:rPr>
          <w:spacing w:val="8"/>
          <w:w w:val="105"/>
        </w:rPr>
        <w:t>and   </w:t>
      </w:r>
      <w:r>
        <w:rPr>
          <w:w w:val="105"/>
        </w:rPr>
        <w:t>2000 </w:t>
      </w:r>
      <w:r>
        <w:rPr>
          <w:spacing w:val="4"/>
          <w:w w:val="105"/>
        </w:rPr>
        <w:t>were    </w:t>
      </w:r>
      <w:r>
        <w:rPr>
          <w:w w:val="105"/>
        </w:rPr>
        <w:t>$155.6    </w:t>
      </w:r>
      <w:r>
        <w:rPr>
          <w:spacing w:val="6"/>
          <w:w w:val="105"/>
        </w:rPr>
        <w:t>million,    </w:t>
      </w:r>
      <w:r>
        <w:rPr>
          <w:w w:val="105"/>
        </w:rPr>
        <w:t>$214.6    </w:t>
      </w:r>
      <w:r>
        <w:rPr>
          <w:spacing w:val="6"/>
          <w:w w:val="105"/>
        </w:rPr>
        <w:t>million,   </w:t>
      </w:r>
      <w:r>
        <w:rPr>
          <w:spacing w:val="12"/>
          <w:w w:val="105"/>
        </w:rPr>
        <w:t>and</w:t>
      </w:r>
    </w:p>
    <w:p>
      <w:pPr>
        <w:pStyle w:val="BodyText"/>
        <w:ind w:left="380"/>
      </w:pPr>
      <w:r>
        <w:rPr>
          <w:w w:val="105"/>
        </w:rPr>
        <w:t>$241.5  </w:t>
      </w:r>
      <w:r>
        <w:rPr>
          <w:spacing w:val="6"/>
          <w:w w:val="105"/>
        </w:rPr>
        <w:t>million,</w:t>
      </w:r>
      <w:r>
        <w:rPr>
          <w:spacing w:val="59"/>
          <w:w w:val="105"/>
        </w:rPr>
        <w:t> </w:t>
      </w:r>
      <w:r>
        <w:rPr>
          <w:spacing w:val="4"/>
          <w:w w:val="105"/>
        </w:rPr>
        <w:t>respectively.</w:t>
      </w:r>
    </w:p>
    <w:p>
      <w:pPr>
        <w:pStyle w:val="BodyText"/>
        <w:spacing w:before="1"/>
        <w:rPr>
          <w:sz w:val="23"/>
        </w:rPr>
      </w:pPr>
    </w:p>
    <w:p>
      <w:pPr>
        <w:pStyle w:val="ListParagraph"/>
        <w:numPr>
          <w:ilvl w:val="0"/>
          <w:numId w:val="6"/>
        </w:numPr>
        <w:tabs>
          <w:tab w:pos="481" w:val="left" w:leader="none"/>
        </w:tabs>
        <w:spacing w:line="240" w:lineRule="auto" w:before="0" w:after="0"/>
        <w:ind w:left="480" w:right="0" w:hanging="380"/>
        <w:jc w:val="left"/>
        <w:rPr>
          <w:rFonts w:ascii="Franklin Gothic Medium"/>
          <w:sz w:val="20"/>
        </w:rPr>
      </w:pPr>
      <w:r>
        <w:rPr>
          <w:rFonts w:ascii="Franklin Gothic Medium"/>
          <w:spacing w:val="7"/>
          <w:sz w:val="20"/>
        </w:rPr>
        <w:t>Income</w:t>
      </w:r>
      <w:r>
        <w:rPr>
          <w:rFonts w:ascii="Franklin Gothic Medium"/>
          <w:spacing w:val="8"/>
          <w:sz w:val="20"/>
        </w:rPr>
        <w:t> </w:t>
      </w:r>
      <w:r>
        <w:rPr>
          <w:rFonts w:ascii="Franklin Gothic Medium"/>
          <w:spacing w:val="3"/>
          <w:sz w:val="20"/>
        </w:rPr>
        <w:t>Taxes</w:t>
      </w:r>
    </w:p>
    <w:p>
      <w:pPr>
        <w:pStyle w:val="BodyText"/>
        <w:spacing w:before="2"/>
        <w:rPr>
          <w:rFonts w:ascii="Franklin Gothic Medium"/>
          <w:sz w:val="25"/>
        </w:rPr>
      </w:pPr>
    </w:p>
    <w:p>
      <w:pPr>
        <w:pStyle w:val="BodyText"/>
        <w:spacing w:line="254" w:lineRule="auto"/>
        <w:ind w:left="460" w:right="103" w:firstLine="200"/>
        <w:jc w:val="both"/>
      </w:pPr>
      <w:r>
        <w:rPr>
          <w:spacing w:val="4"/>
          <w:w w:val="105"/>
        </w:rPr>
        <w:t>Deferred </w:t>
      </w:r>
      <w:r>
        <w:rPr>
          <w:spacing w:val="9"/>
          <w:w w:val="105"/>
        </w:rPr>
        <w:t>income </w:t>
      </w:r>
      <w:r>
        <w:rPr>
          <w:spacing w:val="6"/>
          <w:w w:val="105"/>
        </w:rPr>
        <w:t>taxes </w:t>
      </w:r>
      <w:r>
        <w:rPr>
          <w:spacing w:val="2"/>
          <w:w w:val="105"/>
        </w:rPr>
        <w:t>reflect the </w:t>
      </w:r>
      <w:r>
        <w:rPr>
          <w:spacing w:val="8"/>
          <w:w w:val="105"/>
        </w:rPr>
        <w:t>net </w:t>
      </w:r>
      <w:r>
        <w:rPr>
          <w:spacing w:val="6"/>
          <w:w w:val="105"/>
        </w:rPr>
        <w:t>tax </w:t>
      </w:r>
      <w:r>
        <w:rPr>
          <w:spacing w:val="3"/>
          <w:w w:val="105"/>
        </w:rPr>
        <w:t>effects </w:t>
      </w:r>
      <w:r>
        <w:rPr>
          <w:spacing w:val="6"/>
          <w:w w:val="105"/>
        </w:rPr>
        <w:t>of </w:t>
      </w:r>
      <w:r>
        <w:rPr>
          <w:spacing w:val="5"/>
          <w:w w:val="105"/>
        </w:rPr>
        <w:t>temporary </w:t>
      </w:r>
      <w:r>
        <w:rPr>
          <w:spacing w:val="6"/>
          <w:w w:val="105"/>
        </w:rPr>
        <w:t>differences </w:t>
      </w:r>
      <w:r>
        <w:rPr>
          <w:spacing w:val="7"/>
          <w:w w:val="105"/>
        </w:rPr>
        <w:t>between </w:t>
      </w:r>
      <w:r>
        <w:rPr>
          <w:spacing w:val="6"/>
          <w:w w:val="105"/>
        </w:rPr>
        <w:t>the </w:t>
      </w:r>
      <w:r>
        <w:rPr>
          <w:spacing w:val="3"/>
          <w:w w:val="105"/>
        </w:rPr>
        <w:t>carrying </w:t>
      </w:r>
      <w:r>
        <w:rPr>
          <w:spacing w:val="8"/>
          <w:w w:val="105"/>
        </w:rPr>
        <w:t>amounts </w:t>
      </w:r>
      <w:r>
        <w:rPr>
          <w:spacing w:val="6"/>
          <w:w w:val="105"/>
        </w:rPr>
        <w:t>of </w:t>
      </w:r>
      <w:r>
        <w:rPr>
          <w:w w:val="105"/>
        </w:rPr>
        <w:t>assets </w:t>
      </w:r>
      <w:r>
        <w:rPr>
          <w:spacing w:val="8"/>
          <w:w w:val="105"/>
        </w:rPr>
        <w:t>and </w:t>
      </w:r>
      <w:r>
        <w:rPr>
          <w:spacing w:val="5"/>
          <w:w w:val="105"/>
        </w:rPr>
        <w:t>liabilities </w:t>
      </w:r>
      <w:r>
        <w:rPr>
          <w:spacing w:val="8"/>
          <w:w w:val="105"/>
        </w:rPr>
        <w:t>for financial </w:t>
      </w:r>
      <w:r>
        <w:rPr>
          <w:spacing w:val="5"/>
          <w:w w:val="105"/>
        </w:rPr>
        <w:t>reporting </w:t>
      </w:r>
      <w:r>
        <w:rPr>
          <w:spacing w:val="6"/>
          <w:w w:val="105"/>
        </w:rPr>
        <w:t>purposes</w:t>
      </w:r>
      <w:r>
        <w:rPr>
          <w:spacing w:val="59"/>
          <w:w w:val="105"/>
        </w:rPr>
        <w:t> </w:t>
      </w:r>
      <w:r>
        <w:rPr>
          <w:spacing w:val="8"/>
          <w:w w:val="105"/>
        </w:rPr>
        <w:t>and</w:t>
      </w:r>
      <w:r>
        <w:rPr>
          <w:spacing w:val="63"/>
          <w:w w:val="105"/>
        </w:rPr>
        <w:t> </w:t>
      </w:r>
      <w:r>
        <w:rPr>
          <w:spacing w:val="6"/>
          <w:w w:val="105"/>
        </w:rPr>
        <w:t>the  </w:t>
      </w:r>
      <w:r>
        <w:rPr>
          <w:spacing w:val="8"/>
          <w:w w:val="105"/>
        </w:rPr>
        <w:t>amounts </w:t>
      </w:r>
      <w:r>
        <w:rPr>
          <w:spacing w:val="5"/>
          <w:w w:val="105"/>
        </w:rPr>
        <w:t>used </w:t>
      </w:r>
      <w:r>
        <w:rPr>
          <w:spacing w:val="4"/>
          <w:w w:val="105"/>
        </w:rPr>
        <w:t>for </w:t>
      </w:r>
      <w:r>
        <w:rPr>
          <w:spacing w:val="9"/>
          <w:w w:val="105"/>
        </w:rPr>
        <w:t>income </w:t>
      </w:r>
      <w:r>
        <w:rPr>
          <w:spacing w:val="2"/>
          <w:w w:val="105"/>
        </w:rPr>
        <w:t>tax </w:t>
      </w:r>
      <w:r>
        <w:rPr>
          <w:spacing w:val="5"/>
          <w:w w:val="105"/>
        </w:rPr>
        <w:t>purposes. </w:t>
      </w:r>
      <w:r>
        <w:rPr>
          <w:spacing w:val="8"/>
          <w:w w:val="105"/>
        </w:rPr>
        <w:t>The components </w:t>
      </w:r>
      <w:r>
        <w:rPr>
          <w:spacing w:val="6"/>
          <w:w w:val="105"/>
        </w:rPr>
        <w:t>of </w:t>
      </w:r>
      <w:r>
        <w:rPr>
          <w:spacing w:val="5"/>
          <w:w w:val="105"/>
        </w:rPr>
        <w:t>deferred </w:t>
      </w:r>
      <w:r>
        <w:rPr>
          <w:spacing w:val="2"/>
          <w:w w:val="105"/>
        </w:rPr>
        <w:t>tax </w:t>
      </w:r>
      <w:r>
        <w:rPr>
          <w:w w:val="105"/>
        </w:rPr>
        <w:t>assets </w:t>
      </w:r>
      <w:r>
        <w:rPr>
          <w:spacing w:val="12"/>
          <w:w w:val="105"/>
        </w:rPr>
        <w:t>and </w:t>
      </w:r>
      <w:r>
        <w:rPr>
          <w:spacing w:val="5"/>
          <w:w w:val="105"/>
        </w:rPr>
        <w:t>liabilities </w:t>
      </w:r>
      <w:r>
        <w:rPr>
          <w:spacing w:val="6"/>
          <w:w w:val="105"/>
        </w:rPr>
        <w:t>at </w:t>
      </w:r>
      <w:r>
        <w:rPr>
          <w:spacing w:val="9"/>
          <w:w w:val="105"/>
        </w:rPr>
        <w:t>December  </w:t>
      </w:r>
      <w:r>
        <w:rPr>
          <w:w w:val="105"/>
        </w:rPr>
        <w:t>31,  2002  </w:t>
      </w:r>
      <w:r>
        <w:rPr>
          <w:spacing w:val="8"/>
          <w:w w:val="105"/>
        </w:rPr>
        <w:t>and</w:t>
      </w:r>
      <w:r>
        <w:rPr>
          <w:spacing w:val="63"/>
          <w:w w:val="105"/>
        </w:rPr>
        <w:t> </w:t>
      </w:r>
      <w:r>
        <w:rPr>
          <w:w w:val="105"/>
        </w:rPr>
        <w:t>2001, </w:t>
      </w:r>
      <w:r>
        <w:rPr>
          <w:spacing w:val="2"/>
          <w:w w:val="105"/>
        </w:rPr>
        <w:t>are  </w:t>
      </w:r>
      <w:r>
        <w:rPr>
          <w:spacing w:val="6"/>
          <w:w w:val="105"/>
        </w:rPr>
        <w:t>as</w:t>
      </w:r>
      <w:r>
        <w:rPr>
          <w:spacing w:val="22"/>
          <w:w w:val="105"/>
        </w:rPr>
        <w:t> </w:t>
      </w:r>
      <w:r>
        <w:rPr>
          <w:w w:val="105"/>
        </w:rPr>
        <w:t>follows:</w:t>
      </w:r>
    </w:p>
    <w:p>
      <w:pPr>
        <w:spacing w:after="0" w:line="254" w:lineRule="auto"/>
        <w:jc w:val="both"/>
        <w:sectPr>
          <w:headerReference w:type="default" r:id="rId150"/>
          <w:pgSz w:w="11520" w:h="14400"/>
          <w:pgMar w:header="0" w:footer="706" w:top="960" w:bottom="900" w:left="700" w:right="840"/>
          <w:cols w:num="2" w:equalWidth="0">
            <w:col w:w="4725" w:space="415"/>
            <w:col w:w="4840"/>
          </w:cols>
        </w:sectPr>
      </w:pPr>
    </w:p>
    <w:p>
      <w:pPr>
        <w:pStyle w:val="BodyText"/>
        <w:spacing w:before="9"/>
        <w:rPr>
          <w:sz w:val="19"/>
        </w:rPr>
      </w:pPr>
    </w:p>
    <w:tbl>
      <w:tblPr>
        <w:tblW w:w="0" w:type="auto"/>
        <w:jc w:val="left"/>
        <w:tblInd w:w="66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02"/>
        <w:gridCol w:w="2131"/>
        <w:gridCol w:w="1685"/>
      </w:tblGrid>
      <w:tr>
        <w:trPr>
          <w:trHeight w:val="280" w:hRule="exact"/>
        </w:trPr>
        <w:tc>
          <w:tcPr>
            <w:tcW w:w="5002" w:type="dxa"/>
            <w:tcBorders>
              <w:top w:val="single" w:sz="8" w:space="0" w:color="000000"/>
              <w:bottom w:val="single" w:sz="8" w:space="0" w:color="000000"/>
            </w:tcBorders>
          </w:tcPr>
          <w:p>
            <w:pPr>
              <w:pStyle w:val="TableParagraph"/>
              <w:spacing w:before="67"/>
              <w:ind w:left="300"/>
              <w:rPr>
                <w:i/>
                <w:sz w:val="16"/>
              </w:rPr>
            </w:pPr>
            <w:r>
              <w:rPr>
                <w:i/>
                <w:w w:val="105"/>
                <w:sz w:val="16"/>
              </w:rPr>
              <w:t>(In  thousands)</w:t>
            </w:r>
          </w:p>
        </w:tc>
        <w:tc>
          <w:tcPr>
            <w:tcW w:w="2131" w:type="dxa"/>
            <w:tcBorders>
              <w:top w:val="single" w:sz="8" w:space="0" w:color="000000"/>
              <w:bottom w:val="single" w:sz="8" w:space="0" w:color="000000"/>
            </w:tcBorders>
          </w:tcPr>
          <w:p>
            <w:pPr>
              <w:pStyle w:val="TableParagraph"/>
              <w:spacing w:before="55"/>
              <w:ind w:left="936" w:right="731"/>
              <w:jc w:val="center"/>
              <w:rPr>
                <w:rFonts w:ascii="Franklin Gothic Medium"/>
                <w:sz w:val="18"/>
              </w:rPr>
            </w:pPr>
            <w:r>
              <w:rPr>
                <w:rFonts w:ascii="Franklin Gothic Medium"/>
                <w:sz w:val="18"/>
              </w:rPr>
              <w:t>2002</w:t>
            </w:r>
          </w:p>
        </w:tc>
        <w:tc>
          <w:tcPr>
            <w:tcW w:w="1685" w:type="dxa"/>
            <w:tcBorders>
              <w:top w:val="single" w:sz="8" w:space="0" w:color="000000"/>
              <w:bottom w:val="single" w:sz="8" w:space="0" w:color="000000"/>
            </w:tcBorders>
          </w:tcPr>
          <w:p>
            <w:pPr>
              <w:pStyle w:val="TableParagraph"/>
              <w:spacing w:before="55"/>
              <w:ind w:left="847"/>
              <w:rPr>
                <w:rFonts w:ascii="Franklin Gothic Medium"/>
                <w:sz w:val="18"/>
              </w:rPr>
            </w:pPr>
            <w:r>
              <w:rPr>
                <w:rFonts w:ascii="Franklin Gothic Medium"/>
                <w:sz w:val="18"/>
              </w:rPr>
              <w:t>2001</w:t>
            </w:r>
          </w:p>
        </w:tc>
      </w:tr>
      <w:tr>
        <w:trPr>
          <w:trHeight w:val="310" w:hRule="exact"/>
        </w:trPr>
        <w:tc>
          <w:tcPr>
            <w:tcW w:w="5002" w:type="dxa"/>
            <w:tcBorders>
              <w:top w:val="single" w:sz="8" w:space="0" w:color="000000"/>
            </w:tcBorders>
          </w:tcPr>
          <w:p>
            <w:pPr>
              <w:pStyle w:val="TableParagraph"/>
              <w:spacing w:before="55"/>
              <w:ind w:left="300"/>
              <w:rPr>
                <w:rFonts w:ascii="Franklin Gothic Medium"/>
                <w:sz w:val="18"/>
              </w:rPr>
            </w:pPr>
            <w:r>
              <w:rPr>
                <w:rFonts w:ascii="Franklin Gothic Medium"/>
                <w:sz w:val="18"/>
              </w:rPr>
              <w:t>DEFERRED  TAX  LIABILITIES:</w:t>
            </w:r>
          </w:p>
        </w:tc>
        <w:tc>
          <w:tcPr>
            <w:tcW w:w="2131" w:type="dxa"/>
            <w:tcBorders>
              <w:top w:val="single" w:sz="8" w:space="0" w:color="000000"/>
            </w:tcBorders>
          </w:tcPr>
          <w:p>
            <w:pPr/>
          </w:p>
        </w:tc>
        <w:tc>
          <w:tcPr>
            <w:tcW w:w="1685" w:type="dxa"/>
            <w:tcBorders>
              <w:top w:val="single" w:sz="8" w:space="0" w:color="000000"/>
            </w:tcBorders>
          </w:tcPr>
          <w:p>
            <w:pPr/>
          </w:p>
        </w:tc>
      </w:tr>
      <w:tr>
        <w:trPr>
          <w:trHeight w:val="280" w:hRule="exact"/>
        </w:trPr>
        <w:tc>
          <w:tcPr>
            <w:tcW w:w="5002" w:type="dxa"/>
          </w:tcPr>
          <w:p>
            <w:pPr>
              <w:pStyle w:val="TableParagraph"/>
              <w:spacing w:before="28"/>
              <w:ind w:left="500"/>
              <w:rPr>
                <w:sz w:val="18"/>
              </w:rPr>
            </w:pPr>
            <w:r>
              <w:rPr>
                <w:w w:val="105"/>
                <w:sz w:val="18"/>
              </w:rPr>
              <w:t>Accelerated  depreciation</w:t>
            </w:r>
          </w:p>
        </w:tc>
        <w:tc>
          <w:tcPr>
            <w:tcW w:w="2131" w:type="dxa"/>
          </w:tcPr>
          <w:p>
            <w:pPr>
              <w:pStyle w:val="TableParagraph"/>
              <w:spacing w:before="34"/>
              <w:ind w:left="678"/>
              <w:rPr>
                <w:rFonts w:ascii="Franklin Gothic Medium"/>
                <w:sz w:val="18"/>
              </w:rPr>
            </w:pPr>
            <w:r>
              <w:rPr>
                <w:rFonts w:ascii="Franklin Gothic Medium"/>
                <w:sz w:val="18"/>
              </w:rPr>
              <w:t>$ 1,440,565</w:t>
            </w:r>
          </w:p>
        </w:tc>
        <w:tc>
          <w:tcPr>
            <w:tcW w:w="1685" w:type="dxa"/>
          </w:tcPr>
          <w:p>
            <w:pPr>
              <w:pStyle w:val="TableParagraph"/>
              <w:spacing w:before="28"/>
              <w:ind w:left="507"/>
              <w:rPr>
                <w:sz w:val="18"/>
              </w:rPr>
            </w:pPr>
            <w:r>
              <w:rPr>
                <w:w w:val="120"/>
                <w:sz w:val="18"/>
              </w:rPr>
              <w:t>$ 1,246,009</w:t>
            </w:r>
          </w:p>
        </w:tc>
      </w:tr>
      <w:tr>
        <w:trPr>
          <w:trHeight w:val="280" w:hRule="exact"/>
        </w:trPr>
        <w:tc>
          <w:tcPr>
            <w:tcW w:w="5002" w:type="dxa"/>
          </w:tcPr>
          <w:p>
            <w:pPr>
              <w:pStyle w:val="TableParagraph"/>
              <w:spacing w:before="28"/>
              <w:ind w:left="500"/>
              <w:rPr>
                <w:sz w:val="18"/>
              </w:rPr>
            </w:pPr>
            <w:r>
              <w:rPr>
                <w:w w:val="105"/>
                <w:sz w:val="18"/>
              </w:rPr>
              <w:t>Scheduled   airframe  maintenance</w:t>
            </w:r>
          </w:p>
        </w:tc>
        <w:tc>
          <w:tcPr>
            <w:tcW w:w="2131" w:type="dxa"/>
          </w:tcPr>
          <w:p>
            <w:pPr>
              <w:pStyle w:val="TableParagraph"/>
              <w:spacing w:before="34"/>
              <w:ind w:left="1098"/>
              <w:rPr>
                <w:rFonts w:ascii="Franklin Gothic Medium"/>
                <w:sz w:val="18"/>
              </w:rPr>
            </w:pPr>
            <w:r>
              <w:rPr>
                <w:rFonts w:ascii="Franklin Gothic Medium"/>
                <w:sz w:val="18"/>
              </w:rPr>
              <w:t>70,843</w:t>
            </w:r>
          </w:p>
        </w:tc>
        <w:tc>
          <w:tcPr>
            <w:tcW w:w="1685" w:type="dxa"/>
          </w:tcPr>
          <w:p>
            <w:pPr>
              <w:pStyle w:val="TableParagraph"/>
              <w:spacing w:before="28"/>
              <w:ind w:left="927"/>
              <w:rPr>
                <w:sz w:val="18"/>
              </w:rPr>
            </w:pPr>
            <w:r>
              <w:rPr>
                <w:w w:val="120"/>
                <w:sz w:val="18"/>
              </w:rPr>
              <w:t>89,292</w:t>
            </w:r>
          </w:p>
        </w:tc>
      </w:tr>
      <w:tr>
        <w:trPr>
          <w:trHeight w:val="280" w:hRule="exact"/>
        </w:trPr>
        <w:tc>
          <w:tcPr>
            <w:tcW w:w="5002" w:type="dxa"/>
          </w:tcPr>
          <w:p>
            <w:pPr>
              <w:pStyle w:val="TableParagraph"/>
              <w:spacing w:before="28"/>
              <w:ind w:left="500"/>
              <w:rPr>
                <w:sz w:val="18"/>
              </w:rPr>
            </w:pPr>
            <w:r>
              <w:rPr>
                <w:sz w:val="18"/>
              </w:rPr>
              <w:t>Other</w:t>
            </w:r>
          </w:p>
        </w:tc>
        <w:tc>
          <w:tcPr>
            <w:tcW w:w="2131" w:type="dxa"/>
          </w:tcPr>
          <w:p>
            <w:pPr>
              <w:pStyle w:val="TableParagraph"/>
              <w:tabs>
                <w:tab w:pos="79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t>25,854</w:t>
              <w:tab/>
            </w:r>
          </w:p>
        </w:tc>
        <w:tc>
          <w:tcPr>
            <w:tcW w:w="1685" w:type="dxa"/>
          </w:tcPr>
          <w:p>
            <w:pPr>
              <w:pStyle w:val="TableParagraph"/>
              <w:tabs>
                <w:tab w:pos="799" w:val="left" w:leader="none"/>
              </w:tabs>
              <w:spacing w:before="28"/>
              <w:ind w:right="30"/>
              <w:jc w:val="right"/>
              <w:rPr>
                <w:sz w:val="18"/>
              </w:rPr>
            </w:pPr>
            <w:r>
              <w:rPr>
                <w:w w:val="132"/>
                <w:sz w:val="18"/>
                <w:u w:val="single"/>
              </w:rPr>
              <w:t> </w:t>
            </w:r>
            <w:r>
              <w:rPr>
                <w:sz w:val="18"/>
                <w:u w:val="single"/>
              </w:rPr>
              <w:tab/>
            </w:r>
            <w:r>
              <w:rPr>
                <w:spacing w:val="-3"/>
                <w:w w:val="115"/>
                <w:sz w:val="18"/>
                <w:u w:val="single"/>
              </w:rPr>
              <w:t>31,770</w:t>
            </w:r>
            <w:r>
              <w:rPr>
                <w:spacing w:val="-19"/>
                <w:sz w:val="18"/>
                <w:u w:val="single"/>
              </w:rPr>
              <w:t> </w:t>
            </w:r>
          </w:p>
        </w:tc>
      </w:tr>
      <w:tr>
        <w:trPr>
          <w:trHeight w:val="245" w:hRule="exact"/>
        </w:trPr>
        <w:tc>
          <w:tcPr>
            <w:tcW w:w="5002" w:type="dxa"/>
          </w:tcPr>
          <w:p>
            <w:pPr>
              <w:pStyle w:val="TableParagraph"/>
              <w:spacing w:before="28"/>
              <w:ind w:left="800"/>
              <w:rPr>
                <w:sz w:val="18"/>
              </w:rPr>
            </w:pPr>
            <w:r>
              <w:rPr>
                <w:w w:val="105"/>
                <w:sz w:val="18"/>
              </w:rPr>
              <w:t>Total  deferred  tax  liabilities</w:t>
            </w:r>
          </w:p>
        </w:tc>
        <w:tc>
          <w:tcPr>
            <w:tcW w:w="2131" w:type="dxa"/>
          </w:tcPr>
          <w:p>
            <w:pPr>
              <w:pStyle w:val="TableParagraph"/>
              <w:spacing w:before="34"/>
              <w:ind w:left="838"/>
              <w:rPr>
                <w:rFonts w:ascii="Franklin Gothic Medium"/>
                <w:sz w:val="18"/>
              </w:rPr>
            </w:pPr>
            <w:r>
              <w:rPr>
                <w:rFonts w:ascii="Franklin Gothic Medium"/>
                <w:sz w:val="18"/>
              </w:rPr>
              <w:t>1,537,262</w:t>
            </w:r>
          </w:p>
        </w:tc>
        <w:tc>
          <w:tcPr>
            <w:tcW w:w="1685" w:type="dxa"/>
          </w:tcPr>
          <w:p>
            <w:pPr>
              <w:pStyle w:val="TableParagraph"/>
              <w:spacing w:before="28"/>
              <w:ind w:left="667"/>
              <w:rPr>
                <w:sz w:val="18"/>
              </w:rPr>
            </w:pPr>
            <w:r>
              <w:rPr>
                <w:w w:val="120"/>
                <w:sz w:val="18"/>
              </w:rPr>
              <w:t>1,367,071</w:t>
            </w:r>
          </w:p>
        </w:tc>
      </w:tr>
      <w:tr>
        <w:trPr>
          <w:trHeight w:val="315" w:hRule="exact"/>
        </w:trPr>
        <w:tc>
          <w:tcPr>
            <w:tcW w:w="5002" w:type="dxa"/>
          </w:tcPr>
          <w:p>
            <w:pPr>
              <w:pStyle w:val="TableParagraph"/>
              <w:spacing w:before="70"/>
              <w:ind w:left="300"/>
              <w:rPr>
                <w:rFonts w:ascii="Franklin Gothic Medium"/>
                <w:sz w:val="18"/>
              </w:rPr>
            </w:pPr>
            <w:r>
              <w:rPr>
                <w:rFonts w:ascii="Franklin Gothic Medium"/>
                <w:sz w:val="18"/>
              </w:rPr>
              <w:t>DEFERRED  TAX  ASSETS:</w:t>
            </w:r>
          </w:p>
        </w:tc>
        <w:tc>
          <w:tcPr>
            <w:tcW w:w="2131" w:type="dxa"/>
          </w:tcPr>
          <w:p>
            <w:pPr/>
          </w:p>
        </w:tc>
        <w:tc>
          <w:tcPr>
            <w:tcW w:w="1685" w:type="dxa"/>
          </w:tcPr>
          <w:p>
            <w:pPr/>
          </w:p>
        </w:tc>
      </w:tr>
      <w:tr>
        <w:trPr>
          <w:trHeight w:val="280" w:hRule="exact"/>
        </w:trPr>
        <w:tc>
          <w:tcPr>
            <w:tcW w:w="5002" w:type="dxa"/>
          </w:tcPr>
          <w:p>
            <w:pPr>
              <w:pStyle w:val="TableParagraph"/>
              <w:spacing w:before="28"/>
              <w:ind w:left="500"/>
              <w:rPr>
                <w:sz w:val="18"/>
              </w:rPr>
            </w:pPr>
            <w:r>
              <w:rPr>
                <w:w w:val="110"/>
                <w:sz w:val="18"/>
              </w:rPr>
              <w:t>Deferred gains from sale and leaseback of aircraft</w:t>
            </w:r>
          </w:p>
        </w:tc>
        <w:tc>
          <w:tcPr>
            <w:tcW w:w="2131" w:type="dxa"/>
          </w:tcPr>
          <w:p>
            <w:pPr>
              <w:pStyle w:val="TableParagraph"/>
              <w:spacing w:before="34"/>
              <w:ind w:left="1098"/>
              <w:rPr>
                <w:rFonts w:ascii="Franklin Gothic Medium"/>
                <w:sz w:val="18"/>
              </w:rPr>
            </w:pPr>
            <w:r>
              <w:rPr>
                <w:rFonts w:ascii="Franklin Gothic Medium"/>
                <w:sz w:val="18"/>
              </w:rPr>
              <w:t>95,823</w:t>
            </w:r>
          </w:p>
        </w:tc>
        <w:tc>
          <w:tcPr>
            <w:tcW w:w="1685" w:type="dxa"/>
          </w:tcPr>
          <w:p>
            <w:pPr>
              <w:pStyle w:val="TableParagraph"/>
              <w:spacing w:before="28"/>
              <w:ind w:left="827"/>
              <w:rPr>
                <w:sz w:val="18"/>
              </w:rPr>
            </w:pPr>
            <w:r>
              <w:rPr>
                <w:w w:val="120"/>
                <w:sz w:val="18"/>
              </w:rPr>
              <w:t>101,755</w:t>
            </w:r>
          </w:p>
        </w:tc>
      </w:tr>
      <w:tr>
        <w:trPr>
          <w:trHeight w:val="280" w:hRule="exact"/>
        </w:trPr>
        <w:tc>
          <w:tcPr>
            <w:tcW w:w="5002" w:type="dxa"/>
          </w:tcPr>
          <w:p>
            <w:pPr>
              <w:pStyle w:val="TableParagraph"/>
              <w:spacing w:before="28"/>
              <w:ind w:left="500"/>
              <w:rPr>
                <w:sz w:val="18"/>
              </w:rPr>
            </w:pPr>
            <w:r>
              <w:rPr>
                <w:w w:val="110"/>
                <w:sz w:val="18"/>
              </w:rPr>
              <w:t>Capital  and  operating leases</w:t>
            </w:r>
          </w:p>
        </w:tc>
        <w:tc>
          <w:tcPr>
            <w:tcW w:w="2131" w:type="dxa"/>
          </w:tcPr>
          <w:p>
            <w:pPr>
              <w:pStyle w:val="TableParagraph"/>
              <w:spacing w:before="34"/>
              <w:ind w:left="1098"/>
              <w:rPr>
                <w:rFonts w:ascii="Franklin Gothic Medium"/>
                <w:sz w:val="18"/>
              </w:rPr>
            </w:pPr>
            <w:r>
              <w:rPr>
                <w:rFonts w:ascii="Franklin Gothic Medium"/>
                <w:sz w:val="18"/>
              </w:rPr>
              <w:t>77,033</w:t>
            </w:r>
          </w:p>
        </w:tc>
        <w:tc>
          <w:tcPr>
            <w:tcW w:w="1685" w:type="dxa"/>
          </w:tcPr>
          <w:p>
            <w:pPr>
              <w:pStyle w:val="TableParagraph"/>
              <w:spacing w:before="28"/>
              <w:ind w:left="927"/>
              <w:rPr>
                <w:sz w:val="18"/>
              </w:rPr>
            </w:pPr>
            <w:r>
              <w:rPr>
                <w:w w:val="120"/>
                <w:sz w:val="18"/>
              </w:rPr>
              <w:t>76,990</w:t>
            </w:r>
          </w:p>
        </w:tc>
      </w:tr>
      <w:tr>
        <w:trPr>
          <w:trHeight w:val="280" w:hRule="exact"/>
        </w:trPr>
        <w:tc>
          <w:tcPr>
            <w:tcW w:w="5002" w:type="dxa"/>
          </w:tcPr>
          <w:p>
            <w:pPr>
              <w:pStyle w:val="TableParagraph"/>
              <w:spacing w:before="28"/>
              <w:ind w:left="500"/>
              <w:rPr>
                <w:sz w:val="18"/>
              </w:rPr>
            </w:pPr>
            <w:r>
              <w:rPr>
                <w:w w:val="105"/>
                <w:sz w:val="18"/>
              </w:rPr>
              <w:t>Accrued  employee benefits</w:t>
            </w:r>
          </w:p>
        </w:tc>
        <w:tc>
          <w:tcPr>
            <w:tcW w:w="2131" w:type="dxa"/>
          </w:tcPr>
          <w:p>
            <w:pPr>
              <w:pStyle w:val="TableParagraph"/>
              <w:spacing w:before="34"/>
              <w:ind w:left="1098"/>
              <w:rPr>
                <w:rFonts w:ascii="Franklin Gothic Medium"/>
                <w:sz w:val="18"/>
              </w:rPr>
            </w:pPr>
            <w:r>
              <w:rPr>
                <w:rFonts w:ascii="Franklin Gothic Medium"/>
                <w:sz w:val="18"/>
              </w:rPr>
              <w:t>86,227</w:t>
            </w:r>
          </w:p>
        </w:tc>
        <w:tc>
          <w:tcPr>
            <w:tcW w:w="1685" w:type="dxa"/>
          </w:tcPr>
          <w:p>
            <w:pPr>
              <w:pStyle w:val="TableParagraph"/>
              <w:spacing w:before="28"/>
              <w:ind w:left="927"/>
              <w:rPr>
                <w:sz w:val="18"/>
              </w:rPr>
            </w:pPr>
            <w:r>
              <w:rPr>
                <w:w w:val="120"/>
                <w:sz w:val="18"/>
              </w:rPr>
              <w:t>83,450</w:t>
            </w:r>
          </w:p>
        </w:tc>
      </w:tr>
      <w:tr>
        <w:trPr>
          <w:trHeight w:val="280" w:hRule="exact"/>
        </w:trPr>
        <w:tc>
          <w:tcPr>
            <w:tcW w:w="5002" w:type="dxa"/>
          </w:tcPr>
          <w:p>
            <w:pPr>
              <w:pStyle w:val="TableParagraph"/>
              <w:spacing w:before="28"/>
              <w:ind w:left="500"/>
              <w:rPr>
                <w:sz w:val="18"/>
              </w:rPr>
            </w:pPr>
            <w:r>
              <w:rPr>
                <w:w w:val="110"/>
                <w:sz w:val="18"/>
              </w:rPr>
              <w:t>State  taxes</w:t>
            </w:r>
          </w:p>
        </w:tc>
        <w:tc>
          <w:tcPr>
            <w:tcW w:w="2131" w:type="dxa"/>
          </w:tcPr>
          <w:p>
            <w:pPr>
              <w:pStyle w:val="TableParagraph"/>
              <w:spacing w:before="34"/>
              <w:ind w:left="1098"/>
              <w:rPr>
                <w:rFonts w:ascii="Franklin Gothic Medium"/>
                <w:sz w:val="18"/>
              </w:rPr>
            </w:pPr>
            <w:r>
              <w:rPr>
                <w:rFonts w:ascii="Franklin Gothic Medium"/>
                <w:sz w:val="18"/>
              </w:rPr>
              <w:t>43,151</w:t>
            </w:r>
          </w:p>
        </w:tc>
        <w:tc>
          <w:tcPr>
            <w:tcW w:w="1685" w:type="dxa"/>
          </w:tcPr>
          <w:p>
            <w:pPr>
              <w:pStyle w:val="TableParagraph"/>
              <w:spacing w:before="28"/>
              <w:ind w:left="927"/>
              <w:rPr>
                <w:sz w:val="18"/>
              </w:rPr>
            </w:pPr>
            <w:r>
              <w:rPr>
                <w:w w:val="120"/>
                <w:sz w:val="18"/>
              </w:rPr>
              <w:t>37,715</w:t>
            </w:r>
          </w:p>
        </w:tc>
      </w:tr>
      <w:tr>
        <w:trPr>
          <w:trHeight w:val="280" w:hRule="exact"/>
        </w:trPr>
        <w:tc>
          <w:tcPr>
            <w:tcW w:w="5002" w:type="dxa"/>
          </w:tcPr>
          <w:p>
            <w:pPr>
              <w:pStyle w:val="TableParagraph"/>
              <w:spacing w:before="28"/>
              <w:ind w:left="500"/>
              <w:rPr>
                <w:sz w:val="18"/>
              </w:rPr>
            </w:pPr>
            <w:r>
              <w:rPr>
                <w:sz w:val="18"/>
              </w:rPr>
              <w:t>Other</w:t>
            </w:r>
          </w:p>
        </w:tc>
        <w:tc>
          <w:tcPr>
            <w:tcW w:w="2131" w:type="dxa"/>
          </w:tcPr>
          <w:p>
            <w:pPr>
              <w:pStyle w:val="TableParagraph"/>
              <w:tabs>
                <w:tab w:pos="91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1,722</w:t>
              <w:tab/>
            </w:r>
          </w:p>
        </w:tc>
        <w:tc>
          <w:tcPr>
            <w:tcW w:w="1685" w:type="dxa"/>
          </w:tcPr>
          <w:p>
            <w:pPr>
              <w:pStyle w:val="TableParagraph"/>
              <w:tabs>
                <w:tab w:pos="799" w:val="left" w:leader="none"/>
              </w:tabs>
              <w:spacing w:before="28"/>
              <w:ind w:right="30"/>
              <w:jc w:val="right"/>
              <w:rPr>
                <w:sz w:val="18"/>
              </w:rPr>
            </w:pPr>
            <w:r>
              <w:rPr>
                <w:w w:val="132"/>
                <w:sz w:val="18"/>
                <w:u w:val="single"/>
              </w:rPr>
              <w:t> </w:t>
            </w:r>
            <w:r>
              <w:rPr>
                <w:sz w:val="18"/>
                <w:u w:val="single"/>
              </w:rPr>
              <w:tab/>
            </w:r>
            <w:r>
              <w:rPr>
                <w:spacing w:val="-3"/>
                <w:w w:val="115"/>
                <w:sz w:val="18"/>
                <w:u w:val="single"/>
              </w:rPr>
              <w:t>55,418</w:t>
            </w:r>
            <w:r>
              <w:rPr>
                <w:spacing w:val="-19"/>
                <w:sz w:val="18"/>
                <w:u w:val="single"/>
              </w:rPr>
              <w:t> </w:t>
            </w:r>
          </w:p>
        </w:tc>
      </w:tr>
      <w:tr>
        <w:trPr>
          <w:trHeight w:val="280" w:hRule="exact"/>
        </w:trPr>
        <w:tc>
          <w:tcPr>
            <w:tcW w:w="5002" w:type="dxa"/>
          </w:tcPr>
          <w:p>
            <w:pPr>
              <w:pStyle w:val="TableParagraph"/>
              <w:spacing w:before="28"/>
              <w:ind w:left="800"/>
              <w:rPr>
                <w:sz w:val="18"/>
              </w:rPr>
            </w:pPr>
            <w:r>
              <w:rPr>
                <w:w w:val="110"/>
                <w:sz w:val="18"/>
              </w:rPr>
              <w:t>Total deferred  tax assets</w:t>
            </w:r>
          </w:p>
        </w:tc>
        <w:tc>
          <w:tcPr>
            <w:tcW w:w="2131" w:type="dxa"/>
          </w:tcPr>
          <w:p>
            <w:pPr>
              <w:pStyle w:val="TableParagraph"/>
              <w:tabs>
                <w:tab w:pos="699" w:val="left" w:leader="none"/>
                <w:tab w:pos="170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2"/>
                <w:sz w:val="18"/>
                <w:u w:val="single"/>
              </w:rPr>
              <w:t>303,956</w:t>
              <w:tab/>
            </w:r>
          </w:p>
        </w:tc>
        <w:tc>
          <w:tcPr>
            <w:tcW w:w="1685" w:type="dxa"/>
          </w:tcPr>
          <w:p>
            <w:pPr>
              <w:pStyle w:val="TableParagraph"/>
              <w:tabs>
                <w:tab w:pos="699" w:val="left" w:leader="none"/>
              </w:tabs>
              <w:spacing w:before="28"/>
              <w:ind w:right="30"/>
              <w:jc w:val="right"/>
              <w:rPr>
                <w:sz w:val="18"/>
              </w:rPr>
            </w:pPr>
            <w:r>
              <w:rPr>
                <w:w w:val="132"/>
                <w:sz w:val="18"/>
                <w:u w:val="single"/>
              </w:rPr>
              <w:t> </w:t>
            </w:r>
            <w:r>
              <w:rPr>
                <w:sz w:val="18"/>
                <w:u w:val="single"/>
              </w:rPr>
              <w:tab/>
            </w:r>
            <w:r>
              <w:rPr>
                <w:spacing w:val="-1"/>
                <w:w w:val="115"/>
                <w:sz w:val="18"/>
                <w:u w:val="single"/>
              </w:rPr>
              <w:t>355,328</w:t>
            </w:r>
            <w:r>
              <w:rPr>
                <w:spacing w:val="2"/>
                <w:sz w:val="18"/>
                <w:u w:val="single"/>
              </w:rPr>
              <w:t> </w:t>
            </w:r>
          </w:p>
        </w:tc>
      </w:tr>
      <w:tr>
        <w:trPr>
          <w:trHeight w:val="245" w:hRule="exact"/>
        </w:trPr>
        <w:tc>
          <w:tcPr>
            <w:tcW w:w="5002" w:type="dxa"/>
          </w:tcPr>
          <w:p>
            <w:pPr>
              <w:pStyle w:val="TableParagraph"/>
              <w:spacing w:before="28"/>
              <w:ind w:left="800"/>
              <w:rPr>
                <w:sz w:val="18"/>
              </w:rPr>
            </w:pPr>
            <w:r>
              <w:rPr>
                <w:w w:val="105"/>
                <w:sz w:val="18"/>
              </w:rPr>
              <w:t>Net deferred  tax  liability</w:t>
            </w:r>
          </w:p>
        </w:tc>
        <w:tc>
          <w:tcPr>
            <w:tcW w:w="2131" w:type="dxa"/>
          </w:tcPr>
          <w:p>
            <w:pPr>
              <w:pStyle w:val="TableParagraph"/>
              <w:tabs>
                <w:tab w:pos="379" w:val="left" w:leader="none"/>
                <w:tab w:pos="1699" w:val="left" w:leader="none"/>
              </w:tabs>
              <w:spacing w:before="34"/>
              <w:ind w:right="13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38"/>
                <w:sz w:val="18"/>
                <w:u w:val="single"/>
              </w:rPr>
              <w:t> </w:t>
            </w:r>
            <w:r>
              <w:rPr>
                <w:rFonts w:ascii="Franklin Gothic Medium"/>
                <w:sz w:val="18"/>
                <w:u w:val="single"/>
              </w:rPr>
              <w:t>1,233,306</w:t>
              <w:tab/>
            </w:r>
          </w:p>
        </w:tc>
        <w:tc>
          <w:tcPr>
            <w:tcW w:w="1685" w:type="dxa"/>
          </w:tcPr>
          <w:p>
            <w:pPr>
              <w:pStyle w:val="TableParagraph"/>
              <w:tabs>
                <w:tab w:pos="379" w:val="left" w:leader="none"/>
              </w:tabs>
              <w:spacing w:before="28"/>
              <w:ind w:right="35"/>
              <w:jc w:val="right"/>
              <w:rPr>
                <w:sz w:val="18"/>
              </w:rPr>
            </w:pPr>
            <w:r>
              <w:rPr>
                <w:w w:val="132"/>
                <w:sz w:val="18"/>
                <w:u w:val="single"/>
              </w:rPr>
              <w:t> </w:t>
            </w:r>
            <w:r>
              <w:rPr>
                <w:sz w:val="18"/>
                <w:u w:val="single"/>
              </w:rPr>
              <w:tab/>
            </w:r>
            <w:r>
              <w:rPr>
                <w:w w:val="120"/>
                <w:sz w:val="18"/>
                <w:u w:val="single"/>
              </w:rPr>
              <w:t>$</w:t>
            </w:r>
            <w:r>
              <w:rPr>
                <w:spacing w:val="-16"/>
                <w:w w:val="120"/>
                <w:sz w:val="18"/>
                <w:u w:val="single"/>
              </w:rPr>
              <w:t> </w:t>
            </w:r>
            <w:r>
              <w:rPr>
                <w:w w:val="120"/>
                <w:sz w:val="18"/>
                <w:u w:val="single"/>
              </w:rPr>
              <w:t>1,011,743</w:t>
            </w:r>
            <w:r>
              <w:rPr>
                <w:spacing w:val="-3"/>
                <w:sz w:val="18"/>
                <w:u w:val="single"/>
              </w:rPr>
              <w:t> </w:t>
            </w:r>
          </w:p>
        </w:tc>
      </w:tr>
    </w:tbl>
    <w:p>
      <w:pPr>
        <w:pStyle w:val="BodyText"/>
        <w:spacing w:before="4"/>
        <w:rPr>
          <w:sz w:val="17"/>
        </w:rPr>
      </w:pPr>
    </w:p>
    <w:p>
      <w:pPr>
        <w:pStyle w:val="BodyText"/>
        <w:spacing w:before="93"/>
        <w:ind w:left="640"/>
      </w:pPr>
      <w:r>
        <w:rPr>
          <w:w w:val="105"/>
        </w:rPr>
        <w:t>The provision for income taxes is composed of the   following:</w:t>
      </w:r>
    </w:p>
    <w:p>
      <w:pPr>
        <w:pStyle w:val="BodyText"/>
        <w:spacing w:before="4"/>
      </w:pPr>
    </w:p>
    <w:tbl>
      <w:tblPr>
        <w:tblW w:w="0" w:type="auto"/>
        <w:jc w:val="left"/>
        <w:tblInd w:w="6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262"/>
        <w:gridCol w:w="2591"/>
        <w:gridCol w:w="2130"/>
        <w:gridCol w:w="1795"/>
      </w:tblGrid>
      <w:tr>
        <w:trPr>
          <w:trHeight w:val="303" w:hRule="exact"/>
        </w:trPr>
        <w:tc>
          <w:tcPr>
            <w:tcW w:w="2262" w:type="dxa"/>
            <w:tcBorders>
              <w:top w:val="single" w:sz="2" w:space="0" w:color="000000"/>
              <w:bottom w:val="single" w:sz="2" w:space="0" w:color="000000"/>
            </w:tcBorders>
          </w:tcPr>
          <w:p>
            <w:pPr>
              <w:pStyle w:val="TableParagraph"/>
              <w:spacing w:before="103"/>
              <w:ind w:left="300"/>
              <w:rPr>
                <w:i/>
                <w:sz w:val="16"/>
              </w:rPr>
            </w:pPr>
            <w:r>
              <w:rPr>
                <w:i/>
                <w:w w:val="105"/>
                <w:sz w:val="16"/>
              </w:rPr>
              <w:t>(In  thousands)</w:t>
            </w:r>
          </w:p>
        </w:tc>
        <w:tc>
          <w:tcPr>
            <w:tcW w:w="2591" w:type="dxa"/>
            <w:tcBorders>
              <w:top w:val="single" w:sz="2" w:space="0" w:color="000000"/>
              <w:bottom w:val="single" w:sz="2" w:space="0" w:color="000000"/>
            </w:tcBorders>
          </w:tcPr>
          <w:p>
            <w:pPr>
              <w:pStyle w:val="TableParagraph"/>
              <w:spacing w:before="90"/>
              <w:ind w:left="1256" w:right="871"/>
              <w:jc w:val="center"/>
              <w:rPr>
                <w:rFonts w:ascii="Franklin Gothic Medium"/>
                <w:sz w:val="18"/>
              </w:rPr>
            </w:pPr>
            <w:r>
              <w:rPr>
                <w:rFonts w:ascii="Franklin Gothic Medium"/>
                <w:sz w:val="18"/>
              </w:rPr>
              <w:t>2002</w:t>
            </w:r>
          </w:p>
        </w:tc>
        <w:tc>
          <w:tcPr>
            <w:tcW w:w="2130" w:type="dxa"/>
            <w:tcBorders>
              <w:top w:val="single" w:sz="2" w:space="0" w:color="000000"/>
              <w:bottom w:val="single" w:sz="2" w:space="0" w:color="000000"/>
            </w:tcBorders>
          </w:tcPr>
          <w:p>
            <w:pPr>
              <w:pStyle w:val="TableParagraph"/>
              <w:spacing w:before="90"/>
              <w:ind w:left="865" w:right="801"/>
              <w:jc w:val="center"/>
              <w:rPr>
                <w:rFonts w:ascii="Franklin Gothic Medium"/>
                <w:sz w:val="18"/>
              </w:rPr>
            </w:pPr>
            <w:r>
              <w:rPr>
                <w:rFonts w:ascii="Franklin Gothic Medium"/>
                <w:sz w:val="18"/>
              </w:rPr>
              <w:t>2001</w:t>
            </w:r>
          </w:p>
        </w:tc>
        <w:tc>
          <w:tcPr>
            <w:tcW w:w="1795" w:type="dxa"/>
            <w:tcBorders>
              <w:top w:val="single" w:sz="2" w:space="0" w:color="000000"/>
              <w:bottom w:val="single" w:sz="2" w:space="0" w:color="000000"/>
            </w:tcBorders>
          </w:tcPr>
          <w:p>
            <w:pPr>
              <w:pStyle w:val="TableParagraph"/>
              <w:spacing w:before="90"/>
              <w:ind w:left="797"/>
              <w:rPr>
                <w:rFonts w:ascii="Franklin Gothic Medium"/>
                <w:sz w:val="18"/>
              </w:rPr>
            </w:pPr>
            <w:r>
              <w:rPr>
                <w:rFonts w:ascii="Franklin Gothic Medium"/>
                <w:sz w:val="18"/>
              </w:rPr>
              <w:t>2000</w:t>
            </w:r>
          </w:p>
        </w:tc>
      </w:tr>
      <w:tr>
        <w:trPr>
          <w:trHeight w:val="615" w:hRule="exact"/>
        </w:trPr>
        <w:tc>
          <w:tcPr>
            <w:tcW w:w="2262" w:type="dxa"/>
            <w:tcBorders>
              <w:top w:val="single" w:sz="2" w:space="0" w:color="000000"/>
            </w:tcBorders>
          </w:tcPr>
          <w:p>
            <w:pPr>
              <w:pStyle w:val="TableParagraph"/>
              <w:spacing w:before="90"/>
              <w:ind w:left="334" w:right="1100"/>
              <w:jc w:val="center"/>
              <w:rPr>
                <w:rFonts w:ascii="Franklin Gothic Medium"/>
                <w:sz w:val="18"/>
              </w:rPr>
            </w:pPr>
            <w:r>
              <w:rPr>
                <w:rFonts w:ascii="Franklin Gothic Medium"/>
                <w:sz w:val="18"/>
              </w:rPr>
              <w:t>CURRENT:</w:t>
            </w:r>
          </w:p>
          <w:p>
            <w:pPr>
              <w:pStyle w:val="TableParagraph"/>
              <w:spacing w:before="69"/>
              <w:ind w:left="268" w:right="1100"/>
              <w:jc w:val="center"/>
              <w:rPr>
                <w:sz w:val="18"/>
              </w:rPr>
            </w:pPr>
            <w:r>
              <w:rPr>
                <w:w w:val="105"/>
                <w:sz w:val="18"/>
              </w:rPr>
              <w:t>Federal</w:t>
            </w:r>
          </w:p>
        </w:tc>
        <w:tc>
          <w:tcPr>
            <w:tcW w:w="2591" w:type="dxa"/>
            <w:tcBorders>
              <w:top w:val="single" w:sz="2" w:space="0" w:color="000000"/>
            </w:tcBorders>
          </w:tcPr>
          <w:p>
            <w:pPr>
              <w:pStyle w:val="TableParagraph"/>
              <w:rPr>
                <w:sz w:val="20"/>
              </w:rPr>
            </w:pPr>
          </w:p>
          <w:p>
            <w:pPr>
              <w:pStyle w:val="TableParagraph"/>
              <w:spacing w:before="126"/>
              <w:ind w:left="1434"/>
              <w:rPr>
                <w:rFonts w:ascii="Franklin Gothic Medium"/>
                <w:sz w:val="18"/>
              </w:rPr>
            </w:pPr>
            <w:r>
              <w:rPr>
                <w:rFonts w:ascii="Franklin Gothic Medium"/>
                <w:sz w:val="18"/>
              </w:rPr>
              <w:t>$ (19,018)</w:t>
            </w:r>
          </w:p>
        </w:tc>
        <w:tc>
          <w:tcPr>
            <w:tcW w:w="2130" w:type="dxa"/>
            <w:tcBorders>
              <w:top w:val="single" w:sz="2" w:space="0" w:color="000000"/>
            </w:tcBorders>
          </w:tcPr>
          <w:p>
            <w:pPr>
              <w:pStyle w:val="TableParagraph"/>
              <w:spacing w:before="9"/>
              <w:rPr>
                <w:sz w:val="29"/>
              </w:rPr>
            </w:pPr>
          </w:p>
          <w:p>
            <w:pPr>
              <w:pStyle w:val="TableParagraph"/>
              <w:spacing w:before="1"/>
              <w:ind w:left="1044"/>
              <w:rPr>
                <w:sz w:val="18"/>
              </w:rPr>
            </w:pPr>
            <w:r>
              <w:rPr>
                <w:w w:val="120"/>
                <w:sz w:val="18"/>
              </w:rPr>
              <w:t>$ 98,378</w:t>
            </w:r>
          </w:p>
        </w:tc>
        <w:tc>
          <w:tcPr>
            <w:tcW w:w="1795" w:type="dxa"/>
            <w:tcBorders>
              <w:top w:val="single" w:sz="2" w:space="0" w:color="000000"/>
            </w:tcBorders>
          </w:tcPr>
          <w:p>
            <w:pPr>
              <w:pStyle w:val="TableParagraph"/>
              <w:spacing w:before="9"/>
              <w:rPr>
                <w:sz w:val="29"/>
              </w:rPr>
            </w:pPr>
          </w:p>
          <w:p>
            <w:pPr>
              <w:pStyle w:val="TableParagraph"/>
              <w:spacing w:before="1"/>
              <w:ind w:left="727"/>
              <w:rPr>
                <w:sz w:val="18"/>
              </w:rPr>
            </w:pPr>
            <w:r>
              <w:rPr>
                <w:w w:val="120"/>
                <w:sz w:val="18"/>
              </w:rPr>
              <w:t>$ 197,875</w:t>
            </w:r>
          </w:p>
        </w:tc>
      </w:tr>
      <w:tr>
        <w:trPr>
          <w:trHeight w:val="290" w:hRule="exact"/>
        </w:trPr>
        <w:tc>
          <w:tcPr>
            <w:tcW w:w="2262" w:type="dxa"/>
          </w:tcPr>
          <w:p>
            <w:pPr>
              <w:pStyle w:val="TableParagraph"/>
              <w:spacing w:before="28"/>
              <w:ind w:left="399"/>
              <w:rPr>
                <w:sz w:val="18"/>
              </w:rPr>
            </w:pPr>
            <w:r>
              <w:rPr>
                <w:w w:val="110"/>
                <w:sz w:val="18"/>
              </w:rPr>
              <w:t>State</w:t>
            </w:r>
          </w:p>
        </w:tc>
        <w:tc>
          <w:tcPr>
            <w:tcW w:w="2591" w:type="dxa"/>
          </w:tcPr>
          <w:p>
            <w:pPr>
              <w:pStyle w:val="TableParagraph"/>
              <w:tabs>
                <w:tab w:pos="1336" w:val="left" w:leader="none"/>
                <w:tab w:pos="204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1,102</w:t>
              <w:tab/>
            </w:r>
          </w:p>
        </w:tc>
        <w:tc>
          <w:tcPr>
            <w:tcW w:w="2130" w:type="dxa"/>
          </w:tcPr>
          <w:p>
            <w:pPr>
              <w:pStyle w:val="TableParagraph"/>
              <w:tabs>
                <w:tab w:pos="1215" w:val="left" w:leader="none"/>
              </w:tabs>
              <w:spacing w:before="28"/>
              <w:ind w:left="127"/>
              <w:rPr>
                <w:sz w:val="18"/>
              </w:rPr>
            </w:pPr>
            <w:r>
              <w:rPr>
                <w:w w:val="132"/>
                <w:sz w:val="18"/>
                <w:u w:val="single"/>
              </w:rPr>
              <w:t> </w:t>
            </w:r>
            <w:r>
              <w:rPr>
                <w:sz w:val="18"/>
                <w:u w:val="single"/>
              </w:rPr>
              <w:tab/>
            </w:r>
            <w:r>
              <w:rPr>
                <w:w w:val="120"/>
                <w:sz w:val="18"/>
                <w:u w:val="single"/>
              </w:rPr>
              <w:t>10,212</w:t>
            </w:r>
            <w:r>
              <w:rPr>
                <w:spacing w:val="2"/>
                <w:sz w:val="18"/>
                <w:u w:val="single"/>
              </w:rPr>
              <w:t> </w:t>
            </w:r>
          </w:p>
        </w:tc>
        <w:tc>
          <w:tcPr>
            <w:tcW w:w="1795" w:type="dxa"/>
          </w:tcPr>
          <w:p>
            <w:pPr>
              <w:pStyle w:val="TableParagraph"/>
              <w:tabs>
                <w:tab w:pos="834" w:val="left" w:leader="none"/>
              </w:tabs>
              <w:spacing w:before="28"/>
              <w:ind w:right="30"/>
              <w:jc w:val="right"/>
              <w:rPr>
                <w:sz w:val="18"/>
              </w:rPr>
            </w:pPr>
            <w:r>
              <w:rPr>
                <w:w w:val="132"/>
                <w:sz w:val="18"/>
                <w:u w:val="single"/>
              </w:rPr>
              <w:t> </w:t>
            </w:r>
            <w:r>
              <w:rPr>
                <w:sz w:val="18"/>
                <w:u w:val="single"/>
              </w:rPr>
              <w:tab/>
            </w:r>
            <w:r>
              <w:rPr>
                <w:spacing w:val="-2"/>
                <w:w w:val="115"/>
                <w:sz w:val="18"/>
                <w:u w:val="single"/>
              </w:rPr>
              <w:t>26,671</w:t>
            </w:r>
            <w:r>
              <w:rPr>
                <w:spacing w:val="-20"/>
                <w:sz w:val="18"/>
                <w:u w:val="single"/>
              </w:rPr>
              <w:t> </w:t>
            </w:r>
          </w:p>
        </w:tc>
      </w:tr>
      <w:tr>
        <w:trPr>
          <w:trHeight w:val="255" w:hRule="exact"/>
        </w:trPr>
        <w:tc>
          <w:tcPr>
            <w:tcW w:w="2262" w:type="dxa"/>
          </w:tcPr>
          <w:p>
            <w:pPr>
              <w:pStyle w:val="TableParagraph"/>
              <w:spacing w:before="38"/>
              <w:ind w:left="679"/>
              <w:rPr>
                <w:sz w:val="18"/>
              </w:rPr>
            </w:pPr>
            <w:r>
              <w:rPr>
                <w:w w:val="105"/>
                <w:sz w:val="18"/>
              </w:rPr>
              <w:t>Total current</w:t>
            </w:r>
          </w:p>
        </w:tc>
        <w:tc>
          <w:tcPr>
            <w:tcW w:w="2591" w:type="dxa"/>
          </w:tcPr>
          <w:p>
            <w:pPr>
              <w:pStyle w:val="TableParagraph"/>
              <w:spacing w:before="44"/>
              <w:ind w:left="1593"/>
              <w:rPr>
                <w:rFonts w:ascii="Franklin Gothic Medium"/>
                <w:sz w:val="18"/>
              </w:rPr>
            </w:pPr>
            <w:r>
              <w:rPr>
                <w:rFonts w:ascii="Franklin Gothic Medium"/>
                <w:sz w:val="18"/>
              </w:rPr>
              <w:t>(17,916)</w:t>
            </w:r>
          </w:p>
        </w:tc>
        <w:tc>
          <w:tcPr>
            <w:tcW w:w="2130" w:type="dxa"/>
          </w:tcPr>
          <w:p>
            <w:pPr>
              <w:pStyle w:val="TableParagraph"/>
              <w:spacing w:before="38"/>
              <w:ind w:left="1098"/>
              <w:rPr>
                <w:sz w:val="18"/>
              </w:rPr>
            </w:pPr>
            <w:r>
              <w:rPr>
                <w:w w:val="120"/>
                <w:sz w:val="18"/>
              </w:rPr>
              <w:t>108,590</w:t>
            </w:r>
          </w:p>
        </w:tc>
        <w:tc>
          <w:tcPr>
            <w:tcW w:w="1795" w:type="dxa"/>
          </w:tcPr>
          <w:p>
            <w:pPr>
              <w:pStyle w:val="TableParagraph"/>
              <w:spacing w:before="38"/>
              <w:ind w:left="884"/>
              <w:rPr>
                <w:sz w:val="18"/>
              </w:rPr>
            </w:pPr>
            <w:r>
              <w:rPr>
                <w:w w:val="120"/>
                <w:sz w:val="18"/>
              </w:rPr>
              <w:t>224,546</w:t>
            </w:r>
          </w:p>
        </w:tc>
      </w:tr>
      <w:tr>
        <w:trPr>
          <w:trHeight w:val="315" w:hRule="exact"/>
        </w:trPr>
        <w:tc>
          <w:tcPr>
            <w:tcW w:w="2262" w:type="dxa"/>
          </w:tcPr>
          <w:p>
            <w:pPr>
              <w:pStyle w:val="TableParagraph"/>
              <w:spacing w:before="70"/>
              <w:ind w:left="300"/>
              <w:rPr>
                <w:rFonts w:ascii="Franklin Gothic Medium"/>
                <w:sz w:val="18"/>
              </w:rPr>
            </w:pPr>
            <w:r>
              <w:rPr>
                <w:rFonts w:ascii="Franklin Gothic Medium"/>
                <w:sz w:val="18"/>
              </w:rPr>
              <w:t>DEFERRED:</w:t>
            </w:r>
          </w:p>
        </w:tc>
        <w:tc>
          <w:tcPr>
            <w:tcW w:w="2591" w:type="dxa"/>
          </w:tcPr>
          <w:p>
            <w:pPr/>
          </w:p>
        </w:tc>
        <w:tc>
          <w:tcPr>
            <w:tcW w:w="2130" w:type="dxa"/>
          </w:tcPr>
          <w:p>
            <w:pPr/>
          </w:p>
        </w:tc>
        <w:tc>
          <w:tcPr>
            <w:tcW w:w="1795" w:type="dxa"/>
          </w:tcPr>
          <w:p>
            <w:pPr/>
          </w:p>
        </w:tc>
      </w:tr>
      <w:tr>
        <w:trPr>
          <w:trHeight w:val="280" w:hRule="exact"/>
        </w:trPr>
        <w:tc>
          <w:tcPr>
            <w:tcW w:w="2262" w:type="dxa"/>
          </w:tcPr>
          <w:p>
            <w:pPr>
              <w:pStyle w:val="TableParagraph"/>
              <w:spacing w:before="28"/>
              <w:ind w:left="400"/>
              <w:rPr>
                <w:sz w:val="18"/>
              </w:rPr>
            </w:pPr>
            <w:r>
              <w:rPr>
                <w:w w:val="105"/>
                <w:sz w:val="18"/>
              </w:rPr>
              <w:t>Federal</w:t>
            </w:r>
          </w:p>
        </w:tc>
        <w:tc>
          <w:tcPr>
            <w:tcW w:w="2591" w:type="dxa"/>
          </w:tcPr>
          <w:p>
            <w:pPr>
              <w:pStyle w:val="TableParagraph"/>
              <w:spacing w:before="34"/>
              <w:ind w:left="1538"/>
              <w:rPr>
                <w:rFonts w:ascii="Franklin Gothic Medium"/>
                <w:sz w:val="18"/>
              </w:rPr>
            </w:pPr>
            <w:r>
              <w:rPr>
                <w:rFonts w:ascii="Franklin Gothic Medium"/>
                <w:sz w:val="18"/>
              </w:rPr>
              <w:t>156,545</w:t>
            </w:r>
          </w:p>
        </w:tc>
        <w:tc>
          <w:tcPr>
            <w:tcW w:w="2130" w:type="dxa"/>
          </w:tcPr>
          <w:p>
            <w:pPr>
              <w:pStyle w:val="TableParagraph"/>
              <w:spacing w:before="28"/>
              <w:ind w:left="1098"/>
              <w:rPr>
                <w:sz w:val="18"/>
              </w:rPr>
            </w:pPr>
            <w:r>
              <w:rPr>
                <w:w w:val="120"/>
                <w:sz w:val="18"/>
              </w:rPr>
              <w:t>187,296</w:t>
            </w:r>
          </w:p>
        </w:tc>
        <w:tc>
          <w:tcPr>
            <w:tcW w:w="1795" w:type="dxa"/>
          </w:tcPr>
          <w:p>
            <w:pPr>
              <w:pStyle w:val="TableParagraph"/>
              <w:spacing w:before="28"/>
              <w:ind w:left="884"/>
              <w:rPr>
                <w:sz w:val="18"/>
              </w:rPr>
            </w:pPr>
            <w:r>
              <w:rPr>
                <w:w w:val="120"/>
                <w:sz w:val="18"/>
              </w:rPr>
              <w:t>151,694</w:t>
            </w:r>
          </w:p>
        </w:tc>
      </w:tr>
      <w:tr>
        <w:trPr>
          <w:trHeight w:val="290" w:hRule="exact"/>
        </w:trPr>
        <w:tc>
          <w:tcPr>
            <w:tcW w:w="2262" w:type="dxa"/>
          </w:tcPr>
          <w:p>
            <w:pPr>
              <w:pStyle w:val="TableParagraph"/>
              <w:spacing w:before="28"/>
              <w:ind w:left="400"/>
              <w:rPr>
                <w:sz w:val="18"/>
              </w:rPr>
            </w:pPr>
            <w:r>
              <w:rPr>
                <w:w w:val="110"/>
                <w:sz w:val="18"/>
              </w:rPr>
              <w:t>State</w:t>
            </w:r>
          </w:p>
        </w:tc>
        <w:tc>
          <w:tcPr>
            <w:tcW w:w="2591" w:type="dxa"/>
          </w:tcPr>
          <w:p>
            <w:pPr>
              <w:pStyle w:val="TableParagraph"/>
              <w:tabs>
                <w:tab w:pos="1226" w:val="left" w:leader="none"/>
                <w:tab w:pos="2044" w:val="left" w:leader="none"/>
              </w:tabs>
              <w:spacing w:before="34"/>
              <w:ind w:right="125"/>
              <w:jc w:val="right"/>
              <w:rPr>
                <w:rFonts w:ascii="Franklin Gothic Medium"/>
                <w:sz w:val="18"/>
              </w:rPr>
            </w:pPr>
            <w:r>
              <w:rPr>
                <w:rFonts w:ascii="Franklin Gothic Medium"/>
                <w:w w:val="116"/>
                <w:sz w:val="18"/>
                <w:u w:val="single"/>
              </w:rPr>
              <w:t> </w:t>
            </w:r>
            <w:r>
              <w:rPr>
                <w:rFonts w:ascii="Franklin Gothic Medium"/>
                <w:sz w:val="18"/>
                <w:u w:val="single"/>
              </w:rPr>
              <w:tab/>
            </w:r>
            <w:r>
              <w:rPr>
                <w:rFonts w:ascii="Franklin Gothic Medium"/>
                <w:spacing w:val="-1"/>
                <w:sz w:val="18"/>
                <w:u w:val="single"/>
              </w:rPr>
              <w:t>13,084</w:t>
              <w:tab/>
            </w:r>
          </w:p>
        </w:tc>
        <w:tc>
          <w:tcPr>
            <w:tcW w:w="2130" w:type="dxa"/>
          </w:tcPr>
          <w:p>
            <w:pPr>
              <w:pStyle w:val="TableParagraph"/>
              <w:tabs>
                <w:tab w:pos="1215" w:val="left" w:leader="none"/>
              </w:tabs>
              <w:spacing w:before="28"/>
              <w:ind w:left="127"/>
              <w:rPr>
                <w:sz w:val="18"/>
              </w:rPr>
            </w:pPr>
            <w:r>
              <w:rPr>
                <w:w w:val="132"/>
                <w:sz w:val="18"/>
                <w:u w:val="single"/>
              </w:rPr>
              <w:t> </w:t>
            </w:r>
            <w:r>
              <w:rPr>
                <w:sz w:val="18"/>
                <w:u w:val="single"/>
              </w:rPr>
              <w:tab/>
            </w:r>
            <w:r>
              <w:rPr>
                <w:w w:val="120"/>
                <w:sz w:val="18"/>
                <w:u w:val="single"/>
              </w:rPr>
              <w:t>20,626</w:t>
            </w:r>
            <w:r>
              <w:rPr>
                <w:spacing w:val="2"/>
                <w:sz w:val="18"/>
                <w:u w:val="single"/>
              </w:rPr>
              <w:t> </w:t>
            </w:r>
          </w:p>
        </w:tc>
        <w:tc>
          <w:tcPr>
            <w:tcW w:w="1795" w:type="dxa"/>
          </w:tcPr>
          <w:p>
            <w:pPr>
              <w:pStyle w:val="TableParagraph"/>
              <w:tabs>
                <w:tab w:pos="834" w:val="left" w:leader="none"/>
              </w:tabs>
              <w:spacing w:before="28"/>
              <w:ind w:right="30"/>
              <w:jc w:val="right"/>
              <w:rPr>
                <w:sz w:val="18"/>
              </w:rPr>
            </w:pPr>
            <w:r>
              <w:rPr>
                <w:w w:val="132"/>
                <w:sz w:val="18"/>
                <w:u w:val="single"/>
              </w:rPr>
              <w:t> </w:t>
            </w:r>
            <w:r>
              <w:rPr>
                <w:sz w:val="18"/>
                <w:u w:val="single"/>
              </w:rPr>
              <w:tab/>
            </w:r>
            <w:r>
              <w:rPr>
                <w:spacing w:val="-2"/>
                <w:w w:val="115"/>
                <w:sz w:val="18"/>
                <w:u w:val="single"/>
              </w:rPr>
              <w:t>15,900</w:t>
            </w:r>
            <w:r>
              <w:rPr>
                <w:spacing w:val="-20"/>
                <w:sz w:val="18"/>
                <w:u w:val="single"/>
              </w:rPr>
              <w:t> </w:t>
            </w:r>
          </w:p>
        </w:tc>
      </w:tr>
      <w:tr>
        <w:trPr>
          <w:trHeight w:val="300" w:hRule="exact"/>
        </w:trPr>
        <w:tc>
          <w:tcPr>
            <w:tcW w:w="2262" w:type="dxa"/>
          </w:tcPr>
          <w:p>
            <w:pPr>
              <w:pStyle w:val="TableParagraph"/>
              <w:spacing w:before="38"/>
              <w:ind w:left="679"/>
              <w:rPr>
                <w:sz w:val="18"/>
              </w:rPr>
            </w:pPr>
            <w:r>
              <w:rPr>
                <w:w w:val="105"/>
                <w:sz w:val="18"/>
              </w:rPr>
              <w:t>Total  deferred</w:t>
            </w:r>
          </w:p>
        </w:tc>
        <w:tc>
          <w:tcPr>
            <w:tcW w:w="2591" w:type="dxa"/>
          </w:tcPr>
          <w:p>
            <w:pPr>
              <w:pStyle w:val="TableParagraph"/>
              <w:tabs>
                <w:tab w:pos="1119" w:val="left" w:leader="none"/>
                <w:tab w:pos="2044" w:val="left" w:leader="none"/>
              </w:tabs>
              <w:spacing w:before="44"/>
              <w:ind w:right="125"/>
              <w:jc w:val="right"/>
              <w:rPr>
                <w:rFonts w:ascii="Franklin Gothic Medium"/>
                <w:sz w:val="18"/>
              </w:rPr>
            </w:pPr>
            <w:r>
              <w:rPr>
                <w:rFonts w:ascii="Franklin Gothic Medium"/>
                <w:w w:val="116"/>
                <w:sz w:val="18"/>
                <w:u w:val="single"/>
              </w:rPr>
              <w:t> </w:t>
            </w:r>
            <w:r>
              <w:rPr>
                <w:rFonts w:ascii="Franklin Gothic Medium"/>
                <w:sz w:val="18"/>
                <w:u w:val="single"/>
              </w:rPr>
              <w:tab/>
              <w:t>169,629</w:t>
              <w:tab/>
            </w:r>
          </w:p>
        </w:tc>
        <w:tc>
          <w:tcPr>
            <w:tcW w:w="2130" w:type="dxa"/>
          </w:tcPr>
          <w:p>
            <w:pPr>
              <w:pStyle w:val="TableParagraph"/>
              <w:tabs>
                <w:tab w:pos="1098" w:val="left" w:leader="none"/>
              </w:tabs>
              <w:spacing w:before="38"/>
              <w:ind w:left="127"/>
              <w:rPr>
                <w:sz w:val="18"/>
              </w:rPr>
            </w:pPr>
            <w:r>
              <w:rPr>
                <w:w w:val="132"/>
                <w:sz w:val="18"/>
                <w:u w:val="single"/>
              </w:rPr>
              <w:t> </w:t>
            </w:r>
            <w:r>
              <w:rPr>
                <w:sz w:val="18"/>
                <w:u w:val="single"/>
              </w:rPr>
              <w:tab/>
            </w:r>
            <w:r>
              <w:rPr>
                <w:w w:val="120"/>
                <w:sz w:val="18"/>
                <w:u w:val="single"/>
              </w:rPr>
              <w:t>207,922</w:t>
            </w:r>
            <w:r>
              <w:rPr>
                <w:spacing w:val="17"/>
                <w:sz w:val="18"/>
                <w:u w:val="single"/>
              </w:rPr>
              <w:t> </w:t>
            </w:r>
          </w:p>
        </w:tc>
        <w:tc>
          <w:tcPr>
            <w:tcW w:w="1795" w:type="dxa"/>
          </w:tcPr>
          <w:p>
            <w:pPr>
              <w:pStyle w:val="TableParagraph"/>
              <w:tabs>
                <w:tab w:pos="726" w:val="left" w:leader="none"/>
              </w:tabs>
              <w:spacing w:before="38"/>
              <w:ind w:right="30"/>
              <w:jc w:val="right"/>
              <w:rPr>
                <w:sz w:val="18"/>
              </w:rPr>
            </w:pPr>
            <w:r>
              <w:rPr>
                <w:w w:val="132"/>
                <w:sz w:val="18"/>
                <w:u w:val="single"/>
              </w:rPr>
              <w:t> </w:t>
            </w:r>
            <w:r>
              <w:rPr>
                <w:sz w:val="18"/>
                <w:u w:val="single"/>
              </w:rPr>
              <w:tab/>
            </w:r>
            <w:r>
              <w:rPr>
                <w:spacing w:val="-2"/>
                <w:w w:val="115"/>
                <w:sz w:val="18"/>
                <w:u w:val="single"/>
              </w:rPr>
              <w:t>167,594</w:t>
            </w:r>
            <w:r>
              <w:rPr>
                <w:spacing w:val="-20"/>
                <w:sz w:val="18"/>
                <w:u w:val="single"/>
              </w:rPr>
              <w:t> </w:t>
            </w:r>
          </w:p>
        </w:tc>
      </w:tr>
      <w:tr>
        <w:trPr>
          <w:trHeight w:val="255" w:hRule="exact"/>
        </w:trPr>
        <w:tc>
          <w:tcPr>
            <w:tcW w:w="2262" w:type="dxa"/>
          </w:tcPr>
          <w:p>
            <w:pPr/>
          </w:p>
        </w:tc>
        <w:tc>
          <w:tcPr>
            <w:tcW w:w="2591" w:type="dxa"/>
          </w:tcPr>
          <w:p>
            <w:pPr>
              <w:pStyle w:val="TableParagraph"/>
              <w:tabs>
                <w:tab w:pos="963" w:val="left" w:leader="none"/>
                <w:tab w:pos="2039" w:val="left" w:leader="none"/>
              </w:tabs>
              <w:spacing w:before="44"/>
              <w:ind w:right="130"/>
              <w:jc w:val="right"/>
              <w:rPr>
                <w:rFonts w:ascii="Franklin Gothic Medium"/>
                <w:sz w:val="18"/>
              </w:rPr>
            </w:pPr>
            <w:r>
              <w:rPr>
                <w:rFonts w:ascii="Franklin Gothic Medium"/>
                <w:w w:val="116"/>
                <w:sz w:val="18"/>
                <w:u w:val="single"/>
              </w:rPr>
              <w:t> </w:t>
            </w:r>
            <w:r>
              <w:rPr>
                <w:rFonts w:ascii="Franklin Gothic Medium"/>
                <w:sz w:val="18"/>
                <w:u w:val="single"/>
              </w:rPr>
              <w:tab/>
              <w:t>$</w:t>
            </w:r>
            <w:r>
              <w:rPr>
                <w:rFonts w:ascii="Franklin Gothic Medium"/>
                <w:spacing w:val="10"/>
                <w:sz w:val="18"/>
                <w:u w:val="single"/>
              </w:rPr>
              <w:t> </w:t>
            </w:r>
            <w:r>
              <w:rPr>
                <w:rFonts w:ascii="Franklin Gothic Medium"/>
                <w:sz w:val="18"/>
                <w:u w:val="single"/>
              </w:rPr>
              <w:t>151,713</w:t>
              <w:tab/>
            </w:r>
          </w:p>
        </w:tc>
        <w:tc>
          <w:tcPr>
            <w:tcW w:w="2130" w:type="dxa"/>
          </w:tcPr>
          <w:p>
            <w:pPr>
              <w:pStyle w:val="TableParagraph"/>
              <w:tabs>
                <w:tab w:pos="932" w:val="left" w:leader="none"/>
              </w:tabs>
              <w:spacing w:before="38"/>
              <w:ind w:left="127"/>
              <w:rPr>
                <w:sz w:val="18"/>
              </w:rPr>
            </w:pPr>
            <w:r>
              <w:rPr>
                <w:w w:val="132"/>
                <w:sz w:val="18"/>
                <w:u w:val="single"/>
              </w:rPr>
              <w:t> </w:t>
            </w:r>
            <w:r>
              <w:rPr>
                <w:sz w:val="18"/>
                <w:u w:val="single"/>
              </w:rPr>
              <w:tab/>
            </w:r>
            <w:r>
              <w:rPr>
                <w:w w:val="120"/>
                <w:sz w:val="18"/>
                <w:u w:val="single"/>
              </w:rPr>
              <w:t>$</w:t>
            </w:r>
            <w:r>
              <w:rPr>
                <w:spacing w:val="-21"/>
                <w:w w:val="120"/>
                <w:sz w:val="18"/>
                <w:u w:val="single"/>
              </w:rPr>
              <w:t> </w:t>
            </w:r>
            <w:r>
              <w:rPr>
                <w:w w:val="120"/>
                <w:sz w:val="18"/>
                <w:u w:val="single"/>
              </w:rPr>
              <w:t>316,512</w:t>
            </w:r>
            <w:r>
              <w:rPr>
                <w:spacing w:val="19"/>
                <w:sz w:val="18"/>
                <w:u w:val="single"/>
              </w:rPr>
              <w:t> </w:t>
            </w:r>
          </w:p>
        </w:tc>
        <w:tc>
          <w:tcPr>
            <w:tcW w:w="1795" w:type="dxa"/>
          </w:tcPr>
          <w:p>
            <w:pPr>
              <w:pStyle w:val="TableParagraph"/>
              <w:tabs>
                <w:tab w:pos="567"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21"/>
                <w:w w:val="120"/>
                <w:sz w:val="18"/>
                <w:u w:val="single"/>
              </w:rPr>
              <w:t> </w:t>
            </w:r>
            <w:r>
              <w:rPr>
                <w:w w:val="120"/>
                <w:sz w:val="18"/>
                <w:u w:val="single"/>
              </w:rPr>
              <w:t>392,140</w:t>
            </w:r>
            <w:r>
              <w:rPr>
                <w:spacing w:val="17"/>
                <w:sz w:val="18"/>
                <w:u w:val="single"/>
              </w:rPr>
              <w:t> </w:t>
            </w:r>
          </w:p>
        </w:tc>
      </w:tr>
    </w:tbl>
    <w:p>
      <w:pPr>
        <w:spacing w:after="0"/>
        <w:jc w:val="right"/>
        <w:rPr>
          <w:sz w:val="18"/>
        </w:rPr>
        <w:sectPr>
          <w:type w:val="continuous"/>
          <w:pgSz w:w="11520" w:h="14400"/>
          <w:pgMar w:top="0" w:bottom="280" w:left="700" w:right="840"/>
        </w:sectPr>
      </w:pPr>
    </w:p>
    <w:p>
      <w:pPr>
        <w:pStyle w:val="BodyText"/>
        <w:spacing w:line="254" w:lineRule="auto" w:before="69"/>
        <w:ind w:left="100" w:firstLine="280"/>
      </w:pPr>
      <w:r>
        <w:rPr>
          <w:w w:val="105"/>
        </w:rPr>
        <w:t>The effective tax rate on income before income taxes differed  from  the  federal  income  tax statutory rate  for the following reasons:</w:t>
      </w:r>
    </w:p>
    <w:p>
      <w:pPr>
        <w:pStyle w:val="BodyText"/>
        <w:spacing w:before="9"/>
        <w:rPr>
          <w:sz w:val="19"/>
        </w:rPr>
      </w:pPr>
    </w:p>
    <w:tbl>
      <w:tblPr>
        <w:tblW w:w="0" w:type="auto"/>
        <w:jc w:val="left"/>
        <w:tblInd w:w="38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811"/>
        <w:gridCol w:w="1661"/>
        <w:gridCol w:w="1700"/>
        <w:gridCol w:w="1645"/>
      </w:tblGrid>
      <w:tr>
        <w:trPr>
          <w:trHeight w:val="300" w:hRule="exact"/>
        </w:trPr>
        <w:tc>
          <w:tcPr>
            <w:tcW w:w="3811" w:type="dxa"/>
            <w:tcBorders>
              <w:top w:val="single" w:sz="8" w:space="0" w:color="000000"/>
              <w:bottom w:val="single" w:sz="8" w:space="0" w:color="000000"/>
            </w:tcBorders>
          </w:tcPr>
          <w:p>
            <w:pPr>
              <w:pStyle w:val="TableParagraph"/>
              <w:spacing w:before="87"/>
              <w:ind w:left="240"/>
              <w:rPr>
                <w:i/>
                <w:sz w:val="16"/>
              </w:rPr>
            </w:pPr>
            <w:r>
              <w:rPr>
                <w:i/>
                <w:w w:val="105"/>
                <w:sz w:val="16"/>
              </w:rPr>
              <w:t>(In  thousands)</w:t>
            </w:r>
          </w:p>
        </w:tc>
        <w:tc>
          <w:tcPr>
            <w:tcW w:w="1661" w:type="dxa"/>
            <w:tcBorders>
              <w:top w:val="single" w:sz="8" w:space="0" w:color="000000"/>
              <w:bottom w:val="single" w:sz="8" w:space="0" w:color="000000"/>
            </w:tcBorders>
          </w:tcPr>
          <w:p>
            <w:pPr>
              <w:pStyle w:val="TableParagraph"/>
              <w:spacing w:before="75"/>
              <w:ind w:left="688"/>
              <w:rPr>
                <w:rFonts w:ascii="Franklin Gothic Medium"/>
                <w:sz w:val="18"/>
              </w:rPr>
            </w:pPr>
            <w:r>
              <w:rPr>
                <w:rFonts w:ascii="Franklin Gothic Medium"/>
                <w:sz w:val="18"/>
              </w:rPr>
              <w:t>2002</w:t>
            </w:r>
          </w:p>
        </w:tc>
        <w:tc>
          <w:tcPr>
            <w:tcW w:w="1700" w:type="dxa"/>
            <w:tcBorders>
              <w:top w:val="single" w:sz="8" w:space="0" w:color="000000"/>
              <w:bottom w:val="single" w:sz="8" w:space="0" w:color="000000"/>
            </w:tcBorders>
          </w:tcPr>
          <w:p>
            <w:pPr>
              <w:pStyle w:val="TableParagraph"/>
              <w:spacing w:before="75"/>
              <w:ind w:left="685" w:right="551"/>
              <w:jc w:val="center"/>
              <w:rPr>
                <w:rFonts w:ascii="Franklin Gothic Medium"/>
                <w:sz w:val="18"/>
              </w:rPr>
            </w:pPr>
            <w:r>
              <w:rPr>
                <w:rFonts w:ascii="Franklin Gothic Medium"/>
                <w:sz w:val="18"/>
              </w:rPr>
              <w:t>2001</w:t>
            </w:r>
          </w:p>
        </w:tc>
        <w:tc>
          <w:tcPr>
            <w:tcW w:w="1645" w:type="dxa"/>
            <w:tcBorders>
              <w:top w:val="single" w:sz="8" w:space="0" w:color="000000"/>
              <w:bottom w:val="single" w:sz="8" w:space="0" w:color="000000"/>
            </w:tcBorders>
          </w:tcPr>
          <w:p>
            <w:pPr>
              <w:pStyle w:val="TableParagraph"/>
              <w:spacing w:before="75"/>
              <w:ind w:left="687"/>
              <w:rPr>
                <w:rFonts w:ascii="Franklin Gothic Medium"/>
                <w:sz w:val="18"/>
              </w:rPr>
            </w:pPr>
            <w:r>
              <w:rPr>
                <w:rFonts w:ascii="Franklin Gothic Medium"/>
                <w:sz w:val="18"/>
              </w:rPr>
              <w:t>2000</w:t>
            </w:r>
          </w:p>
        </w:tc>
      </w:tr>
      <w:tr>
        <w:trPr>
          <w:trHeight w:val="330" w:hRule="exact"/>
        </w:trPr>
        <w:tc>
          <w:tcPr>
            <w:tcW w:w="3811" w:type="dxa"/>
            <w:tcBorders>
              <w:top w:val="single" w:sz="8" w:space="0" w:color="000000"/>
            </w:tcBorders>
          </w:tcPr>
          <w:p>
            <w:pPr>
              <w:pStyle w:val="TableParagraph"/>
              <w:spacing w:before="68"/>
              <w:ind w:left="240"/>
              <w:rPr>
                <w:sz w:val="18"/>
              </w:rPr>
            </w:pPr>
            <w:r>
              <w:rPr>
                <w:w w:val="105"/>
                <w:sz w:val="18"/>
              </w:rPr>
              <w:t>Tax  at  statutory  U.S.   tax  rates</w:t>
            </w:r>
          </w:p>
        </w:tc>
        <w:tc>
          <w:tcPr>
            <w:tcW w:w="1661" w:type="dxa"/>
            <w:tcBorders>
              <w:top w:val="single" w:sz="8" w:space="0" w:color="000000"/>
            </w:tcBorders>
          </w:tcPr>
          <w:p>
            <w:pPr>
              <w:pStyle w:val="TableParagraph"/>
              <w:spacing w:before="75"/>
              <w:ind w:left="548"/>
              <w:rPr>
                <w:rFonts w:ascii="Franklin Gothic Medium"/>
                <w:sz w:val="18"/>
              </w:rPr>
            </w:pPr>
            <w:r>
              <w:rPr>
                <w:rFonts w:ascii="Franklin Gothic Medium"/>
                <w:sz w:val="18"/>
              </w:rPr>
              <w:t>$137,439</w:t>
            </w:r>
          </w:p>
        </w:tc>
        <w:tc>
          <w:tcPr>
            <w:tcW w:w="1700" w:type="dxa"/>
            <w:tcBorders>
              <w:top w:val="single" w:sz="8" w:space="0" w:color="000000"/>
            </w:tcBorders>
          </w:tcPr>
          <w:p>
            <w:pPr>
              <w:pStyle w:val="TableParagraph"/>
              <w:spacing w:before="68"/>
              <w:ind w:left="533"/>
              <w:rPr>
                <w:sz w:val="18"/>
              </w:rPr>
            </w:pPr>
            <w:r>
              <w:rPr>
                <w:w w:val="120"/>
                <w:sz w:val="18"/>
              </w:rPr>
              <w:t>$ 289,681</w:t>
            </w:r>
          </w:p>
        </w:tc>
        <w:tc>
          <w:tcPr>
            <w:tcW w:w="1645" w:type="dxa"/>
            <w:tcBorders>
              <w:top w:val="single" w:sz="8" w:space="0" w:color="000000"/>
            </w:tcBorders>
          </w:tcPr>
          <w:p>
            <w:pPr>
              <w:pStyle w:val="TableParagraph"/>
              <w:spacing w:before="68"/>
              <w:ind w:left="568"/>
              <w:rPr>
                <w:sz w:val="18"/>
              </w:rPr>
            </w:pPr>
            <w:r>
              <w:rPr>
                <w:w w:val="120"/>
                <w:sz w:val="18"/>
              </w:rPr>
              <w:t>$ 356,077</w:t>
            </w:r>
          </w:p>
        </w:tc>
      </w:tr>
      <w:tr>
        <w:trPr>
          <w:trHeight w:val="280" w:hRule="exact"/>
        </w:trPr>
        <w:tc>
          <w:tcPr>
            <w:tcW w:w="3811" w:type="dxa"/>
          </w:tcPr>
          <w:p>
            <w:pPr>
              <w:pStyle w:val="TableParagraph"/>
              <w:spacing w:before="28"/>
              <w:ind w:left="240"/>
              <w:rPr>
                <w:sz w:val="18"/>
              </w:rPr>
            </w:pPr>
            <w:r>
              <w:rPr>
                <w:w w:val="105"/>
                <w:sz w:val="18"/>
              </w:rPr>
              <w:t>Nondeductible  items</w:t>
            </w:r>
          </w:p>
        </w:tc>
        <w:tc>
          <w:tcPr>
            <w:tcW w:w="1661" w:type="dxa"/>
          </w:tcPr>
          <w:p>
            <w:pPr>
              <w:pStyle w:val="TableParagraph"/>
              <w:spacing w:before="34"/>
              <w:ind w:left="866"/>
              <w:rPr>
                <w:rFonts w:ascii="Franklin Gothic Medium"/>
                <w:sz w:val="18"/>
              </w:rPr>
            </w:pPr>
            <w:r>
              <w:rPr>
                <w:rFonts w:ascii="Franklin Gothic Medium"/>
                <w:sz w:val="18"/>
              </w:rPr>
              <w:t>6,418</w:t>
            </w:r>
          </w:p>
        </w:tc>
        <w:tc>
          <w:tcPr>
            <w:tcW w:w="1700" w:type="dxa"/>
          </w:tcPr>
          <w:p>
            <w:pPr>
              <w:pStyle w:val="TableParagraph"/>
              <w:spacing w:before="28"/>
              <w:ind w:left="908"/>
              <w:rPr>
                <w:sz w:val="18"/>
              </w:rPr>
            </w:pPr>
            <w:r>
              <w:rPr>
                <w:w w:val="120"/>
                <w:sz w:val="18"/>
              </w:rPr>
              <w:t>7,318</w:t>
            </w:r>
          </w:p>
        </w:tc>
        <w:tc>
          <w:tcPr>
            <w:tcW w:w="1645" w:type="dxa"/>
          </w:tcPr>
          <w:p>
            <w:pPr>
              <w:pStyle w:val="TableParagraph"/>
              <w:spacing w:before="28"/>
              <w:ind w:left="943"/>
              <w:rPr>
                <w:sz w:val="18"/>
              </w:rPr>
            </w:pPr>
            <w:r>
              <w:rPr>
                <w:w w:val="120"/>
                <w:sz w:val="18"/>
              </w:rPr>
              <w:t>6,801</w:t>
            </w:r>
          </w:p>
        </w:tc>
      </w:tr>
      <w:tr>
        <w:trPr>
          <w:trHeight w:val="280" w:hRule="exact"/>
        </w:trPr>
        <w:tc>
          <w:tcPr>
            <w:tcW w:w="3811" w:type="dxa"/>
          </w:tcPr>
          <w:p>
            <w:pPr>
              <w:pStyle w:val="TableParagraph"/>
              <w:spacing w:before="28"/>
              <w:ind w:left="240"/>
              <w:rPr>
                <w:sz w:val="18"/>
              </w:rPr>
            </w:pPr>
            <w:r>
              <w:rPr>
                <w:w w:val="105"/>
                <w:sz w:val="18"/>
              </w:rPr>
              <w:t>State  income  taxes,  net  of  federal benefit</w:t>
            </w:r>
          </w:p>
        </w:tc>
        <w:tc>
          <w:tcPr>
            <w:tcW w:w="1661" w:type="dxa"/>
          </w:tcPr>
          <w:p>
            <w:pPr>
              <w:pStyle w:val="TableParagraph"/>
              <w:spacing w:before="34"/>
              <w:ind w:left="866"/>
              <w:rPr>
                <w:rFonts w:ascii="Franklin Gothic Medium"/>
                <w:sz w:val="18"/>
              </w:rPr>
            </w:pPr>
            <w:r>
              <w:rPr>
                <w:rFonts w:ascii="Franklin Gothic Medium"/>
                <w:sz w:val="18"/>
              </w:rPr>
              <w:t>9,221</w:t>
            </w:r>
          </w:p>
        </w:tc>
        <w:tc>
          <w:tcPr>
            <w:tcW w:w="1700" w:type="dxa"/>
          </w:tcPr>
          <w:p>
            <w:pPr>
              <w:pStyle w:val="TableParagraph"/>
              <w:spacing w:before="28"/>
              <w:ind w:left="814"/>
              <w:rPr>
                <w:sz w:val="18"/>
              </w:rPr>
            </w:pPr>
            <w:r>
              <w:rPr>
                <w:w w:val="115"/>
                <w:sz w:val="18"/>
              </w:rPr>
              <w:t>20,045</w:t>
            </w:r>
            <w:r>
              <w:rPr>
                <w:color w:val="FFFFFF"/>
                <w:w w:val="115"/>
                <w:sz w:val="18"/>
              </w:rPr>
              <w:t>)</w:t>
            </w:r>
          </w:p>
        </w:tc>
        <w:tc>
          <w:tcPr>
            <w:tcW w:w="1645" w:type="dxa"/>
          </w:tcPr>
          <w:p>
            <w:pPr>
              <w:pStyle w:val="TableParagraph"/>
              <w:spacing w:before="28"/>
              <w:ind w:left="822"/>
              <w:rPr>
                <w:sz w:val="18"/>
              </w:rPr>
            </w:pPr>
            <w:r>
              <w:rPr>
                <w:w w:val="120"/>
                <w:sz w:val="18"/>
              </w:rPr>
              <w:t>27,671</w:t>
            </w:r>
          </w:p>
        </w:tc>
      </w:tr>
      <w:tr>
        <w:trPr>
          <w:trHeight w:val="290" w:hRule="exact"/>
        </w:trPr>
        <w:tc>
          <w:tcPr>
            <w:tcW w:w="3811" w:type="dxa"/>
          </w:tcPr>
          <w:p>
            <w:pPr>
              <w:pStyle w:val="TableParagraph"/>
              <w:spacing w:before="28"/>
              <w:ind w:left="240"/>
              <w:rPr>
                <w:sz w:val="18"/>
              </w:rPr>
            </w:pPr>
            <w:r>
              <w:rPr>
                <w:sz w:val="18"/>
              </w:rPr>
              <w:t>Other,  net</w:t>
            </w:r>
          </w:p>
        </w:tc>
        <w:tc>
          <w:tcPr>
            <w:tcW w:w="1661" w:type="dxa"/>
          </w:tcPr>
          <w:p>
            <w:pPr>
              <w:pStyle w:val="TableParagraph"/>
              <w:tabs>
                <w:tab w:pos="829" w:val="left" w:leader="none"/>
              </w:tabs>
              <w:spacing w:before="34"/>
              <w:ind w:left="128"/>
              <w:rPr>
                <w:rFonts w:ascii="Franklin Gothic Medium"/>
                <w:sz w:val="18"/>
              </w:rPr>
            </w:pPr>
            <w:r>
              <w:rPr>
                <w:rFonts w:ascii="Franklin Gothic Medium"/>
                <w:w w:val="116"/>
                <w:sz w:val="18"/>
                <w:u w:val="single"/>
              </w:rPr>
              <w:t> </w:t>
            </w:r>
            <w:r>
              <w:rPr>
                <w:rFonts w:ascii="Franklin Gothic Medium"/>
                <w:sz w:val="18"/>
                <w:u w:val="single"/>
              </w:rPr>
              <w:tab/>
              <w:t>(1,365)</w:t>
            </w:r>
            <w:r>
              <w:rPr>
                <w:rFonts w:ascii="Franklin Gothic Medium"/>
                <w:spacing w:val="-16"/>
                <w:sz w:val="18"/>
                <w:u w:val="single"/>
              </w:rPr>
              <w:t> </w:t>
            </w:r>
          </w:p>
        </w:tc>
        <w:tc>
          <w:tcPr>
            <w:tcW w:w="1700" w:type="dxa"/>
          </w:tcPr>
          <w:p>
            <w:pPr>
              <w:pStyle w:val="TableParagraph"/>
              <w:tabs>
                <w:tab w:pos="934" w:val="left" w:leader="none"/>
              </w:tabs>
              <w:spacing w:before="28"/>
              <w:ind w:right="85"/>
              <w:jc w:val="right"/>
              <w:rPr>
                <w:sz w:val="18"/>
              </w:rPr>
            </w:pPr>
            <w:r>
              <w:rPr>
                <w:w w:val="132"/>
                <w:sz w:val="18"/>
                <w:u w:val="single"/>
              </w:rPr>
              <w:t> </w:t>
            </w:r>
            <w:r>
              <w:rPr>
                <w:sz w:val="18"/>
                <w:u w:val="single"/>
              </w:rPr>
              <w:tab/>
            </w:r>
            <w:r>
              <w:rPr>
                <w:spacing w:val="-1"/>
                <w:w w:val="110"/>
                <w:sz w:val="18"/>
                <w:u w:val="single"/>
              </w:rPr>
              <w:t>(532)</w:t>
            </w:r>
            <w:r>
              <w:rPr>
                <w:spacing w:val="-1"/>
                <w:sz w:val="18"/>
                <w:u w:val="single"/>
              </w:rPr>
              <w:t> </w:t>
            </w:r>
          </w:p>
        </w:tc>
        <w:tc>
          <w:tcPr>
            <w:tcW w:w="1645" w:type="dxa"/>
          </w:tcPr>
          <w:p>
            <w:pPr>
              <w:pStyle w:val="TableParagraph"/>
              <w:tabs>
                <w:tab w:pos="858" w:val="left" w:leader="none"/>
              </w:tabs>
              <w:spacing w:before="28"/>
              <w:ind w:right="30"/>
              <w:jc w:val="right"/>
              <w:rPr>
                <w:sz w:val="18"/>
              </w:rPr>
            </w:pPr>
            <w:r>
              <w:rPr>
                <w:w w:val="132"/>
                <w:sz w:val="18"/>
                <w:u w:val="single"/>
              </w:rPr>
              <w:t> </w:t>
            </w:r>
            <w:r>
              <w:rPr>
                <w:sz w:val="18"/>
                <w:u w:val="single"/>
              </w:rPr>
              <w:tab/>
            </w:r>
            <w:r>
              <w:rPr>
                <w:spacing w:val="-1"/>
                <w:w w:val="115"/>
                <w:sz w:val="18"/>
                <w:u w:val="single"/>
              </w:rPr>
              <w:t>1,591</w:t>
            </w:r>
            <w:r>
              <w:rPr>
                <w:spacing w:val="-20"/>
                <w:sz w:val="18"/>
                <w:u w:val="single"/>
              </w:rPr>
              <w:t> </w:t>
            </w:r>
          </w:p>
        </w:tc>
      </w:tr>
      <w:tr>
        <w:trPr>
          <w:trHeight w:val="255" w:hRule="exact"/>
        </w:trPr>
        <w:tc>
          <w:tcPr>
            <w:tcW w:w="3811" w:type="dxa"/>
          </w:tcPr>
          <w:p>
            <w:pPr>
              <w:pStyle w:val="TableParagraph"/>
              <w:spacing w:before="38"/>
              <w:ind w:left="520"/>
              <w:rPr>
                <w:sz w:val="18"/>
              </w:rPr>
            </w:pPr>
            <w:r>
              <w:rPr>
                <w:w w:val="105"/>
                <w:sz w:val="18"/>
              </w:rPr>
              <w:t>Total  income  tax  provision</w:t>
            </w:r>
          </w:p>
        </w:tc>
        <w:tc>
          <w:tcPr>
            <w:tcW w:w="1661" w:type="dxa"/>
          </w:tcPr>
          <w:p>
            <w:pPr>
              <w:pStyle w:val="TableParagraph"/>
              <w:tabs>
                <w:tab w:pos="608" w:val="left" w:leader="none"/>
              </w:tabs>
              <w:spacing w:before="44"/>
              <w:ind w:left="128"/>
              <w:rPr>
                <w:rFonts w:ascii="Franklin Gothic Medium"/>
                <w:sz w:val="18"/>
              </w:rPr>
            </w:pPr>
            <w:r>
              <w:rPr>
                <w:rFonts w:ascii="Franklin Gothic Medium"/>
                <w:w w:val="116"/>
                <w:sz w:val="18"/>
                <w:u w:val="single"/>
              </w:rPr>
              <w:t> </w:t>
            </w:r>
            <w:r>
              <w:rPr>
                <w:rFonts w:ascii="Franklin Gothic Medium"/>
                <w:sz w:val="18"/>
                <w:u w:val="single"/>
              </w:rPr>
              <w:tab/>
              <w:t>$151,713</w:t>
            </w:r>
            <w:r>
              <w:rPr>
                <w:rFonts w:ascii="Franklin Gothic Medium"/>
                <w:spacing w:val="-21"/>
                <w:sz w:val="18"/>
                <w:u w:val="single"/>
              </w:rPr>
              <w:t> </w:t>
            </w:r>
          </w:p>
        </w:tc>
        <w:tc>
          <w:tcPr>
            <w:tcW w:w="1700" w:type="dxa"/>
          </w:tcPr>
          <w:p>
            <w:pPr>
              <w:pStyle w:val="TableParagraph"/>
              <w:tabs>
                <w:tab w:pos="459" w:val="left" w:leader="none"/>
                <w:tab w:pos="1519" w:val="left" w:leader="none"/>
              </w:tabs>
              <w:spacing w:before="38"/>
              <w:ind w:right="90"/>
              <w:jc w:val="right"/>
              <w:rPr>
                <w:sz w:val="18"/>
              </w:rPr>
            </w:pPr>
            <w:r>
              <w:rPr>
                <w:w w:val="132"/>
                <w:sz w:val="18"/>
                <w:u w:val="single"/>
              </w:rPr>
              <w:t> </w:t>
            </w:r>
            <w:r>
              <w:rPr>
                <w:sz w:val="18"/>
                <w:u w:val="single"/>
              </w:rPr>
              <w:tab/>
            </w:r>
            <w:r>
              <w:rPr>
                <w:w w:val="120"/>
                <w:sz w:val="18"/>
                <w:u w:val="single"/>
              </w:rPr>
              <w:t>$</w:t>
            </w:r>
            <w:r>
              <w:rPr>
                <w:spacing w:val="-22"/>
                <w:w w:val="120"/>
                <w:sz w:val="18"/>
                <w:u w:val="single"/>
              </w:rPr>
              <w:t> </w:t>
            </w:r>
            <w:r>
              <w:rPr>
                <w:w w:val="120"/>
                <w:sz w:val="18"/>
                <w:u w:val="single"/>
              </w:rPr>
              <w:t>316,512</w:t>
            </w:r>
            <w:r>
              <w:rPr>
                <w:sz w:val="18"/>
                <w:u w:val="single"/>
              </w:rPr>
              <w:tab/>
            </w:r>
          </w:p>
        </w:tc>
        <w:tc>
          <w:tcPr>
            <w:tcW w:w="1645" w:type="dxa"/>
          </w:tcPr>
          <w:p>
            <w:pPr>
              <w:pStyle w:val="TableParagraph"/>
              <w:tabs>
                <w:tab w:pos="480" w:val="left" w:leader="none"/>
              </w:tabs>
              <w:spacing w:before="38"/>
              <w:ind w:right="35"/>
              <w:jc w:val="right"/>
              <w:rPr>
                <w:sz w:val="18"/>
              </w:rPr>
            </w:pPr>
            <w:r>
              <w:rPr>
                <w:w w:val="132"/>
                <w:sz w:val="18"/>
                <w:u w:val="single"/>
              </w:rPr>
              <w:t> </w:t>
            </w:r>
            <w:r>
              <w:rPr>
                <w:sz w:val="18"/>
                <w:u w:val="single"/>
              </w:rPr>
              <w:tab/>
            </w:r>
            <w:r>
              <w:rPr>
                <w:w w:val="120"/>
                <w:sz w:val="18"/>
                <w:u w:val="single"/>
              </w:rPr>
              <w:t>$</w:t>
            </w:r>
            <w:r>
              <w:rPr>
                <w:spacing w:val="-13"/>
                <w:w w:val="120"/>
                <w:sz w:val="18"/>
                <w:u w:val="single"/>
              </w:rPr>
              <w:t> </w:t>
            </w:r>
            <w:r>
              <w:rPr>
                <w:w w:val="120"/>
                <w:sz w:val="18"/>
                <w:u w:val="single"/>
              </w:rPr>
              <w:t>392,140</w:t>
            </w:r>
            <w:r>
              <w:rPr>
                <w:spacing w:val="16"/>
                <w:sz w:val="18"/>
                <w:u w:val="single"/>
              </w:rPr>
              <w:t> </w:t>
            </w:r>
          </w:p>
        </w:tc>
      </w:tr>
    </w:tbl>
    <w:p>
      <w:pPr>
        <w:pStyle w:val="BodyText"/>
        <w:spacing w:before="8"/>
      </w:pPr>
    </w:p>
    <w:p>
      <w:pPr>
        <w:spacing w:after="0"/>
        <w:sectPr>
          <w:headerReference w:type="default" r:id="rId151"/>
          <w:footerReference w:type="default" r:id="rId152"/>
          <w:footerReference w:type="even" r:id="rId153"/>
          <w:pgSz w:w="11520" w:h="14400"/>
          <w:pgMar w:header="0" w:footer="706" w:top="960" w:bottom="900" w:left="980" w:right="840"/>
          <w:pgNumType w:start="51"/>
        </w:sectPr>
      </w:pPr>
    </w:p>
    <w:p>
      <w:pPr>
        <w:pStyle w:val="BodyText"/>
        <w:spacing w:line="254" w:lineRule="auto" w:before="92"/>
        <w:ind w:left="100" w:right="1" w:firstLine="260"/>
      </w:pPr>
      <w:r>
        <w:rPr>
          <w:w w:val="105"/>
        </w:rPr>
        <w:t>At </w:t>
      </w:r>
      <w:r>
        <w:rPr>
          <w:spacing w:val="3"/>
          <w:w w:val="105"/>
        </w:rPr>
        <w:t>December </w:t>
      </w:r>
      <w:r>
        <w:rPr>
          <w:w w:val="105"/>
        </w:rPr>
        <w:t>31, 2002,  Southwest  </w:t>
      </w:r>
      <w:r>
        <w:rPr>
          <w:spacing w:val="5"/>
          <w:w w:val="105"/>
        </w:rPr>
        <w:t>Airlines  </w:t>
      </w:r>
      <w:r>
        <w:rPr>
          <w:w w:val="105"/>
        </w:rPr>
        <w:t>Co.  had  an  estimated  tax  net  operating  loss </w:t>
      </w:r>
      <w:r>
        <w:rPr>
          <w:spacing w:val="1"/>
          <w:w w:val="105"/>
        </w:rPr>
        <w:t> </w:t>
      </w:r>
      <w:r>
        <w:rPr>
          <w:spacing w:val="6"/>
          <w:w w:val="105"/>
        </w:rPr>
        <w:t>of</w:t>
      </w:r>
    </w:p>
    <w:p>
      <w:pPr>
        <w:pStyle w:val="BodyText"/>
        <w:spacing w:line="254" w:lineRule="auto" w:before="1"/>
        <w:ind w:left="100"/>
        <w:jc w:val="both"/>
      </w:pPr>
      <w:r>
        <w:rPr>
          <w:w w:val="105"/>
        </w:rPr>
        <w:t>$145 million for federal </w:t>
      </w:r>
      <w:r>
        <w:rPr>
          <w:spacing w:val="3"/>
          <w:w w:val="105"/>
        </w:rPr>
        <w:t>income </w:t>
      </w:r>
      <w:r>
        <w:rPr>
          <w:w w:val="105"/>
        </w:rPr>
        <w:t>tax  </w:t>
      </w:r>
      <w:r>
        <w:rPr>
          <w:spacing w:val="6"/>
          <w:w w:val="105"/>
        </w:rPr>
        <w:t>purposes. </w:t>
      </w:r>
      <w:r>
        <w:rPr>
          <w:w w:val="105"/>
        </w:rPr>
        <w:t>The Company estimates  that  a  federal  </w:t>
      </w:r>
      <w:r>
        <w:rPr>
          <w:spacing w:val="6"/>
          <w:w w:val="105"/>
        </w:rPr>
        <w:t>tax </w:t>
      </w:r>
      <w:r>
        <w:rPr>
          <w:w w:val="105"/>
        </w:rPr>
        <w:t>refund  of  $51  million  will  be  realized  as  a result of utilizing this net </w:t>
      </w:r>
      <w:r>
        <w:rPr>
          <w:spacing w:val="2"/>
          <w:w w:val="105"/>
        </w:rPr>
        <w:t>operating </w:t>
      </w:r>
      <w:r>
        <w:rPr>
          <w:w w:val="105"/>
        </w:rPr>
        <w:t>loss as a carryback to prior taxable years. The  </w:t>
      </w:r>
      <w:r>
        <w:rPr>
          <w:spacing w:val="9"/>
          <w:w w:val="105"/>
        </w:rPr>
        <w:t>Company </w:t>
      </w:r>
      <w:r>
        <w:rPr>
          <w:w w:val="105"/>
        </w:rPr>
        <w:t>has  </w:t>
      </w:r>
      <w:r>
        <w:rPr>
          <w:spacing w:val="2"/>
          <w:w w:val="105"/>
        </w:rPr>
        <w:t>included  </w:t>
      </w:r>
      <w:r>
        <w:rPr>
          <w:w w:val="105"/>
        </w:rPr>
        <w:t>this  refund  in  “Accounts   </w:t>
      </w:r>
      <w:r>
        <w:rPr>
          <w:spacing w:val="12"/>
          <w:w w:val="105"/>
        </w:rPr>
        <w:t>and </w:t>
      </w:r>
      <w:r>
        <w:rPr>
          <w:w w:val="105"/>
        </w:rPr>
        <w:t>other  </w:t>
      </w:r>
      <w:r>
        <w:rPr>
          <w:spacing w:val="2"/>
          <w:w w:val="105"/>
        </w:rPr>
        <w:t>receivables”   </w:t>
      </w:r>
      <w:r>
        <w:rPr>
          <w:w w:val="105"/>
        </w:rPr>
        <w:t>in   the   </w:t>
      </w:r>
      <w:r>
        <w:rPr>
          <w:spacing w:val="6"/>
          <w:w w:val="105"/>
        </w:rPr>
        <w:t>Consolidated </w:t>
      </w:r>
      <w:r>
        <w:rPr>
          <w:w w:val="105"/>
        </w:rPr>
        <w:t>Balance  Sheet  at  December  31,   </w:t>
      </w:r>
      <w:r>
        <w:rPr>
          <w:spacing w:val="18"/>
          <w:w w:val="105"/>
        </w:rPr>
        <w:t> </w:t>
      </w:r>
      <w:r>
        <w:rPr>
          <w:w w:val="105"/>
        </w:rPr>
        <w:t>2002.</w:t>
      </w:r>
    </w:p>
    <w:p>
      <w:pPr>
        <w:pStyle w:val="BodyText"/>
        <w:spacing w:line="254" w:lineRule="auto" w:before="1"/>
        <w:ind w:left="100" w:right="1" w:firstLine="280"/>
      </w:pPr>
      <w:r>
        <w:rPr>
          <w:w w:val="105"/>
        </w:rPr>
        <w:t>The Internal Revenue Service (IRS) regularly examines   the   Company’s   federal   income   tax</w:t>
      </w:r>
    </w:p>
    <w:p>
      <w:pPr>
        <w:pStyle w:val="BodyText"/>
        <w:spacing w:line="254" w:lineRule="auto" w:before="92"/>
        <w:ind w:left="100" w:right="109"/>
        <w:jc w:val="both"/>
      </w:pPr>
      <w:r>
        <w:rPr/>
        <w:br w:type="column"/>
      </w:r>
      <w:r>
        <w:rPr>
          <w:w w:val="105"/>
        </w:rPr>
        <w:t>returns and, in the course  of  </w:t>
      </w:r>
      <w:r>
        <w:rPr>
          <w:spacing w:val="2"/>
          <w:w w:val="105"/>
        </w:rPr>
        <w:t>which,  </w:t>
      </w:r>
      <w:r>
        <w:rPr>
          <w:spacing w:val="8"/>
          <w:w w:val="105"/>
        </w:rPr>
        <w:t>may </w:t>
      </w:r>
      <w:r>
        <w:rPr>
          <w:w w:val="105"/>
        </w:rPr>
        <w:t>propose  adjustments   to   the   </w:t>
      </w:r>
      <w:r>
        <w:rPr>
          <w:spacing w:val="6"/>
          <w:w w:val="105"/>
        </w:rPr>
        <w:t>Company’s </w:t>
      </w:r>
      <w:r>
        <w:rPr>
          <w:w w:val="105"/>
        </w:rPr>
        <w:t>federal </w:t>
      </w:r>
      <w:r>
        <w:rPr>
          <w:spacing w:val="3"/>
          <w:w w:val="105"/>
        </w:rPr>
        <w:t>income </w:t>
      </w:r>
      <w:r>
        <w:rPr>
          <w:w w:val="105"/>
        </w:rPr>
        <w:t>tax liability reported on </w:t>
      </w:r>
      <w:r>
        <w:rPr>
          <w:spacing w:val="8"/>
          <w:w w:val="105"/>
        </w:rPr>
        <w:t>such </w:t>
      </w:r>
      <w:r>
        <w:rPr>
          <w:w w:val="105"/>
        </w:rPr>
        <w:t>returns. It is the  Company’s  practice  </w:t>
      </w:r>
      <w:r>
        <w:rPr>
          <w:spacing w:val="4"/>
          <w:w w:val="105"/>
        </w:rPr>
        <w:t>to  </w:t>
      </w:r>
      <w:r>
        <w:rPr>
          <w:w w:val="105"/>
        </w:rPr>
        <w:t>vigorously contest those </w:t>
      </w:r>
      <w:r>
        <w:rPr>
          <w:spacing w:val="2"/>
          <w:w w:val="105"/>
        </w:rPr>
        <w:t>proposed </w:t>
      </w:r>
      <w:r>
        <w:rPr>
          <w:spacing w:val="6"/>
          <w:w w:val="105"/>
        </w:rPr>
        <w:t>adjusments </w:t>
      </w:r>
      <w:r>
        <w:rPr>
          <w:w w:val="105"/>
        </w:rPr>
        <w:t>that it deems lacking of merit. The </w:t>
      </w:r>
      <w:r>
        <w:rPr>
          <w:spacing w:val="6"/>
          <w:w w:val="105"/>
        </w:rPr>
        <w:t>Company’s </w:t>
      </w:r>
      <w:r>
        <w:rPr>
          <w:spacing w:val="4"/>
          <w:w w:val="105"/>
        </w:rPr>
        <w:t>management </w:t>
      </w:r>
      <w:r>
        <w:rPr>
          <w:w w:val="105"/>
        </w:rPr>
        <w:t>does not </w:t>
      </w:r>
      <w:r>
        <w:rPr>
          <w:spacing w:val="2"/>
          <w:w w:val="105"/>
        </w:rPr>
        <w:t>expect  </w:t>
      </w:r>
      <w:r>
        <w:rPr>
          <w:w w:val="105"/>
        </w:rPr>
        <w:t>that  the  </w:t>
      </w:r>
      <w:r>
        <w:rPr>
          <w:spacing w:val="5"/>
          <w:w w:val="105"/>
        </w:rPr>
        <w:t>out- </w:t>
      </w:r>
      <w:r>
        <w:rPr>
          <w:w w:val="105"/>
        </w:rPr>
        <w:t>come  of  any  </w:t>
      </w:r>
      <w:r>
        <w:rPr>
          <w:spacing w:val="2"/>
          <w:w w:val="105"/>
        </w:rPr>
        <w:t>proposed  </w:t>
      </w:r>
      <w:r>
        <w:rPr>
          <w:w w:val="105"/>
        </w:rPr>
        <w:t>adjustments  </w:t>
      </w:r>
      <w:r>
        <w:rPr>
          <w:spacing w:val="7"/>
          <w:w w:val="105"/>
        </w:rPr>
        <w:t>presented </w:t>
      </w:r>
      <w:r>
        <w:rPr>
          <w:w w:val="105"/>
        </w:rPr>
        <w:t>to date by the IRS,  </w:t>
      </w:r>
      <w:r>
        <w:rPr>
          <w:spacing w:val="3"/>
          <w:w w:val="105"/>
        </w:rPr>
        <w:t>individually</w:t>
      </w:r>
      <w:r>
        <w:rPr>
          <w:spacing w:val="53"/>
          <w:w w:val="105"/>
        </w:rPr>
        <w:t> </w:t>
      </w:r>
      <w:r>
        <w:rPr>
          <w:w w:val="105"/>
        </w:rPr>
        <w:t>or  </w:t>
      </w:r>
      <w:r>
        <w:rPr>
          <w:spacing w:val="3"/>
          <w:w w:val="105"/>
        </w:rPr>
        <w:t>collectively, </w:t>
      </w:r>
      <w:r>
        <w:rPr>
          <w:w w:val="105"/>
        </w:rPr>
        <w:t>will </w:t>
      </w:r>
      <w:r>
        <w:rPr>
          <w:spacing w:val="2"/>
          <w:w w:val="105"/>
        </w:rPr>
        <w:t>have </w:t>
      </w:r>
      <w:r>
        <w:rPr>
          <w:w w:val="105"/>
        </w:rPr>
        <w:t>a </w:t>
      </w:r>
      <w:r>
        <w:rPr>
          <w:spacing w:val="2"/>
          <w:w w:val="105"/>
        </w:rPr>
        <w:t>material adverse </w:t>
      </w:r>
      <w:r>
        <w:rPr>
          <w:w w:val="105"/>
        </w:rPr>
        <w:t>effect on </w:t>
      </w:r>
      <w:r>
        <w:rPr>
          <w:spacing w:val="6"/>
          <w:w w:val="105"/>
        </w:rPr>
        <w:t>the </w:t>
      </w:r>
      <w:r>
        <w:rPr>
          <w:w w:val="105"/>
        </w:rPr>
        <w:t>Company’s </w:t>
      </w:r>
      <w:r>
        <w:rPr>
          <w:spacing w:val="2"/>
          <w:w w:val="105"/>
        </w:rPr>
        <w:t>financial condition, </w:t>
      </w:r>
      <w:r>
        <w:rPr>
          <w:w w:val="105"/>
        </w:rPr>
        <w:t>results </w:t>
      </w:r>
      <w:r>
        <w:rPr>
          <w:spacing w:val="6"/>
          <w:w w:val="105"/>
        </w:rPr>
        <w:t>of </w:t>
      </w:r>
      <w:r>
        <w:rPr>
          <w:w w:val="105"/>
        </w:rPr>
        <w:t>operations,  or  cash </w:t>
      </w:r>
      <w:r>
        <w:rPr>
          <w:spacing w:val="36"/>
          <w:w w:val="105"/>
        </w:rPr>
        <w:t> </w:t>
      </w:r>
      <w:r>
        <w:rPr>
          <w:spacing w:val="2"/>
          <w:w w:val="105"/>
        </w:rPr>
        <w:t>flows.</w:t>
      </w:r>
    </w:p>
    <w:p>
      <w:pPr>
        <w:spacing w:after="0" w:line="254" w:lineRule="auto"/>
        <w:jc w:val="both"/>
        <w:sectPr>
          <w:type w:val="continuous"/>
          <w:pgSz w:w="11520" w:h="14400"/>
          <w:pgMar w:top="0" w:bottom="280" w:left="980" w:right="840"/>
          <w:cols w:num="2" w:equalWidth="0">
            <w:col w:w="4450" w:space="690"/>
            <w:col w:w="4560"/>
          </w:cols>
        </w:sectPr>
      </w:pPr>
    </w:p>
    <w:p>
      <w:pPr>
        <w:pStyle w:val="ListParagraph"/>
        <w:numPr>
          <w:ilvl w:val="0"/>
          <w:numId w:val="6"/>
        </w:numPr>
        <w:tabs>
          <w:tab w:pos="460" w:val="left" w:leader="none"/>
        </w:tabs>
        <w:spacing w:line="240" w:lineRule="auto" w:before="76" w:after="0"/>
        <w:ind w:left="459" w:right="0" w:hanging="359"/>
        <w:jc w:val="left"/>
        <w:rPr>
          <w:rFonts w:ascii="Franklin Gothic Medium"/>
          <w:sz w:val="20"/>
        </w:rPr>
      </w:pPr>
      <w:bookmarkStart w:name="Net Income Per Share" w:id="57"/>
      <w:bookmarkEnd w:id="57"/>
      <w:r>
        <w:rPr/>
      </w:r>
      <w:bookmarkStart w:name="Net Income Per Share" w:id="58"/>
      <w:bookmarkEnd w:id="58"/>
      <w:r>
        <w:rPr>
          <w:rFonts w:ascii="Franklin Gothic Medium"/>
          <w:sz w:val="20"/>
        </w:rPr>
        <w:t>N</w:t>
      </w:r>
      <w:r>
        <w:rPr>
          <w:rFonts w:ascii="Franklin Gothic Medium"/>
          <w:sz w:val="20"/>
        </w:rPr>
        <w:t>et </w:t>
      </w:r>
      <w:r>
        <w:rPr>
          <w:rFonts w:ascii="Franklin Gothic Medium"/>
          <w:spacing w:val="7"/>
          <w:sz w:val="20"/>
        </w:rPr>
        <w:t>Income </w:t>
      </w:r>
      <w:r>
        <w:rPr>
          <w:rFonts w:ascii="Franklin Gothic Medium"/>
          <w:sz w:val="20"/>
        </w:rPr>
        <w:t>Per</w:t>
      </w:r>
      <w:r>
        <w:rPr>
          <w:rFonts w:ascii="Franklin Gothic Medium"/>
          <w:spacing w:val="4"/>
          <w:sz w:val="20"/>
        </w:rPr>
        <w:t> Share</w:t>
      </w:r>
    </w:p>
    <w:p>
      <w:pPr>
        <w:pStyle w:val="BodyText"/>
        <w:spacing w:before="1"/>
        <w:rPr>
          <w:rFonts w:ascii="Franklin Gothic Medium"/>
          <w:sz w:val="25"/>
        </w:rPr>
      </w:pPr>
    </w:p>
    <w:p>
      <w:pPr>
        <w:pStyle w:val="BodyText"/>
        <w:spacing w:before="1"/>
        <w:ind w:left="660"/>
      </w:pPr>
      <w:r>
        <w:rPr>
          <w:w w:val="105"/>
        </w:rPr>
        <w:t>The following table  sets forth  the  computation of net income per share, basic and  diluted:</w:t>
      </w:r>
    </w:p>
    <w:p>
      <w:pPr>
        <w:pStyle w:val="BodyText"/>
        <w:spacing w:before="12"/>
      </w:pPr>
    </w:p>
    <w:tbl>
      <w:tblPr>
        <w:tblW w:w="0" w:type="auto"/>
        <w:jc w:val="left"/>
        <w:tblInd w:w="100"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5020"/>
        <w:gridCol w:w="1765"/>
        <w:gridCol w:w="135"/>
        <w:gridCol w:w="1385"/>
        <w:gridCol w:w="155"/>
        <w:gridCol w:w="1497"/>
      </w:tblGrid>
      <w:tr>
        <w:trPr>
          <w:trHeight w:val="280" w:hRule="exact"/>
        </w:trPr>
        <w:tc>
          <w:tcPr>
            <w:tcW w:w="5020" w:type="dxa"/>
            <w:tcBorders>
              <w:top w:val="single" w:sz="8" w:space="0" w:color="000000"/>
              <w:bottom w:val="single" w:sz="8" w:space="0" w:color="000000"/>
            </w:tcBorders>
          </w:tcPr>
          <w:p>
            <w:pPr>
              <w:pStyle w:val="TableParagraph"/>
              <w:spacing w:before="67"/>
              <w:ind w:left="300"/>
              <w:rPr>
                <w:i/>
                <w:sz w:val="16"/>
              </w:rPr>
            </w:pPr>
            <w:r>
              <w:rPr>
                <w:i/>
                <w:w w:val="105"/>
                <w:sz w:val="16"/>
              </w:rPr>
              <w:t>(In  thousands,  except  per  share  amounts)</w:t>
            </w:r>
          </w:p>
        </w:tc>
        <w:tc>
          <w:tcPr>
            <w:tcW w:w="1765" w:type="dxa"/>
            <w:tcBorders>
              <w:top w:val="single" w:sz="8" w:space="0" w:color="000000"/>
              <w:bottom w:val="single" w:sz="8" w:space="0" w:color="000000"/>
            </w:tcBorders>
          </w:tcPr>
          <w:p>
            <w:pPr>
              <w:pStyle w:val="TableParagraph"/>
              <w:spacing w:before="73"/>
              <w:ind w:left="742" w:right="606"/>
              <w:jc w:val="center"/>
              <w:rPr>
                <w:rFonts w:ascii="Franklin Gothic Medium"/>
                <w:sz w:val="16"/>
              </w:rPr>
            </w:pPr>
            <w:r>
              <w:rPr>
                <w:rFonts w:ascii="Franklin Gothic Medium"/>
                <w:sz w:val="16"/>
              </w:rPr>
              <w:t>2002</w:t>
            </w:r>
          </w:p>
        </w:tc>
        <w:tc>
          <w:tcPr>
            <w:tcW w:w="135" w:type="dxa"/>
            <w:tcBorders>
              <w:top w:val="single" w:sz="8" w:space="0" w:color="000000"/>
              <w:bottom w:val="single" w:sz="8" w:space="0" w:color="000000"/>
            </w:tcBorders>
          </w:tcPr>
          <w:p>
            <w:pPr/>
          </w:p>
        </w:tc>
        <w:tc>
          <w:tcPr>
            <w:tcW w:w="1385" w:type="dxa"/>
            <w:tcBorders>
              <w:top w:val="single" w:sz="8" w:space="0" w:color="000000"/>
              <w:bottom w:val="single" w:sz="8" w:space="0" w:color="000000"/>
            </w:tcBorders>
          </w:tcPr>
          <w:p>
            <w:pPr>
              <w:pStyle w:val="TableParagraph"/>
              <w:spacing w:before="67"/>
              <w:ind w:left="560"/>
              <w:rPr>
                <w:sz w:val="16"/>
              </w:rPr>
            </w:pPr>
            <w:r>
              <w:rPr>
                <w:w w:val="120"/>
                <w:sz w:val="16"/>
              </w:rPr>
              <w:t>2001</w:t>
            </w:r>
          </w:p>
        </w:tc>
        <w:tc>
          <w:tcPr>
            <w:tcW w:w="155" w:type="dxa"/>
            <w:tcBorders>
              <w:top w:val="single" w:sz="8" w:space="0" w:color="000000"/>
              <w:bottom w:val="single" w:sz="8" w:space="0" w:color="000000"/>
            </w:tcBorders>
          </w:tcPr>
          <w:p>
            <w:pPr/>
          </w:p>
        </w:tc>
        <w:tc>
          <w:tcPr>
            <w:tcW w:w="1497" w:type="dxa"/>
            <w:tcBorders>
              <w:top w:val="single" w:sz="8" w:space="0" w:color="000000"/>
              <w:bottom w:val="single" w:sz="8" w:space="0" w:color="000000"/>
            </w:tcBorders>
          </w:tcPr>
          <w:p>
            <w:pPr>
              <w:pStyle w:val="TableParagraph"/>
              <w:spacing w:before="67"/>
              <w:ind w:left="496" w:right="572"/>
              <w:jc w:val="center"/>
              <w:rPr>
                <w:sz w:val="16"/>
              </w:rPr>
            </w:pPr>
            <w:r>
              <w:rPr>
                <w:w w:val="120"/>
                <w:sz w:val="16"/>
              </w:rPr>
              <w:t>2000</w:t>
            </w:r>
          </w:p>
        </w:tc>
      </w:tr>
      <w:tr>
        <w:trPr>
          <w:trHeight w:val="577" w:hRule="exact"/>
        </w:trPr>
        <w:tc>
          <w:tcPr>
            <w:tcW w:w="5020" w:type="dxa"/>
            <w:tcBorders>
              <w:top w:val="single" w:sz="8" w:space="0" w:color="000000"/>
            </w:tcBorders>
          </w:tcPr>
          <w:p>
            <w:pPr>
              <w:pStyle w:val="TableParagraph"/>
              <w:spacing w:line="319" w:lineRule="auto" w:before="67"/>
              <w:ind w:left="500" w:hanging="180"/>
              <w:rPr>
                <w:sz w:val="16"/>
              </w:rPr>
            </w:pPr>
            <w:r>
              <w:rPr>
                <w:w w:val="105"/>
                <w:sz w:val="16"/>
              </w:rPr>
              <w:t>Net income before cumulative effect of change in accounting principle</w:t>
            </w:r>
          </w:p>
        </w:tc>
        <w:tc>
          <w:tcPr>
            <w:tcW w:w="1765" w:type="dxa"/>
            <w:tcBorders>
              <w:top w:val="single" w:sz="8" w:space="0" w:color="000000"/>
            </w:tcBorders>
          </w:tcPr>
          <w:p>
            <w:pPr>
              <w:pStyle w:val="TableParagraph"/>
              <w:rPr>
                <w:sz w:val="18"/>
              </w:rPr>
            </w:pPr>
          </w:p>
          <w:p>
            <w:pPr>
              <w:pStyle w:val="TableParagraph"/>
              <w:spacing w:before="113"/>
              <w:ind w:left="860"/>
              <w:rPr>
                <w:rFonts w:ascii="Franklin Gothic Medium"/>
                <w:sz w:val="16"/>
              </w:rPr>
            </w:pPr>
            <w:r>
              <w:rPr>
                <w:rFonts w:ascii="Franklin Gothic Medium"/>
                <w:sz w:val="16"/>
              </w:rPr>
              <w:t>$ 240,969</w:t>
            </w:r>
          </w:p>
        </w:tc>
        <w:tc>
          <w:tcPr>
            <w:tcW w:w="135" w:type="dxa"/>
            <w:tcBorders>
              <w:top w:val="single" w:sz="8" w:space="0" w:color="000000"/>
            </w:tcBorders>
          </w:tcPr>
          <w:p>
            <w:pPr/>
          </w:p>
        </w:tc>
        <w:tc>
          <w:tcPr>
            <w:tcW w:w="1385" w:type="dxa"/>
            <w:tcBorders>
              <w:top w:val="single" w:sz="8" w:space="0" w:color="000000"/>
            </w:tcBorders>
          </w:tcPr>
          <w:p>
            <w:pPr>
              <w:pStyle w:val="TableParagraph"/>
              <w:spacing w:before="10"/>
              <w:rPr>
                <w:sz w:val="26"/>
              </w:rPr>
            </w:pPr>
          </w:p>
          <w:p>
            <w:pPr>
              <w:pStyle w:val="TableParagraph"/>
              <w:ind w:left="446"/>
              <w:rPr>
                <w:sz w:val="16"/>
              </w:rPr>
            </w:pPr>
            <w:r>
              <w:rPr>
                <w:w w:val="120"/>
                <w:sz w:val="16"/>
              </w:rPr>
              <w:t>$ 511,147</w:t>
            </w:r>
          </w:p>
        </w:tc>
        <w:tc>
          <w:tcPr>
            <w:tcW w:w="155" w:type="dxa"/>
            <w:tcBorders>
              <w:top w:val="single" w:sz="8" w:space="0" w:color="000000"/>
            </w:tcBorders>
          </w:tcPr>
          <w:p>
            <w:pPr/>
          </w:p>
        </w:tc>
        <w:tc>
          <w:tcPr>
            <w:tcW w:w="1497" w:type="dxa"/>
            <w:tcBorders>
              <w:top w:val="single" w:sz="8" w:space="0" w:color="000000"/>
            </w:tcBorders>
          </w:tcPr>
          <w:p>
            <w:pPr>
              <w:pStyle w:val="TableParagraph"/>
              <w:spacing w:before="10"/>
              <w:rPr>
                <w:sz w:val="26"/>
              </w:rPr>
            </w:pPr>
          </w:p>
          <w:p>
            <w:pPr>
              <w:pStyle w:val="TableParagraph"/>
              <w:ind w:left="442"/>
              <w:rPr>
                <w:sz w:val="16"/>
              </w:rPr>
            </w:pPr>
            <w:r>
              <w:rPr>
                <w:w w:val="120"/>
                <w:sz w:val="16"/>
              </w:rPr>
              <w:t>$ 625,224</w:t>
            </w:r>
          </w:p>
        </w:tc>
      </w:tr>
      <w:tr>
        <w:trPr>
          <w:trHeight w:val="290" w:hRule="exact"/>
        </w:trPr>
        <w:tc>
          <w:tcPr>
            <w:tcW w:w="5020" w:type="dxa"/>
          </w:tcPr>
          <w:p>
            <w:pPr>
              <w:pStyle w:val="TableParagraph"/>
              <w:spacing w:before="4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4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4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615" w:val="left" w:leader="none"/>
                <w:tab w:pos="1464" w:val="left" w:leader="none"/>
              </w:tabs>
              <w:spacing w:before="40"/>
              <w:rPr>
                <w:sz w:val="16"/>
              </w:rPr>
            </w:pPr>
            <w:r>
              <w:rPr>
                <w:w w:val="132"/>
                <w:sz w:val="16"/>
                <w:u w:val="single"/>
              </w:rPr>
              <w:t> </w:t>
            </w:r>
            <w:r>
              <w:rPr>
                <w:sz w:val="16"/>
                <w:u w:val="single"/>
              </w:rPr>
              <w:tab/>
            </w:r>
            <w:r>
              <w:rPr>
                <w:w w:val="115"/>
                <w:sz w:val="16"/>
                <w:u w:val="single"/>
              </w:rPr>
              <w:t>(22,131)</w:t>
            </w:r>
            <w:r>
              <w:rPr>
                <w:sz w:val="16"/>
                <w:u w:val="single"/>
              </w:rPr>
              <w:tab/>
            </w:r>
          </w:p>
        </w:tc>
      </w:tr>
      <w:tr>
        <w:trPr>
          <w:trHeight w:val="430" w:hRule="exact"/>
        </w:trPr>
        <w:tc>
          <w:tcPr>
            <w:tcW w:w="5020" w:type="dxa"/>
          </w:tcPr>
          <w:p>
            <w:pPr>
              <w:pStyle w:val="TableParagraph"/>
              <w:spacing w:before="50"/>
              <w:ind w:left="300"/>
              <w:rPr>
                <w:sz w:val="16"/>
              </w:rPr>
            </w:pPr>
            <w:r>
              <w:rPr>
                <w:w w:val="105"/>
                <w:sz w:val="16"/>
              </w:rPr>
              <w:t>Net income</w:t>
            </w:r>
          </w:p>
        </w:tc>
        <w:tc>
          <w:tcPr>
            <w:tcW w:w="1765" w:type="dxa"/>
          </w:tcPr>
          <w:p>
            <w:pPr>
              <w:pStyle w:val="TableParagraph"/>
              <w:tabs>
                <w:tab w:pos="85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240,969</w:t>
            </w:r>
            <w:r>
              <w:rPr>
                <w:rFonts w:ascii="Franklin Gothic Medium"/>
                <w:spacing w:val="19"/>
                <w:sz w:val="16"/>
                <w:u w:val="single"/>
              </w:rPr>
              <w:t> </w:t>
            </w:r>
          </w:p>
        </w:tc>
        <w:tc>
          <w:tcPr>
            <w:tcW w:w="135" w:type="dxa"/>
          </w:tcPr>
          <w:p>
            <w:pPr/>
          </w:p>
        </w:tc>
        <w:tc>
          <w:tcPr>
            <w:tcW w:w="1385" w:type="dxa"/>
          </w:tcPr>
          <w:p>
            <w:pPr>
              <w:pStyle w:val="TableParagraph"/>
              <w:tabs>
                <w:tab w:pos="506" w:val="left" w:leader="none"/>
              </w:tabs>
              <w:spacing w:before="50"/>
              <w:rPr>
                <w:sz w:val="16"/>
              </w:rPr>
            </w:pPr>
            <w:r>
              <w:rPr>
                <w:w w:val="132"/>
                <w:sz w:val="16"/>
                <w:u w:val="single"/>
              </w:rPr>
              <w:t> </w:t>
            </w:r>
            <w:r>
              <w:rPr>
                <w:sz w:val="16"/>
                <w:u w:val="single"/>
              </w:rPr>
              <w:tab/>
            </w:r>
            <w:r>
              <w:rPr>
                <w:w w:val="120"/>
                <w:sz w:val="16"/>
                <w:u w:val="single"/>
              </w:rPr>
              <w:t>$511,147</w:t>
            </w:r>
            <w:r>
              <w:rPr>
                <w:spacing w:val="15"/>
                <w:sz w:val="16"/>
                <w:u w:val="single"/>
              </w:rPr>
              <w:t> </w:t>
            </w:r>
          </w:p>
        </w:tc>
        <w:tc>
          <w:tcPr>
            <w:tcW w:w="155" w:type="dxa"/>
          </w:tcPr>
          <w:p>
            <w:pPr/>
          </w:p>
        </w:tc>
        <w:tc>
          <w:tcPr>
            <w:tcW w:w="1497" w:type="dxa"/>
          </w:tcPr>
          <w:p>
            <w:pPr>
              <w:pStyle w:val="TableParagraph"/>
              <w:tabs>
                <w:tab w:pos="479" w:val="left" w:leader="none"/>
                <w:tab w:pos="1459" w:val="left" w:leader="none"/>
              </w:tabs>
              <w:spacing w:before="50"/>
              <w:rPr>
                <w:sz w:val="16"/>
              </w:rPr>
            </w:pPr>
            <w:r>
              <w:rPr>
                <w:w w:val="132"/>
                <w:sz w:val="16"/>
                <w:u w:val="single"/>
              </w:rPr>
              <w:t> </w:t>
            </w:r>
            <w:r>
              <w:rPr>
                <w:sz w:val="16"/>
                <w:u w:val="single"/>
              </w:rPr>
              <w:tab/>
            </w:r>
            <w:r>
              <w:rPr>
                <w:w w:val="120"/>
                <w:sz w:val="16"/>
                <w:u w:val="single"/>
              </w:rPr>
              <w:t>$603,093</w:t>
            </w:r>
            <w:r>
              <w:rPr>
                <w:sz w:val="16"/>
                <w:u w:val="single"/>
              </w:rPr>
              <w:tab/>
            </w:r>
          </w:p>
        </w:tc>
      </w:tr>
      <w:tr>
        <w:trPr>
          <w:trHeight w:val="430" w:hRule="exact"/>
        </w:trPr>
        <w:tc>
          <w:tcPr>
            <w:tcW w:w="5020" w:type="dxa"/>
          </w:tcPr>
          <w:p>
            <w:pPr>
              <w:pStyle w:val="TableParagraph"/>
              <w:spacing w:before="9"/>
              <w:rPr>
                <w:sz w:val="14"/>
              </w:rPr>
            </w:pPr>
          </w:p>
          <w:p>
            <w:pPr>
              <w:pStyle w:val="TableParagraph"/>
              <w:spacing w:before="1"/>
              <w:ind w:left="300"/>
              <w:rPr>
                <w:sz w:val="16"/>
              </w:rPr>
            </w:pPr>
            <w:r>
              <w:rPr>
                <w:w w:val="110"/>
                <w:sz w:val="16"/>
              </w:rPr>
              <w:t>Weighted-average  shares  outstanding, basic</w:t>
            </w:r>
          </w:p>
        </w:tc>
        <w:tc>
          <w:tcPr>
            <w:tcW w:w="1765" w:type="dxa"/>
          </w:tcPr>
          <w:p>
            <w:pPr>
              <w:pStyle w:val="TableParagraph"/>
              <w:spacing w:before="3"/>
              <w:rPr>
                <w:sz w:val="15"/>
              </w:rPr>
            </w:pPr>
          </w:p>
          <w:p>
            <w:pPr>
              <w:pStyle w:val="TableParagraph"/>
              <w:ind w:left="1000"/>
              <w:rPr>
                <w:rFonts w:ascii="Franklin Gothic Medium"/>
                <w:sz w:val="16"/>
              </w:rPr>
            </w:pPr>
            <w:r>
              <w:rPr>
                <w:rFonts w:ascii="Franklin Gothic Medium"/>
                <w:sz w:val="16"/>
              </w:rPr>
              <w:t>772,556</w:t>
            </w:r>
          </w:p>
        </w:tc>
        <w:tc>
          <w:tcPr>
            <w:tcW w:w="135" w:type="dxa"/>
          </w:tcPr>
          <w:p>
            <w:pPr/>
          </w:p>
        </w:tc>
        <w:tc>
          <w:tcPr>
            <w:tcW w:w="1385" w:type="dxa"/>
          </w:tcPr>
          <w:p>
            <w:pPr>
              <w:pStyle w:val="TableParagraph"/>
              <w:spacing w:before="9"/>
              <w:rPr>
                <w:sz w:val="14"/>
              </w:rPr>
            </w:pPr>
          </w:p>
          <w:p>
            <w:pPr>
              <w:pStyle w:val="TableParagraph"/>
              <w:spacing w:before="1"/>
              <w:ind w:left="596"/>
              <w:rPr>
                <w:sz w:val="16"/>
              </w:rPr>
            </w:pPr>
            <w:r>
              <w:rPr>
                <w:w w:val="120"/>
                <w:sz w:val="16"/>
              </w:rPr>
              <w:t>762,973</w:t>
            </w:r>
          </w:p>
        </w:tc>
        <w:tc>
          <w:tcPr>
            <w:tcW w:w="155" w:type="dxa"/>
          </w:tcPr>
          <w:p>
            <w:pPr/>
          </w:p>
        </w:tc>
        <w:tc>
          <w:tcPr>
            <w:tcW w:w="1497" w:type="dxa"/>
          </w:tcPr>
          <w:p>
            <w:pPr>
              <w:pStyle w:val="TableParagraph"/>
              <w:spacing w:before="9"/>
              <w:rPr>
                <w:sz w:val="14"/>
              </w:rPr>
            </w:pPr>
          </w:p>
          <w:p>
            <w:pPr>
              <w:pStyle w:val="TableParagraph"/>
              <w:spacing w:before="1"/>
              <w:ind w:left="576"/>
              <w:rPr>
                <w:sz w:val="16"/>
              </w:rPr>
            </w:pPr>
            <w:r>
              <w:rPr>
                <w:w w:val="120"/>
                <w:sz w:val="16"/>
              </w:rPr>
              <w:t>748,617</w:t>
            </w:r>
          </w:p>
        </w:tc>
      </w:tr>
      <w:tr>
        <w:trPr>
          <w:trHeight w:val="430" w:hRule="exact"/>
        </w:trPr>
        <w:tc>
          <w:tcPr>
            <w:tcW w:w="5020" w:type="dxa"/>
          </w:tcPr>
          <w:p>
            <w:pPr>
              <w:pStyle w:val="TableParagraph"/>
              <w:spacing w:before="50"/>
              <w:ind w:left="300"/>
              <w:rPr>
                <w:sz w:val="16"/>
              </w:rPr>
            </w:pPr>
            <w:r>
              <w:rPr>
                <w:w w:val="105"/>
                <w:sz w:val="16"/>
              </w:rPr>
              <w:t>Dilutive  effect  of  Employee  stock  options</w:t>
            </w:r>
          </w:p>
        </w:tc>
        <w:tc>
          <w:tcPr>
            <w:tcW w:w="1765" w:type="dxa"/>
          </w:tcPr>
          <w:p>
            <w:pPr>
              <w:pStyle w:val="TableParagraph"/>
              <w:tabs>
                <w:tab w:pos="109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36,864</w:t>
            </w:r>
            <w:r>
              <w:rPr>
                <w:rFonts w:ascii="Franklin Gothic Medium"/>
                <w:spacing w:val="-16"/>
                <w:sz w:val="16"/>
                <w:u w:val="single"/>
              </w:rPr>
              <w:t> </w:t>
            </w:r>
          </w:p>
        </w:tc>
        <w:tc>
          <w:tcPr>
            <w:tcW w:w="135" w:type="dxa"/>
          </w:tcPr>
          <w:p>
            <w:pPr/>
          </w:p>
        </w:tc>
        <w:tc>
          <w:tcPr>
            <w:tcW w:w="1385" w:type="dxa"/>
          </w:tcPr>
          <w:p>
            <w:pPr>
              <w:pStyle w:val="TableParagraph"/>
              <w:tabs>
                <w:tab w:pos="679" w:val="left" w:leader="none"/>
              </w:tabs>
              <w:spacing w:before="50"/>
              <w:rPr>
                <w:sz w:val="16"/>
              </w:rPr>
            </w:pPr>
            <w:r>
              <w:rPr>
                <w:w w:val="132"/>
                <w:sz w:val="16"/>
                <w:u w:val="single"/>
              </w:rPr>
              <w:t> </w:t>
            </w:r>
            <w:r>
              <w:rPr>
                <w:sz w:val="16"/>
                <w:u w:val="single"/>
              </w:rPr>
              <w:tab/>
            </w:r>
            <w:r>
              <w:rPr>
                <w:w w:val="120"/>
                <w:sz w:val="16"/>
                <w:u w:val="single"/>
              </w:rPr>
              <w:t>44,142</w:t>
            </w:r>
            <w:r>
              <w:rPr>
                <w:spacing w:val="3"/>
                <w:sz w:val="16"/>
                <w:u w:val="single"/>
              </w:rPr>
              <w:t> </w:t>
            </w:r>
          </w:p>
        </w:tc>
        <w:tc>
          <w:tcPr>
            <w:tcW w:w="155" w:type="dxa"/>
          </w:tcPr>
          <w:p>
            <w:pPr/>
          </w:p>
        </w:tc>
        <w:tc>
          <w:tcPr>
            <w:tcW w:w="1497" w:type="dxa"/>
          </w:tcPr>
          <w:p>
            <w:pPr>
              <w:pStyle w:val="TableParagraph"/>
              <w:tabs>
                <w:tab w:pos="659" w:val="left" w:leader="none"/>
                <w:tab w:pos="1464" w:val="left" w:leader="none"/>
              </w:tabs>
              <w:spacing w:before="50"/>
              <w:rPr>
                <w:sz w:val="16"/>
              </w:rPr>
            </w:pPr>
            <w:r>
              <w:rPr>
                <w:w w:val="132"/>
                <w:sz w:val="16"/>
                <w:u w:val="single"/>
              </w:rPr>
              <w:t> </w:t>
            </w:r>
            <w:r>
              <w:rPr>
                <w:sz w:val="16"/>
                <w:u w:val="single"/>
              </w:rPr>
              <w:tab/>
            </w:r>
            <w:r>
              <w:rPr>
                <w:w w:val="120"/>
                <w:sz w:val="16"/>
                <w:u w:val="single"/>
              </w:rPr>
              <w:t>47,699</w:t>
            </w:r>
            <w:r>
              <w:rPr>
                <w:sz w:val="16"/>
                <w:u w:val="single"/>
              </w:rPr>
              <w:tab/>
            </w:r>
          </w:p>
        </w:tc>
      </w:tr>
      <w:tr>
        <w:trPr>
          <w:trHeight w:val="403" w:hRule="exact"/>
        </w:trPr>
        <w:tc>
          <w:tcPr>
            <w:tcW w:w="5020" w:type="dxa"/>
          </w:tcPr>
          <w:p>
            <w:pPr>
              <w:pStyle w:val="TableParagraph"/>
              <w:spacing w:before="9"/>
              <w:rPr>
                <w:sz w:val="14"/>
              </w:rPr>
            </w:pPr>
          </w:p>
          <w:p>
            <w:pPr>
              <w:pStyle w:val="TableParagraph"/>
              <w:spacing w:before="1"/>
              <w:ind w:left="300"/>
              <w:rPr>
                <w:sz w:val="16"/>
              </w:rPr>
            </w:pPr>
            <w:r>
              <w:rPr>
                <w:w w:val="105"/>
                <w:sz w:val="16"/>
              </w:rPr>
              <w:t>Adjusted  weighted-average  shares  outstanding,   diluted</w:t>
            </w:r>
          </w:p>
        </w:tc>
        <w:tc>
          <w:tcPr>
            <w:tcW w:w="1765" w:type="dxa"/>
            <w:tcBorders>
              <w:bottom w:val="single" w:sz="8" w:space="0" w:color="000000"/>
            </w:tcBorders>
          </w:tcPr>
          <w:p>
            <w:pPr>
              <w:pStyle w:val="TableParagraph"/>
              <w:spacing w:before="3"/>
              <w:rPr>
                <w:sz w:val="15"/>
              </w:rPr>
            </w:pPr>
          </w:p>
          <w:p>
            <w:pPr>
              <w:pStyle w:val="TableParagraph"/>
              <w:ind w:left="1000"/>
              <w:rPr>
                <w:rFonts w:ascii="Franklin Gothic Medium"/>
                <w:sz w:val="16"/>
              </w:rPr>
            </w:pPr>
            <w:r>
              <w:rPr>
                <w:rFonts w:ascii="Franklin Gothic Medium"/>
                <w:sz w:val="16"/>
              </w:rPr>
              <w:t>809,420</w:t>
            </w:r>
          </w:p>
        </w:tc>
        <w:tc>
          <w:tcPr>
            <w:tcW w:w="135" w:type="dxa"/>
          </w:tcPr>
          <w:p>
            <w:pPr/>
          </w:p>
        </w:tc>
        <w:tc>
          <w:tcPr>
            <w:tcW w:w="1385" w:type="dxa"/>
            <w:tcBorders>
              <w:bottom w:val="single" w:sz="8" w:space="0" w:color="000000"/>
            </w:tcBorders>
          </w:tcPr>
          <w:p>
            <w:pPr>
              <w:pStyle w:val="TableParagraph"/>
              <w:spacing w:before="9"/>
              <w:rPr>
                <w:sz w:val="14"/>
              </w:rPr>
            </w:pPr>
          </w:p>
          <w:p>
            <w:pPr>
              <w:pStyle w:val="TableParagraph"/>
              <w:spacing w:before="1"/>
              <w:ind w:left="600"/>
              <w:rPr>
                <w:sz w:val="16"/>
              </w:rPr>
            </w:pPr>
            <w:r>
              <w:rPr>
                <w:w w:val="120"/>
                <w:sz w:val="16"/>
              </w:rPr>
              <w:t>807,115</w:t>
            </w:r>
          </w:p>
        </w:tc>
        <w:tc>
          <w:tcPr>
            <w:tcW w:w="155" w:type="dxa"/>
          </w:tcPr>
          <w:p>
            <w:pPr/>
          </w:p>
        </w:tc>
        <w:tc>
          <w:tcPr>
            <w:tcW w:w="1497" w:type="dxa"/>
            <w:tcBorders>
              <w:bottom w:val="single" w:sz="8" w:space="0" w:color="000000"/>
            </w:tcBorders>
          </w:tcPr>
          <w:p>
            <w:pPr>
              <w:pStyle w:val="TableParagraph"/>
              <w:spacing w:before="9"/>
              <w:rPr>
                <w:sz w:val="14"/>
              </w:rPr>
            </w:pPr>
          </w:p>
          <w:p>
            <w:pPr>
              <w:pStyle w:val="TableParagraph"/>
              <w:spacing w:before="1"/>
              <w:ind w:left="580"/>
              <w:rPr>
                <w:sz w:val="16"/>
              </w:rPr>
            </w:pPr>
            <w:r>
              <w:rPr>
                <w:w w:val="120"/>
                <w:sz w:val="16"/>
              </w:rPr>
              <w:t>796,316</w:t>
            </w:r>
          </w:p>
        </w:tc>
      </w:tr>
      <w:tr>
        <w:trPr>
          <w:trHeight w:val="1007" w:hRule="exact"/>
        </w:trPr>
        <w:tc>
          <w:tcPr>
            <w:tcW w:w="5020" w:type="dxa"/>
          </w:tcPr>
          <w:p>
            <w:pPr>
              <w:pStyle w:val="TableParagraph"/>
              <w:rPr>
                <w:sz w:val="18"/>
              </w:rPr>
            </w:pPr>
          </w:p>
          <w:p>
            <w:pPr>
              <w:pStyle w:val="TableParagraph"/>
              <w:spacing w:before="9"/>
              <w:rPr>
                <w:sz w:val="22"/>
              </w:rPr>
            </w:pPr>
          </w:p>
          <w:p>
            <w:pPr>
              <w:pStyle w:val="TableParagraph"/>
              <w:spacing w:line="319" w:lineRule="auto"/>
              <w:ind w:left="520" w:right="432" w:hanging="240"/>
              <w:rPr>
                <w:sz w:val="16"/>
              </w:rPr>
            </w:pPr>
            <w:r>
              <w:rPr>
                <w:w w:val="105"/>
                <w:sz w:val="16"/>
              </w:rPr>
              <w:t>Net income per share, basic, before cumulative effect of change  in  accounting   principle</w:t>
            </w:r>
          </w:p>
        </w:tc>
        <w:tc>
          <w:tcPr>
            <w:tcW w:w="1765" w:type="dxa"/>
            <w:tcBorders>
              <w:top w:val="single" w:sz="8" w:space="0" w:color="000000"/>
            </w:tcBorders>
          </w:tcPr>
          <w:p>
            <w:pPr>
              <w:pStyle w:val="TableParagraph"/>
              <w:rPr>
                <w:sz w:val="18"/>
              </w:rPr>
            </w:pPr>
          </w:p>
          <w:p>
            <w:pPr>
              <w:pStyle w:val="TableParagraph"/>
              <w:rPr>
                <w:sz w:val="18"/>
              </w:rPr>
            </w:pPr>
          </w:p>
          <w:p>
            <w:pPr>
              <w:pStyle w:val="TableParagraph"/>
              <w:spacing w:before="8"/>
              <w:rPr>
                <w:sz w:val="25"/>
              </w:rPr>
            </w:pPr>
          </w:p>
          <w:p>
            <w:pPr>
              <w:pStyle w:val="TableParagraph"/>
              <w:ind w:right="141"/>
              <w:jc w:val="right"/>
              <w:rPr>
                <w:rFonts w:ascii="Franklin Gothic Medium"/>
                <w:sz w:val="16"/>
              </w:rPr>
            </w:pPr>
            <w:r>
              <w:rPr>
                <w:rFonts w:ascii="Franklin Gothic Medium"/>
                <w:sz w:val="16"/>
              </w:rPr>
              <w:t>$ .31</w:t>
            </w:r>
          </w:p>
        </w:tc>
        <w:tc>
          <w:tcPr>
            <w:tcW w:w="135" w:type="dxa"/>
          </w:tcPr>
          <w:p>
            <w:pPr/>
          </w:p>
        </w:tc>
        <w:tc>
          <w:tcPr>
            <w:tcW w:w="1385" w:type="dxa"/>
            <w:tcBorders>
              <w:top w:val="single" w:sz="8" w:space="0" w:color="000000"/>
            </w:tcBorders>
          </w:tcPr>
          <w:p>
            <w:pPr>
              <w:pStyle w:val="TableParagraph"/>
              <w:rPr>
                <w:sz w:val="18"/>
              </w:rPr>
            </w:pPr>
          </w:p>
          <w:p>
            <w:pPr>
              <w:pStyle w:val="TableParagraph"/>
              <w:rPr>
                <w:sz w:val="18"/>
              </w:rPr>
            </w:pPr>
          </w:p>
          <w:p>
            <w:pPr>
              <w:pStyle w:val="TableParagraph"/>
              <w:spacing w:before="3"/>
              <w:rPr>
                <w:sz w:val="25"/>
              </w:rPr>
            </w:pPr>
          </w:p>
          <w:p>
            <w:pPr>
              <w:pStyle w:val="TableParagraph"/>
              <w:ind w:left="824"/>
              <w:rPr>
                <w:sz w:val="16"/>
              </w:rPr>
            </w:pPr>
            <w:r>
              <w:rPr>
                <w:w w:val="120"/>
                <w:sz w:val="16"/>
              </w:rPr>
              <w:t>$ .67</w:t>
            </w:r>
          </w:p>
        </w:tc>
        <w:tc>
          <w:tcPr>
            <w:tcW w:w="155" w:type="dxa"/>
          </w:tcPr>
          <w:p>
            <w:pPr/>
          </w:p>
        </w:tc>
        <w:tc>
          <w:tcPr>
            <w:tcW w:w="1497" w:type="dxa"/>
            <w:tcBorders>
              <w:top w:val="single" w:sz="8" w:space="0" w:color="000000"/>
            </w:tcBorders>
          </w:tcPr>
          <w:p>
            <w:pPr>
              <w:pStyle w:val="TableParagraph"/>
              <w:rPr>
                <w:sz w:val="18"/>
              </w:rPr>
            </w:pPr>
          </w:p>
          <w:p>
            <w:pPr>
              <w:pStyle w:val="TableParagraph"/>
              <w:rPr>
                <w:sz w:val="18"/>
              </w:rPr>
            </w:pPr>
          </w:p>
          <w:p>
            <w:pPr>
              <w:pStyle w:val="TableParagraph"/>
              <w:spacing w:before="3"/>
              <w:rPr>
                <w:sz w:val="25"/>
              </w:rPr>
            </w:pPr>
          </w:p>
          <w:p>
            <w:pPr>
              <w:pStyle w:val="TableParagraph"/>
              <w:ind w:left="764"/>
              <w:rPr>
                <w:sz w:val="16"/>
              </w:rPr>
            </w:pPr>
            <w:r>
              <w:rPr>
                <w:w w:val="120"/>
                <w:sz w:val="16"/>
              </w:rPr>
              <w:t>$ .84</w:t>
            </w:r>
          </w:p>
        </w:tc>
      </w:tr>
      <w:tr>
        <w:trPr>
          <w:trHeight w:val="300" w:hRule="exact"/>
        </w:trPr>
        <w:tc>
          <w:tcPr>
            <w:tcW w:w="5020" w:type="dxa"/>
          </w:tcPr>
          <w:p>
            <w:pPr>
              <w:pStyle w:val="TableParagraph"/>
              <w:spacing w:before="5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5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871" w:val="left" w:leader="none"/>
                <w:tab w:pos="1464" w:val="left" w:leader="none"/>
              </w:tabs>
              <w:spacing w:before="50"/>
              <w:rPr>
                <w:sz w:val="16"/>
              </w:rPr>
            </w:pPr>
            <w:r>
              <w:rPr>
                <w:w w:val="132"/>
                <w:sz w:val="16"/>
                <w:u w:val="single"/>
              </w:rPr>
              <w:t> </w:t>
            </w:r>
            <w:r>
              <w:rPr>
                <w:sz w:val="16"/>
                <w:u w:val="single"/>
              </w:rPr>
              <w:tab/>
            </w:r>
            <w:r>
              <w:rPr>
                <w:w w:val="110"/>
                <w:sz w:val="16"/>
                <w:u w:val="single"/>
              </w:rPr>
              <w:t>(.03)</w:t>
            </w:r>
            <w:r>
              <w:rPr>
                <w:sz w:val="16"/>
                <w:u w:val="single"/>
              </w:rPr>
              <w:tab/>
            </w:r>
          </w:p>
        </w:tc>
      </w:tr>
      <w:tr>
        <w:trPr>
          <w:trHeight w:val="370" w:hRule="exact"/>
        </w:trPr>
        <w:tc>
          <w:tcPr>
            <w:tcW w:w="5020" w:type="dxa"/>
          </w:tcPr>
          <w:p>
            <w:pPr>
              <w:pStyle w:val="TableParagraph"/>
              <w:spacing w:before="50"/>
              <w:ind w:left="300"/>
              <w:rPr>
                <w:sz w:val="16"/>
              </w:rPr>
            </w:pPr>
            <w:r>
              <w:rPr>
                <w:w w:val="105"/>
                <w:sz w:val="16"/>
              </w:rPr>
              <w:t>Net  income  per  share, basic</w:t>
            </w:r>
          </w:p>
        </w:tc>
        <w:tc>
          <w:tcPr>
            <w:tcW w:w="1765" w:type="dxa"/>
          </w:tcPr>
          <w:p>
            <w:pPr>
              <w:pStyle w:val="TableParagraph"/>
              <w:tabs>
                <w:tab w:pos="123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.31</w:t>
            </w:r>
            <w:r>
              <w:rPr>
                <w:rFonts w:ascii="Franklin Gothic Medium"/>
                <w:spacing w:val="19"/>
                <w:sz w:val="16"/>
                <w:u w:val="single"/>
              </w:rPr>
              <w:t> </w:t>
            </w:r>
          </w:p>
        </w:tc>
        <w:tc>
          <w:tcPr>
            <w:tcW w:w="135" w:type="dxa"/>
          </w:tcPr>
          <w:p>
            <w:pPr/>
          </w:p>
        </w:tc>
        <w:tc>
          <w:tcPr>
            <w:tcW w:w="1385" w:type="dxa"/>
          </w:tcPr>
          <w:p>
            <w:pPr>
              <w:pStyle w:val="TableParagraph"/>
              <w:tabs>
                <w:tab w:pos="824"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.67</w:t>
            </w:r>
            <w:r>
              <w:rPr>
                <w:spacing w:val="-2"/>
                <w:sz w:val="16"/>
                <w:u w:val="single"/>
              </w:rPr>
              <w:t> </w:t>
            </w:r>
          </w:p>
        </w:tc>
        <w:tc>
          <w:tcPr>
            <w:tcW w:w="155" w:type="dxa"/>
          </w:tcPr>
          <w:p>
            <w:pPr/>
          </w:p>
        </w:tc>
        <w:tc>
          <w:tcPr>
            <w:tcW w:w="1497" w:type="dxa"/>
          </w:tcPr>
          <w:p>
            <w:pPr>
              <w:pStyle w:val="TableParagraph"/>
              <w:tabs>
                <w:tab w:pos="764" w:val="left" w:leader="none"/>
                <w:tab w:pos="1459"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.81</w:t>
            </w:r>
            <w:r>
              <w:rPr>
                <w:sz w:val="16"/>
                <w:u w:val="single"/>
              </w:rPr>
              <w:tab/>
            </w:r>
          </w:p>
        </w:tc>
      </w:tr>
      <w:tr>
        <w:trPr>
          <w:trHeight w:val="630" w:hRule="exact"/>
        </w:trPr>
        <w:tc>
          <w:tcPr>
            <w:tcW w:w="5020" w:type="dxa"/>
          </w:tcPr>
          <w:p>
            <w:pPr>
              <w:pStyle w:val="TableParagraph"/>
              <w:spacing w:line="319" w:lineRule="auto" w:before="120"/>
              <w:ind w:left="520" w:right="432" w:hanging="240"/>
              <w:rPr>
                <w:sz w:val="16"/>
              </w:rPr>
            </w:pPr>
            <w:r>
              <w:rPr>
                <w:w w:val="105"/>
                <w:sz w:val="16"/>
              </w:rPr>
              <w:t>Net income per share, diluted, before cumulative effect of change  in  accounting   principle</w:t>
            </w:r>
          </w:p>
        </w:tc>
        <w:tc>
          <w:tcPr>
            <w:tcW w:w="1765" w:type="dxa"/>
          </w:tcPr>
          <w:p>
            <w:pPr>
              <w:pStyle w:val="TableParagraph"/>
              <w:rPr>
                <w:sz w:val="18"/>
              </w:rPr>
            </w:pPr>
          </w:p>
          <w:p>
            <w:pPr>
              <w:pStyle w:val="TableParagraph"/>
              <w:spacing w:before="8"/>
              <w:rPr>
                <w:sz w:val="13"/>
              </w:rPr>
            </w:pPr>
          </w:p>
          <w:p>
            <w:pPr>
              <w:pStyle w:val="TableParagraph"/>
              <w:ind w:right="141"/>
              <w:jc w:val="right"/>
              <w:rPr>
                <w:rFonts w:ascii="Franklin Gothic Medium"/>
                <w:sz w:val="16"/>
              </w:rPr>
            </w:pPr>
            <w:r>
              <w:rPr>
                <w:rFonts w:ascii="Franklin Gothic Medium"/>
                <w:sz w:val="16"/>
              </w:rPr>
              <w:t>$ .30</w:t>
            </w:r>
          </w:p>
        </w:tc>
        <w:tc>
          <w:tcPr>
            <w:tcW w:w="135" w:type="dxa"/>
          </w:tcPr>
          <w:p>
            <w:pPr/>
          </w:p>
        </w:tc>
        <w:tc>
          <w:tcPr>
            <w:tcW w:w="1385" w:type="dxa"/>
          </w:tcPr>
          <w:p>
            <w:pPr>
              <w:pStyle w:val="TableParagraph"/>
              <w:rPr>
                <w:sz w:val="18"/>
              </w:rPr>
            </w:pPr>
          </w:p>
          <w:p>
            <w:pPr>
              <w:pStyle w:val="TableParagraph"/>
              <w:spacing w:before="161"/>
              <w:ind w:left="824"/>
              <w:rPr>
                <w:sz w:val="16"/>
              </w:rPr>
            </w:pPr>
            <w:r>
              <w:rPr>
                <w:w w:val="120"/>
                <w:sz w:val="16"/>
              </w:rPr>
              <w:t>$ .63</w:t>
            </w:r>
          </w:p>
        </w:tc>
        <w:tc>
          <w:tcPr>
            <w:tcW w:w="155" w:type="dxa"/>
          </w:tcPr>
          <w:p>
            <w:pPr/>
          </w:p>
        </w:tc>
        <w:tc>
          <w:tcPr>
            <w:tcW w:w="1497" w:type="dxa"/>
          </w:tcPr>
          <w:p>
            <w:pPr>
              <w:pStyle w:val="TableParagraph"/>
              <w:rPr>
                <w:sz w:val="18"/>
              </w:rPr>
            </w:pPr>
          </w:p>
          <w:p>
            <w:pPr>
              <w:pStyle w:val="TableParagraph"/>
              <w:spacing w:before="161"/>
              <w:ind w:left="780"/>
              <w:rPr>
                <w:sz w:val="16"/>
              </w:rPr>
            </w:pPr>
            <w:r>
              <w:rPr>
                <w:w w:val="120"/>
                <w:sz w:val="16"/>
              </w:rPr>
              <w:t>$ .79</w:t>
            </w:r>
          </w:p>
        </w:tc>
      </w:tr>
      <w:tr>
        <w:trPr>
          <w:trHeight w:val="300" w:hRule="exact"/>
        </w:trPr>
        <w:tc>
          <w:tcPr>
            <w:tcW w:w="5020" w:type="dxa"/>
          </w:tcPr>
          <w:p>
            <w:pPr>
              <w:pStyle w:val="TableParagraph"/>
              <w:spacing w:before="50"/>
              <w:ind w:left="300"/>
              <w:rPr>
                <w:sz w:val="16"/>
              </w:rPr>
            </w:pPr>
            <w:r>
              <w:rPr>
                <w:w w:val="105"/>
                <w:sz w:val="16"/>
              </w:rPr>
              <w:t>Cumulative  effect  of  change  in  accounting principle</w:t>
            </w:r>
          </w:p>
        </w:tc>
        <w:tc>
          <w:tcPr>
            <w:tcW w:w="1765" w:type="dxa"/>
          </w:tcPr>
          <w:p>
            <w:pPr>
              <w:pStyle w:val="TableParagraph"/>
              <w:tabs>
                <w:tab w:pos="939" w:val="left" w:leader="none"/>
                <w:tab w:pos="1764"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tab/>
            </w:r>
          </w:p>
        </w:tc>
        <w:tc>
          <w:tcPr>
            <w:tcW w:w="135" w:type="dxa"/>
          </w:tcPr>
          <w:p>
            <w:pPr/>
          </w:p>
        </w:tc>
        <w:tc>
          <w:tcPr>
            <w:tcW w:w="1385" w:type="dxa"/>
          </w:tcPr>
          <w:p>
            <w:pPr>
              <w:pStyle w:val="TableParagraph"/>
              <w:tabs>
                <w:tab w:pos="739" w:val="left" w:leader="none"/>
                <w:tab w:pos="1384" w:val="left" w:leader="none"/>
              </w:tabs>
              <w:spacing w:before="50"/>
              <w:rPr>
                <w:sz w:val="16"/>
              </w:rPr>
            </w:pPr>
            <w:r>
              <w:rPr>
                <w:w w:val="132"/>
                <w:sz w:val="16"/>
                <w:u w:val="single"/>
              </w:rPr>
              <w:t> </w:t>
            </w:r>
            <w:r>
              <w:rPr>
                <w:sz w:val="16"/>
                <w:u w:val="single"/>
              </w:rPr>
              <w:tab/>
            </w:r>
            <w:r>
              <w:rPr>
                <w:w w:val="80"/>
                <w:sz w:val="16"/>
                <w:u w:val="single"/>
              </w:rPr>
              <w:t>-</w:t>
            </w:r>
            <w:r>
              <w:rPr>
                <w:sz w:val="16"/>
                <w:u w:val="single"/>
              </w:rPr>
              <w:tab/>
            </w:r>
          </w:p>
        </w:tc>
        <w:tc>
          <w:tcPr>
            <w:tcW w:w="155" w:type="dxa"/>
          </w:tcPr>
          <w:p>
            <w:pPr/>
          </w:p>
        </w:tc>
        <w:tc>
          <w:tcPr>
            <w:tcW w:w="1497" w:type="dxa"/>
          </w:tcPr>
          <w:p>
            <w:pPr>
              <w:pStyle w:val="TableParagraph"/>
              <w:tabs>
                <w:tab w:pos="868" w:val="left" w:leader="none"/>
                <w:tab w:pos="1464" w:val="left" w:leader="none"/>
              </w:tabs>
              <w:spacing w:before="50"/>
              <w:rPr>
                <w:sz w:val="16"/>
              </w:rPr>
            </w:pPr>
            <w:r>
              <w:rPr>
                <w:w w:val="132"/>
                <w:sz w:val="16"/>
                <w:u w:val="single"/>
              </w:rPr>
              <w:t> </w:t>
            </w:r>
            <w:r>
              <w:rPr>
                <w:sz w:val="16"/>
                <w:u w:val="single"/>
              </w:rPr>
              <w:tab/>
            </w:r>
            <w:r>
              <w:rPr>
                <w:w w:val="110"/>
                <w:sz w:val="16"/>
                <w:u w:val="single"/>
              </w:rPr>
              <w:t>(.03)</w:t>
            </w:r>
            <w:r>
              <w:rPr>
                <w:sz w:val="16"/>
                <w:u w:val="single"/>
              </w:rPr>
              <w:tab/>
            </w:r>
          </w:p>
        </w:tc>
      </w:tr>
      <w:tr>
        <w:trPr>
          <w:trHeight w:val="243" w:hRule="exact"/>
        </w:trPr>
        <w:tc>
          <w:tcPr>
            <w:tcW w:w="5020" w:type="dxa"/>
          </w:tcPr>
          <w:p>
            <w:pPr>
              <w:pStyle w:val="TableParagraph"/>
              <w:spacing w:before="50"/>
              <w:ind w:left="300"/>
              <w:rPr>
                <w:sz w:val="16"/>
              </w:rPr>
            </w:pPr>
            <w:r>
              <w:rPr>
                <w:w w:val="105"/>
                <w:sz w:val="16"/>
              </w:rPr>
              <w:t>Net income  per share,  diluted</w:t>
            </w:r>
          </w:p>
        </w:tc>
        <w:tc>
          <w:tcPr>
            <w:tcW w:w="1765" w:type="dxa"/>
          </w:tcPr>
          <w:p>
            <w:pPr>
              <w:pStyle w:val="TableParagraph"/>
              <w:tabs>
                <w:tab w:pos="1239" w:val="left" w:leader="none"/>
              </w:tabs>
              <w:spacing w:before="56"/>
              <w:rPr>
                <w:rFonts w:ascii="Franklin Gothic Medium"/>
                <w:sz w:val="16"/>
              </w:rPr>
            </w:pPr>
            <w:r>
              <w:rPr>
                <w:rFonts w:ascii="Franklin Gothic Medium"/>
                <w:w w:val="116"/>
                <w:sz w:val="16"/>
                <w:u w:val="single"/>
              </w:rPr>
              <w:t> </w:t>
            </w:r>
            <w:r>
              <w:rPr>
                <w:rFonts w:ascii="Franklin Gothic Medium"/>
                <w:sz w:val="16"/>
                <w:u w:val="single"/>
              </w:rPr>
              <w:tab/>
              <w:t>$</w:t>
            </w:r>
            <w:r>
              <w:rPr>
                <w:rFonts w:ascii="Franklin Gothic Medium"/>
                <w:spacing w:val="18"/>
                <w:sz w:val="16"/>
                <w:u w:val="single"/>
              </w:rPr>
              <w:t> </w:t>
            </w:r>
            <w:r>
              <w:rPr>
                <w:rFonts w:ascii="Franklin Gothic Medium"/>
                <w:sz w:val="16"/>
                <w:u w:val="single"/>
              </w:rPr>
              <w:t>.30</w:t>
            </w:r>
            <w:r>
              <w:rPr>
                <w:rFonts w:ascii="Franklin Gothic Medium"/>
                <w:spacing w:val="19"/>
                <w:sz w:val="16"/>
                <w:u w:val="single"/>
              </w:rPr>
              <w:t> </w:t>
            </w:r>
          </w:p>
        </w:tc>
        <w:tc>
          <w:tcPr>
            <w:tcW w:w="135" w:type="dxa"/>
          </w:tcPr>
          <w:p>
            <w:pPr/>
          </w:p>
        </w:tc>
        <w:tc>
          <w:tcPr>
            <w:tcW w:w="1385" w:type="dxa"/>
          </w:tcPr>
          <w:p>
            <w:pPr>
              <w:pStyle w:val="TableParagraph"/>
              <w:tabs>
                <w:tab w:pos="824" w:val="left" w:leader="none"/>
              </w:tabs>
              <w:spacing w:before="50"/>
              <w:rPr>
                <w:sz w:val="16"/>
              </w:rPr>
            </w:pPr>
            <w:r>
              <w:rPr>
                <w:w w:val="132"/>
                <w:sz w:val="16"/>
                <w:u w:val="single"/>
              </w:rPr>
              <w:t> </w:t>
            </w:r>
            <w:r>
              <w:rPr>
                <w:sz w:val="16"/>
                <w:u w:val="single"/>
              </w:rPr>
              <w:tab/>
            </w:r>
            <w:r>
              <w:rPr>
                <w:w w:val="120"/>
                <w:sz w:val="16"/>
                <w:u w:val="single"/>
              </w:rPr>
              <w:t>$</w:t>
            </w:r>
            <w:r>
              <w:rPr>
                <w:spacing w:val="-9"/>
                <w:w w:val="120"/>
                <w:sz w:val="16"/>
                <w:u w:val="single"/>
              </w:rPr>
              <w:t> </w:t>
            </w:r>
            <w:r>
              <w:rPr>
                <w:w w:val="120"/>
                <w:sz w:val="16"/>
                <w:u w:val="single"/>
              </w:rPr>
              <w:t>.63</w:t>
            </w:r>
            <w:r>
              <w:rPr>
                <w:spacing w:val="-2"/>
                <w:sz w:val="16"/>
                <w:u w:val="single"/>
              </w:rPr>
              <w:t> </w:t>
            </w:r>
          </w:p>
        </w:tc>
        <w:tc>
          <w:tcPr>
            <w:tcW w:w="155" w:type="dxa"/>
          </w:tcPr>
          <w:p>
            <w:pPr/>
          </w:p>
        </w:tc>
        <w:tc>
          <w:tcPr>
            <w:tcW w:w="1497" w:type="dxa"/>
          </w:tcPr>
          <w:p>
            <w:pPr>
              <w:pStyle w:val="TableParagraph"/>
              <w:tabs>
                <w:tab w:pos="780" w:val="left" w:leader="none"/>
                <w:tab w:pos="1459" w:val="left" w:leader="none"/>
              </w:tabs>
              <w:spacing w:before="50"/>
              <w:rPr>
                <w:sz w:val="16"/>
              </w:rPr>
            </w:pPr>
            <w:r>
              <w:rPr>
                <w:w w:val="132"/>
                <w:sz w:val="16"/>
                <w:u w:val="single"/>
              </w:rPr>
              <w:t> </w:t>
            </w:r>
            <w:r>
              <w:rPr>
                <w:sz w:val="16"/>
                <w:u w:val="single"/>
              </w:rPr>
              <w:tab/>
            </w:r>
            <w:r>
              <w:rPr>
                <w:w w:val="120"/>
                <w:sz w:val="16"/>
                <w:u w:val="single"/>
              </w:rPr>
              <w:t>$</w:t>
            </w:r>
            <w:r>
              <w:rPr>
                <w:spacing w:val="-7"/>
                <w:w w:val="120"/>
                <w:sz w:val="16"/>
                <w:u w:val="single"/>
              </w:rPr>
              <w:t> </w:t>
            </w:r>
            <w:r>
              <w:rPr>
                <w:w w:val="120"/>
                <w:sz w:val="16"/>
                <w:u w:val="single"/>
              </w:rPr>
              <w:t>.76</w:t>
            </w:r>
            <w:r>
              <w:rPr>
                <w:sz w:val="16"/>
                <w:u w:val="single"/>
              </w:rPr>
              <w:tab/>
            </w:r>
          </w:p>
        </w:tc>
      </w:tr>
    </w:tbl>
    <w:p>
      <w:pPr>
        <w:pStyle w:val="BodyText"/>
        <w:spacing w:before="9"/>
        <w:rPr>
          <w:sz w:val="17"/>
        </w:rPr>
      </w:pPr>
    </w:p>
    <w:p>
      <w:pPr>
        <w:spacing w:after="0"/>
        <w:rPr>
          <w:sz w:val="17"/>
        </w:rPr>
        <w:sectPr>
          <w:headerReference w:type="default" r:id="rId154"/>
          <w:pgSz w:w="11520" w:h="14400"/>
          <w:pgMar w:header="0" w:footer="706" w:top="960" w:bottom="900" w:left="700" w:right="660"/>
        </w:sectPr>
      </w:pPr>
    </w:p>
    <w:p>
      <w:pPr>
        <w:pStyle w:val="BodyText"/>
        <w:spacing w:before="93"/>
        <w:ind w:left="660"/>
      </w:pPr>
      <w:r>
        <w:rPr>
          <w:w w:val="105"/>
        </w:rPr>
        <w:t>The  Company  has  excluded   11.0   million,</w:t>
      </w:r>
    </w:p>
    <w:p>
      <w:pPr>
        <w:pStyle w:val="BodyText"/>
        <w:spacing w:line="254" w:lineRule="auto" w:before="16"/>
        <w:ind w:left="380" w:right="2"/>
      </w:pPr>
      <w:r>
        <w:rPr>
          <w:w w:val="110"/>
        </w:rPr>
        <w:t>5.7 million, and 11.7 million shares from its calculations of net income per share, diluted,</w:t>
      </w:r>
    </w:p>
    <w:p>
      <w:pPr>
        <w:pStyle w:val="BodyText"/>
        <w:spacing w:line="254" w:lineRule="auto" w:before="93"/>
        <w:ind w:left="380" w:right="283"/>
        <w:jc w:val="both"/>
      </w:pPr>
      <w:r>
        <w:rPr/>
        <w:br w:type="column"/>
      </w:r>
      <w:r>
        <w:rPr>
          <w:spacing w:val="6"/>
          <w:w w:val="105"/>
        </w:rPr>
        <w:t>in </w:t>
      </w:r>
      <w:r>
        <w:rPr>
          <w:w w:val="105"/>
        </w:rPr>
        <w:t>2002, 2001, </w:t>
      </w:r>
      <w:r>
        <w:rPr>
          <w:spacing w:val="8"/>
          <w:w w:val="105"/>
        </w:rPr>
        <w:t>and </w:t>
      </w:r>
      <w:r>
        <w:rPr>
          <w:w w:val="105"/>
        </w:rPr>
        <w:t>2000, </w:t>
      </w:r>
      <w:r>
        <w:rPr>
          <w:spacing w:val="4"/>
          <w:w w:val="105"/>
        </w:rPr>
        <w:t>respectively, </w:t>
      </w:r>
      <w:r>
        <w:rPr>
          <w:spacing w:val="6"/>
          <w:w w:val="105"/>
        </w:rPr>
        <w:t>as </w:t>
      </w:r>
      <w:r>
        <w:rPr>
          <w:spacing w:val="8"/>
          <w:w w:val="105"/>
        </w:rPr>
        <w:t>they </w:t>
      </w:r>
      <w:r>
        <w:rPr>
          <w:spacing w:val="5"/>
          <w:w w:val="105"/>
        </w:rPr>
        <w:t>represent </w:t>
      </w:r>
      <w:r>
        <w:rPr>
          <w:spacing w:val="6"/>
          <w:w w:val="105"/>
        </w:rPr>
        <w:t>antidilutive</w:t>
      </w:r>
      <w:r>
        <w:rPr>
          <w:spacing w:val="59"/>
          <w:w w:val="105"/>
        </w:rPr>
        <w:t> </w:t>
      </w:r>
      <w:r>
        <w:rPr>
          <w:w w:val="105"/>
        </w:rPr>
        <w:t>stock </w:t>
      </w:r>
      <w:r>
        <w:rPr>
          <w:spacing w:val="8"/>
          <w:w w:val="105"/>
        </w:rPr>
        <w:t>options </w:t>
      </w:r>
      <w:r>
        <w:rPr>
          <w:spacing w:val="4"/>
          <w:w w:val="105"/>
        </w:rPr>
        <w:t>for </w:t>
      </w:r>
      <w:r>
        <w:rPr>
          <w:spacing w:val="6"/>
          <w:w w:val="105"/>
        </w:rPr>
        <w:t>the </w:t>
      </w:r>
      <w:r>
        <w:rPr>
          <w:spacing w:val="5"/>
          <w:w w:val="105"/>
        </w:rPr>
        <w:t>respective  </w:t>
      </w:r>
      <w:r>
        <w:rPr>
          <w:spacing w:val="8"/>
          <w:w w:val="105"/>
        </w:rPr>
        <w:t>periods </w:t>
      </w:r>
      <w:r>
        <w:rPr>
          <w:spacing w:val="7"/>
          <w:w w:val="105"/>
        </w:rPr>
        <w:t>presented.</w:t>
      </w:r>
    </w:p>
    <w:p>
      <w:pPr>
        <w:spacing w:after="0" w:line="254" w:lineRule="auto"/>
        <w:jc w:val="both"/>
        <w:sectPr>
          <w:type w:val="continuous"/>
          <w:pgSz w:w="11520" w:h="14400"/>
          <w:pgMar w:top="0" w:bottom="280" w:left="700" w:right="660"/>
          <w:cols w:num="2" w:equalWidth="0">
            <w:col w:w="4733" w:space="407"/>
            <w:col w:w="5020"/>
          </w:cols>
        </w:sectPr>
      </w:pPr>
    </w:p>
    <w:p>
      <w:pPr>
        <w:pStyle w:val="BodyText"/>
        <w:spacing w:before="76"/>
        <w:ind w:left="100"/>
        <w:jc w:val="both"/>
        <w:rPr>
          <w:rFonts w:ascii="Franklin Gothic Medium"/>
        </w:rPr>
      </w:pPr>
      <w:bookmarkStart w:name="Report of Independent Auditors" w:id="59"/>
      <w:bookmarkEnd w:id="59"/>
      <w:r>
        <w:rPr/>
      </w:r>
      <w:r>
        <w:rPr>
          <w:rFonts w:ascii="Franklin Gothic Medium"/>
        </w:rPr>
        <w:t>REPORT OF INDEPENDENT AUDITORS</w:t>
      </w:r>
    </w:p>
    <w:p>
      <w:pPr>
        <w:pStyle w:val="BodyText"/>
        <w:spacing w:before="9"/>
        <w:rPr>
          <w:rFonts w:ascii="Franklin Gothic Medium"/>
          <w:sz w:val="25"/>
        </w:rPr>
      </w:pPr>
    </w:p>
    <w:p>
      <w:pPr>
        <w:pStyle w:val="BodyText"/>
        <w:spacing w:line="276" w:lineRule="auto"/>
        <w:ind w:left="100" w:right="4593"/>
        <w:rPr>
          <w:rFonts w:ascii="Franklin Gothic Medium"/>
        </w:rPr>
      </w:pPr>
      <w:r>
        <w:rPr>
          <w:rFonts w:ascii="Franklin Gothic Medium"/>
        </w:rPr>
        <w:t>THE BOARD OF DIRECTORS AND SHAREHOLDERS SOUTHWEST AIRLINES CO.</w:t>
      </w:r>
    </w:p>
    <w:p>
      <w:pPr>
        <w:pStyle w:val="BodyText"/>
        <w:spacing w:before="2"/>
        <w:rPr>
          <w:rFonts w:ascii="Franklin Gothic Medium"/>
          <w:sz w:val="22"/>
        </w:rPr>
      </w:pPr>
    </w:p>
    <w:p>
      <w:pPr>
        <w:pStyle w:val="BodyText"/>
        <w:spacing w:line="254" w:lineRule="auto"/>
        <w:ind w:left="100" w:right="119"/>
        <w:jc w:val="both"/>
      </w:pPr>
      <w:r>
        <w:rPr>
          <w:spacing w:val="8"/>
          <w:w w:val="105"/>
        </w:rPr>
        <w:t>We </w:t>
      </w:r>
      <w:r>
        <w:rPr>
          <w:spacing w:val="9"/>
          <w:w w:val="105"/>
        </w:rPr>
        <w:t>have </w:t>
      </w:r>
      <w:r>
        <w:rPr>
          <w:spacing w:val="8"/>
          <w:w w:val="105"/>
        </w:rPr>
        <w:t>audited </w:t>
      </w:r>
      <w:r>
        <w:rPr>
          <w:spacing w:val="2"/>
          <w:w w:val="105"/>
        </w:rPr>
        <w:t>the </w:t>
      </w:r>
      <w:r>
        <w:rPr>
          <w:spacing w:val="8"/>
          <w:w w:val="105"/>
        </w:rPr>
        <w:t>accompanying </w:t>
      </w:r>
      <w:r>
        <w:rPr>
          <w:spacing w:val="6"/>
          <w:w w:val="105"/>
        </w:rPr>
        <w:t>consolidated</w:t>
      </w:r>
      <w:r>
        <w:rPr>
          <w:spacing w:val="59"/>
          <w:w w:val="105"/>
        </w:rPr>
        <w:t> </w:t>
      </w:r>
      <w:r>
        <w:rPr>
          <w:spacing w:val="6"/>
          <w:w w:val="105"/>
        </w:rPr>
        <w:t>balance</w:t>
      </w:r>
      <w:r>
        <w:rPr>
          <w:spacing w:val="59"/>
          <w:w w:val="105"/>
        </w:rPr>
        <w:t> </w:t>
      </w:r>
      <w:r>
        <w:rPr>
          <w:spacing w:val="4"/>
          <w:w w:val="105"/>
        </w:rPr>
        <w:t>sheets </w:t>
      </w:r>
      <w:r>
        <w:rPr>
          <w:spacing w:val="6"/>
          <w:w w:val="105"/>
        </w:rPr>
        <w:t>of </w:t>
      </w:r>
      <w:r>
        <w:rPr>
          <w:spacing w:val="4"/>
          <w:w w:val="105"/>
        </w:rPr>
        <w:t>Southwest </w:t>
      </w:r>
      <w:r>
        <w:rPr>
          <w:spacing w:val="5"/>
          <w:w w:val="105"/>
        </w:rPr>
        <w:t>Airlines </w:t>
      </w:r>
      <w:r>
        <w:rPr>
          <w:spacing w:val="2"/>
          <w:w w:val="105"/>
        </w:rPr>
        <w:t>Co. </w:t>
      </w:r>
      <w:r>
        <w:rPr>
          <w:spacing w:val="6"/>
          <w:w w:val="105"/>
        </w:rPr>
        <w:t>as</w:t>
      </w:r>
      <w:r>
        <w:rPr>
          <w:spacing w:val="59"/>
          <w:w w:val="105"/>
        </w:rPr>
        <w:t> </w:t>
      </w:r>
      <w:r>
        <w:rPr>
          <w:spacing w:val="12"/>
          <w:w w:val="105"/>
        </w:rPr>
        <w:t>of </w:t>
      </w:r>
      <w:r>
        <w:rPr>
          <w:spacing w:val="9"/>
          <w:w w:val="105"/>
        </w:rPr>
        <w:t>December </w:t>
      </w:r>
      <w:r>
        <w:rPr>
          <w:w w:val="105"/>
        </w:rPr>
        <w:t>31, 2002 </w:t>
      </w:r>
      <w:r>
        <w:rPr>
          <w:spacing w:val="8"/>
          <w:w w:val="105"/>
        </w:rPr>
        <w:t>and </w:t>
      </w:r>
      <w:r>
        <w:rPr>
          <w:w w:val="105"/>
        </w:rPr>
        <w:t>2001, </w:t>
      </w:r>
      <w:r>
        <w:rPr>
          <w:spacing w:val="8"/>
          <w:w w:val="105"/>
        </w:rPr>
        <w:t>and </w:t>
      </w:r>
      <w:r>
        <w:rPr>
          <w:spacing w:val="2"/>
          <w:w w:val="105"/>
        </w:rPr>
        <w:t>the related </w:t>
      </w:r>
      <w:r>
        <w:rPr>
          <w:spacing w:val="6"/>
          <w:w w:val="105"/>
        </w:rPr>
        <w:t>consolidated </w:t>
      </w:r>
      <w:r>
        <w:rPr>
          <w:spacing w:val="4"/>
          <w:w w:val="105"/>
        </w:rPr>
        <w:t>statements </w:t>
      </w:r>
      <w:r>
        <w:rPr>
          <w:spacing w:val="6"/>
          <w:w w:val="105"/>
        </w:rPr>
        <w:t>of </w:t>
      </w:r>
      <w:r>
        <w:rPr>
          <w:spacing w:val="9"/>
          <w:w w:val="105"/>
        </w:rPr>
        <w:t>income,  </w:t>
      </w:r>
      <w:r>
        <w:rPr>
          <w:spacing w:val="3"/>
          <w:w w:val="105"/>
        </w:rPr>
        <w:t>stockholders’  </w:t>
      </w:r>
      <w:r>
        <w:rPr>
          <w:spacing w:val="5"/>
          <w:w w:val="105"/>
        </w:rPr>
        <w:t>equity,  </w:t>
      </w:r>
      <w:r>
        <w:rPr>
          <w:spacing w:val="8"/>
          <w:w w:val="105"/>
        </w:rPr>
        <w:t>and </w:t>
      </w:r>
      <w:r>
        <w:rPr>
          <w:spacing w:val="3"/>
          <w:w w:val="105"/>
        </w:rPr>
        <w:t>cash </w:t>
      </w:r>
      <w:r>
        <w:rPr>
          <w:spacing w:val="2"/>
          <w:w w:val="105"/>
        </w:rPr>
        <w:t>flows </w:t>
      </w:r>
      <w:r>
        <w:rPr>
          <w:spacing w:val="4"/>
          <w:w w:val="105"/>
        </w:rPr>
        <w:t>for </w:t>
      </w:r>
      <w:r>
        <w:rPr>
          <w:spacing w:val="7"/>
          <w:w w:val="105"/>
        </w:rPr>
        <w:t>each </w:t>
      </w:r>
      <w:r>
        <w:rPr>
          <w:spacing w:val="6"/>
          <w:w w:val="105"/>
        </w:rPr>
        <w:t>of </w:t>
      </w:r>
      <w:r>
        <w:rPr>
          <w:spacing w:val="2"/>
          <w:w w:val="105"/>
        </w:rPr>
        <w:t>the </w:t>
      </w:r>
      <w:r>
        <w:rPr>
          <w:spacing w:val="3"/>
          <w:w w:val="105"/>
        </w:rPr>
        <w:t>three years </w:t>
      </w:r>
      <w:r>
        <w:rPr>
          <w:spacing w:val="6"/>
          <w:w w:val="105"/>
        </w:rPr>
        <w:t>in </w:t>
      </w:r>
      <w:r>
        <w:rPr>
          <w:spacing w:val="2"/>
          <w:w w:val="105"/>
        </w:rPr>
        <w:t>the </w:t>
      </w:r>
      <w:r>
        <w:rPr>
          <w:spacing w:val="7"/>
          <w:w w:val="105"/>
        </w:rPr>
        <w:t>period </w:t>
      </w:r>
      <w:r>
        <w:rPr>
          <w:spacing w:val="9"/>
          <w:w w:val="105"/>
        </w:rPr>
        <w:t>ended December </w:t>
      </w:r>
      <w:r>
        <w:rPr>
          <w:w w:val="105"/>
        </w:rPr>
        <w:t>31, 2002. </w:t>
      </w:r>
      <w:r>
        <w:rPr>
          <w:spacing w:val="4"/>
          <w:w w:val="105"/>
        </w:rPr>
        <w:t>These </w:t>
      </w:r>
      <w:r>
        <w:rPr>
          <w:spacing w:val="9"/>
          <w:w w:val="105"/>
        </w:rPr>
        <w:t>financial </w:t>
      </w:r>
      <w:r>
        <w:rPr>
          <w:spacing w:val="4"/>
          <w:w w:val="105"/>
        </w:rPr>
        <w:t>statements </w:t>
      </w:r>
      <w:r>
        <w:rPr>
          <w:spacing w:val="2"/>
          <w:w w:val="105"/>
        </w:rPr>
        <w:t>are the </w:t>
      </w:r>
      <w:r>
        <w:rPr>
          <w:spacing w:val="5"/>
          <w:w w:val="105"/>
        </w:rPr>
        <w:t>responsibility </w:t>
      </w:r>
      <w:r>
        <w:rPr>
          <w:spacing w:val="6"/>
          <w:w w:val="105"/>
        </w:rPr>
        <w:t>of </w:t>
      </w:r>
      <w:r>
        <w:rPr>
          <w:spacing w:val="2"/>
          <w:w w:val="105"/>
        </w:rPr>
        <w:t>the </w:t>
      </w:r>
      <w:r>
        <w:rPr>
          <w:spacing w:val="6"/>
          <w:w w:val="105"/>
        </w:rPr>
        <w:t>Company’s </w:t>
      </w:r>
      <w:r>
        <w:rPr>
          <w:spacing w:val="9"/>
          <w:w w:val="105"/>
        </w:rPr>
        <w:t>management. </w:t>
      </w:r>
      <w:r>
        <w:rPr>
          <w:spacing w:val="6"/>
          <w:w w:val="105"/>
        </w:rPr>
        <w:t>Our </w:t>
      </w:r>
      <w:r>
        <w:rPr>
          <w:spacing w:val="5"/>
          <w:w w:val="105"/>
        </w:rPr>
        <w:t>responsibility </w:t>
      </w:r>
      <w:r>
        <w:rPr>
          <w:spacing w:val="6"/>
          <w:w w:val="105"/>
        </w:rPr>
        <w:t>is </w:t>
      </w:r>
      <w:r>
        <w:rPr>
          <w:w w:val="105"/>
        </w:rPr>
        <w:t>to </w:t>
      </w:r>
      <w:r>
        <w:rPr>
          <w:spacing w:val="5"/>
          <w:w w:val="105"/>
        </w:rPr>
        <w:t>express  </w:t>
      </w:r>
      <w:r>
        <w:rPr>
          <w:spacing w:val="12"/>
          <w:w w:val="105"/>
        </w:rPr>
        <w:t>an </w:t>
      </w:r>
      <w:r>
        <w:rPr>
          <w:spacing w:val="10"/>
          <w:w w:val="105"/>
        </w:rPr>
        <w:t>opinion </w:t>
      </w:r>
      <w:r>
        <w:rPr>
          <w:spacing w:val="6"/>
          <w:w w:val="105"/>
        </w:rPr>
        <w:t>on  </w:t>
      </w:r>
      <w:r>
        <w:rPr>
          <w:spacing w:val="3"/>
          <w:w w:val="105"/>
        </w:rPr>
        <w:t>these  </w:t>
      </w:r>
      <w:r>
        <w:rPr>
          <w:spacing w:val="8"/>
          <w:w w:val="105"/>
        </w:rPr>
        <w:t>financial </w:t>
      </w:r>
      <w:r>
        <w:rPr>
          <w:spacing w:val="4"/>
          <w:w w:val="105"/>
        </w:rPr>
        <w:t>statements </w:t>
      </w:r>
      <w:r>
        <w:rPr>
          <w:spacing w:val="6"/>
          <w:w w:val="105"/>
        </w:rPr>
        <w:t>based  on  </w:t>
      </w:r>
      <w:r>
        <w:rPr>
          <w:spacing w:val="8"/>
          <w:w w:val="105"/>
        </w:rPr>
        <w:t>our</w:t>
      </w:r>
      <w:r>
        <w:rPr>
          <w:spacing w:val="-12"/>
          <w:w w:val="105"/>
        </w:rPr>
        <w:t> </w:t>
      </w:r>
      <w:r>
        <w:rPr>
          <w:spacing w:val="5"/>
          <w:w w:val="105"/>
        </w:rPr>
        <w:t>audits.</w:t>
      </w:r>
    </w:p>
    <w:p>
      <w:pPr>
        <w:pStyle w:val="BodyText"/>
        <w:spacing w:before="4"/>
        <w:rPr>
          <w:sz w:val="21"/>
        </w:rPr>
      </w:pPr>
    </w:p>
    <w:p>
      <w:pPr>
        <w:pStyle w:val="BodyText"/>
        <w:spacing w:line="254" w:lineRule="auto"/>
        <w:ind w:left="100" w:right="123"/>
        <w:jc w:val="both"/>
      </w:pPr>
      <w:r>
        <w:rPr>
          <w:spacing w:val="8"/>
          <w:w w:val="105"/>
        </w:rPr>
        <w:t>We </w:t>
      </w:r>
      <w:r>
        <w:rPr>
          <w:spacing w:val="7"/>
          <w:w w:val="105"/>
        </w:rPr>
        <w:t>conducted </w:t>
      </w:r>
      <w:r>
        <w:rPr>
          <w:spacing w:val="8"/>
          <w:w w:val="105"/>
        </w:rPr>
        <w:t>our </w:t>
      </w:r>
      <w:r>
        <w:rPr>
          <w:spacing w:val="7"/>
          <w:w w:val="105"/>
        </w:rPr>
        <w:t>audits </w:t>
      </w:r>
      <w:r>
        <w:rPr>
          <w:spacing w:val="6"/>
          <w:w w:val="105"/>
        </w:rPr>
        <w:t>in accordance </w:t>
      </w:r>
      <w:r>
        <w:rPr>
          <w:spacing w:val="4"/>
          <w:w w:val="105"/>
        </w:rPr>
        <w:t>with </w:t>
      </w:r>
      <w:r>
        <w:rPr>
          <w:spacing w:val="8"/>
          <w:w w:val="105"/>
        </w:rPr>
        <w:t>auditing </w:t>
      </w:r>
      <w:r>
        <w:rPr>
          <w:spacing w:val="5"/>
          <w:w w:val="105"/>
        </w:rPr>
        <w:t>standards </w:t>
      </w:r>
      <w:r>
        <w:rPr>
          <w:spacing w:val="3"/>
          <w:w w:val="105"/>
        </w:rPr>
        <w:t>generally </w:t>
      </w:r>
      <w:r>
        <w:rPr>
          <w:spacing w:val="6"/>
          <w:w w:val="105"/>
        </w:rPr>
        <w:t>accepted in </w:t>
      </w:r>
      <w:r>
        <w:rPr>
          <w:spacing w:val="2"/>
          <w:w w:val="105"/>
        </w:rPr>
        <w:t>the </w:t>
      </w:r>
      <w:r>
        <w:rPr>
          <w:spacing w:val="7"/>
          <w:w w:val="105"/>
        </w:rPr>
        <w:t>United </w:t>
      </w:r>
      <w:r>
        <w:rPr>
          <w:w w:val="105"/>
        </w:rPr>
        <w:t>States. </w:t>
      </w:r>
      <w:r>
        <w:rPr>
          <w:spacing w:val="4"/>
          <w:w w:val="105"/>
        </w:rPr>
        <w:t>Those </w:t>
      </w:r>
      <w:r>
        <w:rPr>
          <w:spacing w:val="5"/>
          <w:w w:val="105"/>
        </w:rPr>
        <w:t>standards require that </w:t>
      </w:r>
      <w:r>
        <w:rPr>
          <w:spacing w:val="4"/>
          <w:w w:val="105"/>
        </w:rPr>
        <w:t>we plan </w:t>
      </w:r>
      <w:r>
        <w:rPr>
          <w:spacing w:val="8"/>
          <w:w w:val="105"/>
        </w:rPr>
        <w:t>and </w:t>
      </w:r>
      <w:r>
        <w:rPr>
          <w:spacing w:val="4"/>
          <w:w w:val="105"/>
        </w:rPr>
        <w:t>perform </w:t>
      </w:r>
      <w:r>
        <w:rPr>
          <w:spacing w:val="2"/>
          <w:w w:val="105"/>
        </w:rPr>
        <w:t>the </w:t>
      </w:r>
      <w:r>
        <w:rPr>
          <w:spacing w:val="9"/>
          <w:w w:val="105"/>
        </w:rPr>
        <w:t>audit </w:t>
      </w:r>
      <w:r>
        <w:rPr>
          <w:w w:val="105"/>
        </w:rPr>
        <w:t>to </w:t>
      </w:r>
      <w:r>
        <w:rPr>
          <w:spacing w:val="7"/>
          <w:w w:val="105"/>
        </w:rPr>
        <w:t>obtain </w:t>
      </w:r>
      <w:r>
        <w:rPr>
          <w:spacing w:val="5"/>
          <w:w w:val="105"/>
        </w:rPr>
        <w:t>reasonable  </w:t>
      </w:r>
      <w:r>
        <w:rPr>
          <w:spacing w:val="4"/>
          <w:w w:val="105"/>
        </w:rPr>
        <w:t>assurance  </w:t>
      </w:r>
      <w:r>
        <w:rPr>
          <w:spacing w:val="12"/>
          <w:w w:val="105"/>
        </w:rPr>
        <w:t>about </w:t>
      </w:r>
      <w:r>
        <w:rPr>
          <w:spacing w:val="7"/>
          <w:w w:val="105"/>
        </w:rPr>
        <w:t>whether </w:t>
      </w:r>
      <w:r>
        <w:rPr>
          <w:spacing w:val="2"/>
          <w:w w:val="105"/>
        </w:rPr>
        <w:t>the </w:t>
      </w:r>
      <w:r>
        <w:rPr>
          <w:spacing w:val="8"/>
          <w:w w:val="105"/>
        </w:rPr>
        <w:t>financial </w:t>
      </w:r>
      <w:r>
        <w:rPr>
          <w:spacing w:val="4"/>
          <w:w w:val="105"/>
        </w:rPr>
        <w:t>statements </w:t>
      </w:r>
      <w:r>
        <w:rPr>
          <w:spacing w:val="2"/>
          <w:w w:val="105"/>
        </w:rPr>
        <w:t>are </w:t>
      </w:r>
      <w:r>
        <w:rPr>
          <w:w w:val="105"/>
        </w:rPr>
        <w:t>free </w:t>
      </w:r>
      <w:r>
        <w:rPr>
          <w:spacing w:val="6"/>
          <w:w w:val="105"/>
        </w:rPr>
        <w:t>of </w:t>
      </w:r>
      <w:r>
        <w:rPr>
          <w:spacing w:val="7"/>
          <w:w w:val="105"/>
        </w:rPr>
        <w:t>material </w:t>
      </w:r>
      <w:r>
        <w:rPr>
          <w:spacing w:val="5"/>
          <w:w w:val="105"/>
        </w:rPr>
        <w:t>misstatement.  </w:t>
      </w:r>
      <w:r>
        <w:rPr>
          <w:spacing w:val="4"/>
          <w:w w:val="105"/>
        </w:rPr>
        <w:t>An  </w:t>
      </w:r>
      <w:r>
        <w:rPr>
          <w:spacing w:val="9"/>
          <w:w w:val="105"/>
        </w:rPr>
        <w:t>audit </w:t>
      </w:r>
      <w:r>
        <w:rPr>
          <w:spacing w:val="7"/>
          <w:w w:val="105"/>
        </w:rPr>
        <w:t>includes </w:t>
      </w:r>
      <w:r>
        <w:rPr>
          <w:spacing w:val="10"/>
          <w:w w:val="105"/>
        </w:rPr>
        <w:t>examining, </w:t>
      </w:r>
      <w:r>
        <w:rPr>
          <w:spacing w:val="6"/>
          <w:w w:val="105"/>
        </w:rPr>
        <w:t>on  </w:t>
      </w:r>
      <w:r>
        <w:rPr>
          <w:w w:val="105"/>
        </w:rPr>
        <w:t>a test </w:t>
      </w:r>
      <w:r>
        <w:rPr>
          <w:spacing w:val="4"/>
          <w:w w:val="105"/>
        </w:rPr>
        <w:t>basis, </w:t>
      </w:r>
      <w:r>
        <w:rPr>
          <w:spacing w:val="9"/>
          <w:w w:val="105"/>
        </w:rPr>
        <w:t>evidence </w:t>
      </w:r>
      <w:r>
        <w:rPr>
          <w:spacing w:val="6"/>
          <w:w w:val="105"/>
        </w:rPr>
        <w:t>supporting </w:t>
      </w:r>
      <w:r>
        <w:rPr>
          <w:spacing w:val="2"/>
          <w:w w:val="105"/>
        </w:rPr>
        <w:t>the </w:t>
      </w:r>
      <w:r>
        <w:rPr>
          <w:spacing w:val="8"/>
          <w:w w:val="105"/>
        </w:rPr>
        <w:t>amounts and </w:t>
      </w:r>
      <w:r>
        <w:rPr>
          <w:spacing w:val="4"/>
          <w:w w:val="105"/>
        </w:rPr>
        <w:t>disclosures </w:t>
      </w:r>
      <w:r>
        <w:rPr>
          <w:spacing w:val="6"/>
          <w:w w:val="105"/>
        </w:rPr>
        <w:t>in </w:t>
      </w:r>
      <w:r>
        <w:rPr>
          <w:spacing w:val="2"/>
          <w:w w:val="105"/>
        </w:rPr>
        <w:t>the </w:t>
      </w:r>
      <w:r>
        <w:rPr>
          <w:spacing w:val="8"/>
          <w:w w:val="105"/>
        </w:rPr>
        <w:t>financial </w:t>
      </w:r>
      <w:r>
        <w:rPr>
          <w:spacing w:val="4"/>
          <w:w w:val="105"/>
        </w:rPr>
        <w:t>statements. An </w:t>
      </w:r>
      <w:r>
        <w:rPr>
          <w:spacing w:val="9"/>
          <w:w w:val="105"/>
        </w:rPr>
        <w:t>audit </w:t>
      </w:r>
      <w:r>
        <w:rPr>
          <w:w w:val="105"/>
        </w:rPr>
        <w:t>also </w:t>
      </w:r>
      <w:r>
        <w:rPr>
          <w:spacing w:val="7"/>
          <w:w w:val="105"/>
        </w:rPr>
        <w:t>includes </w:t>
      </w:r>
      <w:r>
        <w:rPr>
          <w:spacing w:val="3"/>
          <w:w w:val="105"/>
        </w:rPr>
        <w:t>assessing </w:t>
      </w:r>
      <w:r>
        <w:rPr>
          <w:spacing w:val="2"/>
          <w:w w:val="105"/>
        </w:rPr>
        <w:t>the </w:t>
      </w:r>
      <w:r>
        <w:rPr>
          <w:spacing w:val="7"/>
          <w:w w:val="105"/>
        </w:rPr>
        <w:t>accounting </w:t>
      </w:r>
      <w:r>
        <w:rPr>
          <w:spacing w:val="6"/>
          <w:w w:val="105"/>
        </w:rPr>
        <w:t>principles </w:t>
      </w:r>
      <w:r>
        <w:rPr>
          <w:spacing w:val="5"/>
          <w:w w:val="105"/>
        </w:rPr>
        <w:t>used </w:t>
      </w:r>
      <w:r>
        <w:rPr>
          <w:spacing w:val="8"/>
          <w:w w:val="105"/>
        </w:rPr>
        <w:t>and </w:t>
      </w:r>
      <w:r>
        <w:rPr>
          <w:spacing w:val="6"/>
          <w:w w:val="105"/>
        </w:rPr>
        <w:t>significant </w:t>
      </w:r>
      <w:r>
        <w:rPr>
          <w:spacing w:val="5"/>
          <w:w w:val="105"/>
        </w:rPr>
        <w:t>estimates  </w:t>
      </w:r>
      <w:r>
        <w:rPr>
          <w:spacing w:val="10"/>
          <w:w w:val="105"/>
        </w:rPr>
        <w:t>made  </w:t>
      </w:r>
      <w:r>
        <w:rPr>
          <w:spacing w:val="6"/>
          <w:w w:val="105"/>
        </w:rPr>
        <w:t>by  </w:t>
      </w:r>
      <w:r>
        <w:rPr>
          <w:spacing w:val="9"/>
          <w:w w:val="105"/>
        </w:rPr>
        <w:t>management,  </w:t>
      </w:r>
      <w:r>
        <w:rPr>
          <w:spacing w:val="12"/>
          <w:w w:val="105"/>
        </w:rPr>
        <w:t>as </w:t>
      </w:r>
      <w:r>
        <w:rPr>
          <w:spacing w:val="3"/>
          <w:w w:val="105"/>
        </w:rPr>
        <w:t>well </w:t>
      </w:r>
      <w:r>
        <w:rPr>
          <w:spacing w:val="6"/>
          <w:w w:val="105"/>
        </w:rPr>
        <w:t>as </w:t>
      </w:r>
      <w:r>
        <w:rPr>
          <w:spacing w:val="7"/>
          <w:w w:val="105"/>
        </w:rPr>
        <w:t>evaluating </w:t>
      </w:r>
      <w:r>
        <w:rPr>
          <w:spacing w:val="2"/>
          <w:w w:val="105"/>
        </w:rPr>
        <w:t>the </w:t>
      </w:r>
      <w:r>
        <w:rPr>
          <w:spacing w:val="5"/>
          <w:w w:val="105"/>
        </w:rPr>
        <w:t>overall </w:t>
      </w:r>
      <w:r>
        <w:rPr>
          <w:spacing w:val="8"/>
          <w:w w:val="105"/>
        </w:rPr>
        <w:t>financial </w:t>
      </w:r>
      <w:r>
        <w:rPr>
          <w:spacing w:val="5"/>
          <w:w w:val="105"/>
        </w:rPr>
        <w:t>statement </w:t>
      </w:r>
      <w:r>
        <w:rPr>
          <w:spacing w:val="6"/>
          <w:w w:val="105"/>
        </w:rPr>
        <w:t>presentation. </w:t>
      </w:r>
      <w:r>
        <w:rPr>
          <w:spacing w:val="8"/>
          <w:w w:val="105"/>
        </w:rPr>
        <w:t>We </w:t>
      </w:r>
      <w:r>
        <w:rPr>
          <w:spacing w:val="7"/>
          <w:w w:val="105"/>
        </w:rPr>
        <w:t>believe </w:t>
      </w:r>
      <w:r>
        <w:rPr>
          <w:spacing w:val="5"/>
          <w:w w:val="105"/>
        </w:rPr>
        <w:t>that </w:t>
      </w:r>
      <w:r>
        <w:rPr>
          <w:spacing w:val="8"/>
          <w:w w:val="105"/>
        </w:rPr>
        <w:t>our </w:t>
      </w:r>
      <w:r>
        <w:rPr>
          <w:spacing w:val="7"/>
          <w:w w:val="105"/>
        </w:rPr>
        <w:t>audits </w:t>
      </w:r>
      <w:r>
        <w:rPr>
          <w:spacing w:val="8"/>
          <w:w w:val="105"/>
        </w:rPr>
        <w:t>provide </w:t>
      </w:r>
      <w:r>
        <w:rPr>
          <w:w w:val="105"/>
        </w:rPr>
        <w:t>a </w:t>
      </w:r>
      <w:r>
        <w:rPr>
          <w:spacing w:val="5"/>
          <w:w w:val="105"/>
        </w:rPr>
        <w:t>reasonable  </w:t>
      </w:r>
      <w:r>
        <w:rPr>
          <w:spacing w:val="6"/>
          <w:w w:val="105"/>
        </w:rPr>
        <w:t>basis </w:t>
      </w:r>
      <w:r>
        <w:rPr>
          <w:spacing w:val="4"/>
          <w:w w:val="105"/>
        </w:rPr>
        <w:t>for </w:t>
      </w:r>
      <w:r>
        <w:rPr>
          <w:spacing w:val="8"/>
          <w:w w:val="105"/>
        </w:rPr>
        <w:t>our</w:t>
      </w:r>
      <w:r>
        <w:rPr>
          <w:spacing w:val="26"/>
          <w:w w:val="105"/>
        </w:rPr>
        <w:t> </w:t>
      </w:r>
      <w:r>
        <w:rPr>
          <w:spacing w:val="12"/>
          <w:w w:val="105"/>
        </w:rPr>
        <w:t>opinion.</w:t>
      </w:r>
    </w:p>
    <w:p>
      <w:pPr>
        <w:pStyle w:val="BodyText"/>
        <w:spacing w:before="4"/>
        <w:rPr>
          <w:sz w:val="21"/>
        </w:rPr>
      </w:pPr>
    </w:p>
    <w:p>
      <w:pPr>
        <w:pStyle w:val="BodyText"/>
        <w:spacing w:line="254" w:lineRule="auto"/>
        <w:ind w:left="100" w:right="139"/>
        <w:jc w:val="both"/>
      </w:pPr>
      <w:r>
        <w:rPr>
          <w:w w:val="105"/>
        </w:rPr>
        <w:t>In our opinion, the financial statements referred to above present fairly, in all material respects, the consolidated financial position of Southwest Airlines Co. at December 31, 2002 and 2001, and the consolidated results of its operations and its cash flows for each of the three years in the period ended December 31, 2002, in  conformity with  accounting principles generally accepted  in  the  United States.</w:t>
      </w:r>
    </w:p>
    <w:p>
      <w:pPr>
        <w:pStyle w:val="BodyText"/>
        <w:spacing w:before="4"/>
        <w:rPr>
          <w:sz w:val="21"/>
        </w:rPr>
      </w:pPr>
    </w:p>
    <w:p>
      <w:pPr>
        <w:pStyle w:val="BodyText"/>
        <w:spacing w:line="254" w:lineRule="auto"/>
        <w:ind w:left="100" w:right="127"/>
        <w:jc w:val="both"/>
      </w:pPr>
      <w:r>
        <w:rPr>
          <w:spacing w:val="4"/>
          <w:w w:val="105"/>
        </w:rPr>
        <w:t>As discussed </w:t>
      </w:r>
      <w:r>
        <w:rPr>
          <w:spacing w:val="6"/>
          <w:w w:val="105"/>
        </w:rPr>
        <w:t>in </w:t>
      </w:r>
      <w:r>
        <w:rPr>
          <w:spacing w:val="4"/>
          <w:w w:val="105"/>
        </w:rPr>
        <w:t>Note </w:t>
      </w:r>
      <w:r>
        <w:rPr>
          <w:w w:val="105"/>
        </w:rPr>
        <w:t>2 to </w:t>
      </w:r>
      <w:r>
        <w:rPr>
          <w:spacing w:val="2"/>
          <w:w w:val="105"/>
        </w:rPr>
        <w:t>the </w:t>
      </w:r>
      <w:r>
        <w:rPr>
          <w:spacing w:val="8"/>
          <w:w w:val="105"/>
        </w:rPr>
        <w:t>financial </w:t>
      </w:r>
      <w:r>
        <w:rPr>
          <w:spacing w:val="4"/>
          <w:w w:val="105"/>
        </w:rPr>
        <w:t>statements, </w:t>
      </w:r>
      <w:r>
        <w:rPr>
          <w:spacing w:val="6"/>
          <w:w w:val="105"/>
        </w:rPr>
        <w:t>in</w:t>
      </w:r>
      <w:r>
        <w:rPr>
          <w:spacing w:val="59"/>
          <w:w w:val="105"/>
        </w:rPr>
        <w:t> </w:t>
      </w:r>
      <w:r>
        <w:rPr>
          <w:w w:val="105"/>
        </w:rPr>
        <w:t>2001 </w:t>
      </w:r>
      <w:r>
        <w:rPr>
          <w:spacing w:val="2"/>
          <w:w w:val="105"/>
        </w:rPr>
        <w:t>the </w:t>
      </w:r>
      <w:r>
        <w:rPr>
          <w:spacing w:val="8"/>
          <w:w w:val="105"/>
        </w:rPr>
        <w:t>Company </w:t>
      </w:r>
      <w:r>
        <w:rPr>
          <w:spacing w:val="7"/>
          <w:w w:val="105"/>
        </w:rPr>
        <w:t>changed </w:t>
      </w:r>
      <w:r>
        <w:rPr>
          <w:spacing w:val="2"/>
          <w:w w:val="105"/>
        </w:rPr>
        <w:t>its  </w:t>
      </w:r>
      <w:r>
        <w:rPr>
          <w:spacing w:val="8"/>
          <w:w w:val="105"/>
        </w:rPr>
        <w:t>method</w:t>
      </w:r>
      <w:r>
        <w:rPr>
          <w:spacing w:val="63"/>
          <w:w w:val="105"/>
        </w:rPr>
        <w:t> </w:t>
      </w:r>
      <w:r>
        <w:rPr>
          <w:spacing w:val="12"/>
          <w:w w:val="105"/>
        </w:rPr>
        <w:t>of  </w:t>
      </w:r>
      <w:r>
        <w:rPr>
          <w:spacing w:val="7"/>
          <w:w w:val="105"/>
        </w:rPr>
        <w:t>accounting </w:t>
      </w:r>
      <w:r>
        <w:rPr>
          <w:spacing w:val="4"/>
          <w:w w:val="105"/>
        </w:rPr>
        <w:t>for </w:t>
      </w:r>
      <w:r>
        <w:rPr>
          <w:spacing w:val="7"/>
          <w:w w:val="105"/>
        </w:rPr>
        <w:t>derivative </w:t>
      </w:r>
      <w:r>
        <w:rPr>
          <w:spacing w:val="8"/>
          <w:w w:val="105"/>
        </w:rPr>
        <w:t>financial </w:t>
      </w:r>
      <w:r>
        <w:rPr>
          <w:spacing w:val="5"/>
          <w:w w:val="105"/>
        </w:rPr>
        <w:t>instruments </w:t>
      </w:r>
      <w:r>
        <w:rPr>
          <w:spacing w:val="8"/>
          <w:w w:val="105"/>
        </w:rPr>
        <w:t>and </w:t>
      </w:r>
      <w:r>
        <w:rPr>
          <w:spacing w:val="6"/>
          <w:w w:val="105"/>
        </w:rPr>
        <w:t>in </w:t>
      </w:r>
      <w:r>
        <w:rPr>
          <w:w w:val="105"/>
        </w:rPr>
        <w:t>2000 </w:t>
      </w:r>
      <w:r>
        <w:rPr>
          <w:spacing w:val="2"/>
          <w:w w:val="105"/>
        </w:rPr>
        <w:t>the </w:t>
      </w:r>
      <w:r>
        <w:rPr>
          <w:spacing w:val="8"/>
          <w:w w:val="105"/>
        </w:rPr>
        <w:t>Company </w:t>
      </w:r>
      <w:r>
        <w:rPr>
          <w:spacing w:val="7"/>
          <w:w w:val="105"/>
        </w:rPr>
        <w:t>changed </w:t>
      </w:r>
      <w:r>
        <w:rPr>
          <w:spacing w:val="2"/>
          <w:w w:val="105"/>
        </w:rPr>
        <w:t>its </w:t>
      </w:r>
      <w:r>
        <w:rPr>
          <w:spacing w:val="8"/>
          <w:w w:val="105"/>
        </w:rPr>
        <w:t>method </w:t>
      </w:r>
      <w:r>
        <w:rPr>
          <w:spacing w:val="12"/>
          <w:w w:val="105"/>
        </w:rPr>
        <w:t>of  </w:t>
      </w:r>
      <w:r>
        <w:rPr>
          <w:spacing w:val="7"/>
          <w:w w:val="105"/>
        </w:rPr>
        <w:t>accounting </w:t>
      </w:r>
      <w:r>
        <w:rPr>
          <w:spacing w:val="4"/>
          <w:w w:val="105"/>
        </w:rPr>
        <w:t>for </w:t>
      </w:r>
      <w:r>
        <w:rPr>
          <w:spacing w:val="2"/>
          <w:w w:val="105"/>
        </w:rPr>
        <w:t>the  </w:t>
      </w:r>
      <w:r>
        <w:rPr>
          <w:w w:val="105"/>
        </w:rPr>
        <w:t>sale  </w:t>
      </w:r>
      <w:r>
        <w:rPr>
          <w:spacing w:val="6"/>
          <w:w w:val="105"/>
        </w:rPr>
        <w:t>of </w:t>
      </w:r>
      <w:r>
        <w:rPr>
          <w:spacing w:val="2"/>
          <w:w w:val="105"/>
        </w:rPr>
        <w:t>flight </w:t>
      </w:r>
      <w:r>
        <w:rPr>
          <w:spacing w:val="6"/>
          <w:w w:val="105"/>
        </w:rPr>
        <w:t>segment</w:t>
      </w:r>
      <w:r>
        <w:rPr>
          <w:spacing w:val="36"/>
          <w:w w:val="105"/>
        </w:rPr>
        <w:t> </w:t>
      </w:r>
      <w:r>
        <w:rPr>
          <w:spacing w:val="3"/>
          <w:w w:val="105"/>
        </w:rPr>
        <w:t>credits.</w:t>
      </w:r>
    </w:p>
    <w:p>
      <w:pPr>
        <w:pStyle w:val="BodyText"/>
        <w:spacing w:before="9"/>
        <w:rPr>
          <w:sz w:val="13"/>
        </w:rPr>
      </w:pPr>
    </w:p>
    <w:p>
      <w:pPr>
        <w:pStyle w:val="BodyText"/>
        <w:spacing w:before="93"/>
        <w:ind w:right="147"/>
        <w:jc w:val="right"/>
      </w:pPr>
      <w:r>
        <w:rPr>
          <w:w w:val="115"/>
        </w:rPr>
        <w:t>/s/ ERNST &amp; YOUNG LLP</w:t>
      </w:r>
    </w:p>
    <w:p>
      <w:pPr>
        <w:pStyle w:val="BodyText"/>
        <w:spacing w:before="15"/>
        <w:ind w:left="380"/>
      </w:pPr>
      <w:r>
        <w:rPr>
          <w:w w:val="115"/>
        </w:rPr>
        <w:t>Dallas, Texas</w:t>
      </w:r>
    </w:p>
    <w:p>
      <w:pPr>
        <w:pStyle w:val="BodyText"/>
        <w:spacing w:before="15"/>
        <w:ind w:left="380"/>
      </w:pPr>
      <w:r>
        <w:rPr>
          <w:w w:val="115"/>
        </w:rPr>
        <w:t>January 21, 2003</w:t>
      </w:r>
    </w:p>
    <w:p>
      <w:pPr>
        <w:spacing w:after="0"/>
        <w:sectPr>
          <w:headerReference w:type="default" r:id="rId155"/>
          <w:footerReference w:type="default" r:id="rId156"/>
          <w:footerReference w:type="even" r:id="rId157"/>
          <w:pgSz w:w="11520" w:h="14400"/>
          <w:pgMar w:header="0" w:footer="706" w:top="960" w:bottom="900" w:left="700" w:right="800"/>
          <w:pgNumType w:start="53"/>
        </w:sectPr>
      </w:pPr>
    </w:p>
    <w:p>
      <w:pPr>
        <w:pStyle w:val="BodyText"/>
        <w:spacing w:before="76"/>
        <w:ind w:left="100"/>
        <w:rPr>
          <w:rFonts w:ascii="Franklin Gothic Medium"/>
        </w:rPr>
      </w:pPr>
      <w:bookmarkStart w:name="Quarterly Financial Data" w:id="60"/>
      <w:bookmarkEnd w:id="60"/>
      <w:r>
        <w:rPr/>
      </w:r>
      <w:bookmarkStart w:name="Changes In and Disagreements with Accoun" w:id="61"/>
      <w:bookmarkEnd w:id="61"/>
      <w:r>
        <w:rPr/>
      </w:r>
      <w:r>
        <w:rPr>
          <w:rFonts w:ascii="Franklin Gothic Medium"/>
          <w:spacing w:val="2"/>
        </w:rPr>
        <w:t>Quarterly  Financial  Data</w:t>
      </w:r>
      <w:r>
        <w:rPr>
          <w:rFonts w:ascii="Franklin Gothic Medium"/>
          <w:spacing w:val="52"/>
        </w:rPr>
        <w:t> </w:t>
      </w:r>
      <w:r>
        <w:rPr>
          <w:rFonts w:ascii="Franklin Gothic Medium"/>
          <w:spacing w:val="3"/>
        </w:rPr>
        <w:t>(Unaudited)</w:t>
      </w:r>
    </w:p>
    <w:p>
      <w:pPr>
        <w:spacing w:before="25"/>
        <w:ind w:left="100" w:right="0" w:firstLine="0"/>
        <w:jc w:val="left"/>
        <w:rPr>
          <w:i/>
          <w:sz w:val="20"/>
        </w:rPr>
      </w:pPr>
      <w:r>
        <w:rPr>
          <w:i/>
          <w:w w:val="105"/>
          <w:sz w:val="20"/>
        </w:rPr>
        <w:t>(in  thousands  except  per  share  amounts)</w:t>
      </w:r>
    </w:p>
    <w:p>
      <w:pPr>
        <w:pStyle w:val="BodyText"/>
        <w:spacing w:before="1"/>
        <w:rPr>
          <w:i/>
          <w:sz w:val="23"/>
        </w:rPr>
      </w:pPr>
    </w:p>
    <w:p>
      <w:pPr>
        <w:pStyle w:val="BodyText"/>
        <w:tabs>
          <w:tab w:pos="5659" w:val="left" w:leader="none"/>
          <w:tab w:pos="9924" w:val="left" w:leader="none"/>
        </w:tabs>
        <w:spacing w:before="1"/>
        <w:ind w:left="3460"/>
        <w:rPr>
          <w:rFonts w:ascii="Franklin Gothic Medium"/>
        </w:rPr>
      </w:pPr>
      <w:r>
        <w:rPr>
          <w:rFonts w:ascii="Franklin Gothic Medium"/>
          <w:w w:val="116"/>
          <w:u w:val="single"/>
        </w:rPr>
        <w:t> </w:t>
      </w:r>
      <w:r>
        <w:rPr>
          <w:rFonts w:ascii="Franklin Gothic Medium"/>
          <w:u w:val="single"/>
        </w:rPr>
        <w:tab/>
        <w:t>Three  months</w:t>
      </w:r>
      <w:r>
        <w:rPr>
          <w:rFonts w:ascii="Franklin Gothic Medium"/>
          <w:spacing w:val="40"/>
          <w:u w:val="single"/>
        </w:rPr>
        <w:t> </w:t>
      </w:r>
      <w:r>
        <w:rPr>
          <w:rFonts w:ascii="Franklin Gothic Medium"/>
          <w:u w:val="single"/>
        </w:rPr>
        <w:t>ended</w:t>
        <w:tab/>
      </w:r>
    </w:p>
    <w:p>
      <w:pPr>
        <w:pStyle w:val="BodyText"/>
        <w:spacing w:before="3"/>
        <w:rPr>
          <w:rFonts w:ascii="Franklin Gothic Medium"/>
          <w:sz w:val="17"/>
        </w:rPr>
      </w:pPr>
    </w:p>
    <w:tbl>
      <w:tblPr>
        <w:tblW w:w="0" w:type="auto"/>
        <w:jc w:val="left"/>
        <w:tblInd w:w="28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3173"/>
        <w:gridCol w:w="1600"/>
        <w:gridCol w:w="1628"/>
        <w:gridCol w:w="1651"/>
        <w:gridCol w:w="1585"/>
      </w:tblGrid>
      <w:tr>
        <w:trPr>
          <w:trHeight w:val="323" w:hRule="exact"/>
        </w:trPr>
        <w:tc>
          <w:tcPr>
            <w:tcW w:w="3173" w:type="dxa"/>
          </w:tcPr>
          <w:p>
            <w:pPr>
              <w:pStyle w:val="TableParagraph"/>
              <w:spacing w:line="199" w:lineRule="exact"/>
              <w:ind w:left="32"/>
              <w:rPr>
                <w:rFonts w:ascii="Franklin Gothic Medium"/>
                <w:sz w:val="18"/>
              </w:rPr>
            </w:pPr>
            <w:r>
              <w:rPr>
                <w:rFonts w:ascii="Franklin Gothic Medium"/>
                <w:sz w:val="18"/>
              </w:rPr>
              <w:t>2002</w:t>
            </w:r>
          </w:p>
        </w:tc>
        <w:tc>
          <w:tcPr>
            <w:tcW w:w="1600" w:type="dxa"/>
            <w:tcBorders>
              <w:bottom w:val="single" w:sz="2" w:space="0" w:color="000000"/>
            </w:tcBorders>
          </w:tcPr>
          <w:p>
            <w:pPr>
              <w:pStyle w:val="TableParagraph"/>
              <w:spacing w:line="199" w:lineRule="exact"/>
              <w:ind w:left="319"/>
              <w:rPr>
                <w:rFonts w:ascii="Franklin Gothic Medium"/>
                <w:sz w:val="18"/>
              </w:rPr>
            </w:pPr>
            <w:r>
              <w:rPr>
                <w:rFonts w:ascii="Franklin Gothic Medium"/>
                <w:sz w:val="18"/>
              </w:rPr>
              <w:t>March  31</w:t>
            </w:r>
          </w:p>
        </w:tc>
        <w:tc>
          <w:tcPr>
            <w:tcW w:w="1628" w:type="dxa"/>
            <w:tcBorders>
              <w:bottom w:val="single" w:sz="2" w:space="0" w:color="000000"/>
            </w:tcBorders>
          </w:tcPr>
          <w:p>
            <w:pPr>
              <w:pStyle w:val="TableParagraph"/>
              <w:spacing w:line="199" w:lineRule="exact"/>
              <w:ind w:left="376"/>
              <w:rPr>
                <w:rFonts w:ascii="Franklin Gothic Medium"/>
                <w:sz w:val="18"/>
              </w:rPr>
            </w:pPr>
            <w:r>
              <w:rPr>
                <w:rFonts w:ascii="Franklin Gothic Medium"/>
                <w:sz w:val="18"/>
              </w:rPr>
              <w:t>June  30</w:t>
            </w:r>
          </w:p>
        </w:tc>
        <w:tc>
          <w:tcPr>
            <w:tcW w:w="1651" w:type="dxa"/>
            <w:tcBorders>
              <w:bottom w:val="single" w:sz="2" w:space="0" w:color="000000"/>
            </w:tcBorders>
          </w:tcPr>
          <w:p>
            <w:pPr>
              <w:pStyle w:val="TableParagraph"/>
              <w:spacing w:line="199" w:lineRule="exact"/>
              <w:ind w:left="348"/>
              <w:rPr>
                <w:rFonts w:ascii="Franklin Gothic Medium"/>
                <w:sz w:val="18"/>
              </w:rPr>
            </w:pPr>
            <w:r>
              <w:rPr>
                <w:rFonts w:ascii="Franklin Gothic Medium"/>
                <w:sz w:val="18"/>
              </w:rPr>
              <w:t>Sept.  30</w:t>
            </w:r>
          </w:p>
        </w:tc>
        <w:tc>
          <w:tcPr>
            <w:tcW w:w="1585" w:type="dxa"/>
            <w:tcBorders>
              <w:bottom w:val="single" w:sz="2" w:space="0" w:color="000000"/>
            </w:tcBorders>
          </w:tcPr>
          <w:p>
            <w:pPr>
              <w:pStyle w:val="TableParagraph"/>
              <w:spacing w:line="199" w:lineRule="exact"/>
              <w:ind w:left="378"/>
              <w:rPr>
                <w:rFonts w:ascii="Franklin Gothic Medium"/>
                <w:sz w:val="18"/>
              </w:rPr>
            </w:pPr>
            <w:r>
              <w:rPr>
                <w:rFonts w:ascii="Franklin Gothic Medium"/>
                <w:sz w:val="18"/>
              </w:rPr>
              <w:t>Dec.  31</w:t>
            </w:r>
          </w:p>
        </w:tc>
      </w:tr>
      <w:tr>
        <w:trPr>
          <w:trHeight w:val="358" w:hRule="exact"/>
        </w:trPr>
        <w:tc>
          <w:tcPr>
            <w:tcW w:w="3173" w:type="dxa"/>
          </w:tcPr>
          <w:p>
            <w:pPr>
              <w:pStyle w:val="TableParagraph"/>
              <w:spacing w:before="66"/>
              <w:ind w:left="192"/>
              <w:rPr>
                <w:sz w:val="18"/>
              </w:rPr>
            </w:pPr>
            <w:r>
              <w:rPr>
                <w:w w:val="105"/>
                <w:sz w:val="18"/>
              </w:rPr>
              <w:t>Operating  revenues</w:t>
            </w:r>
          </w:p>
        </w:tc>
        <w:tc>
          <w:tcPr>
            <w:tcW w:w="1600" w:type="dxa"/>
            <w:tcBorders>
              <w:top w:val="single" w:sz="2" w:space="0" w:color="000000"/>
            </w:tcBorders>
          </w:tcPr>
          <w:p>
            <w:pPr>
              <w:pStyle w:val="TableParagraph"/>
              <w:spacing w:before="64"/>
              <w:ind w:left="319"/>
              <w:rPr>
                <w:sz w:val="18"/>
              </w:rPr>
            </w:pPr>
            <w:r>
              <w:rPr>
                <w:w w:val="120"/>
                <w:sz w:val="18"/>
              </w:rPr>
              <w:t>$1,257,243</w:t>
            </w:r>
          </w:p>
        </w:tc>
        <w:tc>
          <w:tcPr>
            <w:tcW w:w="1628" w:type="dxa"/>
            <w:tcBorders>
              <w:top w:val="single" w:sz="2" w:space="0" w:color="000000"/>
            </w:tcBorders>
          </w:tcPr>
          <w:p>
            <w:pPr>
              <w:pStyle w:val="TableParagraph"/>
              <w:spacing w:before="64"/>
              <w:ind w:right="367"/>
              <w:jc w:val="right"/>
              <w:rPr>
                <w:sz w:val="18"/>
              </w:rPr>
            </w:pPr>
            <w:r>
              <w:rPr>
                <w:w w:val="115"/>
                <w:sz w:val="18"/>
              </w:rPr>
              <w:t>$1,472,798</w:t>
            </w:r>
          </w:p>
        </w:tc>
        <w:tc>
          <w:tcPr>
            <w:tcW w:w="1651" w:type="dxa"/>
            <w:tcBorders>
              <w:top w:val="single" w:sz="2" w:space="0" w:color="000000"/>
            </w:tcBorders>
          </w:tcPr>
          <w:p>
            <w:pPr>
              <w:pStyle w:val="TableParagraph"/>
              <w:spacing w:before="64"/>
              <w:ind w:right="338"/>
              <w:jc w:val="right"/>
              <w:rPr>
                <w:sz w:val="18"/>
              </w:rPr>
            </w:pPr>
            <w:r>
              <w:rPr>
                <w:w w:val="115"/>
                <w:sz w:val="18"/>
              </w:rPr>
              <w:t>$1,391,191</w:t>
            </w:r>
          </w:p>
        </w:tc>
        <w:tc>
          <w:tcPr>
            <w:tcW w:w="1585" w:type="dxa"/>
            <w:tcBorders>
              <w:top w:val="single" w:sz="2" w:space="0" w:color="000000"/>
            </w:tcBorders>
          </w:tcPr>
          <w:p>
            <w:pPr>
              <w:pStyle w:val="TableParagraph"/>
              <w:spacing w:before="64"/>
              <w:ind w:left="320"/>
              <w:rPr>
                <w:sz w:val="18"/>
              </w:rPr>
            </w:pPr>
            <w:r>
              <w:rPr>
                <w:w w:val="120"/>
                <w:sz w:val="18"/>
              </w:rPr>
              <w:t>$1,400,539</w:t>
            </w:r>
          </w:p>
        </w:tc>
      </w:tr>
      <w:tr>
        <w:trPr>
          <w:trHeight w:val="360" w:hRule="exact"/>
        </w:trPr>
        <w:tc>
          <w:tcPr>
            <w:tcW w:w="3173" w:type="dxa"/>
          </w:tcPr>
          <w:p>
            <w:pPr>
              <w:pStyle w:val="TableParagraph"/>
              <w:spacing w:before="68"/>
              <w:ind w:left="192"/>
              <w:rPr>
                <w:sz w:val="18"/>
              </w:rPr>
            </w:pPr>
            <w:r>
              <w:rPr>
                <w:w w:val="105"/>
                <w:sz w:val="18"/>
              </w:rPr>
              <w:t>Operating income</w:t>
            </w:r>
          </w:p>
        </w:tc>
        <w:tc>
          <w:tcPr>
            <w:tcW w:w="1600" w:type="dxa"/>
          </w:tcPr>
          <w:p>
            <w:pPr>
              <w:pStyle w:val="TableParagraph"/>
              <w:spacing w:before="68"/>
              <w:ind w:right="318"/>
              <w:jc w:val="right"/>
              <w:rPr>
                <w:sz w:val="18"/>
              </w:rPr>
            </w:pPr>
            <w:r>
              <w:rPr>
                <w:w w:val="115"/>
                <w:sz w:val="18"/>
              </w:rPr>
              <w:t>49,365</w:t>
            </w:r>
          </w:p>
        </w:tc>
        <w:tc>
          <w:tcPr>
            <w:tcW w:w="1628" w:type="dxa"/>
          </w:tcPr>
          <w:p>
            <w:pPr>
              <w:pStyle w:val="TableParagraph"/>
              <w:spacing w:before="68"/>
              <w:ind w:right="346"/>
              <w:jc w:val="right"/>
              <w:rPr>
                <w:sz w:val="18"/>
              </w:rPr>
            </w:pPr>
            <w:r>
              <w:rPr>
                <w:w w:val="115"/>
                <w:sz w:val="18"/>
              </w:rPr>
              <w:t>188,999</w:t>
            </w:r>
          </w:p>
        </w:tc>
        <w:tc>
          <w:tcPr>
            <w:tcW w:w="1651" w:type="dxa"/>
          </w:tcPr>
          <w:p>
            <w:pPr>
              <w:pStyle w:val="TableParagraph"/>
              <w:spacing w:before="68"/>
              <w:ind w:right="338"/>
              <w:jc w:val="right"/>
              <w:rPr>
                <w:sz w:val="18"/>
              </w:rPr>
            </w:pPr>
            <w:r>
              <w:rPr>
                <w:w w:val="115"/>
                <w:sz w:val="18"/>
              </w:rPr>
              <w:t>91,141</w:t>
            </w:r>
          </w:p>
        </w:tc>
        <w:tc>
          <w:tcPr>
            <w:tcW w:w="1585" w:type="dxa"/>
          </w:tcPr>
          <w:p>
            <w:pPr>
              <w:pStyle w:val="TableParagraph"/>
              <w:spacing w:before="68"/>
              <w:ind w:right="303"/>
              <w:jc w:val="right"/>
              <w:rPr>
                <w:sz w:val="18"/>
              </w:rPr>
            </w:pPr>
            <w:r>
              <w:rPr>
                <w:w w:val="115"/>
                <w:sz w:val="18"/>
              </w:rPr>
              <w:t>87,833</w:t>
            </w:r>
          </w:p>
        </w:tc>
      </w:tr>
      <w:tr>
        <w:trPr>
          <w:trHeight w:val="360" w:hRule="exact"/>
        </w:trPr>
        <w:tc>
          <w:tcPr>
            <w:tcW w:w="3173" w:type="dxa"/>
          </w:tcPr>
          <w:p>
            <w:pPr>
              <w:pStyle w:val="TableParagraph"/>
              <w:spacing w:before="68"/>
              <w:ind w:left="192"/>
              <w:rPr>
                <w:sz w:val="18"/>
              </w:rPr>
            </w:pPr>
            <w:r>
              <w:rPr>
                <w:w w:val="105"/>
                <w:sz w:val="18"/>
              </w:rPr>
              <w:t>Income  before  income taxes</w:t>
            </w:r>
          </w:p>
        </w:tc>
        <w:tc>
          <w:tcPr>
            <w:tcW w:w="1600" w:type="dxa"/>
          </w:tcPr>
          <w:p>
            <w:pPr>
              <w:pStyle w:val="TableParagraph"/>
              <w:spacing w:before="68"/>
              <w:ind w:right="320"/>
              <w:jc w:val="right"/>
              <w:rPr>
                <w:sz w:val="18"/>
              </w:rPr>
            </w:pPr>
            <w:r>
              <w:rPr>
                <w:w w:val="115"/>
                <w:sz w:val="18"/>
              </w:rPr>
              <w:t>35,196</w:t>
            </w:r>
          </w:p>
        </w:tc>
        <w:tc>
          <w:tcPr>
            <w:tcW w:w="1628" w:type="dxa"/>
          </w:tcPr>
          <w:p>
            <w:pPr>
              <w:pStyle w:val="TableParagraph"/>
              <w:spacing w:before="68"/>
              <w:ind w:right="346"/>
              <w:jc w:val="right"/>
              <w:rPr>
                <w:sz w:val="18"/>
              </w:rPr>
            </w:pPr>
            <w:r>
              <w:rPr>
                <w:w w:val="115"/>
                <w:sz w:val="18"/>
              </w:rPr>
              <w:t>169,238</w:t>
            </w:r>
          </w:p>
        </w:tc>
        <w:tc>
          <w:tcPr>
            <w:tcW w:w="1651" w:type="dxa"/>
          </w:tcPr>
          <w:p>
            <w:pPr>
              <w:pStyle w:val="TableParagraph"/>
              <w:spacing w:before="68"/>
              <w:ind w:right="318"/>
              <w:jc w:val="right"/>
              <w:rPr>
                <w:sz w:val="18"/>
              </w:rPr>
            </w:pPr>
            <w:r>
              <w:rPr>
                <w:w w:val="115"/>
                <w:sz w:val="18"/>
              </w:rPr>
              <w:t>124,324</w:t>
            </w:r>
          </w:p>
        </w:tc>
        <w:tc>
          <w:tcPr>
            <w:tcW w:w="1585" w:type="dxa"/>
          </w:tcPr>
          <w:p>
            <w:pPr>
              <w:pStyle w:val="TableParagraph"/>
              <w:spacing w:before="68"/>
              <w:ind w:right="303"/>
              <w:jc w:val="right"/>
              <w:rPr>
                <w:sz w:val="18"/>
              </w:rPr>
            </w:pPr>
            <w:r>
              <w:rPr>
                <w:w w:val="115"/>
                <w:sz w:val="18"/>
              </w:rPr>
              <w:t>63,924</w:t>
            </w:r>
          </w:p>
        </w:tc>
      </w:tr>
      <w:tr>
        <w:trPr>
          <w:trHeight w:val="360" w:hRule="exact"/>
        </w:trPr>
        <w:tc>
          <w:tcPr>
            <w:tcW w:w="3173" w:type="dxa"/>
          </w:tcPr>
          <w:p>
            <w:pPr>
              <w:pStyle w:val="TableParagraph"/>
              <w:spacing w:before="68"/>
              <w:ind w:left="192"/>
              <w:rPr>
                <w:sz w:val="18"/>
              </w:rPr>
            </w:pPr>
            <w:r>
              <w:rPr>
                <w:w w:val="105"/>
                <w:sz w:val="18"/>
              </w:rPr>
              <w:t>Net income</w:t>
            </w:r>
          </w:p>
        </w:tc>
        <w:tc>
          <w:tcPr>
            <w:tcW w:w="1600" w:type="dxa"/>
          </w:tcPr>
          <w:p>
            <w:pPr>
              <w:pStyle w:val="TableParagraph"/>
              <w:spacing w:before="68"/>
              <w:ind w:right="320"/>
              <w:jc w:val="right"/>
              <w:rPr>
                <w:sz w:val="18"/>
              </w:rPr>
            </w:pPr>
            <w:r>
              <w:rPr>
                <w:w w:val="115"/>
                <w:sz w:val="18"/>
              </w:rPr>
              <w:t>21,385</w:t>
            </w:r>
          </w:p>
        </w:tc>
        <w:tc>
          <w:tcPr>
            <w:tcW w:w="1628" w:type="dxa"/>
          </w:tcPr>
          <w:p>
            <w:pPr>
              <w:pStyle w:val="TableParagraph"/>
              <w:spacing w:before="68"/>
              <w:ind w:right="346"/>
              <w:jc w:val="right"/>
              <w:rPr>
                <w:sz w:val="18"/>
              </w:rPr>
            </w:pPr>
            <w:r>
              <w:rPr>
                <w:w w:val="115"/>
                <w:sz w:val="18"/>
              </w:rPr>
              <w:t>102,298</w:t>
            </w:r>
          </w:p>
        </w:tc>
        <w:tc>
          <w:tcPr>
            <w:tcW w:w="1651" w:type="dxa"/>
          </w:tcPr>
          <w:p>
            <w:pPr>
              <w:pStyle w:val="TableParagraph"/>
              <w:spacing w:before="68"/>
              <w:ind w:right="338"/>
              <w:jc w:val="right"/>
              <w:rPr>
                <w:sz w:val="18"/>
              </w:rPr>
            </w:pPr>
            <w:r>
              <w:rPr>
                <w:w w:val="115"/>
                <w:sz w:val="18"/>
              </w:rPr>
              <w:t>74,887</w:t>
            </w:r>
          </w:p>
        </w:tc>
        <w:tc>
          <w:tcPr>
            <w:tcW w:w="1585" w:type="dxa"/>
          </w:tcPr>
          <w:p>
            <w:pPr>
              <w:pStyle w:val="TableParagraph"/>
              <w:spacing w:before="68"/>
              <w:ind w:right="303"/>
              <w:jc w:val="right"/>
              <w:rPr>
                <w:sz w:val="18"/>
              </w:rPr>
            </w:pPr>
            <w:r>
              <w:rPr>
                <w:w w:val="115"/>
                <w:sz w:val="18"/>
              </w:rPr>
              <w:t>42,399</w:t>
            </w:r>
          </w:p>
        </w:tc>
      </w:tr>
      <w:tr>
        <w:trPr>
          <w:trHeight w:val="360" w:hRule="exact"/>
        </w:trPr>
        <w:tc>
          <w:tcPr>
            <w:tcW w:w="3173" w:type="dxa"/>
          </w:tcPr>
          <w:p>
            <w:pPr>
              <w:pStyle w:val="TableParagraph"/>
              <w:spacing w:before="68"/>
              <w:ind w:left="192"/>
              <w:rPr>
                <w:sz w:val="18"/>
              </w:rPr>
            </w:pPr>
            <w:r>
              <w:rPr>
                <w:w w:val="105"/>
                <w:sz w:val="18"/>
              </w:rPr>
              <w:t>Net  income  per  share,  basic</w:t>
            </w:r>
          </w:p>
        </w:tc>
        <w:tc>
          <w:tcPr>
            <w:tcW w:w="1600" w:type="dxa"/>
          </w:tcPr>
          <w:p>
            <w:pPr>
              <w:pStyle w:val="TableParagraph"/>
              <w:spacing w:before="68"/>
              <w:ind w:right="299"/>
              <w:jc w:val="right"/>
              <w:rPr>
                <w:sz w:val="18"/>
              </w:rPr>
            </w:pPr>
            <w:r>
              <w:rPr>
                <w:w w:val="115"/>
                <w:sz w:val="18"/>
              </w:rPr>
              <w:t>.03</w:t>
            </w:r>
          </w:p>
        </w:tc>
        <w:tc>
          <w:tcPr>
            <w:tcW w:w="1628" w:type="dxa"/>
          </w:tcPr>
          <w:p>
            <w:pPr>
              <w:pStyle w:val="TableParagraph"/>
              <w:spacing w:before="68"/>
              <w:ind w:right="346"/>
              <w:jc w:val="right"/>
              <w:rPr>
                <w:sz w:val="18"/>
              </w:rPr>
            </w:pPr>
            <w:r>
              <w:rPr>
                <w:w w:val="115"/>
                <w:sz w:val="18"/>
              </w:rPr>
              <w:t>.13</w:t>
            </w:r>
          </w:p>
        </w:tc>
        <w:tc>
          <w:tcPr>
            <w:tcW w:w="1651" w:type="dxa"/>
          </w:tcPr>
          <w:p>
            <w:pPr>
              <w:pStyle w:val="TableParagraph"/>
              <w:spacing w:before="68"/>
              <w:ind w:right="318"/>
              <w:jc w:val="right"/>
              <w:rPr>
                <w:sz w:val="18"/>
              </w:rPr>
            </w:pPr>
            <w:r>
              <w:rPr>
                <w:w w:val="115"/>
                <w:sz w:val="18"/>
              </w:rPr>
              <w:t>.10</w:t>
            </w:r>
          </w:p>
        </w:tc>
        <w:tc>
          <w:tcPr>
            <w:tcW w:w="1585" w:type="dxa"/>
          </w:tcPr>
          <w:p>
            <w:pPr>
              <w:pStyle w:val="TableParagraph"/>
              <w:spacing w:before="68"/>
              <w:ind w:right="283"/>
              <w:jc w:val="right"/>
              <w:rPr>
                <w:sz w:val="18"/>
              </w:rPr>
            </w:pPr>
            <w:r>
              <w:rPr>
                <w:w w:val="115"/>
                <w:sz w:val="18"/>
              </w:rPr>
              <w:t>.05</w:t>
            </w:r>
          </w:p>
        </w:tc>
      </w:tr>
      <w:tr>
        <w:trPr>
          <w:trHeight w:val="285" w:hRule="exact"/>
        </w:trPr>
        <w:tc>
          <w:tcPr>
            <w:tcW w:w="3173" w:type="dxa"/>
          </w:tcPr>
          <w:p>
            <w:pPr>
              <w:pStyle w:val="TableParagraph"/>
              <w:spacing w:before="68"/>
              <w:ind w:left="192"/>
              <w:rPr>
                <w:sz w:val="18"/>
              </w:rPr>
            </w:pPr>
            <w:r>
              <w:rPr>
                <w:w w:val="105"/>
                <w:sz w:val="18"/>
              </w:rPr>
              <w:t>Net  income  per  share, diluted</w:t>
            </w:r>
          </w:p>
        </w:tc>
        <w:tc>
          <w:tcPr>
            <w:tcW w:w="1600" w:type="dxa"/>
          </w:tcPr>
          <w:p>
            <w:pPr>
              <w:pStyle w:val="TableParagraph"/>
              <w:spacing w:before="68"/>
              <w:ind w:right="299"/>
              <w:jc w:val="right"/>
              <w:rPr>
                <w:sz w:val="18"/>
              </w:rPr>
            </w:pPr>
            <w:r>
              <w:rPr>
                <w:w w:val="115"/>
                <w:sz w:val="18"/>
              </w:rPr>
              <w:t>.03</w:t>
            </w:r>
          </w:p>
        </w:tc>
        <w:tc>
          <w:tcPr>
            <w:tcW w:w="1628" w:type="dxa"/>
          </w:tcPr>
          <w:p>
            <w:pPr>
              <w:pStyle w:val="TableParagraph"/>
              <w:spacing w:before="68"/>
              <w:ind w:right="346"/>
              <w:jc w:val="right"/>
              <w:rPr>
                <w:sz w:val="18"/>
              </w:rPr>
            </w:pPr>
            <w:r>
              <w:rPr>
                <w:w w:val="115"/>
                <w:sz w:val="18"/>
              </w:rPr>
              <w:t>.13</w:t>
            </w:r>
          </w:p>
        </w:tc>
        <w:tc>
          <w:tcPr>
            <w:tcW w:w="1651" w:type="dxa"/>
          </w:tcPr>
          <w:p>
            <w:pPr>
              <w:pStyle w:val="TableParagraph"/>
              <w:spacing w:before="68"/>
              <w:ind w:right="318"/>
              <w:jc w:val="right"/>
              <w:rPr>
                <w:sz w:val="18"/>
              </w:rPr>
            </w:pPr>
            <w:r>
              <w:rPr>
                <w:w w:val="115"/>
                <w:sz w:val="18"/>
              </w:rPr>
              <w:t>.09</w:t>
            </w:r>
          </w:p>
        </w:tc>
        <w:tc>
          <w:tcPr>
            <w:tcW w:w="1585" w:type="dxa"/>
          </w:tcPr>
          <w:p>
            <w:pPr>
              <w:pStyle w:val="TableParagraph"/>
              <w:spacing w:before="68"/>
              <w:ind w:right="283"/>
              <w:jc w:val="right"/>
              <w:rPr>
                <w:sz w:val="18"/>
              </w:rPr>
            </w:pPr>
            <w:r>
              <w:rPr>
                <w:w w:val="115"/>
                <w:sz w:val="18"/>
              </w:rPr>
              <w:t>.05</w:t>
            </w:r>
          </w:p>
        </w:tc>
      </w:tr>
    </w:tbl>
    <w:p>
      <w:pPr>
        <w:pStyle w:val="BodyText"/>
        <w:rPr>
          <w:rFonts w:ascii="Franklin Gothic Medium"/>
        </w:rPr>
      </w:pPr>
    </w:p>
    <w:p>
      <w:pPr>
        <w:pStyle w:val="BodyText"/>
        <w:spacing w:before="1"/>
        <w:rPr>
          <w:rFonts w:ascii="Franklin Gothic Medium"/>
          <w:sz w:val="27"/>
        </w:rPr>
      </w:pPr>
    </w:p>
    <w:tbl>
      <w:tblPr>
        <w:tblW w:w="0" w:type="auto"/>
        <w:jc w:val="left"/>
        <w:tblInd w:w="327" w:type="dxa"/>
        <w:tblBorders>
          <w:top w:val="nil"/>
          <w:left w:val="nil"/>
          <w:bottom w:val="nil"/>
          <w:right w:val="nil"/>
          <w:insideH w:val="nil"/>
          <w:insideV w:val="nil"/>
        </w:tblBorders>
        <w:tblLayout w:type="fixed"/>
        <w:tblCellMar>
          <w:top w:w="0" w:type="dxa"/>
          <w:left w:w="0" w:type="dxa"/>
          <w:bottom w:w="0" w:type="dxa"/>
          <w:right w:w="0" w:type="dxa"/>
        </w:tblCellMar>
        <w:tblLook w:val="01E0"/>
      </w:tblPr>
      <w:tblGrid>
        <w:gridCol w:w="2984"/>
        <w:gridCol w:w="1749"/>
        <w:gridCol w:w="1610"/>
        <w:gridCol w:w="1650"/>
        <w:gridCol w:w="1332"/>
      </w:tblGrid>
      <w:tr>
        <w:trPr>
          <w:trHeight w:val="291" w:hRule="exact"/>
        </w:trPr>
        <w:tc>
          <w:tcPr>
            <w:tcW w:w="2984" w:type="dxa"/>
          </w:tcPr>
          <w:p>
            <w:pPr>
              <w:pStyle w:val="TableParagraph"/>
              <w:spacing w:line="199" w:lineRule="exact"/>
              <w:ind w:left="32"/>
              <w:rPr>
                <w:rFonts w:ascii="Franklin Gothic Medium"/>
                <w:sz w:val="18"/>
              </w:rPr>
            </w:pPr>
            <w:r>
              <w:rPr>
                <w:rFonts w:ascii="Franklin Gothic Medium"/>
                <w:sz w:val="18"/>
              </w:rPr>
              <w:t>2001</w:t>
            </w:r>
          </w:p>
        </w:tc>
        <w:tc>
          <w:tcPr>
            <w:tcW w:w="6341" w:type="dxa"/>
            <w:gridSpan w:val="4"/>
          </w:tcPr>
          <w:p>
            <w:pPr/>
          </w:p>
        </w:tc>
      </w:tr>
      <w:tr>
        <w:trPr>
          <w:trHeight w:val="370" w:hRule="exact"/>
        </w:trPr>
        <w:tc>
          <w:tcPr>
            <w:tcW w:w="2984" w:type="dxa"/>
          </w:tcPr>
          <w:p>
            <w:pPr>
              <w:pStyle w:val="TableParagraph"/>
              <w:spacing w:before="78"/>
              <w:ind w:left="32"/>
              <w:rPr>
                <w:sz w:val="18"/>
              </w:rPr>
            </w:pPr>
            <w:r>
              <w:rPr>
                <w:w w:val="105"/>
                <w:sz w:val="18"/>
              </w:rPr>
              <w:t>Operating  revenues</w:t>
            </w:r>
          </w:p>
        </w:tc>
        <w:tc>
          <w:tcPr>
            <w:tcW w:w="1749" w:type="dxa"/>
          </w:tcPr>
          <w:p>
            <w:pPr>
              <w:pStyle w:val="TableParagraph"/>
              <w:spacing w:before="78"/>
              <w:ind w:right="299"/>
              <w:jc w:val="right"/>
              <w:rPr>
                <w:sz w:val="18"/>
              </w:rPr>
            </w:pPr>
            <w:r>
              <w:rPr>
                <w:w w:val="115"/>
                <w:sz w:val="18"/>
              </w:rPr>
              <w:t>$1,428,617</w:t>
            </w:r>
          </w:p>
        </w:tc>
        <w:tc>
          <w:tcPr>
            <w:tcW w:w="1610" w:type="dxa"/>
          </w:tcPr>
          <w:p>
            <w:pPr>
              <w:pStyle w:val="TableParagraph"/>
              <w:spacing w:before="78"/>
              <w:ind w:right="368"/>
              <w:jc w:val="right"/>
              <w:rPr>
                <w:sz w:val="18"/>
              </w:rPr>
            </w:pPr>
            <w:r>
              <w:rPr>
                <w:w w:val="115"/>
                <w:sz w:val="18"/>
              </w:rPr>
              <w:t>$1,553,785</w:t>
            </w:r>
          </w:p>
        </w:tc>
        <w:tc>
          <w:tcPr>
            <w:tcW w:w="1650" w:type="dxa"/>
          </w:tcPr>
          <w:p>
            <w:pPr>
              <w:pStyle w:val="TableParagraph"/>
              <w:spacing w:before="78"/>
              <w:ind w:right="338"/>
              <w:jc w:val="right"/>
              <w:rPr>
                <w:sz w:val="18"/>
              </w:rPr>
            </w:pPr>
            <w:r>
              <w:rPr>
                <w:w w:val="115"/>
                <w:sz w:val="18"/>
              </w:rPr>
              <w:t>$1,335,125</w:t>
            </w:r>
          </w:p>
        </w:tc>
        <w:tc>
          <w:tcPr>
            <w:tcW w:w="1332" w:type="dxa"/>
          </w:tcPr>
          <w:p>
            <w:pPr>
              <w:pStyle w:val="TableParagraph"/>
              <w:spacing w:before="78"/>
              <w:ind w:right="50"/>
              <w:jc w:val="right"/>
              <w:rPr>
                <w:sz w:val="18"/>
              </w:rPr>
            </w:pPr>
            <w:r>
              <w:rPr>
                <w:w w:val="115"/>
                <w:sz w:val="18"/>
              </w:rPr>
              <w:t>$1,237,647</w:t>
            </w:r>
          </w:p>
        </w:tc>
      </w:tr>
      <w:tr>
        <w:trPr>
          <w:trHeight w:val="360" w:hRule="exact"/>
        </w:trPr>
        <w:tc>
          <w:tcPr>
            <w:tcW w:w="2984" w:type="dxa"/>
          </w:tcPr>
          <w:p>
            <w:pPr>
              <w:pStyle w:val="TableParagraph"/>
              <w:spacing w:before="68"/>
              <w:ind w:left="32"/>
              <w:rPr>
                <w:sz w:val="18"/>
              </w:rPr>
            </w:pPr>
            <w:r>
              <w:rPr>
                <w:w w:val="105"/>
                <w:sz w:val="18"/>
              </w:rPr>
              <w:t>Operating income</w:t>
            </w:r>
          </w:p>
        </w:tc>
        <w:tc>
          <w:tcPr>
            <w:tcW w:w="1749" w:type="dxa"/>
          </w:tcPr>
          <w:p>
            <w:pPr>
              <w:pStyle w:val="TableParagraph"/>
              <w:spacing w:before="68"/>
              <w:ind w:right="278"/>
              <w:jc w:val="right"/>
              <w:rPr>
                <w:sz w:val="18"/>
              </w:rPr>
            </w:pPr>
            <w:r>
              <w:rPr>
                <w:w w:val="115"/>
                <w:sz w:val="18"/>
              </w:rPr>
              <w:t>210,157</w:t>
            </w:r>
          </w:p>
        </w:tc>
        <w:tc>
          <w:tcPr>
            <w:tcW w:w="1610" w:type="dxa"/>
          </w:tcPr>
          <w:p>
            <w:pPr>
              <w:pStyle w:val="TableParagraph"/>
              <w:spacing w:before="68"/>
              <w:ind w:right="348"/>
              <w:jc w:val="right"/>
              <w:rPr>
                <w:sz w:val="18"/>
              </w:rPr>
            </w:pPr>
            <w:r>
              <w:rPr>
                <w:w w:val="115"/>
                <w:sz w:val="18"/>
              </w:rPr>
              <w:t>290,862</w:t>
            </w:r>
          </w:p>
        </w:tc>
        <w:tc>
          <w:tcPr>
            <w:tcW w:w="1650" w:type="dxa"/>
          </w:tcPr>
          <w:p>
            <w:pPr>
              <w:pStyle w:val="TableParagraph"/>
              <w:spacing w:before="68"/>
              <w:ind w:right="338"/>
              <w:jc w:val="right"/>
              <w:rPr>
                <w:sz w:val="18"/>
              </w:rPr>
            </w:pPr>
            <w:r>
              <w:rPr>
                <w:w w:val="115"/>
                <w:sz w:val="18"/>
              </w:rPr>
              <w:t>92,986</w:t>
            </w:r>
          </w:p>
        </w:tc>
        <w:tc>
          <w:tcPr>
            <w:tcW w:w="1332" w:type="dxa"/>
          </w:tcPr>
          <w:p>
            <w:pPr>
              <w:pStyle w:val="TableParagraph"/>
              <w:spacing w:before="68"/>
              <w:ind w:right="50"/>
              <w:jc w:val="right"/>
              <w:rPr>
                <w:sz w:val="18"/>
              </w:rPr>
            </w:pPr>
            <w:r>
              <w:rPr>
                <w:w w:val="115"/>
                <w:sz w:val="18"/>
              </w:rPr>
              <w:t>37,117</w:t>
            </w:r>
          </w:p>
        </w:tc>
      </w:tr>
      <w:tr>
        <w:trPr>
          <w:trHeight w:val="360" w:hRule="exact"/>
        </w:trPr>
        <w:tc>
          <w:tcPr>
            <w:tcW w:w="2984" w:type="dxa"/>
          </w:tcPr>
          <w:p>
            <w:pPr>
              <w:pStyle w:val="TableParagraph"/>
              <w:spacing w:before="68"/>
              <w:ind w:left="32"/>
              <w:rPr>
                <w:sz w:val="18"/>
              </w:rPr>
            </w:pPr>
            <w:r>
              <w:rPr>
                <w:w w:val="105"/>
                <w:sz w:val="18"/>
              </w:rPr>
              <w:t>Income  before  income taxes</w:t>
            </w:r>
          </w:p>
        </w:tc>
        <w:tc>
          <w:tcPr>
            <w:tcW w:w="1749" w:type="dxa"/>
          </w:tcPr>
          <w:p>
            <w:pPr>
              <w:pStyle w:val="TableParagraph"/>
              <w:spacing w:before="68"/>
              <w:ind w:right="278"/>
              <w:jc w:val="right"/>
              <w:rPr>
                <w:sz w:val="18"/>
              </w:rPr>
            </w:pPr>
            <w:r>
              <w:rPr>
                <w:w w:val="115"/>
                <w:sz w:val="18"/>
              </w:rPr>
              <w:t>196,502</w:t>
            </w:r>
          </w:p>
        </w:tc>
        <w:tc>
          <w:tcPr>
            <w:tcW w:w="1610" w:type="dxa"/>
          </w:tcPr>
          <w:p>
            <w:pPr>
              <w:pStyle w:val="TableParagraph"/>
              <w:spacing w:before="68"/>
              <w:ind w:right="348"/>
              <w:jc w:val="right"/>
              <w:rPr>
                <w:sz w:val="18"/>
              </w:rPr>
            </w:pPr>
            <w:r>
              <w:rPr>
                <w:w w:val="115"/>
                <w:sz w:val="18"/>
              </w:rPr>
              <w:t>287,451</w:t>
            </w:r>
          </w:p>
        </w:tc>
        <w:tc>
          <w:tcPr>
            <w:tcW w:w="1650" w:type="dxa"/>
          </w:tcPr>
          <w:p>
            <w:pPr>
              <w:pStyle w:val="TableParagraph"/>
              <w:spacing w:before="68"/>
              <w:ind w:right="318"/>
              <w:jc w:val="right"/>
              <w:rPr>
                <w:sz w:val="18"/>
              </w:rPr>
            </w:pPr>
            <w:r>
              <w:rPr>
                <w:w w:val="115"/>
                <w:sz w:val="18"/>
              </w:rPr>
              <w:t>245,870</w:t>
            </w:r>
          </w:p>
        </w:tc>
        <w:tc>
          <w:tcPr>
            <w:tcW w:w="1332" w:type="dxa"/>
          </w:tcPr>
          <w:p>
            <w:pPr>
              <w:pStyle w:val="TableParagraph"/>
              <w:spacing w:before="68"/>
              <w:ind w:right="50"/>
              <w:jc w:val="right"/>
              <w:rPr>
                <w:sz w:val="18"/>
              </w:rPr>
            </w:pPr>
            <w:r>
              <w:rPr>
                <w:w w:val="115"/>
                <w:sz w:val="18"/>
              </w:rPr>
              <w:t>97,836</w:t>
            </w:r>
          </w:p>
        </w:tc>
      </w:tr>
      <w:tr>
        <w:trPr>
          <w:trHeight w:val="360" w:hRule="exact"/>
        </w:trPr>
        <w:tc>
          <w:tcPr>
            <w:tcW w:w="2984" w:type="dxa"/>
          </w:tcPr>
          <w:p>
            <w:pPr>
              <w:pStyle w:val="TableParagraph"/>
              <w:spacing w:before="68"/>
              <w:ind w:left="32"/>
              <w:rPr>
                <w:sz w:val="18"/>
              </w:rPr>
            </w:pPr>
            <w:r>
              <w:rPr>
                <w:w w:val="105"/>
                <w:sz w:val="18"/>
              </w:rPr>
              <w:t>Net income</w:t>
            </w:r>
          </w:p>
        </w:tc>
        <w:tc>
          <w:tcPr>
            <w:tcW w:w="1749" w:type="dxa"/>
          </w:tcPr>
          <w:p>
            <w:pPr>
              <w:pStyle w:val="TableParagraph"/>
              <w:spacing w:before="68"/>
              <w:ind w:right="278"/>
              <w:jc w:val="right"/>
              <w:rPr>
                <w:sz w:val="18"/>
              </w:rPr>
            </w:pPr>
            <w:r>
              <w:rPr>
                <w:w w:val="115"/>
                <w:sz w:val="18"/>
              </w:rPr>
              <w:t>121,045</w:t>
            </w:r>
          </w:p>
        </w:tc>
        <w:tc>
          <w:tcPr>
            <w:tcW w:w="1610" w:type="dxa"/>
          </w:tcPr>
          <w:p>
            <w:pPr>
              <w:pStyle w:val="TableParagraph"/>
              <w:spacing w:before="68"/>
              <w:ind w:right="348"/>
              <w:jc w:val="right"/>
              <w:rPr>
                <w:sz w:val="18"/>
              </w:rPr>
            </w:pPr>
            <w:r>
              <w:rPr>
                <w:w w:val="115"/>
                <w:sz w:val="18"/>
              </w:rPr>
              <w:t>175,633</w:t>
            </w:r>
          </w:p>
        </w:tc>
        <w:tc>
          <w:tcPr>
            <w:tcW w:w="1650" w:type="dxa"/>
          </w:tcPr>
          <w:p>
            <w:pPr>
              <w:pStyle w:val="TableParagraph"/>
              <w:spacing w:before="68"/>
              <w:ind w:right="318"/>
              <w:jc w:val="right"/>
              <w:rPr>
                <w:sz w:val="18"/>
              </w:rPr>
            </w:pPr>
            <w:r>
              <w:rPr>
                <w:w w:val="115"/>
                <w:sz w:val="18"/>
              </w:rPr>
              <w:t>150,964</w:t>
            </w:r>
          </w:p>
        </w:tc>
        <w:tc>
          <w:tcPr>
            <w:tcW w:w="1332" w:type="dxa"/>
          </w:tcPr>
          <w:p>
            <w:pPr>
              <w:pStyle w:val="TableParagraph"/>
              <w:spacing w:before="68"/>
              <w:ind w:right="50"/>
              <w:jc w:val="right"/>
              <w:rPr>
                <w:sz w:val="18"/>
              </w:rPr>
            </w:pPr>
            <w:r>
              <w:rPr>
                <w:w w:val="115"/>
                <w:sz w:val="18"/>
              </w:rPr>
              <w:t>63,505</w:t>
            </w:r>
          </w:p>
        </w:tc>
      </w:tr>
      <w:tr>
        <w:trPr>
          <w:trHeight w:val="360" w:hRule="exact"/>
        </w:trPr>
        <w:tc>
          <w:tcPr>
            <w:tcW w:w="2984" w:type="dxa"/>
          </w:tcPr>
          <w:p>
            <w:pPr>
              <w:pStyle w:val="TableParagraph"/>
              <w:spacing w:before="68"/>
              <w:ind w:left="32"/>
              <w:rPr>
                <w:sz w:val="18"/>
              </w:rPr>
            </w:pPr>
            <w:r>
              <w:rPr>
                <w:w w:val="105"/>
                <w:sz w:val="18"/>
              </w:rPr>
              <w:t>Net  income  per  share,  basic</w:t>
            </w:r>
          </w:p>
        </w:tc>
        <w:tc>
          <w:tcPr>
            <w:tcW w:w="1749" w:type="dxa"/>
          </w:tcPr>
          <w:p>
            <w:pPr>
              <w:pStyle w:val="TableParagraph"/>
              <w:spacing w:before="68"/>
              <w:ind w:right="278"/>
              <w:jc w:val="right"/>
              <w:rPr>
                <w:sz w:val="18"/>
              </w:rPr>
            </w:pPr>
            <w:r>
              <w:rPr>
                <w:w w:val="115"/>
                <w:sz w:val="18"/>
              </w:rPr>
              <w:t>.16</w:t>
            </w:r>
          </w:p>
        </w:tc>
        <w:tc>
          <w:tcPr>
            <w:tcW w:w="1610" w:type="dxa"/>
          </w:tcPr>
          <w:p>
            <w:pPr>
              <w:pStyle w:val="TableParagraph"/>
              <w:spacing w:before="68"/>
              <w:ind w:right="348"/>
              <w:jc w:val="right"/>
              <w:rPr>
                <w:sz w:val="18"/>
              </w:rPr>
            </w:pPr>
            <w:r>
              <w:rPr>
                <w:w w:val="115"/>
                <w:sz w:val="18"/>
              </w:rPr>
              <w:t>.23</w:t>
            </w:r>
          </w:p>
        </w:tc>
        <w:tc>
          <w:tcPr>
            <w:tcW w:w="1650" w:type="dxa"/>
          </w:tcPr>
          <w:p>
            <w:pPr>
              <w:pStyle w:val="TableParagraph"/>
              <w:spacing w:before="68"/>
              <w:ind w:right="318"/>
              <w:jc w:val="right"/>
              <w:rPr>
                <w:sz w:val="18"/>
              </w:rPr>
            </w:pPr>
            <w:r>
              <w:rPr>
                <w:w w:val="115"/>
                <w:sz w:val="18"/>
              </w:rPr>
              <w:t>.20</w:t>
            </w:r>
          </w:p>
        </w:tc>
        <w:tc>
          <w:tcPr>
            <w:tcW w:w="1332" w:type="dxa"/>
          </w:tcPr>
          <w:p>
            <w:pPr>
              <w:pStyle w:val="TableParagraph"/>
              <w:spacing w:before="68"/>
              <w:ind w:right="30"/>
              <w:jc w:val="right"/>
              <w:rPr>
                <w:sz w:val="18"/>
              </w:rPr>
            </w:pPr>
            <w:r>
              <w:rPr>
                <w:w w:val="115"/>
                <w:sz w:val="18"/>
              </w:rPr>
              <w:t>.08</w:t>
            </w:r>
          </w:p>
        </w:tc>
      </w:tr>
      <w:tr>
        <w:trPr>
          <w:trHeight w:val="285" w:hRule="exact"/>
        </w:trPr>
        <w:tc>
          <w:tcPr>
            <w:tcW w:w="2984" w:type="dxa"/>
          </w:tcPr>
          <w:p>
            <w:pPr>
              <w:pStyle w:val="TableParagraph"/>
              <w:spacing w:before="68"/>
              <w:ind w:left="32"/>
              <w:rPr>
                <w:sz w:val="18"/>
              </w:rPr>
            </w:pPr>
            <w:r>
              <w:rPr>
                <w:w w:val="105"/>
                <w:sz w:val="18"/>
              </w:rPr>
              <w:t>Net  income  per  share, diluted</w:t>
            </w:r>
          </w:p>
        </w:tc>
        <w:tc>
          <w:tcPr>
            <w:tcW w:w="1749" w:type="dxa"/>
          </w:tcPr>
          <w:p>
            <w:pPr>
              <w:pStyle w:val="TableParagraph"/>
              <w:spacing w:before="68"/>
              <w:ind w:right="279"/>
              <w:jc w:val="right"/>
              <w:rPr>
                <w:sz w:val="18"/>
              </w:rPr>
            </w:pPr>
            <w:r>
              <w:rPr>
                <w:w w:val="115"/>
                <w:sz w:val="18"/>
              </w:rPr>
              <w:t>.15</w:t>
            </w:r>
          </w:p>
        </w:tc>
        <w:tc>
          <w:tcPr>
            <w:tcW w:w="1610" w:type="dxa"/>
          </w:tcPr>
          <w:p>
            <w:pPr>
              <w:pStyle w:val="TableParagraph"/>
              <w:spacing w:before="68"/>
              <w:ind w:right="348"/>
              <w:jc w:val="right"/>
              <w:rPr>
                <w:sz w:val="18"/>
              </w:rPr>
            </w:pPr>
            <w:r>
              <w:rPr>
                <w:w w:val="115"/>
                <w:sz w:val="18"/>
              </w:rPr>
              <w:t>.22</w:t>
            </w:r>
          </w:p>
        </w:tc>
        <w:tc>
          <w:tcPr>
            <w:tcW w:w="1650" w:type="dxa"/>
          </w:tcPr>
          <w:p>
            <w:pPr>
              <w:pStyle w:val="TableParagraph"/>
              <w:spacing w:before="68"/>
              <w:ind w:right="318"/>
              <w:jc w:val="right"/>
              <w:rPr>
                <w:sz w:val="18"/>
              </w:rPr>
            </w:pPr>
            <w:r>
              <w:rPr>
                <w:w w:val="115"/>
                <w:sz w:val="18"/>
              </w:rPr>
              <w:t>.19</w:t>
            </w:r>
          </w:p>
        </w:tc>
        <w:tc>
          <w:tcPr>
            <w:tcW w:w="1332" w:type="dxa"/>
          </w:tcPr>
          <w:p>
            <w:pPr>
              <w:pStyle w:val="TableParagraph"/>
              <w:spacing w:before="68"/>
              <w:ind w:right="30"/>
              <w:jc w:val="right"/>
              <w:rPr>
                <w:sz w:val="18"/>
              </w:rPr>
            </w:pPr>
            <w:r>
              <w:rPr>
                <w:w w:val="115"/>
                <w:sz w:val="18"/>
              </w:rPr>
              <w:t>.08</w:t>
            </w:r>
          </w:p>
        </w:tc>
      </w:tr>
    </w:tbl>
    <w:p>
      <w:pPr>
        <w:pStyle w:val="BodyText"/>
        <w:rPr>
          <w:rFonts w:ascii="Franklin Gothic Medium"/>
          <w:sz w:val="22"/>
        </w:rPr>
      </w:pPr>
    </w:p>
    <w:p>
      <w:pPr>
        <w:spacing w:line="254" w:lineRule="auto" w:before="135"/>
        <w:ind w:left="920" w:right="5684" w:hanging="820"/>
        <w:jc w:val="left"/>
        <w:rPr>
          <w:i/>
          <w:sz w:val="20"/>
        </w:rPr>
      </w:pPr>
      <w:r>
        <w:rPr>
          <w:rFonts w:ascii="Franklin Gothic Medium"/>
          <w:w w:val="105"/>
          <w:sz w:val="20"/>
        </w:rPr>
        <w:t>Item 9. </w:t>
      </w:r>
      <w:r>
        <w:rPr>
          <w:i/>
          <w:w w:val="105"/>
          <w:sz w:val="20"/>
        </w:rPr>
        <w:t>Changes In and Disagreements With </w:t>
      </w:r>
      <w:r>
        <w:rPr>
          <w:i/>
          <w:w w:val="105"/>
          <w:sz w:val="20"/>
        </w:rPr>
        <w:t>Accountants on Accounting and Financial   Disclosure</w:t>
      </w:r>
    </w:p>
    <w:p>
      <w:pPr>
        <w:pStyle w:val="BodyText"/>
        <w:spacing w:before="4"/>
        <w:rPr>
          <w:i/>
          <w:sz w:val="21"/>
        </w:rPr>
      </w:pPr>
    </w:p>
    <w:p>
      <w:pPr>
        <w:pStyle w:val="BodyText"/>
        <w:ind w:left="460"/>
      </w:pPr>
      <w:r>
        <w:rPr>
          <w:w w:val="105"/>
        </w:rPr>
        <w:t>None.</w:t>
      </w:r>
    </w:p>
    <w:p>
      <w:pPr>
        <w:spacing w:after="0"/>
        <w:sectPr>
          <w:headerReference w:type="default" r:id="rId158"/>
          <w:pgSz w:w="11520" w:h="14400"/>
          <w:pgMar w:header="0" w:footer="706" w:top="960" w:bottom="900" w:left="700" w:right="780"/>
        </w:sectPr>
      </w:pPr>
    </w:p>
    <w:p>
      <w:pPr>
        <w:pStyle w:val="Heading1"/>
        <w:ind w:left="120"/>
      </w:pPr>
      <w:bookmarkStart w:name="Directors and Executive Officers" w:id="62"/>
      <w:bookmarkEnd w:id="62"/>
      <w:r>
        <w:rPr/>
      </w:r>
      <w:bookmarkStart w:name="Executive Compensation" w:id="63"/>
      <w:bookmarkEnd w:id="63"/>
      <w:r>
        <w:rPr/>
      </w:r>
      <w:bookmarkStart w:name="Security Ownership" w:id="64"/>
      <w:bookmarkEnd w:id="64"/>
      <w:r>
        <w:rPr/>
      </w:r>
      <w:bookmarkStart w:name="Related Transactions" w:id="65"/>
      <w:bookmarkEnd w:id="65"/>
      <w:r>
        <w:rPr/>
      </w:r>
      <w:bookmarkStart w:name="Controls and Procedures" w:id="66"/>
      <w:bookmarkEnd w:id="66"/>
      <w:r>
        <w:rPr/>
      </w:r>
      <w:r>
        <w:rPr/>
        <w:t>PART III</w:t>
      </w:r>
    </w:p>
    <w:p>
      <w:pPr>
        <w:pStyle w:val="BodyText"/>
        <w:spacing w:before="5"/>
        <w:rPr>
          <w:rFonts w:ascii="Franklin Gothic Medium"/>
          <w:sz w:val="24"/>
        </w:rPr>
      </w:pPr>
    </w:p>
    <w:p>
      <w:pPr>
        <w:spacing w:line="254" w:lineRule="auto" w:before="0"/>
        <w:ind w:left="1020" w:right="0" w:hanging="900"/>
        <w:jc w:val="left"/>
        <w:rPr>
          <w:i/>
          <w:sz w:val="20"/>
        </w:rPr>
      </w:pPr>
      <w:r>
        <w:rPr>
          <w:rFonts w:ascii="Franklin Gothic Medium"/>
          <w:w w:val="105"/>
          <w:sz w:val="20"/>
        </w:rPr>
        <w:t>Item 10. </w:t>
      </w:r>
      <w:r>
        <w:rPr>
          <w:i/>
          <w:w w:val="105"/>
          <w:sz w:val="20"/>
        </w:rPr>
        <w:t>Directors and Executive Officers of the </w:t>
      </w:r>
      <w:r>
        <w:rPr>
          <w:i/>
          <w:w w:val="105"/>
          <w:sz w:val="20"/>
        </w:rPr>
        <w:t>Registrant</w:t>
      </w:r>
    </w:p>
    <w:p>
      <w:pPr>
        <w:pStyle w:val="BodyText"/>
        <w:spacing w:line="254" w:lineRule="auto" w:before="121"/>
        <w:ind w:left="120" w:firstLine="180"/>
        <w:jc w:val="both"/>
      </w:pPr>
      <w:r>
        <w:rPr>
          <w:w w:val="105"/>
        </w:rPr>
        <w:t>See “Election of  Directors”  </w:t>
      </w:r>
      <w:r>
        <w:rPr>
          <w:spacing w:val="3"/>
          <w:w w:val="105"/>
        </w:rPr>
        <w:t>incorporated</w:t>
      </w:r>
      <w:r>
        <w:rPr>
          <w:spacing w:val="53"/>
          <w:w w:val="105"/>
        </w:rPr>
        <w:t> </w:t>
      </w:r>
      <w:r>
        <w:rPr>
          <w:spacing w:val="11"/>
          <w:w w:val="105"/>
        </w:rPr>
        <w:t>herein </w:t>
      </w:r>
      <w:r>
        <w:rPr>
          <w:w w:val="105"/>
        </w:rPr>
        <w:t>by reference from the </w:t>
      </w:r>
      <w:r>
        <w:rPr>
          <w:spacing w:val="3"/>
          <w:w w:val="105"/>
        </w:rPr>
        <w:t>definitive  </w:t>
      </w:r>
      <w:r>
        <w:rPr>
          <w:w w:val="105"/>
        </w:rPr>
        <w:t>Proxy  </w:t>
      </w:r>
      <w:r>
        <w:rPr>
          <w:spacing w:val="6"/>
          <w:w w:val="105"/>
        </w:rPr>
        <w:t>Statement </w:t>
      </w:r>
      <w:r>
        <w:rPr>
          <w:w w:val="105"/>
        </w:rPr>
        <w:t>for  Southwest’s  </w:t>
      </w:r>
      <w:r>
        <w:rPr>
          <w:spacing w:val="2"/>
          <w:w w:val="105"/>
        </w:rPr>
        <w:t>Annual  Meeting  </w:t>
      </w:r>
      <w:r>
        <w:rPr>
          <w:w w:val="105"/>
        </w:rPr>
        <w:t>of   </w:t>
      </w:r>
      <w:r>
        <w:rPr>
          <w:spacing w:val="5"/>
          <w:w w:val="105"/>
        </w:rPr>
        <w:t>Shareholders </w:t>
      </w:r>
      <w:r>
        <w:rPr>
          <w:w w:val="105"/>
        </w:rPr>
        <w:t>to be held May 14, 2003. See  </w:t>
      </w:r>
      <w:r>
        <w:rPr>
          <w:spacing w:val="3"/>
          <w:w w:val="105"/>
        </w:rPr>
        <w:t>“Executive   </w:t>
      </w:r>
      <w:r>
        <w:rPr>
          <w:spacing w:val="4"/>
          <w:w w:val="105"/>
        </w:rPr>
        <w:t>Officers    </w:t>
      </w:r>
      <w:r>
        <w:rPr>
          <w:w w:val="105"/>
        </w:rPr>
        <w:t>of the Registrant” in Part I following Item 4 </w:t>
      </w:r>
      <w:r>
        <w:rPr>
          <w:spacing w:val="2"/>
          <w:w w:val="105"/>
        </w:rPr>
        <w:t>for information  relating  </w:t>
      </w:r>
      <w:r>
        <w:rPr>
          <w:w w:val="105"/>
        </w:rPr>
        <w:t>to  </w:t>
      </w:r>
      <w:r>
        <w:rPr>
          <w:spacing w:val="2"/>
          <w:w w:val="105"/>
        </w:rPr>
        <w:t>executive</w:t>
      </w:r>
      <w:r>
        <w:rPr>
          <w:spacing w:val="43"/>
          <w:w w:val="105"/>
        </w:rPr>
        <w:t> </w:t>
      </w:r>
      <w:r>
        <w:rPr>
          <w:spacing w:val="3"/>
          <w:w w:val="105"/>
        </w:rPr>
        <w:t>officers.</w:t>
      </w:r>
    </w:p>
    <w:p>
      <w:pPr>
        <w:pStyle w:val="BodyText"/>
        <w:spacing w:before="4"/>
        <w:rPr>
          <w:sz w:val="21"/>
        </w:rPr>
      </w:pPr>
    </w:p>
    <w:p>
      <w:pPr>
        <w:spacing w:before="1"/>
        <w:ind w:left="120" w:right="0" w:firstLine="0"/>
        <w:jc w:val="left"/>
        <w:rPr>
          <w:i/>
          <w:sz w:val="20"/>
        </w:rPr>
      </w:pPr>
      <w:r>
        <w:rPr>
          <w:rFonts w:ascii="Franklin Gothic Medium"/>
          <w:w w:val="105"/>
          <w:sz w:val="20"/>
        </w:rPr>
        <w:t>Item  11.  </w:t>
      </w:r>
      <w:r>
        <w:rPr>
          <w:i/>
          <w:w w:val="105"/>
          <w:sz w:val="20"/>
        </w:rPr>
        <w:t>Executive Compensation</w:t>
      </w:r>
    </w:p>
    <w:p>
      <w:pPr>
        <w:pStyle w:val="BodyText"/>
        <w:spacing w:before="7"/>
        <w:rPr>
          <w:i/>
          <w:sz w:val="22"/>
        </w:rPr>
      </w:pPr>
    </w:p>
    <w:p>
      <w:pPr>
        <w:pStyle w:val="BodyText"/>
        <w:spacing w:line="254" w:lineRule="auto"/>
        <w:ind w:left="120" w:right="1" w:firstLine="180"/>
        <w:jc w:val="both"/>
      </w:pPr>
      <w:r>
        <w:rPr>
          <w:w w:val="105"/>
        </w:rPr>
        <w:t>See </w:t>
      </w:r>
      <w:r>
        <w:rPr>
          <w:spacing w:val="3"/>
          <w:w w:val="105"/>
        </w:rPr>
        <w:t>“Compensation </w:t>
      </w:r>
      <w:r>
        <w:rPr>
          <w:w w:val="105"/>
        </w:rPr>
        <w:t>of </w:t>
      </w:r>
      <w:r>
        <w:rPr>
          <w:spacing w:val="3"/>
          <w:w w:val="105"/>
        </w:rPr>
        <w:t>Executive </w:t>
      </w:r>
      <w:r>
        <w:rPr>
          <w:spacing w:val="4"/>
          <w:w w:val="105"/>
        </w:rPr>
        <w:t>Officers,” </w:t>
      </w:r>
      <w:r>
        <w:rPr>
          <w:spacing w:val="2"/>
          <w:w w:val="105"/>
        </w:rPr>
        <w:t>incorporated herein </w:t>
      </w:r>
      <w:r>
        <w:rPr>
          <w:w w:val="105"/>
        </w:rPr>
        <w:t>by  reference  from  </w:t>
      </w:r>
      <w:r>
        <w:rPr>
          <w:spacing w:val="6"/>
          <w:w w:val="105"/>
        </w:rPr>
        <w:t>the </w:t>
      </w:r>
      <w:r>
        <w:rPr>
          <w:spacing w:val="3"/>
          <w:w w:val="105"/>
        </w:rPr>
        <w:t>definitive</w:t>
      </w:r>
      <w:r>
        <w:rPr>
          <w:spacing w:val="53"/>
          <w:w w:val="105"/>
        </w:rPr>
        <w:t> </w:t>
      </w:r>
      <w:r>
        <w:rPr>
          <w:w w:val="105"/>
        </w:rPr>
        <w:t>Proxy   Statement   for   </w:t>
      </w:r>
      <w:r>
        <w:rPr>
          <w:spacing w:val="3"/>
          <w:w w:val="105"/>
        </w:rPr>
        <w:t>Southwest’s </w:t>
      </w:r>
      <w:r>
        <w:rPr>
          <w:spacing w:val="2"/>
          <w:w w:val="105"/>
        </w:rPr>
        <w:t>Annual  Meeting  </w:t>
      </w:r>
      <w:r>
        <w:rPr>
          <w:w w:val="105"/>
        </w:rPr>
        <w:t>of   </w:t>
      </w:r>
      <w:r>
        <w:rPr>
          <w:spacing w:val="2"/>
          <w:w w:val="105"/>
        </w:rPr>
        <w:t>Shareholders   </w:t>
      </w:r>
      <w:r>
        <w:rPr>
          <w:w w:val="105"/>
        </w:rPr>
        <w:t>to   be   </w:t>
      </w:r>
      <w:r>
        <w:rPr>
          <w:spacing w:val="9"/>
          <w:w w:val="105"/>
        </w:rPr>
        <w:t>held </w:t>
      </w:r>
      <w:r>
        <w:rPr>
          <w:w w:val="105"/>
        </w:rPr>
        <w:t>May  14, </w:t>
      </w:r>
      <w:r>
        <w:rPr>
          <w:spacing w:val="30"/>
          <w:w w:val="105"/>
        </w:rPr>
        <w:t> </w:t>
      </w:r>
      <w:r>
        <w:rPr>
          <w:w w:val="105"/>
        </w:rPr>
        <w:t>2003.</w:t>
      </w:r>
    </w:p>
    <w:p>
      <w:pPr>
        <w:pStyle w:val="BodyText"/>
        <w:spacing w:before="4"/>
        <w:rPr>
          <w:sz w:val="21"/>
        </w:rPr>
      </w:pPr>
    </w:p>
    <w:p>
      <w:pPr>
        <w:spacing w:line="254" w:lineRule="auto" w:before="0"/>
        <w:ind w:left="1020" w:right="0" w:hanging="900"/>
        <w:jc w:val="left"/>
        <w:rPr>
          <w:i/>
          <w:sz w:val="20"/>
        </w:rPr>
      </w:pPr>
      <w:r>
        <w:rPr>
          <w:rFonts w:ascii="Franklin Gothic Medium"/>
          <w:w w:val="105"/>
          <w:sz w:val="20"/>
        </w:rPr>
        <w:t>Item 12. </w:t>
      </w:r>
      <w:r>
        <w:rPr>
          <w:i/>
          <w:w w:val="105"/>
          <w:sz w:val="20"/>
        </w:rPr>
        <w:t>Security Ownership of Certain Beneficial </w:t>
      </w:r>
      <w:r>
        <w:rPr>
          <w:i/>
          <w:w w:val="105"/>
          <w:sz w:val="20"/>
        </w:rPr>
        <w:t>Owners and Management and Related Stockholder  Matters</w:t>
      </w:r>
    </w:p>
    <w:p>
      <w:pPr>
        <w:pStyle w:val="BodyText"/>
        <w:spacing w:before="4"/>
        <w:rPr>
          <w:i/>
          <w:sz w:val="21"/>
        </w:rPr>
      </w:pPr>
    </w:p>
    <w:p>
      <w:pPr>
        <w:pStyle w:val="BodyText"/>
        <w:spacing w:line="254" w:lineRule="auto"/>
        <w:ind w:left="120" w:right="1" w:firstLine="180"/>
        <w:jc w:val="both"/>
      </w:pPr>
      <w:r>
        <w:rPr>
          <w:w w:val="105"/>
        </w:rPr>
        <w:t>See “Voting Securities  and  </w:t>
      </w:r>
      <w:r>
        <w:rPr>
          <w:spacing w:val="7"/>
          <w:w w:val="105"/>
        </w:rPr>
        <w:t>Principal </w:t>
      </w:r>
      <w:r>
        <w:rPr>
          <w:w w:val="105"/>
        </w:rPr>
        <w:t>Shareholders,” </w:t>
      </w:r>
      <w:r>
        <w:rPr>
          <w:spacing w:val="2"/>
          <w:w w:val="105"/>
        </w:rPr>
        <w:t>incorporated herein </w:t>
      </w:r>
      <w:r>
        <w:rPr>
          <w:w w:val="105"/>
        </w:rPr>
        <w:t>by </w:t>
      </w:r>
      <w:r>
        <w:rPr>
          <w:spacing w:val="7"/>
          <w:w w:val="105"/>
        </w:rPr>
        <w:t>reference </w:t>
      </w:r>
      <w:r>
        <w:rPr>
          <w:w w:val="105"/>
        </w:rPr>
        <w:t>from the  </w:t>
      </w:r>
      <w:r>
        <w:rPr>
          <w:spacing w:val="3"/>
          <w:w w:val="105"/>
        </w:rPr>
        <w:t>definitive</w:t>
      </w:r>
      <w:r>
        <w:rPr>
          <w:spacing w:val="53"/>
          <w:w w:val="105"/>
        </w:rPr>
        <w:t> </w:t>
      </w:r>
      <w:r>
        <w:rPr>
          <w:w w:val="105"/>
        </w:rPr>
        <w:t>Proxy  Statement  </w:t>
      </w:r>
      <w:r>
        <w:rPr>
          <w:spacing w:val="2"/>
          <w:w w:val="105"/>
        </w:rPr>
        <w:t>for </w:t>
      </w:r>
      <w:r>
        <w:rPr>
          <w:w w:val="105"/>
        </w:rPr>
        <w:t>Southwest’s  </w:t>
      </w:r>
      <w:r>
        <w:rPr>
          <w:spacing w:val="2"/>
          <w:w w:val="105"/>
        </w:rPr>
        <w:t>Annual  Meeting  </w:t>
      </w:r>
      <w:r>
        <w:rPr>
          <w:w w:val="105"/>
        </w:rPr>
        <w:t>of   </w:t>
      </w:r>
      <w:r>
        <w:rPr>
          <w:spacing w:val="2"/>
          <w:w w:val="105"/>
        </w:rPr>
        <w:t>Shareholders   </w:t>
      </w:r>
      <w:r>
        <w:rPr>
          <w:spacing w:val="4"/>
          <w:w w:val="105"/>
        </w:rPr>
        <w:t>to </w:t>
      </w:r>
      <w:r>
        <w:rPr>
          <w:w w:val="105"/>
        </w:rPr>
        <w:t>be  held  May  14, </w:t>
      </w:r>
      <w:r>
        <w:rPr>
          <w:spacing w:val="7"/>
          <w:w w:val="105"/>
        </w:rPr>
        <w:t> </w:t>
      </w:r>
      <w:r>
        <w:rPr>
          <w:w w:val="105"/>
        </w:rPr>
        <w:t>2003.</w:t>
      </w:r>
    </w:p>
    <w:p>
      <w:pPr>
        <w:pStyle w:val="BodyText"/>
        <w:spacing w:before="4"/>
        <w:rPr>
          <w:sz w:val="21"/>
        </w:rPr>
      </w:pPr>
    </w:p>
    <w:p>
      <w:pPr>
        <w:spacing w:line="254" w:lineRule="auto" w:before="0"/>
        <w:ind w:left="1020" w:right="0" w:hanging="900"/>
        <w:jc w:val="left"/>
        <w:rPr>
          <w:i/>
          <w:sz w:val="20"/>
        </w:rPr>
      </w:pPr>
      <w:r>
        <w:rPr>
          <w:rFonts w:ascii="Franklin Gothic Medium"/>
          <w:w w:val="105"/>
          <w:sz w:val="20"/>
        </w:rPr>
        <w:t>Item 13. </w:t>
      </w:r>
      <w:r>
        <w:rPr>
          <w:i/>
          <w:w w:val="105"/>
          <w:sz w:val="20"/>
        </w:rPr>
        <w:t>Certain Relationships and Related </w:t>
      </w:r>
      <w:r>
        <w:rPr>
          <w:i/>
          <w:w w:val="105"/>
          <w:sz w:val="20"/>
        </w:rPr>
        <w:t>Transactions</w:t>
      </w:r>
    </w:p>
    <w:p>
      <w:pPr>
        <w:pStyle w:val="BodyText"/>
        <w:spacing w:before="4"/>
        <w:rPr>
          <w:i/>
          <w:sz w:val="21"/>
        </w:rPr>
      </w:pPr>
    </w:p>
    <w:p>
      <w:pPr>
        <w:pStyle w:val="BodyText"/>
        <w:spacing w:line="254" w:lineRule="auto"/>
        <w:ind w:left="120" w:firstLine="180"/>
        <w:jc w:val="both"/>
      </w:pPr>
      <w:r>
        <w:rPr>
          <w:w w:val="105"/>
        </w:rPr>
        <w:t>See  “Election   of   Directors,”   incorporated herein by reference from the definitive Proxy Statement for Southwest’s Annual Meeting of Shareholders  to  be  held  May  14,  2003.</w:t>
      </w:r>
    </w:p>
    <w:p>
      <w:pPr>
        <w:pStyle w:val="BodyText"/>
        <w:spacing w:before="4"/>
        <w:rPr>
          <w:sz w:val="21"/>
        </w:rPr>
      </w:pPr>
    </w:p>
    <w:p>
      <w:pPr>
        <w:spacing w:before="0"/>
        <w:ind w:left="120" w:right="0" w:firstLine="0"/>
        <w:jc w:val="left"/>
        <w:rPr>
          <w:i/>
          <w:sz w:val="20"/>
        </w:rPr>
      </w:pPr>
      <w:r>
        <w:rPr>
          <w:rFonts w:ascii="Franklin Gothic Medium"/>
          <w:w w:val="105"/>
          <w:sz w:val="20"/>
        </w:rPr>
        <w:t>Item  14.   </w:t>
      </w:r>
      <w:r>
        <w:rPr>
          <w:i/>
          <w:w w:val="105"/>
          <w:sz w:val="20"/>
        </w:rPr>
        <w:t>Controls  and Procedures</w:t>
      </w:r>
    </w:p>
    <w:p>
      <w:pPr>
        <w:pStyle w:val="BodyText"/>
        <w:spacing w:before="1"/>
        <w:rPr>
          <w:i/>
          <w:sz w:val="23"/>
        </w:rPr>
      </w:pPr>
    </w:p>
    <w:p>
      <w:pPr>
        <w:pStyle w:val="BodyText"/>
        <w:ind w:left="119"/>
        <w:rPr>
          <w:rFonts w:ascii="Franklin Gothic Medium"/>
        </w:rPr>
      </w:pPr>
      <w:r>
        <w:rPr>
          <w:rFonts w:ascii="Franklin Gothic Medium"/>
        </w:rPr>
        <w:t>Disclosure  Controls  and Procedures</w:t>
      </w:r>
    </w:p>
    <w:p>
      <w:pPr>
        <w:pStyle w:val="BodyText"/>
        <w:spacing w:before="1"/>
        <w:rPr>
          <w:rFonts w:ascii="Franklin Gothic Medium"/>
          <w:sz w:val="25"/>
        </w:rPr>
      </w:pPr>
    </w:p>
    <w:p>
      <w:pPr>
        <w:pStyle w:val="BodyText"/>
        <w:spacing w:line="254" w:lineRule="auto" w:before="1"/>
        <w:ind w:left="120" w:right="2" w:firstLine="180"/>
        <w:jc w:val="both"/>
      </w:pPr>
      <w:r>
        <w:rPr>
          <w:w w:val="105"/>
        </w:rPr>
        <w:t>The Company </w:t>
      </w:r>
      <w:r>
        <w:rPr>
          <w:spacing w:val="3"/>
          <w:w w:val="105"/>
        </w:rPr>
        <w:t>maintains</w:t>
      </w:r>
      <w:r>
        <w:rPr>
          <w:spacing w:val="53"/>
          <w:w w:val="105"/>
        </w:rPr>
        <w:t> </w:t>
      </w:r>
      <w:r>
        <w:rPr>
          <w:w w:val="105"/>
        </w:rPr>
        <w:t>controls  and  </w:t>
      </w:r>
      <w:r>
        <w:rPr>
          <w:spacing w:val="6"/>
          <w:w w:val="105"/>
        </w:rPr>
        <w:t>proce- </w:t>
      </w:r>
      <w:r>
        <w:rPr>
          <w:w w:val="105"/>
        </w:rPr>
        <w:t>dures designed to ensure that  it  is  able  to  collect the  </w:t>
      </w:r>
      <w:r>
        <w:rPr>
          <w:spacing w:val="3"/>
          <w:w w:val="105"/>
        </w:rPr>
        <w:t>information   </w:t>
      </w:r>
      <w:r>
        <w:rPr>
          <w:w w:val="105"/>
        </w:rPr>
        <w:t>it  is  </w:t>
      </w:r>
      <w:r>
        <w:rPr>
          <w:spacing w:val="2"/>
          <w:w w:val="105"/>
        </w:rPr>
        <w:t>required   </w:t>
      </w:r>
      <w:r>
        <w:rPr>
          <w:w w:val="105"/>
        </w:rPr>
        <w:t>to  disclose   in  </w:t>
      </w:r>
      <w:r>
        <w:rPr>
          <w:spacing w:val="6"/>
          <w:w w:val="105"/>
        </w:rPr>
        <w:t>the</w:t>
      </w:r>
    </w:p>
    <w:p>
      <w:pPr>
        <w:pStyle w:val="BodyText"/>
        <w:spacing w:line="254" w:lineRule="auto" w:before="109"/>
        <w:ind w:left="120" w:right="107"/>
        <w:jc w:val="both"/>
      </w:pPr>
      <w:r>
        <w:rPr/>
        <w:br w:type="column"/>
      </w:r>
      <w:r>
        <w:rPr>
          <w:w w:val="110"/>
        </w:rPr>
        <w:t>reports it files with the SEC and to process, summarize, and disclose this information within the time periods  specified  in  the  rules  of  the SEC. The Company’s Chief Executive and Chief Financial Officers are responsible for establishing and maintaining these procedures,  and,  as required by the rules of the SEC, evaluate their effectiveness. Based on their evaluation of the Company’s disclosure controls and procedures which took place as of a date within  90  days  of  the filing date of this report, the Chief Executive and Chief Financial Officers believe that these procedures are effective to ensure that the Company is able to collect, process, and disclose the information it is required to disclose in the reports it files with the SEC within the required time periods.</w:t>
      </w:r>
    </w:p>
    <w:p>
      <w:pPr>
        <w:pStyle w:val="BodyText"/>
        <w:spacing w:before="11"/>
        <w:rPr>
          <w:sz w:val="21"/>
        </w:rPr>
      </w:pPr>
    </w:p>
    <w:p>
      <w:pPr>
        <w:pStyle w:val="BodyText"/>
        <w:ind w:left="120"/>
        <w:jc w:val="both"/>
        <w:rPr>
          <w:rFonts w:ascii="Franklin Gothic Medium"/>
        </w:rPr>
      </w:pPr>
      <w:r>
        <w:rPr>
          <w:rFonts w:ascii="Franklin Gothic Medium"/>
        </w:rPr>
        <w:t>Internal  Controls</w:t>
      </w:r>
    </w:p>
    <w:p>
      <w:pPr>
        <w:pStyle w:val="BodyText"/>
        <w:spacing w:before="2"/>
        <w:rPr>
          <w:rFonts w:ascii="Franklin Gothic Medium"/>
          <w:sz w:val="25"/>
        </w:rPr>
      </w:pPr>
    </w:p>
    <w:p>
      <w:pPr>
        <w:pStyle w:val="BodyText"/>
        <w:spacing w:line="254" w:lineRule="auto"/>
        <w:ind w:left="120" w:right="108" w:firstLine="180"/>
        <w:jc w:val="both"/>
      </w:pPr>
      <w:r>
        <w:rPr>
          <w:w w:val="105"/>
        </w:rPr>
        <w:t>The Company </w:t>
      </w:r>
      <w:r>
        <w:rPr>
          <w:spacing w:val="3"/>
          <w:w w:val="105"/>
        </w:rPr>
        <w:t>maintains </w:t>
      </w:r>
      <w:r>
        <w:rPr>
          <w:w w:val="105"/>
        </w:rPr>
        <w:t>a system of </w:t>
      </w:r>
      <w:r>
        <w:rPr>
          <w:spacing w:val="6"/>
          <w:w w:val="105"/>
        </w:rPr>
        <w:t>internal </w:t>
      </w:r>
      <w:r>
        <w:rPr>
          <w:w w:val="105"/>
        </w:rPr>
        <w:t>controls </w:t>
      </w:r>
      <w:r>
        <w:rPr>
          <w:spacing w:val="2"/>
          <w:w w:val="105"/>
        </w:rPr>
        <w:t>designed   </w:t>
      </w:r>
      <w:r>
        <w:rPr>
          <w:w w:val="105"/>
        </w:rPr>
        <w:t>to  </w:t>
      </w:r>
      <w:r>
        <w:rPr>
          <w:spacing w:val="2"/>
          <w:w w:val="105"/>
        </w:rPr>
        <w:t>provide   </w:t>
      </w:r>
      <w:r>
        <w:rPr>
          <w:spacing w:val="7"/>
          <w:w w:val="105"/>
        </w:rPr>
        <w:t>reasonable </w:t>
      </w:r>
      <w:r>
        <w:rPr>
          <w:w w:val="105"/>
        </w:rPr>
        <w:t>assurance that: transactions are </w:t>
      </w:r>
      <w:r>
        <w:rPr>
          <w:spacing w:val="3"/>
          <w:w w:val="105"/>
        </w:rPr>
        <w:t>executed </w:t>
      </w:r>
      <w:r>
        <w:rPr>
          <w:spacing w:val="12"/>
          <w:w w:val="105"/>
        </w:rPr>
        <w:t>in </w:t>
      </w:r>
      <w:r>
        <w:rPr>
          <w:spacing w:val="3"/>
          <w:w w:val="105"/>
        </w:rPr>
        <w:t>accordance</w:t>
      </w:r>
      <w:r>
        <w:rPr>
          <w:spacing w:val="53"/>
          <w:w w:val="105"/>
        </w:rPr>
        <w:t> </w:t>
      </w:r>
      <w:r>
        <w:rPr>
          <w:w w:val="105"/>
        </w:rPr>
        <w:t>with  </w:t>
      </w:r>
      <w:r>
        <w:rPr>
          <w:spacing w:val="3"/>
          <w:w w:val="105"/>
        </w:rPr>
        <w:t>management’s </w:t>
      </w:r>
      <w:r>
        <w:rPr>
          <w:spacing w:val="53"/>
          <w:w w:val="105"/>
        </w:rPr>
        <w:t> </w:t>
      </w:r>
      <w:r>
        <w:rPr>
          <w:w w:val="105"/>
        </w:rPr>
        <w:t>general   </w:t>
      </w:r>
      <w:r>
        <w:rPr>
          <w:spacing w:val="4"/>
          <w:w w:val="105"/>
        </w:rPr>
        <w:t>or </w:t>
      </w:r>
      <w:r>
        <w:rPr>
          <w:w w:val="105"/>
        </w:rPr>
        <w:t>specific  </w:t>
      </w:r>
      <w:r>
        <w:rPr>
          <w:spacing w:val="2"/>
          <w:w w:val="105"/>
        </w:rPr>
        <w:t>authorization;  </w:t>
      </w:r>
      <w:r>
        <w:rPr>
          <w:w w:val="105"/>
        </w:rPr>
        <w:t>transactions  are   </w:t>
      </w:r>
      <w:r>
        <w:rPr>
          <w:spacing w:val="8"/>
          <w:w w:val="105"/>
        </w:rPr>
        <w:t>recorded </w:t>
      </w:r>
      <w:r>
        <w:rPr>
          <w:w w:val="105"/>
        </w:rPr>
        <w:t>as  necessary  (1)  to  permit  </w:t>
      </w:r>
      <w:r>
        <w:rPr>
          <w:spacing w:val="3"/>
          <w:w w:val="105"/>
        </w:rPr>
        <w:t>preparation   </w:t>
      </w:r>
      <w:r>
        <w:rPr>
          <w:spacing w:val="6"/>
          <w:w w:val="105"/>
        </w:rPr>
        <w:t>of  </w:t>
      </w:r>
      <w:r>
        <w:rPr>
          <w:spacing w:val="2"/>
          <w:w w:val="105"/>
        </w:rPr>
        <w:t>financial </w:t>
      </w:r>
      <w:r>
        <w:rPr>
          <w:w w:val="105"/>
        </w:rPr>
        <w:t>statements in conformity with generally </w:t>
      </w:r>
      <w:r>
        <w:rPr>
          <w:spacing w:val="2"/>
          <w:w w:val="105"/>
        </w:rPr>
        <w:t>accepted  accounting  </w:t>
      </w:r>
      <w:r>
        <w:rPr>
          <w:w w:val="105"/>
        </w:rPr>
        <w:t>principles,  and  (2)  </w:t>
      </w:r>
      <w:r>
        <w:rPr>
          <w:spacing w:val="4"/>
          <w:w w:val="105"/>
        </w:rPr>
        <w:t>to </w:t>
      </w:r>
      <w:r>
        <w:rPr>
          <w:spacing w:val="3"/>
          <w:w w:val="105"/>
        </w:rPr>
        <w:t>maintain</w:t>
      </w:r>
      <w:r>
        <w:rPr>
          <w:spacing w:val="53"/>
          <w:w w:val="105"/>
        </w:rPr>
        <w:t> </w:t>
      </w:r>
      <w:r>
        <w:rPr>
          <w:spacing w:val="2"/>
          <w:w w:val="105"/>
        </w:rPr>
        <w:t>accountability  </w:t>
      </w:r>
      <w:r>
        <w:rPr>
          <w:w w:val="105"/>
        </w:rPr>
        <w:t>for  assets;   access   </w:t>
      </w:r>
      <w:r>
        <w:rPr>
          <w:spacing w:val="4"/>
          <w:w w:val="105"/>
        </w:rPr>
        <w:t>to </w:t>
      </w:r>
      <w:r>
        <w:rPr>
          <w:w w:val="105"/>
        </w:rPr>
        <w:t>assets is </w:t>
      </w:r>
      <w:r>
        <w:rPr>
          <w:spacing w:val="2"/>
          <w:w w:val="105"/>
        </w:rPr>
        <w:t>permitted </w:t>
      </w:r>
      <w:r>
        <w:rPr>
          <w:w w:val="105"/>
        </w:rPr>
        <w:t>only in </w:t>
      </w:r>
      <w:r>
        <w:rPr>
          <w:spacing w:val="3"/>
          <w:w w:val="105"/>
        </w:rPr>
        <w:t>accordance </w:t>
      </w:r>
      <w:r>
        <w:rPr>
          <w:spacing w:val="9"/>
          <w:w w:val="105"/>
        </w:rPr>
        <w:t>with </w:t>
      </w:r>
      <w:r>
        <w:rPr>
          <w:spacing w:val="3"/>
          <w:w w:val="105"/>
        </w:rPr>
        <w:t>management’s </w:t>
      </w:r>
      <w:r>
        <w:rPr>
          <w:w w:val="105"/>
        </w:rPr>
        <w:t>general or specific </w:t>
      </w:r>
      <w:r>
        <w:rPr>
          <w:spacing w:val="7"/>
          <w:w w:val="105"/>
        </w:rPr>
        <w:t>authorization;  </w:t>
      </w:r>
      <w:r>
        <w:rPr>
          <w:w w:val="105"/>
        </w:rPr>
        <w:t>and the </w:t>
      </w:r>
      <w:r>
        <w:rPr>
          <w:spacing w:val="2"/>
          <w:w w:val="105"/>
        </w:rPr>
        <w:t>recorded accountability </w:t>
      </w:r>
      <w:r>
        <w:rPr>
          <w:w w:val="105"/>
        </w:rPr>
        <w:t>for assets </w:t>
      </w:r>
      <w:r>
        <w:rPr>
          <w:spacing w:val="3"/>
          <w:w w:val="105"/>
        </w:rPr>
        <w:t>is </w:t>
      </w:r>
      <w:r>
        <w:rPr>
          <w:spacing w:val="2"/>
          <w:w w:val="105"/>
        </w:rPr>
        <w:t>compared with </w:t>
      </w:r>
      <w:r>
        <w:rPr>
          <w:w w:val="105"/>
        </w:rPr>
        <w:t>the existing assets at </w:t>
      </w:r>
      <w:r>
        <w:rPr>
          <w:spacing w:val="7"/>
          <w:w w:val="105"/>
        </w:rPr>
        <w:t>reasonable </w:t>
      </w:r>
      <w:r>
        <w:rPr>
          <w:w w:val="105"/>
        </w:rPr>
        <w:t>intervals and </w:t>
      </w:r>
      <w:r>
        <w:rPr>
          <w:spacing w:val="3"/>
          <w:w w:val="105"/>
        </w:rPr>
        <w:t>appropriate </w:t>
      </w:r>
      <w:r>
        <w:rPr>
          <w:w w:val="105"/>
        </w:rPr>
        <w:t>action is taken  </w:t>
      </w:r>
      <w:r>
        <w:rPr>
          <w:spacing w:val="9"/>
          <w:w w:val="105"/>
        </w:rPr>
        <w:t>with </w:t>
      </w:r>
      <w:r>
        <w:rPr>
          <w:w w:val="105"/>
        </w:rPr>
        <w:t>respect  to  any </w:t>
      </w:r>
      <w:r>
        <w:rPr>
          <w:spacing w:val="19"/>
          <w:w w:val="105"/>
        </w:rPr>
        <w:t> </w:t>
      </w:r>
      <w:r>
        <w:rPr>
          <w:spacing w:val="2"/>
          <w:w w:val="105"/>
        </w:rPr>
        <w:t>differences.</w:t>
      </w:r>
    </w:p>
    <w:p>
      <w:pPr>
        <w:pStyle w:val="BodyText"/>
        <w:spacing w:line="254" w:lineRule="auto" w:before="1"/>
        <w:ind w:left="120" w:right="101" w:firstLine="180"/>
        <w:jc w:val="both"/>
      </w:pPr>
      <w:r>
        <w:rPr>
          <w:w w:val="105"/>
        </w:rPr>
        <w:t>Since the date of the  most  recent  </w:t>
      </w:r>
      <w:r>
        <w:rPr>
          <w:spacing w:val="3"/>
          <w:w w:val="105"/>
        </w:rPr>
        <w:t>evaluation  </w:t>
      </w:r>
      <w:r>
        <w:rPr>
          <w:spacing w:val="6"/>
          <w:w w:val="105"/>
        </w:rPr>
        <w:t>of </w:t>
      </w:r>
      <w:r>
        <w:rPr>
          <w:w w:val="105"/>
        </w:rPr>
        <w:t>the Company’s internal controls by the </w:t>
      </w:r>
      <w:r>
        <w:rPr>
          <w:spacing w:val="8"/>
          <w:w w:val="105"/>
        </w:rPr>
        <w:t>Chief </w:t>
      </w:r>
      <w:r>
        <w:rPr>
          <w:spacing w:val="3"/>
          <w:w w:val="105"/>
        </w:rPr>
        <w:t>Executive</w:t>
      </w:r>
      <w:r>
        <w:rPr>
          <w:spacing w:val="53"/>
          <w:w w:val="105"/>
        </w:rPr>
        <w:t> </w:t>
      </w:r>
      <w:r>
        <w:rPr>
          <w:w w:val="105"/>
        </w:rPr>
        <w:t>and  Chief   </w:t>
      </w:r>
      <w:r>
        <w:rPr>
          <w:spacing w:val="2"/>
          <w:w w:val="105"/>
        </w:rPr>
        <w:t>Financial   </w:t>
      </w:r>
      <w:r>
        <w:rPr>
          <w:w w:val="105"/>
        </w:rPr>
        <w:t>Officers,   </w:t>
      </w:r>
      <w:r>
        <w:rPr>
          <w:spacing w:val="7"/>
          <w:w w:val="105"/>
        </w:rPr>
        <w:t>there </w:t>
      </w:r>
      <w:r>
        <w:rPr>
          <w:spacing w:val="2"/>
          <w:w w:val="105"/>
        </w:rPr>
        <w:t>have  been  </w:t>
      </w:r>
      <w:r>
        <w:rPr>
          <w:w w:val="105"/>
        </w:rPr>
        <w:t>no  </w:t>
      </w:r>
      <w:r>
        <w:rPr>
          <w:spacing w:val="2"/>
          <w:w w:val="105"/>
        </w:rPr>
        <w:t>significant  changes   </w:t>
      </w:r>
      <w:r>
        <w:rPr>
          <w:w w:val="105"/>
        </w:rPr>
        <w:t>in   </w:t>
      </w:r>
      <w:r>
        <w:rPr>
          <w:spacing w:val="8"/>
          <w:w w:val="105"/>
        </w:rPr>
        <w:t>such </w:t>
      </w:r>
      <w:r>
        <w:rPr>
          <w:w w:val="105"/>
        </w:rPr>
        <w:t>controls or in other factors that could </w:t>
      </w:r>
      <w:r>
        <w:rPr>
          <w:spacing w:val="16"/>
          <w:w w:val="105"/>
        </w:rPr>
        <w:t>have </w:t>
      </w:r>
      <w:r>
        <w:rPr>
          <w:w w:val="105"/>
        </w:rPr>
        <w:t>significantly affected those controls, including </w:t>
      </w:r>
      <w:r>
        <w:rPr>
          <w:spacing w:val="6"/>
          <w:w w:val="105"/>
        </w:rPr>
        <w:t>any </w:t>
      </w:r>
      <w:r>
        <w:rPr>
          <w:w w:val="105"/>
        </w:rPr>
        <w:t>corrective actions with regard to </w:t>
      </w:r>
      <w:r>
        <w:rPr>
          <w:spacing w:val="6"/>
          <w:w w:val="105"/>
        </w:rPr>
        <w:t>significant </w:t>
      </w:r>
      <w:r>
        <w:rPr>
          <w:spacing w:val="2"/>
          <w:w w:val="105"/>
        </w:rPr>
        <w:t>deficiencies   </w:t>
      </w:r>
      <w:r>
        <w:rPr>
          <w:w w:val="105"/>
        </w:rPr>
        <w:t>and   </w:t>
      </w:r>
      <w:r>
        <w:rPr>
          <w:spacing w:val="2"/>
          <w:w w:val="105"/>
        </w:rPr>
        <w:t>material  </w:t>
      </w:r>
      <w:r>
        <w:rPr>
          <w:spacing w:val="6"/>
          <w:w w:val="105"/>
        </w:rPr>
        <w:t> </w:t>
      </w:r>
      <w:r>
        <w:rPr>
          <w:spacing w:val="3"/>
          <w:w w:val="105"/>
        </w:rPr>
        <w:t>weaknesses.</w:t>
      </w:r>
    </w:p>
    <w:p>
      <w:pPr>
        <w:spacing w:after="0" w:line="254" w:lineRule="auto"/>
        <w:jc w:val="both"/>
        <w:sectPr>
          <w:headerReference w:type="default" r:id="rId159"/>
          <w:footerReference w:type="default" r:id="rId160"/>
          <w:footerReference w:type="even" r:id="rId161"/>
          <w:pgSz w:w="11520" w:h="14400"/>
          <w:pgMar w:header="0" w:footer="706" w:top="920" w:bottom="900" w:left="680" w:right="840"/>
          <w:pgNumType w:start="55"/>
          <w:cols w:num="2" w:equalWidth="0">
            <w:col w:w="4752" w:space="388"/>
            <w:col w:w="4860"/>
          </w:cols>
        </w:sectPr>
      </w:pPr>
    </w:p>
    <w:p>
      <w:pPr>
        <w:pStyle w:val="Heading1"/>
      </w:pPr>
      <w:bookmarkStart w:name="Exhibits and Reports" w:id="67"/>
      <w:bookmarkEnd w:id="67"/>
      <w:r>
        <w:rPr/>
      </w:r>
      <w:r>
        <w:rPr/>
        <w:t>PART IV</w:t>
      </w:r>
    </w:p>
    <w:p>
      <w:pPr>
        <w:pStyle w:val="BodyText"/>
        <w:spacing w:before="5"/>
        <w:rPr>
          <w:rFonts w:ascii="Franklin Gothic Medium"/>
          <w:sz w:val="24"/>
        </w:rPr>
      </w:pPr>
    </w:p>
    <w:p>
      <w:pPr>
        <w:spacing w:before="0"/>
        <w:ind w:left="100" w:right="0" w:firstLine="0"/>
        <w:jc w:val="left"/>
        <w:rPr>
          <w:i/>
          <w:sz w:val="20"/>
        </w:rPr>
      </w:pPr>
      <w:r>
        <w:rPr>
          <w:rFonts w:ascii="Franklin Gothic Medium"/>
          <w:w w:val="105"/>
          <w:sz w:val="20"/>
        </w:rPr>
        <w:t>Item  15.    </w:t>
      </w:r>
      <w:r>
        <w:rPr>
          <w:i/>
          <w:w w:val="105"/>
          <w:sz w:val="20"/>
        </w:rPr>
        <w:t>Exhibits,  Financial  Statement  Schedules,  and  Reports  on  Form 8-K</w:t>
      </w:r>
    </w:p>
    <w:p>
      <w:pPr>
        <w:pStyle w:val="ListParagraph"/>
        <w:numPr>
          <w:ilvl w:val="1"/>
          <w:numId w:val="6"/>
        </w:numPr>
        <w:tabs>
          <w:tab w:pos="640" w:val="left" w:leader="none"/>
          <w:tab w:pos="1539" w:val="left" w:leader="none"/>
        </w:tabs>
        <w:spacing w:line="240" w:lineRule="auto" w:before="135" w:after="0"/>
        <w:ind w:left="639" w:right="0" w:hanging="359"/>
        <w:jc w:val="left"/>
        <w:rPr>
          <w:sz w:val="20"/>
        </w:rPr>
      </w:pPr>
      <w:r>
        <w:rPr>
          <w:w w:val="110"/>
          <w:sz w:val="20"/>
        </w:rPr>
        <w:t>1.</w:t>
        <w:tab/>
      </w:r>
      <w:r>
        <w:rPr>
          <w:spacing w:val="2"/>
          <w:w w:val="110"/>
          <w:sz w:val="20"/>
        </w:rPr>
        <w:t>Financial</w:t>
      </w:r>
      <w:r>
        <w:rPr>
          <w:spacing w:val="36"/>
          <w:w w:val="110"/>
          <w:sz w:val="20"/>
        </w:rPr>
        <w:t> </w:t>
      </w:r>
      <w:r>
        <w:rPr>
          <w:spacing w:val="3"/>
          <w:w w:val="110"/>
          <w:sz w:val="20"/>
        </w:rPr>
        <w:t>Statements:</w:t>
      </w:r>
    </w:p>
    <w:p>
      <w:pPr>
        <w:pStyle w:val="BodyText"/>
        <w:spacing w:before="15"/>
        <w:ind w:left="1540"/>
        <w:jc w:val="both"/>
      </w:pPr>
      <w:r>
        <w:rPr>
          <w:w w:val="110"/>
        </w:rPr>
        <w:t>The financial statements included in Item 8 above are filed as part of this annual report.</w:t>
      </w:r>
    </w:p>
    <w:p>
      <w:pPr>
        <w:pStyle w:val="BodyText"/>
        <w:spacing w:before="8"/>
        <w:rPr>
          <w:sz w:val="17"/>
        </w:rPr>
      </w:pPr>
    </w:p>
    <w:p>
      <w:pPr>
        <w:pStyle w:val="ListParagraph"/>
        <w:numPr>
          <w:ilvl w:val="0"/>
          <w:numId w:val="7"/>
        </w:numPr>
        <w:tabs>
          <w:tab w:pos="1539" w:val="left" w:leader="none"/>
          <w:tab w:pos="1540" w:val="left" w:leader="none"/>
        </w:tabs>
        <w:spacing w:line="240" w:lineRule="auto" w:before="0" w:after="0"/>
        <w:ind w:left="1540" w:right="0" w:hanging="900"/>
        <w:jc w:val="left"/>
        <w:rPr>
          <w:sz w:val="20"/>
        </w:rPr>
      </w:pPr>
      <w:r>
        <w:rPr>
          <w:spacing w:val="2"/>
          <w:w w:val="110"/>
          <w:sz w:val="20"/>
        </w:rPr>
        <w:t>Financial  Statement</w:t>
      </w:r>
      <w:r>
        <w:rPr>
          <w:spacing w:val="30"/>
          <w:w w:val="110"/>
          <w:sz w:val="20"/>
        </w:rPr>
        <w:t> </w:t>
      </w:r>
      <w:r>
        <w:rPr>
          <w:spacing w:val="3"/>
          <w:w w:val="110"/>
          <w:sz w:val="20"/>
        </w:rPr>
        <w:t>Schedules:</w:t>
      </w:r>
    </w:p>
    <w:p>
      <w:pPr>
        <w:pStyle w:val="BodyText"/>
        <w:spacing w:line="254" w:lineRule="auto" w:before="15"/>
        <w:ind w:left="1540" w:right="117"/>
        <w:jc w:val="both"/>
      </w:pPr>
      <w:r>
        <w:rPr>
          <w:w w:val="110"/>
        </w:rPr>
        <w:t>There are no financial statement schedules filed as part of this </w:t>
      </w:r>
      <w:r>
        <w:rPr>
          <w:spacing w:val="2"/>
          <w:w w:val="110"/>
        </w:rPr>
        <w:t>annual </w:t>
      </w:r>
      <w:r>
        <w:rPr>
          <w:w w:val="110"/>
        </w:rPr>
        <w:t>report, since </w:t>
      </w:r>
      <w:r>
        <w:rPr>
          <w:spacing w:val="6"/>
          <w:w w:val="110"/>
        </w:rPr>
        <w:t>the </w:t>
      </w:r>
      <w:r>
        <w:rPr>
          <w:spacing w:val="2"/>
          <w:w w:val="110"/>
        </w:rPr>
        <w:t>required </w:t>
      </w:r>
      <w:r>
        <w:rPr>
          <w:spacing w:val="3"/>
          <w:w w:val="110"/>
        </w:rPr>
        <w:t>information </w:t>
      </w:r>
      <w:r>
        <w:rPr>
          <w:w w:val="110"/>
        </w:rPr>
        <w:t>is </w:t>
      </w:r>
      <w:r>
        <w:rPr>
          <w:spacing w:val="3"/>
          <w:w w:val="110"/>
        </w:rPr>
        <w:t>included </w:t>
      </w:r>
      <w:r>
        <w:rPr>
          <w:w w:val="110"/>
        </w:rPr>
        <w:t>in the </w:t>
      </w:r>
      <w:r>
        <w:rPr>
          <w:spacing w:val="2"/>
          <w:w w:val="110"/>
        </w:rPr>
        <w:t>consolidated financial </w:t>
      </w:r>
      <w:r>
        <w:rPr>
          <w:w w:val="110"/>
        </w:rPr>
        <w:t>statements, </w:t>
      </w:r>
      <w:r>
        <w:rPr>
          <w:spacing w:val="2"/>
          <w:w w:val="110"/>
        </w:rPr>
        <w:t>including </w:t>
      </w:r>
      <w:r>
        <w:rPr>
          <w:spacing w:val="6"/>
          <w:w w:val="110"/>
        </w:rPr>
        <w:t>the </w:t>
      </w:r>
      <w:r>
        <w:rPr>
          <w:w w:val="110"/>
        </w:rPr>
        <w:t>notes thereto, or the </w:t>
      </w:r>
      <w:r>
        <w:rPr>
          <w:spacing w:val="2"/>
          <w:w w:val="110"/>
        </w:rPr>
        <w:t>circumstances requiring inclusion  </w:t>
      </w:r>
      <w:r>
        <w:rPr>
          <w:w w:val="110"/>
        </w:rPr>
        <w:t>of  such  schedules  are  </w:t>
      </w:r>
      <w:r>
        <w:rPr>
          <w:spacing w:val="6"/>
          <w:w w:val="110"/>
        </w:rPr>
        <w:t>not </w:t>
      </w:r>
      <w:r>
        <w:rPr>
          <w:spacing w:val="5"/>
          <w:w w:val="110"/>
        </w:rPr>
        <w:t>present.</w:t>
      </w:r>
    </w:p>
    <w:p>
      <w:pPr>
        <w:pStyle w:val="BodyText"/>
        <w:spacing w:before="5"/>
        <w:rPr>
          <w:sz w:val="16"/>
        </w:rPr>
      </w:pPr>
    </w:p>
    <w:p>
      <w:pPr>
        <w:pStyle w:val="ListParagraph"/>
        <w:numPr>
          <w:ilvl w:val="0"/>
          <w:numId w:val="7"/>
        </w:numPr>
        <w:tabs>
          <w:tab w:pos="1539" w:val="left" w:leader="none"/>
          <w:tab w:pos="1540" w:val="left" w:leader="none"/>
        </w:tabs>
        <w:spacing w:line="240" w:lineRule="auto" w:before="0" w:after="0"/>
        <w:ind w:left="1540" w:right="0" w:hanging="900"/>
        <w:jc w:val="left"/>
        <w:rPr>
          <w:sz w:val="20"/>
        </w:rPr>
      </w:pPr>
      <w:r>
        <w:rPr>
          <w:spacing w:val="7"/>
          <w:w w:val="110"/>
          <w:sz w:val="20"/>
        </w:rPr>
        <w:t>Exhibits:</w:t>
      </w:r>
    </w:p>
    <w:p>
      <w:pPr>
        <w:pStyle w:val="BodyText"/>
        <w:spacing w:before="8"/>
        <w:rPr>
          <w:sz w:val="17"/>
        </w:rPr>
      </w:pPr>
    </w:p>
    <w:p>
      <w:pPr>
        <w:pStyle w:val="ListParagraph"/>
        <w:numPr>
          <w:ilvl w:val="1"/>
          <w:numId w:val="7"/>
        </w:numPr>
        <w:tabs>
          <w:tab w:pos="1539" w:val="left" w:leader="none"/>
          <w:tab w:pos="1540" w:val="left" w:leader="none"/>
        </w:tabs>
        <w:spacing w:line="254" w:lineRule="auto" w:before="0" w:after="0"/>
        <w:ind w:left="1540" w:right="112" w:hanging="900"/>
        <w:jc w:val="both"/>
        <w:rPr>
          <w:sz w:val="20"/>
        </w:rPr>
      </w:pP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w w:val="105"/>
          <w:sz w:val="20"/>
        </w:rPr>
        <w:t>to Southwest’s Registration Statement on Form S-3 [File No. 33-52155]); </w:t>
      </w:r>
      <w:r>
        <w:rPr>
          <w:spacing w:val="4"/>
          <w:w w:val="105"/>
          <w:sz w:val="20"/>
        </w:rPr>
        <w:t>Amendment to  </w:t>
      </w: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Southwest’s Quarterly Report on  Form  10-Q  for  the  quarter  </w:t>
      </w:r>
      <w:r>
        <w:rPr>
          <w:spacing w:val="2"/>
          <w:w w:val="105"/>
          <w:sz w:val="20"/>
        </w:rPr>
        <w:t>ended  June  </w:t>
      </w:r>
      <w:r>
        <w:rPr>
          <w:w w:val="105"/>
          <w:sz w:val="20"/>
        </w:rPr>
        <w:t>30,  1996  </w:t>
      </w:r>
      <w:r>
        <w:rPr>
          <w:spacing w:val="5"/>
          <w:w w:val="105"/>
          <w:sz w:val="20"/>
        </w:rPr>
        <w:t>[File </w:t>
      </w:r>
      <w:r>
        <w:rPr>
          <w:w w:val="105"/>
          <w:sz w:val="20"/>
        </w:rPr>
        <w:t>No.  1-7259]);  </w:t>
      </w:r>
      <w:r>
        <w:rPr>
          <w:spacing w:val="4"/>
          <w:w w:val="105"/>
          <w:sz w:val="20"/>
        </w:rPr>
        <w:t>Amendment  </w:t>
      </w:r>
      <w:r>
        <w:rPr>
          <w:w w:val="105"/>
          <w:sz w:val="20"/>
        </w:rPr>
        <w:t>to  Restated  Articles  of  </w:t>
      </w:r>
      <w:r>
        <w:rPr>
          <w:spacing w:val="3"/>
          <w:w w:val="105"/>
          <w:sz w:val="20"/>
        </w:rPr>
        <w:t>Incorporation</w:t>
      </w:r>
      <w:r>
        <w:rPr>
          <w:spacing w:val="53"/>
          <w:w w:val="105"/>
          <w:sz w:val="20"/>
        </w:rPr>
        <w:t> </w:t>
      </w:r>
      <w:r>
        <w:rPr>
          <w:w w:val="105"/>
          <w:sz w:val="20"/>
        </w:rPr>
        <w:t>of   </w:t>
      </w:r>
      <w:r>
        <w:rPr>
          <w:spacing w:val="5"/>
          <w:w w:val="105"/>
          <w:sz w:val="20"/>
        </w:rPr>
        <w:t>Southwest </w:t>
      </w:r>
      <w:r>
        <w:rPr>
          <w:w w:val="105"/>
          <w:sz w:val="20"/>
        </w:rPr>
        <w:t>(incorporated by reference to </w:t>
      </w:r>
      <w:r>
        <w:rPr>
          <w:spacing w:val="2"/>
          <w:w w:val="105"/>
          <w:sz w:val="20"/>
          <w:u w:val="single"/>
        </w:rPr>
        <w:t>Exhibit </w:t>
      </w:r>
      <w:r>
        <w:rPr>
          <w:w w:val="105"/>
          <w:sz w:val="20"/>
          <w:u w:val="single"/>
        </w:rPr>
        <w:t>3.1 </w:t>
      </w:r>
      <w:r>
        <w:rPr>
          <w:w w:val="105"/>
          <w:sz w:val="20"/>
        </w:rPr>
        <w:t>to Southwest’s Quarterly Report on  Form  10-Q  </w:t>
      </w:r>
      <w:r>
        <w:rPr>
          <w:spacing w:val="2"/>
          <w:w w:val="105"/>
          <w:sz w:val="20"/>
        </w:rPr>
        <w:t>for  </w:t>
      </w:r>
      <w:r>
        <w:rPr>
          <w:w w:val="105"/>
          <w:sz w:val="20"/>
        </w:rPr>
        <w:t>the quarter </w:t>
      </w:r>
      <w:r>
        <w:rPr>
          <w:spacing w:val="2"/>
          <w:w w:val="105"/>
          <w:sz w:val="20"/>
        </w:rPr>
        <w:t>ended June </w:t>
      </w:r>
      <w:r>
        <w:rPr>
          <w:w w:val="105"/>
          <w:sz w:val="20"/>
        </w:rPr>
        <w:t>30, 1998 [File No. 1-7259]); </w:t>
      </w:r>
      <w:r>
        <w:rPr>
          <w:spacing w:val="4"/>
          <w:w w:val="105"/>
          <w:sz w:val="20"/>
        </w:rPr>
        <w:t>Amendment </w:t>
      </w:r>
      <w:r>
        <w:rPr>
          <w:w w:val="105"/>
          <w:sz w:val="20"/>
        </w:rPr>
        <w:t>to Restated Articles </w:t>
      </w:r>
      <w:r>
        <w:rPr>
          <w:spacing w:val="6"/>
          <w:w w:val="105"/>
          <w:sz w:val="20"/>
        </w:rPr>
        <w:t>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4.2 </w:t>
      </w:r>
      <w:r>
        <w:rPr>
          <w:w w:val="105"/>
          <w:sz w:val="20"/>
        </w:rPr>
        <w:t>to </w:t>
      </w:r>
      <w:r>
        <w:rPr>
          <w:spacing w:val="3"/>
          <w:w w:val="105"/>
          <w:sz w:val="20"/>
        </w:rPr>
        <w:t>Southwest’s </w:t>
      </w:r>
      <w:r>
        <w:rPr>
          <w:w w:val="105"/>
          <w:sz w:val="20"/>
        </w:rPr>
        <w:t>Registration Statement  on  Form  S-8  (File  No.  333-82735);  Amendment  to  Restated  Articles 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w:t>
      </w:r>
      <w:r>
        <w:rPr>
          <w:spacing w:val="3"/>
          <w:w w:val="105"/>
          <w:sz w:val="20"/>
        </w:rPr>
        <w:t>Southwest’s </w:t>
      </w:r>
      <w:r>
        <w:rPr>
          <w:w w:val="105"/>
          <w:sz w:val="20"/>
        </w:rPr>
        <w:t>Quarterly</w:t>
      </w:r>
      <w:r>
        <w:rPr>
          <w:spacing w:val="35"/>
          <w:w w:val="105"/>
          <w:sz w:val="20"/>
        </w:rPr>
        <w:t> </w:t>
      </w:r>
      <w:r>
        <w:rPr>
          <w:w w:val="105"/>
          <w:sz w:val="20"/>
        </w:rPr>
        <w:t>Report</w:t>
      </w:r>
      <w:r>
        <w:rPr>
          <w:spacing w:val="35"/>
          <w:w w:val="105"/>
          <w:sz w:val="20"/>
        </w:rPr>
        <w:t> </w:t>
      </w:r>
      <w:r>
        <w:rPr>
          <w:w w:val="105"/>
          <w:sz w:val="20"/>
        </w:rPr>
        <w:t>on</w:t>
      </w:r>
      <w:r>
        <w:rPr>
          <w:spacing w:val="35"/>
          <w:w w:val="105"/>
          <w:sz w:val="20"/>
        </w:rPr>
        <w:t> </w:t>
      </w:r>
      <w:r>
        <w:rPr>
          <w:w w:val="105"/>
          <w:sz w:val="20"/>
        </w:rPr>
        <w:t>Form</w:t>
      </w:r>
      <w:r>
        <w:rPr>
          <w:spacing w:val="35"/>
          <w:w w:val="105"/>
          <w:sz w:val="20"/>
        </w:rPr>
        <w:t> </w:t>
      </w:r>
      <w:r>
        <w:rPr>
          <w:w w:val="105"/>
          <w:sz w:val="20"/>
        </w:rPr>
        <w:t>10-Q</w:t>
      </w:r>
      <w:r>
        <w:rPr>
          <w:spacing w:val="35"/>
          <w:w w:val="105"/>
          <w:sz w:val="20"/>
        </w:rPr>
        <w:t> </w:t>
      </w:r>
      <w:r>
        <w:rPr>
          <w:w w:val="105"/>
          <w:sz w:val="20"/>
        </w:rPr>
        <w:t>for</w:t>
      </w:r>
      <w:r>
        <w:rPr>
          <w:spacing w:val="35"/>
          <w:w w:val="105"/>
          <w:sz w:val="20"/>
        </w:rPr>
        <w:t> </w:t>
      </w:r>
      <w:r>
        <w:rPr>
          <w:w w:val="105"/>
          <w:sz w:val="20"/>
        </w:rPr>
        <w:t>the</w:t>
      </w:r>
      <w:r>
        <w:rPr>
          <w:spacing w:val="35"/>
          <w:w w:val="105"/>
          <w:sz w:val="20"/>
        </w:rPr>
        <w:t> </w:t>
      </w:r>
      <w:r>
        <w:rPr>
          <w:w w:val="105"/>
          <w:sz w:val="20"/>
        </w:rPr>
        <w:t>quarter</w:t>
      </w:r>
      <w:r>
        <w:rPr>
          <w:spacing w:val="35"/>
          <w:w w:val="105"/>
          <w:sz w:val="20"/>
        </w:rPr>
        <w:t> </w:t>
      </w:r>
      <w:r>
        <w:rPr>
          <w:w w:val="105"/>
          <w:sz w:val="20"/>
        </w:rPr>
        <w:t>ended</w:t>
      </w:r>
      <w:r>
        <w:rPr>
          <w:spacing w:val="35"/>
          <w:w w:val="105"/>
          <w:sz w:val="20"/>
        </w:rPr>
        <w:t> </w:t>
      </w:r>
      <w:r>
        <w:rPr>
          <w:w w:val="105"/>
          <w:sz w:val="20"/>
        </w:rPr>
        <w:t>June</w:t>
      </w:r>
      <w:r>
        <w:rPr>
          <w:spacing w:val="35"/>
          <w:w w:val="105"/>
          <w:sz w:val="20"/>
        </w:rPr>
        <w:t> </w:t>
      </w:r>
      <w:r>
        <w:rPr>
          <w:w w:val="105"/>
          <w:sz w:val="20"/>
        </w:rPr>
        <w:t>30,</w:t>
      </w:r>
      <w:r>
        <w:rPr>
          <w:spacing w:val="35"/>
          <w:w w:val="105"/>
          <w:sz w:val="20"/>
        </w:rPr>
        <w:t> </w:t>
      </w:r>
      <w:r>
        <w:rPr>
          <w:w w:val="105"/>
          <w:sz w:val="20"/>
        </w:rPr>
        <w:t>2001</w:t>
      </w:r>
      <w:r>
        <w:rPr>
          <w:spacing w:val="35"/>
          <w:w w:val="105"/>
          <w:sz w:val="20"/>
        </w:rPr>
        <w:t> </w:t>
      </w:r>
      <w:r>
        <w:rPr>
          <w:w w:val="105"/>
          <w:sz w:val="20"/>
        </w:rPr>
        <w:t>(File</w:t>
      </w:r>
      <w:r>
        <w:rPr>
          <w:spacing w:val="35"/>
          <w:w w:val="105"/>
          <w:sz w:val="20"/>
        </w:rPr>
        <w:t> </w:t>
      </w:r>
      <w:r>
        <w:rPr>
          <w:w w:val="105"/>
          <w:sz w:val="20"/>
        </w:rPr>
        <w:t>No.</w:t>
      </w:r>
      <w:r>
        <w:rPr>
          <w:spacing w:val="35"/>
          <w:w w:val="105"/>
          <w:sz w:val="20"/>
        </w:rPr>
        <w:t> </w:t>
      </w:r>
      <w:r>
        <w:rPr>
          <w:w w:val="105"/>
          <w:sz w:val="20"/>
        </w:rPr>
        <w:t>1-7259).</w:t>
      </w:r>
    </w:p>
    <w:p>
      <w:pPr>
        <w:pStyle w:val="BodyText"/>
        <w:spacing w:before="5"/>
        <w:rPr>
          <w:sz w:val="16"/>
        </w:rPr>
      </w:pPr>
    </w:p>
    <w:p>
      <w:pPr>
        <w:pStyle w:val="ListParagraph"/>
        <w:numPr>
          <w:ilvl w:val="1"/>
          <w:numId w:val="7"/>
        </w:numPr>
        <w:tabs>
          <w:tab w:pos="1540" w:val="left" w:leader="none"/>
          <w:tab w:pos="1541" w:val="left" w:leader="none"/>
        </w:tabs>
        <w:spacing w:line="254" w:lineRule="auto" w:before="0" w:after="0"/>
        <w:ind w:left="1540" w:right="117" w:hanging="900"/>
        <w:jc w:val="both"/>
        <w:rPr>
          <w:sz w:val="20"/>
        </w:rPr>
      </w:pPr>
      <w:r>
        <w:rPr>
          <w:w w:val="105"/>
          <w:sz w:val="20"/>
        </w:rPr>
        <w:t>Bylaws  of  Southwest,  as  </w:t>
      </w:r>
      <w:r>
        <w:rPr>
          <w:spacing w:val="4"/>
          <w:w w:val="105"/>
          <w:sz w:val="20"/>
        </w:rPr>
        <w:t>amended  </w:t>
      </w:r>
      <w:r>
        <w:rPr>
          <w:w w:val="105"/>
          <w:sz w:val="20"/>
        </w:rPr>
        <w:t>through  May  2002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3.2 </w:t>
      </w:r>
      <w:r>
        <w:rPr>
          <w:w w:val="105"/>
          <w:sz w:val="20"/>
        </w:rPr>
        <w:t>to Southwest’s Quarterly Report on Form 10-Q for the  quarter  </w:t>
      </w:r>
      <w:r>
        <w:rPr>
          <w:spacing w:val="2"/>
          <w:w w:val="105"/>
          <w:sz w:val="20"/>
        </w:rPr>
        <w:t>ended  June  </w:t>
      </w:r>
      <w:r>
        <w:rPr>
          <w:w w:val="105"/>
          <w:sz w:val="20"/>
        </w:rPr>
        <w:t>30,  2001  (File  No. </w:t>
      </w:r>
      <w:r>
        <w:rPr>
          <w:spacing w:val="25"/>
          <w:w w:val="105"/>
          <w:sz w:val="20"/>
        </w:rPr>
        <w:t> </w:t>
      </w:r>
      <w:r>
        <w:rPr>
          <w:w w:val="105"/>
          <w:sz w:val="20"/>
        </w:rPr>
        <w:t>1-7259).</w:t>
      </w:r>
    </w:p>
    <w:p>
      <w:pPr>
        <w:pStyle w:val="BodyText"/>
        <w:spacing w:before="5"/>
        <w:rPr>
          <w:sz w:val="16"/>
        </w:rPr>
      </w:pPr>
    </w:p>
    <w:p>
      <w:pPr>
        <w:pStyle w:val="ListParagraph"/>
        <w:numPr>
          <w:ilvl w:val="1"/>
          <w:numId w:val="8"/>
        </w:numPr>
        <w:tabs>
          <w:tab w:pos="1540" w:val="left" w:leader="none"/>
          <w:tab w:pos="1541" w:val="left" w:leader="none"/>
        </w:tabs>
        <w:spacing w:line="254" w:lineRule="auto" w:before="0" w:after="0"/>
        <w:ind w:left="1540" w:right="102" w:hanging="900"/>
        <w:jc w:val="both"/>
        <w:rPr>
          <w:sz w:val="20"/>
        </w:rPr>
      </w:pPr>
      <w:r>
        <w:rPr>
          <w:w w:val="105"/>
          <w:sz w:val="20"/>
        </w:rPr>
        <w:t>364-Day  </w:t>
      </w:r>
      <w:r>
        <w:rPr>
          <w:spacing w:val="3"/>
          <w:w w:val="105"/>
          <w:sz w:val="20"/>
        </w:rPr>
        <w:t>Competitive</w:t>
      </w:r>
      <w:r>
        <w:rPr>
          <w:spacing w:val="53"/>
          <w:w w:val="105"/>
          <w:sz w:val="20"/>
        </w:rPr>
        <w:t> </w:t>
      </w:r>
      <w:r>
        <w:rPr>
          <w:spacing w:val="3"/>
          <w:w w:val="105"/>
          <w:sz w:val="20"/>
        </w:rPr>
        <w:t>Advance   </w:t>
      </w:r>
      <w:r>
        <w:rPr>
          <w:w w:val="105"/>
          <w:sz w:val="20"/>
        </w:rPr>
        <w:t>and   </w:t>
      </w:r>
      <w:r>
        <w:rPr>
          <w:spacing w:val="2"/>
          <w:w w:val="105"/>
          <w:sz w:val="20"/>
        </w:rPr>
        <w:t>Revolving   </w:t>
      </w:r>
      <w:r>
        <w:rPr>
          <w:w w:val="105"/>
          <w:sz w:val="20"/>
        </w:rPr>
        <w:t>Credit   Facility   </w:t>
      </w:r>
      <w:r>
        <w:rPr>
          <w:spacing w:val="2"/>
          <w:w w:val="105"/>
          <w:sz w:val="20"/>
        </w:rPr>
        <w:t>Agreement   dated   </w:t>
      </w:r>
      <w:r>
        <w:rPr>
          <w:w w:val="105"/>
          <w:sz w:val="20"/>
        </w:rPr>
        <w:t>as   </w:t>
      </w:r>
      <w:r>
        <w:rPr>
          <w:spacing w:val="6"/>
          <w:w w:val="105"/>
          <w:sz w:val="20"/>
        </w:rPr>
        <w:t>of </w:t>
      </w:r>
      <w:r>
        <w:rPr>
          <w:w w:val="105"/>
          <w:sz w:val="20"/>
        </w:rPr>
        <w:t>April 23, 2002, and 3-Year </w:t>
      </w:r>
      <w:r>
        <w:rPr>
          <w:spacing w:val="3"/>
          <w:w w:val="105"/>
          <w:sz w:val="20"/>
        </w:rPr>
        <w:t>Competitive Advance </w:t>
      </w:r>
      <w:r>
        <w:rPr>
          <w:w w:val="105"/>
          <w:sz w:val="20"/>
        </w:rPr>
        <w:t>and </w:t>
      </w:r>
      <w:r>
        <w:rPr>
          <w:spacing w:val="2"/>
          <w:w w:val="105"/>
          <w:sz w:val="20"/>
        </w:rPr>
        <w:t>Revolving </w:t>
      </w:r>
      <w:r>
        <w:rPr>
          <w:w w:val="105"/>
          <w:sz w:val="20"/>
        </w:rPr>
        <w:t>Credit  Facility  </w:t>
      </w:r>
      <w:r>
        <w:rPr>
          <w:spacing w:val="8"/>
          <w:w w:val="105"/>
          <w:sz w:val="20"/>
        </w:rPr>
        <w:t>Agreement  </w:t>
      </w:r>
      <w:r>
        <w:rPr>
          <w:w w:val="105"/>
          <w:sz w:val="20"/>
        </w:rPr>
        <w:t>dated as of April  23,  2002,  </w:t>
      </w:r>
      <w:r>
        <w:rPr>
          <w:spacing w:val="2"/>
          <w:w w:val="105"/>
          <w:sz w:val="20"/>
        </w:rPr>
        <w:t>(incorporated  </w:t>
      </w:r>
      <w:r>
        <w:rPr>
          <w:w w:val="105"/>
          <w:sz w:val="20"/>
        </w:rPr>
        <w:t>by  reference  to  </w:t>
      </w:r>
      <w:r>
        <w:rPr>
          <w:spacing w:val="2"/>
          <w:w w:val="105"/>
          <w:sz w:val="20"/>
          <w:u w:val="single"/>
        </w:rPr>
        <w:t>Exhibits  </w:t>
      </w:r>
      <w:r>
        <w:rPr>
          <w:w w:val="105"/>
          <w:sz w:val="20"/>
          <w:u w:val="single"/>
        </w:rPr>
        <w:t>10.2  and  10.1</w:t>
      </w:r>
      <w:r>
        <w:rPr>
          <w:w w:val="105"/>
          <w:sz w:val="20"/>
        </w:rPr>
        <w:t>, respectively, to Southwest’s Quarterly Report on Form  10-Q  for  the  quarter  </w:t>
      </w:r>
      <w:r>
        <w:rPr>
          <w:spacing w:val="15"/>
          <w:w w:val="105"/>
          <w:sz w:val="20"/>
        </w:rPr>
        <w:t>ended  </w:t>
      </w:r>
      <w:r>
        <w:rPr>
          <w:w w:val="105"/>
          <w:sz w:val="20"/>
        </w:rPr>
        <w:t>September  30,  2002  [File  No.  </w:t>
      </w:r>
      <w:r>
        <w:rPr>
          <w:spacing w:val="21"/>
          <w:w w:val="105"/>
          <w:sz w:val="20"/>
        </w:rPr>
        <w:t> </w:t>
      </w:r>
      <w:r>
        <w:rPr>
          <w:w w:val="105"/>
          <w:sz w:val="20"/>
        </w:rPr>
        <w:t>1-7259]).</w:t>
      </w:r>
    </w:p>
    <w:p>
      <w:pPr>
        <w:pStyle w:val="BodyText"/>
        <w:spacing w:before="5"/>
        <w:rPr>
          <w:sz w:val="16"/>
        </w:rPr>
      </w:pPr>
    </w:p>
    <w:p>
      <w:pPr>
        <w:pStyle w:val="ListParagraph"/>
        <w:numPr>
          <w:ilvl w:val="1"/>
          <w:numId w:val="8"/>
        </w:numPr>
        <w:tabs>
          <w:tab w:pos="1539" w:val="left" w:leader="none"/>
          <w:tab w:pos="1540" w:val="left" w:leader="none"/>
        </w:tabs>
        <w:spacing w:line="254" w:lineRule="auto" w:before="0" w:after="0"/>
        <w:ind w:left="1540" w:right="102" w:hanging="900"/>
        <w:jc w:val="both"/>
        <w:rPr>
          <w:sz w:val="20"/>
        </w:rPr>
      </w:pPr>
      <w:r>
        <w:rPr>
          <w:spacing w:val="3"/>
          <w:w w:val="105"/>
          <w:sz w:val="20"/>
        </w:rPr>
        <w:t>Specimen</w:t>
      </w:r>
      <w:r>
        <w:rPr>
          <w:spacing w:val="53"/>
          <w:w w:val="105"/>
          <w:sz w:val="20"/>
        </w:rPr>
        <w:t> </w:t>
      </w:r>
      <w:r>
        <w:rPr>
          <w:w w:val="105"/>
          <w:sz w:val="20"/>
        </w:rPr>
        <w:t>certificate  representing  </w:t>
      </w:r>
      <w:r>
        <w:rPr>
          <w:spacing w:val="3"/>
          <w:w w:val="105"/>
          <w:sz w:val="20"/>
        </w:rPr>
        <w:t>Common   </w:t>
      </w:r>
      <w:r>
        <w:rPr>
          <w:w w:val="105"/>
          <w:sz w:val="20"/>
        </w:rPr>
        <w:t>Stock   of   Southwest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5"/>
        <w:rPr>
          <w:sz w:val="16"/>
        </w:rPr>
      </w:pPr>
    </w:p>
    <w:p>
      <w:pPr>
        <w:pStyle w:val="ListParagraph"/>
        <w:numPr>
          <w:ilvl w:val="1"/>
          <w:numId w:val="8"/>
        </w:numPr>
        <w:tabs>
          <w:tab w:pos="1539" w:val="left" w:leader="none"/>
          <w:tab w:pos="1540" w:val="left" w:leader="none"/>
        </w:tabs>
        <w:spacing w:line="254" w:lineRule="auto" w:before="0" w:after="0"/>
        <w:ind w:left="1560" w:right="130" w:hanging="920"/>
        <w:jc w:val="both"/>
        <w:rPr>
          <w:sz w:val="20"/>
        </w:rPr>
      </w:pPr>
      <w:r>
        <w:rPr>
          <w:spacing w:val="3"/>
          <w:w w:val="105"/>
          <w:sz w:val="20"/>
        </w:rPr>
        <w:t>Amended </w:t>
      </w:r>
      <w:r>
        <w:rPr>
          <w:w w:val="105"/>
          <w:sz w:val="20"/>
        </w:rPr>
        <w:t>and Restated Rights </w:t>
      </w:r>
      <w:r>
        <w:rPr>
          <w:spacing w:val="2"/>
          <w:w w:val="105"/>
          <w:sz w:val="20"/>
        </w:rPr>
        <w:t>Agreement dated </w:t>
      </w:r>
      <w:r>
        <w:rPr>
          <w:w w:val="105"/>
          <w:sz w:val="20"/>
        </w:rPr>
        <w:t>July 18, 1996, </w:t>
      </w:r>
      <w:r>
        <w:rPr>
          <w:spacing w:val="2"/>
          <w:w w:val="105"/>
          <w:sz w:val="20"/>
        </w:rPr>
        <w:t>between </w:t>
      </w:r>
      <w:r>
        <w:rPr>
          <w:w w:val="105"/>
          <w:sz w:val="20"/>
        </w:rPr>
        <w:t>Southwest </w:t>
      </w:r>
      <w:r>
        <w:rPr>
          <w:spacing w:val="12"/>
          <w:w w:val="105"/>
          <w:sz w:val="20"/>
        </w:rPr>
        <w:t>and </w:t>
      </w:r>
      <w:r>
        <w:rPr>
          <w:spacing w:val="2"/>
          <w:w w:val="105"/>
          <w:sz w:val="20"/>
        </w:rPr>
        <w:t>Continental </w:t>
      </w:r>
      <w:r>
        <w:rPr>
          <w:w w:val="105"/>
          <w:sz w:val="20"/>
        </w:rPr>
        <w:t>Stock  Transfer  &amp;  Trust  </w:t>
      </w:r>
      <w:r>
        <w:rPr>
          <w:spacing w:val="2"/>
          <w:w w:val="105"/>
          <w:sz w:val="20"/>
        </w:rPr>
        <w:t>Company,  </w:t>
      </w:r>
      <w:r>
        <w:rPr>
          <w:w w:val="105"/>
          <w:sz w:val="20"/>
        </w:rPr>
        <w:t>as  Rights  Agent  </w:t>
      </w:r>
      <w:r>
        <w:rPr>
          <w:spacing w:val="2"/>
          <w:w w:val="105"/>
          <w:sz w:val="20"/>
        </w:rPr>
        <w:t>(incorporated  </w:t>
      </w:r>
      <w:r>
        <w:rPr>
          <w:w w:val="105"/>
          <w:sz w:val="20"/>
        </w:rPr>
        <w:t>by  </w:t>
      </w:r>
      <w:r>
        <w:rPr>
          <w:spacing w:val="7"/>
          <w:w w:val="105"/>
          <w:sz w:val="20"/>
        </w:rPr>
        <w:t>reference </w:t>
      </w:r>
      <w:r>
        <w:rPr>
          <w:w w:val="105"/>
          <w:sz w:val="20"/>
        </w:rPr>
        <w:t>to </w:t>
      </w:r>
      <w:r>
        <w:rPr>
          <w:spacing w:val="6"/>
          <w:w w:val="105"/>
          <w:sz w:val="20"/>
          <w:u w:val="single"/>
        </w:rPr>
        <w:t>Exhibit  </w:t>
      </w:r>
      <w:r>
        <w:rPr>
          <w:w w:val="105"/>
          <w:sz w:val="20"/>
          <w:u w:val="single"/>
        </w:rPr>
        <w:t>1</w:t>
      </w:r>
      <w:r>
        <w:rPr>
          <w:w w:val="105"/>
          <w:sz w:val="20"/>
        </w:rPr>
        <w:t>,  Southwest’s  Registration  Statement  on  Form  8-A/A  dated  August 12,  1996  [File No. 1-7259]); </w:t>
      </w:r>
      <w:r>
        <w:rPr>
          <w:spacing w:val="4"/>
          <w:w w:val="105"/>
          <w:sz w:val="20"/>
        </w:rPr>
        <w:t>Amendment </w:t>
      </w:r>
      <w:r>
        <w:rPr>
          <w:w w:val="105"/>
          <w:sz w:val="20"/>
        </w:rPr>
        <w:t>No. 1 to Rights  </w:t>
      </w:r>
      <w:r>
        <w:rPr>
          <w:spacing w:val="2"/>
          <w:w w:val="105"/>
          <w:sz w:val="20"/>
        </w:rPr>
        <w:t>Agreement  dated  </w:t>
      </w:r>
      <w:r>
        <w:rPr>
          <w:w w:val="105"/>
          <w:sz w:val="20"/>
        </w:rPr>
        <w:t>March 15,  2001 </w:t>
      </w:r>
      <w:r>
        <w:rPr>
          <w:spacing w:val="2"/>
          <w:w w:val="105"/>
          <w:sz w:val="20"/>
        </w:rPr>
        <w:t>(incorporated </w:t>
      </w:r>
      <w:r>
        <w:rPr>
          <w:w w:val="105"/>
          <w:sz w:val="20"/>
        </w:rPr>
        <w:t>by  reference  to  </w:t>
      </w:r>
      <w:r>
        <w:rPr>
          <w:spacing w:val="6"/>
          <w:w w:val="105"/>
          <w:sz w:val="20"/>
          <w:u w:val="single"/>
        </w:rPr>
        <w:t>Exhibit </w:t>
      </w:r>
      <w:r>
        <w:rPr>
          <w:w w:val="105"/>
          <w:sz w:val="20"/>
          <w:u w:val="single"/>
        </w:rPr>
        <w:t>1  </w:t>
      </w:r>
      <w:r>
        <w:rPr>
          <w:w w:val="105"/>
          <w:sz w:val="20"/>
        </w:rPr>
        <w:t>to  Form 8-A  </w:t>
      </w:r>
      <w:r>
        <w:rPr>
          <w:spacing w:val="4"/>
          <w:w w:val="105"/>
          <w:sz w:val="20"/>
        </w:rPr>
        <w:t>Amendment  </w:t>
      </w:r>
      <w:r>
        <w:rPr>
          <w:w w:val="105"/>
          <w:sz w:val="20"/>
        </w:rPr>
        <w:t>No. 3  dated  April </w:t>
      </w:r>
      <w:r>
        <w:rPr>
          <w:spacing w:val="2"/>
          <w:w w:val="105"/>
          <w:sz w:val="20"/>
        </w:rPr>
        <w:t>25,  </w:t>
      </w:r>
      <w:r>
        <w:rPr>
          <w:w w:val="105"/>
          <w:sz w:val="20"/>
        </w:rPr>
        <w:t>2001  [File  No. </w:t>
      </w:r>
      <w:r>
        <w:rPr>
          <w:spacing w:val="30"/>
          <w:w w:val="105"/>
          <w:sz w:val="20"/>
        </w:rPr>
        <w:t> </w:t>
      </w:r>
      <w:r>
        <w:rPr>
          <w:w w:val="105"/>
          <w:sz w:val="20"/>
        </w:rPr>
        <w:t>1-7529]).</w:t>
      </w:r>
    </w:p>
    <w:p>
      <w:pPr>
        <w:spacing w:after="0" w:line="254" w:lineRule="auto"/>
        <w:jc w:val="both"/>
        <w:rPr>
          <w:sz w:val="20"/>
        </w:rPr>
        <w:sectPr>
          <w:headerReference w:type="default" r:id="rId162"/>
          <w:pgSz w:w="11520" w:h="14400"/>
          <w:pgMar w:header="0" w:footer="706" w:top="920" w:bottom="900" w:left="700" w:right="820"/>
        </w:sectPr>
      </w:pPr>
    </w:p>
    <w:p>
      <w:pPr>
        <w:pStyle w:val="ListParagraph"/>
        <w:numPr>
          <w:ilvl w:val="1"/>
          <w:numId w:val="8"/>
        </w:numPr>
        <w:tabs>
          <w:tab w:pos="999" w:val="left" w:leader="none"/>
          <w:tab w:pos="1000" w:val="left" w:leader="none"/>
        </w:tabs>
        <w:spacing w:line="254" w:lineRule="auto" w:before="69" w:after="0"/>
        <w:ind w:left="1000" w:right="108" w:hanging="900"/>
        <w:jc w:val="both"/>
        <w:rPr>
          <w:sz w:val="20"/>
        </w:rPr>
      </w:pPr>
      <w:r>
        <w:rPr>
          <w:w w:val="110"/>
          <w:sz w:val="20"/>
        </w:rPr>
        <w:t>Indenture dated as of June 20, 1991, </w:t>
      </w:r>
      <w:r>
        <w:rPr>
          <w:spacing w:val="2"/>
          <w:w w:val="110"/>
          <w:sz w:val="20"/>
        </w:rPr>
        <w:t>between </w:t>
      </w:r>
      <w:r>
        <w:rPr>
          <w:w w:val="110"/>
          <w:sz w:val="20"/>
        </w:rPr>
        <w:t>Southwest Airlines Co. and  Bank  of  </w:t>
      </w:r>
      <w:r>
        <w:rPr>
          <w:spacing w:val="9"/>
          <w:w w:val="110"/>
          <w:sz w:val="20"/>
        </w:rPr>
        <w:t>New </w:t>
      </w:r>
      <w:r>
        <w:rPr>
          <w:w w:val="110"/>
          <w:sz w:val="20"/>
        </w:rPr>
        <w:t>York, successor to </w:t>
      </w:r>
      <w:r>
        <w:rPr>
          <w:spacing w:val="2"/>
          <w:w w:val="110"/>
          <w:sz w:val="20"/>
        </w:rPr>
        <w:t>NationsBank </w:t>
      </w:r>
      <w:r>
        <w:rPr>
          <w:w w:val="110"/>
          <w:sz w:val="20"/>
        </w:rPr>
        <w:t>of Texas, N.A. (formerly NCNB Texas  </w:t>
      </w:r>
      <w:r>
        <w:rPr>
          <w:spacing w:val="2"/>
          <w:w w:val="110"/>
          <w:sz w:val="20"/>
        </w:rPr>
        <w:t>National  </w:t>
      </w:r>
      <w:r>
        <w:rPr>
          <w:spacing w:val="3"/>
          <w:w w:val="110"/>
          <w:sz w:val="20"/>
        </w:rPr>
        <w:t>Bank),  </w:t>
      </w:r>
      <w:r>
        <w:rPr>
          <w:w w:val="110"/>
          <w:sz w:val="20"/>
        </w:rPr>
        <w:t>Trustee </w:t>
      </w:r>
      <w:r>
        <w:rPr>
          <w:spacing w:val="2"/>
          <w:w w:val="110"/>
          <w:sz w:val="20"/>
        </w:rPr>
        <w:t>(incorporated </w:t>
      </w:r>
      <w:r>
        <w:rPr>
          <w:w w:val="110"/>
          <w:sz w:val="20"/>
        </w:rPr>
        <w:t>by reference to </w:t>
      </w:r>
      <w:r>
        <w:rPr>
          <w:spacing w:val="2"/>
          <w:w w:val="110"/>
          <w:sz w:val="20"/>
          <w:u w:val="single"/>
        </w:rPr>
        <w:t>Exhibit </w:t>
      </w:r>
      <w:r>
        <w:rPr>
          <w:w w:val="110"/>
          <w:sz w:val="20"/>
          <w:u w:val="single"/>
        </w:rPr>
        <w:t>4.1 </w:t>
      </w:r>
      <w:r>
        <w:rPr>
          <w:w w:val="110"/>
          <w:sz w:val="20"/>
        </w:rPr>
        <w:t>to Southwest’s Current Report on </w:t>
      </w:r>
      <w:r>
        <w:rPr>
          <w:spacing w:val="9"/>
          <w:w w:val="110"/>
          <w:sz w:val="20"/>
        </w:rPr>
        <w:t>Form  </w:t>
      </w:r>
      <w:r>
        <w:rPr>
          <w:w w:val="110"/>
          <w:sz w:val="20"/>
        </w:rPr>
        <w:t>8-K dated June 24, 1991 [File No.   </w:t>
      </w:r>
      <w:r>
        <w:rPr>
          <w:spacing w:val="28"/>
          <w:w w:val="110"/>
          <w:sz w:val="20"/>
        </w:rPr>
        <w:t> </w:t>
      </w:r>
      <w:r>
        <w:rPr>
          <w:w w:val="110"/>
          <w:sz w:val="20"/>
        </w:rPr>
        <w:t>1-7259]).</w:t>
      </w:r>
    </w:p>
    <w:p>
      <w:pPr>
        <w:pStyle w:val="BodyText"/>
        <w:spacing w:before="5"/>
        <w:rPr>
          <w:sz w:val="16"/>
        </w:rPr>
      </w:pPr>
    </w:p>
    <w:p>
      <w:pPr>
        <w:pStyle w:val="ListParagraph"/>
        <w:numPr>
          <w:ilvl w:val="1"/>
          <w:numId w:val="8"/>
        </w:numPr>
        <w:tabs>
          <w:tab w:pos="999" w:val="left" w:leader="none"/>
          <w:tab w:pos="1000" w:val="left" w:leader="none"/>
        </w:tabs>
        <w:spacing w:line="254" w:lineRule="auto" w:before="0" w:after="0"/>
        <w:ind w:left="1000" w:right="108" w:hanging="900"/>
        <w:jc w:val="both"/>
        <w:rPr>
          <w:sz w:val="20"/>
        </w:rPr>
      </w:pPr>
      <w:r>
        <w:rPr>
          <w:w w:val="105"/>
          <w:sz w:val="20"/>
        </w:rPr>
        <w:t>Indenture dated  as  of  February  25,  1997  </w:t>
      </w:r>
      <w:r>
        <w:rPr>
          <w:spacing w:val="2"/>
          <w:w w:val="105"/>
          <w:sz w:val="20"/>
        </w:rPr>
        <w:t>between  </w:t>
      </w:r>
      <w:r>
        <w:rPr>
          <w:w w:val="105"/>
          <w:sz w:val="20"/>
        </w:rPr>
        <w:t>the  </w:t>
      </w:r>
      <w:r>
        <w:rPr>
          <w:spacing w:val="2"/>
          <w:w w:val="105"/>
          <w:sz w:val="20"/>
        </w:rPr>
        <w:t>Company  </w:t>
      </w:r>
      <w:r>
        <w:rPr>
          <w:w w:val="105"/>
          <w:sz w:val="20"/>
        </w:rPr>
        <w:t>and  U.S.  Trust  </w:t>
      </w:r>
      <w:r>
        <w:rPr>
          <w:spacing w:val="9"/>
          <w:w w:val="105"/>
          <w:sz w:val="20"/>
        </w:rPr>
        <w:t>Company </w:t>
      </w:r>
      <w:r>
        <w:rPr>
          <w:w w:val="105"/>
          <w:sz w:val="20"/>
        </w:rPr>
        <w:t>of Texas, N.A. (incorporated by 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w:t>
      </w:r>
      <w:r>
        <w:rPr>
          <w:spacing w:val="12"/>
          <w:w w:val="105"/>
          <w:sz w:val="20"/>
        </w:rPr>
        <w:t>on </w:t>
      </w:r>
      <w:r>
        <w:rPr>
          <w:w w:val="105"/>
          <w:sz w:val="20"/>
        </w:rPr>
        <w:t>Form  10-K  for  the  year  ended  December  31,  1996  [File  No.</w:t>
      </w:r>
      <w:r>
        <w:rPr>
          <w:spacing w:val="-9"/>
          <w:w w:val="105"/>
          <w:sz w:val="20"/>
        </w:rPr>
        <w:t> </w:t>
      </w:r>
      <w:r>
        <w:rPr>
          <w:w w:val="105"/>
          <w:sz w:val="20"/>
        </w:rPr>
        <w:t>1-7259]).</w:t>
      </w:r>
    </w:p>
    <w:p>
      <w:pPr>
        <w:pStyle w:val="BodyText"/>
        <w:spacing w:before="5"/>
        <w:rPr>
          <w:sz w:val="16"/>
        </w:rPr>
      </w:pPr>
    </w:p>
    <w:p>
      <w:pPr>
        <w:pStyle w:val="BodyText"/>
        <w:spacing w:line="254" w:lineRule="auto"/>
        <w:ind w:left="1000" w:right="104"/>
        <w:jc w:val="both"/>
      </w:pPr>
      <w:r>
        <w:rPr>
          <w:w w:val="110"/>
        </w:rPr>
        <w:t>Southwest is not filing any other instruments </w:t>
      </w:r>
      <w:r>
        <w:rPr>
          <w:spacing w:val="4"/>
          <w:w w:val="110"/>
        </w:rPr>
        <w:t>evidencing </w:t>
      </w:r>
      <w:r>
        <w:rPr>
          <w:w w:val="110"/>
        </w:rPr>
        <w:t>any </w:t>
      </w:r>
      <w:r>
        <w:rPr>
          <w:spacing w:val="3"/>
          <w:w w:val="110"/>
        </w:rPr>
        <w:t>indebtedness </w:t>
      </w:r>
      <w:r>
        <w:rPr>
          <w:spacing w:val="2"/>
          <w:w w:val="110"/>
        </w:rPr>
        <w:t>because </w:t>
      </w:r>
      <w:r>
        <w:rPr>
          <w:spacing w:val="6"/>
          <w:w w:val="110"/>
        </w:rPr>
        <w:t>the</w:t>
      </w:r>
      <w:r>
        <w:rPr>
          <w:spacing w:val="61"/>
          <w:w w:val="110"/>
        </w:rPr>
        <w:t> </w:t>
      </w:r>
      <w:r>
        <w:rPr>
          <w:w w:val="110"/>
        </w:rPr>
        <w:t>total amount of securities authorized under any single such  instrument  does  not  </w:t>
      </w:r>
      <w:r>
        <w:rPr>
          <w:spacing w:val="12"/>
          <w:w w:val="110"/>
        </w:rPr>
        <w:t>exceed </w:t>
      </w:r>
      <w:r>
        <w:rPr>
          <w:w w:val="110"/>
        </w:rPr>
        <w:t>ten percent of its total consolidated assets. Copies of  such  instruments  will be  </w:t>
      </w:r>
      <w:r>
        <w:rPr>
          <w:spacing w:val="8"/>
          <w:w w:val="110"/>
        </w:rPr>
        <w:t>furnished  </w:t>
      </w:r>
      <w:r>
        <w:rPr>
          <w:w w:val="110"/>
        </w:rPr>
        <w:t>to</w:t>
      </w:r>
      <w:r>
        <w:rPr>
          <w:spacing w:val="38"/>
          <w:w w:val="110"/>
        </w:rPr>
        <w:t> </w:t>
      </w:r>
      <w:r>
        <w:rPr>
          <w:w w:val="110"/>
        </w:rPr>
        <w:t>the</w:t>
      </w:r>
      <w:r>
        <w:rPr>
          <w:spacing w:val="38"/>
          <w:w w:val="110"/>
        </w:rPr>
        <w:t> </w:t>
      </w:r>
      <w:r>
        <w:rPr>
          <w:w w:val="110"/>
        </w:rPr>
        <w:t>Securities</w:t>
      </w:r>
      <w:r>
        <w:rPr>
          <w:spacing w:val="38"/>
          <w:w w:val="110"/>
        </w:rPr>
        <w:t> </w:t>
      </w:r>
      <w:r>
        <w:rPr>
          <w:w w:val="110"/>
        </w:rPr>
        <w:t>and</w:t>
      </w:r>
      <w:r>
        <w:rPr>
          <w:spacing w:val="38"/>
          <w:w w:val="110"/>
        </w:rPr>
        <w:t> </w:t>
      </w:r>
      <w:r>
        <w:rPr>
          <w:w w:val="110"/>
        </w:rPr>
        <w:t>Exchange</w:t>
      </w:r>
      <w:r>
        <w:rPr>
          <w:spacing w:val="38"/>
          <w:w w:val="110"/>
        </w:rPr>
        <w:t> </w:t>
      </w:r>
      <w:r>
        <w:rPr>
          <w:w w:val="110"/>
        </w:rPr>
        <w:t>Commission</w:t>
      </w:r>
      <w:r>
        <w:rPr>
          <w:spacing w:val="38"/>
          <w:w w:val="110"/>
        </w:rPr>
        <w:t> </w:t>
      </w:r>
      <w:r>
        <w:rPr>
          <w:w w:val="110"/>
        </w:rPr>
        <w:t>upon</w:t>
      </w:r>
      <w:r>
        <w:rPr>
          <w:spacing w:val="38"/>
          <w:w w:val="110"/>
        </w:rPr>
        <w:t> </w:t>
      </w:r>
      <w:r>
        <w:rPr>
          <w:w w:val="110"/>
        </w:rPr>
        <w:t>request.</w:t>
      </w:r>
    </w:p>
    <w:p>
      <w:pPr>
        <w:pStyle w:val="BodyText"/>
        <w:spacing w:before="5"/>
        <w:rPr>
          <w:sz w:val="16"/>
        </w:rPr>
      </w:pPr>
    </w:p>
    <w:p>
      <w:pPr>
        <w:pStyle w:val="ListParagraph"/>
        <w:numPr>
          <w:ilvl w:val="1"/>
          <w:numId w:val="9"/>
        </w:numPr>
        <w:tabs>
          <w:tab w:pos="999" w:val="left" w:leader="none"/>
          <w:tab w:pos="1000" w:val="left" w:leader="none"/>
        </w:tabs>
        <w:spacing w:line="254" w:lineRule="auto" w:before="0" w:after="0"/>
        <w:ind w:left="1020" w:right="122" w:hanging="920"/>
        <w:jc w:val="both"/>
        <w:rPr>
          <w:sz w:val="20"/>
        </w:rPr>
      </w:pPr>
      <w:r>
        <w:rPr>
          <w:spacing w:val="2"/>
          <w:w w:val="105"/>
          <w:sz w:val="20"/>
        </w:rPr>
        <w:t>Purchase  Agreement  </w:t>
      </w:r>
      <w:r>
        <w:rPr>
          <w:w w:val="105"/>
          <w:sz w:val="20"/>
        </w:rPr>
        <w:t>No.  1810,  dated  January  19,  1994,  </w:t>
      </w:r>
      <w:r>
        <w:rPr>
          <w:spacing w:val="2"/>
          <w:w w:val="105"/>
          <w:sz w:val="20"/>
        </w:rPr>
        <w:t>between  </w:t>
      </w:r>
      <w:r>
        <w:rPr>
          <w:w w:val="105"/>
          <w:sz w:val="20"/>
        </w:rPr>
        <w:t>The  Boeing   </w:t>
      </w:r>
      <w:r>
        <w:rPr>
          <w:spacing w:val="9"/>
          <w:w w:val="105"/>
          <w:sz w:val="20"/>
        </w:rPr>
        <w:t>Company </w:t>
      </w:r>
      <w:r>
        <w:rPr>
          <w:w w:val="105"/>
          <w:sz w:val="20"/>
        </w:rPr>
        <w:t>and  Southwest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10.4  </w:t>
      </w:r>
      <w:r>
        <w:rPr>
          <w:w w:val="105"/>
          <w:sz w:val="20"/>
        </w:rPr>
        <w:t>to  Southwest’s  </w:t>
      </w:r>
      <w:r>
        <w:rPr>
          <w:spacing w:val="2"/>
          <w:w w:val="105"/>
          <w:sz w:val="20"/>
        </w:rPr>
        <w:t>Annual   </w:t>
      </w:r>
      <w:r>
        <w:rPr>
          <w:spacing w:val="4"/>
          <w:w w:val="105"/>
          <w:sz w:val="20"/>
        </w:rPr>
        <w:t>Report </w:t>
      </w:r>
      <w:r>
        <w:rPr>
          <w:w w:val="105"/>
          <w:sz w:val="20"/>
        </w:rPr>
        <w:t>on Form 10-K for the year </w:t>
      </w:r>
      <w:r>
        <w:rPr>
          <w:spacing w:val="3"/>
          <w:w w:val="105"/>
          <w:sz w:val="20"/>
        </w:rPr>
        <w:t>ended </w:t>
      </w:r>
      <w:r>
        <w:rPr>
          <w:w w:val="105"/>
          <w:sz w:val="20"/>
        </w:rPr>
        <w:t>December 31, 1993 [File No. 1-7259]);  </w:t>
      </w:r>
      <w:r>
        <w:rPr>
          <w:spacing w:val="6"/>
          <w:w w:val="105"/>
          <w:sz w:val="20"/>
        </w:rPr>
        <w:t>Supplemental </w:t>
      </w:r>
      <w:r>
        <w:rPr>
          <w:spacing w:val="2"/>
          <w:w w:val="105"/>
          <w:sz w:val="20"/>
        </w:rPr>
        <w:t>Agreement  </w:t>
      </w:r>
      <w:r>
        <w:rPr>
          <w:w w:val="105"/>
          <w:sz w:val="20"/>
        </w:rPr>
        <w:t>No. 1.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10.3</w:t>
      </w:r>
      <w:r>
        <w:rPr>
          <w:spacing w:val="53"/>
          <w:w w:val="105"/>
          <w:sz w:val="20"/>
          <w:u w:val="single"/>
        </w:rPr>
        <w:t> </w:t>
      </w:r>
      <w:r>
        <w:rPr>
          <w:w w:val="105"/>
          <w:sz w:val="20"/>
        </w:rPr>
        <w:t>to  Southwest’s  </w:t>
      </w:r>
      <w:r>
        <w:rPr>
          <w:spacing w:val="9"/>
          <w:w w:val="105"/>
          <w:sz w:val="20"/>
        </w:rPr>
        <w:t>Annual  </w:t>
      </w:r>
      <w:r>
        <w:rPr>
          <w:w w:val="105"/>
          <w:sz w:val="20"/>
        </w:rPr>
        <w:t>Report  on  Form 10-K  for  the  year  </w:t>
      </w:r>
      <w:r>
        <w:rPr>
          <w:spacing w:val="3"/>
          <w:w w:val="105"/>
          <w:sz w:val="20"/>
        </w:rPr>
        <w:t>ended</w:t>
      </w:r>
      <w:r>
        <w:rPr>
          <w:spacing w:val="53"/>
          <w:w w:val="105"/>
          <w:sz w:val="20"/>
        </w:rPr>
        <w:t> </w:t>
      </w:r>
      <w:r>
        <w:rPr>
          <w:w w:val="105"/>
          <w:sz w:val="20"/>
        </w:rPr>
        <w:t>December 31, 1996  [File No. 1-7259]);  Supplemental Agreements Nos. 2, 3, and 4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10.2 </w:t>
      </w:r>
      <w:r>
        <w:rPr>
          <w:spacing w:val="8"/>
          <w:w w:val="105"/>
          <w:sz w:val="20"/>
        </w:rPr>
        <w:t>to </w:t>
      </w:r>
      <w:r>
        <w:rPr>
          <w:w w:val="105"/>
          <w:sz w:val="20"/>
        </w:rPr>
        <w:t>Southwest’s   </w:t>
      </w:r>
      <w:r>
        <w:rPr>
          <w:spacing w:val="2"/>
          <w:w w:val="105"/>
          <w:sz w:val="20"/>
        </w:rPr>
        <w:t>Annual   </w:t>
      </w:r>
      <w:r>
        <w:rPr>
          <w:w w:val="105"/>
          <w:sz w:val="20"/>
        </w:rPr>
        <w:t>Report   on   Form 10-K   for   the    year    </w:t>
      </w:r>
      <w:r>
        <w:rPr>
          <w:spacing w:val="3"/>
          <w:w w:val="105"/>
          <w:sz w:val="20"/>
        </w:rPr>
        <w:t>ended    December </w:t>
      </w:r>
      <w:r>
        <w:rPr>
          <w:spacing w:val="2"/>
          <w:w w:val="105"/>
          <w:sz w:val="20"/>
        </w:rPr>
        <w:t>31, </w:t>
      </w:r>
      <w:r>
        <w:rPr>
          <w:spacing w:val="4"/>
          <w:w w:val="105"/>
          <w:sz w:val="20"/>
        </w:rPr>
        <w:t>1997 </w:t>
      </w:r>
      <w:r>
        <w:rPr>
          <w:w w:val="105"/>
          <w:sz w:val="20"/>
        </w:rPr>
        <w:t>[File No. 1-7259]);  Supplemental  Agreements  Nos. 5,  6,  and  7  </w:t>
      </w:r>
      <w:r>
        <w:rPr>
          <w:spacing w:val="2"/>
          <w:w w:val="105"/>
          <w:sz w:val="20"/>
        </w:rPr>
        <w:t>(incorporated  </w:t>
      </w:r>
      <w:r>
        <w:rPr>
          <w:w w:val="105"/>
          <w:sz w:val="20"/>
        </w:rPr>
        <w:t>by  </w:t>
      </w:r>
      <w:r>
        <w:rPr>
          <w:spacing w:val="7"/>
          <w:w w:val="105"/>
          <w:sz w:val="20"/>
        </w:rPr>
        <w:t>reference  </w:t>
      </w:r>
      <w:r>
        <w:rPr>
          <w:w w:val="105"/>
          <w:sz w:val="20"/>
        </w:rPr>
        <w:t>to  </w:t>
      </w:r>
      <w:r>
        <w:rPr>
          <w:spacing w:val="4"/>
          <w:w w:val="105"/>
          <w:sz w:val="20"/>
          <w:u w:val="single"/>
        </w:rPr>
        <w:t>Exhibit </w:t>
      </w:r>
      <w:r>
        <w:rPr>
          <w:spacing w:val="3"/>
          <w:w w:val="105"/>
          <w:sz w:val="20"/>
          <w:u w:val="single"/>
        </w:rPr>
        <w:t>10.1</w:t>
      </w:r>
      <w:r>
        <w:rPr>
          <w:spacing w:val="53"/>
          <w:w w:val="105"/>
          <w:sz w:val="20"/>
          <w:u w:val="single"/>
        </w:rPr>
        <w:t>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1998 [File No. 1-7259]); </w:t>
      </w:r>
      <w:r>
        <w:rPr>
          <w:spacing w:val="2"/>
          <w:w w:val="105"/>
          <w:sz w:val="20"/>
        </w:rPr>
        <w:t>Supplemental Agreements </w:t>
      </w:r>
      <w:r>
        <w:rPr>
          <w:w w:val="105"/>
          <w:sz w:val="20"/>
        </w:rPr>
        <w:t>Nos. 8, 9, and  10  (incorporated by reference to </w:t>
      </w:r>
      <w:r>
        <w:rPr>
          <w:spacing w:val="4"/>
          <w:w w:val="105"/>
          <w:sz w:val="20"/>
          <w:u w:val="single"/>
        </w:rPr>
        <w:t>Exhibit </w:t>
      </w:r>
      <w:r>
        <w:rPr>
          <w:spacing w:val="3"/>
          <w:w w:val="105"/>
          <w:sz w:val="20"/>
          <w:u w:val="single"/>
        </w:rPr>
        <w:t>10.1 </w:t>
      </w:r>
      <w:r>
        <w:rPr>
          <w:w w:val="105"/>
          <w:sz w:val="20"/>
        </w:rPr>
        <w:t>to  Southwest’s  Annual  Report  on  Form 10-K  </w:t>
      </w:r>
      <w:r>
        <w:rPr>
          <w:spacing w:val="2"/>
          <w:w w:val="105"/>
          <w:sz w:val="20"/>
        </w:rPr>
        <w:t>for  </w:t>
      </w:r>
      <w:r>
        <w:rPr>
          <w:w w:val="105"/>
          <w:sz w:val="20"/>
        </w:rPr>
        <w:t>the    year    </w:t>
      </w:r>
      <w:r>
        <w:rPr>
          <w:spacing w:val="3"/>
          <w:w w:val="105"/>
          <w:sz w:val="20"/>
        </w:rPr>
        <w:t>ended    </w:t>
      </w:r>
      <w:r>
        <w:rPr>
          <w:w w:val="105"/>
          <w:sz w:val="20"/>
        </w:rPr>
        <w:t>December  31,  1999    [File No. 1-7259]);    </w:t>
      </w:r>
      <w:r>
        <w:rPr>
          <w:spacing w:val="2"/>
          <w:w w:val="105"/>
          <w:sz w:val="20"/>
        </w:rPr>
        <w:t>Supplemental    </w:t>
      </w:r>
      <w:r>
        <w:rPr>
          <w:spacing w:val="6"/>
          <w:w w:val="105"/>
          <w:sz w:val="20"/>
        </w:rPr>
        <w:t>Agreements </w:t>
      </w:r>
      <w:r>
        <w:rPr>
          <w:w w:val="105"/>
          <w:sz w:val="20"/>
        </w:rPr>
        <w:t>Nos. 11,  12,  13,  and  14  </w:t>
      </w:r>
      <w:r>
        <w:rPr>
          <w:spacing w:val="2"/>
          <w:w w:val="105"/>
          <w:sz w:val="20"/>
        </w:rPr>
        <w:t>(incorporated  </w:t>
      </w:r>
      <w:r>
        <w:rPr>
          <w:w w:val="105"/>
          <w:sz w:val="20"/>
        </w:rPr>
        <w:t>by  reference  to  </w:t>
      </w:r>
      <w:r>
        <w:rPr>
          <w:spacing w:val="4"/>
          <w:w w:val="105"/>
          <w:sz w:val="20"/>
          <w:u w:val="single"/>
        </w:rPr>
        <w:t>Exhibit  </w:t>
      </w:r>
      <w:r>
        <w:rPr>
          <w:spacing w:val="3"/>
          <w:w w:val="105"/>
          <w:sz w:val="20"/>
          <w:u w:val="single"/>
        </w:rPr>
        <w:t>10.1</w:t>
      </w:r>
      <w:r>
        <w:rPr>
          <w:spacing w:val="53"/>
          <w:w w:val="105"/>
          <w:sz w:val="20"/>
          <w:u w:val="single"/>
        </w:rPr>
        <w:t> </w:t>
      </w:r>
      <w:r>
        <w:rPr>
          <w:w w:val="105"/>
          <w:sz w:val="20"/>
        </w:rPr>
        <w:t>to  </w:t>
      </w:r>
      <w:r>
        <w:rPr>
          <w:spacing w:val="3"/>
          <w:w w:val="105"/>
          <w:sz w:val="20"/>
        </w:rPr>
        <w:t>Southwest’s </w:t>
      </w:r>
      <w:r>
        <w:rPr>
          <w:w w:val="105"/>
          <w:sz w:val="20"/>
        </w:rPr>
        <w:t>Quarterly     Report     on     Form 10-Q     for     the     quarter     </w:t>
      </w:r>
      <w:r>
        <w:rPr>
          <w:spacing w:val="2"/>
          <w:w w:val="105"/>
          <w:sz w:val="20"/>
        </w:rPr>
        <w:t>ended     September </w:t>
      </w:r>
      <w:r>
        <w:rPr>
          <w:w w:val="105"/>
          <w:sz w:val="20"/>
        </w:rPr>
        <w:t>30, </w:t>
      </w:r>
      <w:r>
        <w:rPr>
          <w:spacing w:val="3"/>
          <w:w w:val="105"/>
          <w:sz w:val="20"/>
        </w:rPr>
        <w:t>2000  </w:t>
      </w:r>
      <w:r>
        <w:rPr>
          <w:w w:val="105"/>
          <w:sz w:val="20"/>
        </w:rPr>
        <w:t>[File  No.  1-7259]);  </w:t>
      </w:r>
      <w:r>
        <w:rPr>
          <w:spacing w:val="2"/>
          <w:w w:val="105"/>
          <w:sz w:val="20"/>
        </w:rPr>
        <w:t>Supplemental  Agreements  </w:t>
      </w:r>
      <w:r>
        <w:rPr>
          <w:w w:val="105"/>
          <w:sz w:val="20"/>
        </w:rPr>
        <w:t>Nos.  15,  16,  17,  18,  and   19   </w:t>
      </w:r>
      <w:r>
        <w:rPr>
          <w:spacing w:val="7"/>
          <w:w w:val="105"/>
          <w:sz w:val="20"/>
        </w:rPr>
        <w:t>(incorporated </w:t>
      </w:r>
      <w:r>
        <w:rPr>
          <w:w w:val="105"/>
          <w:sz w:val="20"/>
        </w:rPr>
        <w:t>by reference to </w:t>
      </w:r>
      <w:r>
        <w:rPr>
          <w:spacing w:val="4"/>
          <w:w w:val="105"/>
          <w:sz w:val="20"/>
          <w:u w:val="single"/>
        </w:rPr>
        <w:t>Exhibit </w:t>
      </w:r>
      <w:r>
        <w:rPr>
          <w:spacing w:val="3"/>
          <w:w w:val="105"/>
          <w:sz w:val="20"/>
          <w:u w:val="single"/>
        </w:rPr>
        <w:t>10.1 </w:t>
      </w:r>
      <w:r>
        <w:rPr>
          <w:w w:val="105"/>
          <w:sz w:val="20"/>
        </w:rPr>
        <w:t>to Southwest’s Quarterly Report on Form 10-Q for the </w:t>
      </w:r>
      <w:r>
        <w:rPr>
          <w:spacing w:val="6"/>
          <w:w w:val="105"/>
          <w:sz w:val="20"/>
        </w:rPr>
        <w:t>quarter </w:t>
      </w:r>
      <w:r>
        <w:rPr>
          <w:spacing w:val="3"/>
          <w:w w:val="105"/>
          <w:sz w:val="20"/>
        </w:rPr>
        <w:t>ended</w:t>
      </w:r>
      <w:r>
        <w:rPr>
          <w:spacing w:val="53"/>
          <w:w w:val="105"/>
          <w:sz w:val="20"/>
        </w:rPr>
        <w:t> </w:t>
      </w:r>
      <w:r>
        <w:rPr>
          <w:w w:val="105"/>
          <w:sz w:val="20"/>
        </w:rPr>
        <w:t>September  30,  2001   [File  No.  1-7259]);   </w:t>
      </w:r>
      <w:r>
        <w:rPr>
          <w:spacing w:val="2"/>
          <w:w w:val="105"/>
          <w:sz w:val="20"/>
        </w:rPr>
        <w:t>Supplemental   Agreements   </w:t>
      </w:r>
      <w:r>
        <w:rPr>
          <w:w w:val="105"/>
          <w:sz w:val="20"/>
        </w:rPr>
        <w:t>Nos.  20,   21, 22, 23, and 24  (incorporated  by  reference  to  </w:t>
      </w:r>
      <w:r>
        <w:rPr>
          <w:spacing w:val="4"/>
          <w:w w:val="105"/>
          <w:sz w:val="20"/>
          <w:u w:val="single"/>
        </w:rPr>
        <w:t>Exhibit  </w:t>
      </w:r>
      <w:r>
        <w:rPr>
          <w:spacing w:val="3"/>
          <w:w w:val="105"/>
          <w:sz w:val="20"/>
          <w:u w:val="single"/>
        </w:rPr>
        <w:t>10.3 </w:t>
      </w:r>
      <w:r>
        <w:rPr>
          <w:w w:val="105"/>
          <w:sz w:val="20"/>
        </w:rPr>
        <w:t>to  Southwest’s  Quarterly  </w:t>
      </w:r>
      <w:r>
        <w:rPr>
          <w:spacing w:val="4"/>
          <w:w w:val="105"/>
          <w:sz w:val="20"/>
        </w:rPr>
        <w:t>Report </w:t>
      </w:r>
      <w:r>
        <w:rPr>
          <w:w w:val="105"/>
          <w:sz w:val="20"/>
        </w:rPr>
        <w:t>on  Form  10-Q  for  the  quarter  ended  September  30,  2002  [File  No.</w:t>
      </w:r>
      <w:r>
        <w:rPr>
          <w:spacing w:val="-10"/>
          <w:w w:val="105"/>
          <w:sz w:val="20"/>
        </w:rPr>
        <w:t> </w:t>
      </w:r>
      <w:r>
        <w:rPr>
          <w:w w:val="105"/>
          <w:sz w:val="20"/>
        </w:rPr>
        <w:t>1-7259]).</w:t>
      </w:r>
    </w:p>
    <w:p>
      <w:pPr>
        <w:pStyle w:val="BodyText"/>
        <w:spacing w:before="5"/>
        <w:rPr>
          <w:sz w:val="16"/>
        </w:rPr>
      </w:pPr>
    </w:p>
    <w:p>
      <w:pPr>
        <w:pStyle w:val="BodyText"/>
        <w:spacing w:line="254" w:lineRule="auto"/>
        <w:ind w:left="1000" w:right="101"/>
        <w:jc w:val="both"/>
      </w:pPr>
      <w:r>
        <w:rPr>
          <w:w w:val="105"/>
        </w:rPr>
        <w:t>Pursuant to 17  CFR  240.24b-2,  confidential  </w:t>
      </w:r>
      <w:r>
        <w:rPr>
          <w:spacing w:val="3"/>
          <w:w w:val="105"/>
        </w:rPr>
        <w:t>information</w:t>
      </w:r>
      <w:r>
        <w:rPr>
          <w:spacing w:val="53"/>
          <w:w w:val="105"/>
        </w:rPr>
        <w:t> </w:t>
      </w:r>
      <w:r>
        <w:rPr>
          <w:w w:val="105"/>
        </w:rPr>
        <w:t>has  </w:t>
      </w:r>
      <w:r>
        <w:rPr>
          <w:spacing w:val="2"/>
          <w:w w:val="105"/>
        </w:rPr>
        <w:t>been  omitted  </w:t>
      </w:r>
      <w:r>
        <w:rPr>
          <w:w w:val="105"/>
        </w:rPr>
        <w:t>and  has  </w:t>
      </w:r>
      <w:r>
        <w:rPr>
          <w:spacing w:val="16"/>
          <w:w w:val="105"/>
        </w:rPr>
        <w:t>been </w:t>
      </w:r>
      <w:r>
        <w:rPr>
          <w:w w:val="105"/>
        </w:rPr>
        <w:t>filed separately with the Securities and Exchange Commission pursuant to a </w:t>
      </w:r>
      <w:r>
        <w:rPr>
          <w:spacing w:val="7"/>
          <w:w w:val="105"/>
        </w:rPr>
        <w:t>Confidential </w:t>
      </w:r>
      <w:r>
        <w:rPr>
          <w:spacing w:val="2"/>
          <w:w w:val="105"/>
        </w:rPr>
        <w:t>Treatment  Application  filed  with  </w:t>
      </w:r>
      <w:r>
        <w:rPr>
          <w:w w:val="105"/>
        </w:rPr>
        <w:t>the </w:t>
      </w:r>
      <w:r>
        <w:rPr>
          <w:spacing w:val="3"/>
          <w:w w:val="105"/>
        </w:rPr>
        <w:t>Commission.</w:t>
      </w:r>
    </w:p>
    <w:p>
      <w:pPr>
        <w:pStyle w:val="BodyText"/>
        <w:spacing w:before="5"/>
        <w:rPr>
          <w:sz w:val="16"/>
        </w:rPr>
      </w:pPr>
    </w:p>
    <w:p>
      <w:pPr>
        <w:pStyle w:val="BodyText"/>
        <w:spacing w:line="254" w:lineRule="auto"/>
        <w:ind w:left="1000" w:right="111"/>
        <w:jc w:val="both"/>
      </w:pPr>
      <w:r>
        <w:rPr>
          <w:w w:val="105"/>
        </w:rPr>
        <w:t>The following </w:t>
      </w:r>
      <w:r>
        <w:rPr>
          <w:spacing w:val="2"/>
          <w:w w:val="105"/>
        </w:rPr>
        <w:t>exhibits </w:t>
      </w:r>
      <w:r>
        <w:rPr>
          <w:w w:val="105"/>
        </w:rPr>
        <w:t>filed under </w:t>
      </w:r>
      <w:r>
        <w:rPr>
          <w:spacing w:val="2"/>
          <w:w w:val="105"/>
        </w:rPr>
        <w:t>paragraph </w:t>
      </w:r>
      <w:r>
        <w:rPr>
          <w:w w:val="105"/>
        </w:rPr>
        <w:t>10 of  </w:t>
      </w:r>
      <w:r>
        <w:rPr>
          <w:spacing w:val="2"/>
          <w:w w:val="105"/>
        </w:rPr>
        <w:t>Item  </w:t>
      </w:r>
      <w:r>
        <w:rPr>
          <w:w w:val="105"/>
        </w:rPr>
        <w:t>601  are  the  </w:t>
      </w:r>
      <w:r>
        <w:rPr>
          <w:spacing w:val="6"/>
          <w:w w:val="105"/>
        </w:rPr>
        <w:t>Company’s  </w:t>
      </w:r>
      <w:r>
        <w:rPr>
          <w:spacing w:val="2"/>
          <w:w w:val="105"/>
        </w:rPr>
        <w:t>compensation   plans   </w:t>
      </w:r>
      <w:r>
        <w:rPr>
          <w:w w:val="105"/>
        </w:rPr>
        <w:t>and </w:t>
      </w:r>
      <w:r>
        <w:rPr>
          <w:spacing w:val="1"/>
          <w:w w:val="105"/>
        </w:rPr>
        <w:t> </w:t>
      </w:r>
      <w:r>
        <w:rPr>
          <w:spacing w:val="3"/>
          <w:w w:val="105"/>
        </w:rPr>
        <w:t>arrangements.</w:t>
      </w:r>
    </w:p>
    <w:p>
      <w:pPr>
        <w:pStyle w:val="BodyText"/>
        <w:spacing w:before="5"/>
        <w:rPr>
          <w:sz w:val="16"/>
        </w:rPr>
      </w:pPr>
    </w:p>
    <w:p>
      <w:pPr>
        <w:pStyle w:val="ListParagraph"/>
        <w:numPr>
          <w:ilvl w:val="1"/>
          <w:numId w:val="9"/>
        </w:numPr>
        <w:tabs>
          <w:tab w:pos="999" w:val="left" w:leader="none"/>
          <w:tab w:pos="1000" w:val="left" w:leader="none"/>
        </w:tabs>
        <w:spacing w:line="254" w:lineRule="auto" w:before="0" w:after="0"/>
        <w:ind w:left="1000" w:right="117" w:hanging="900"/>
        <w:jc w:val="both"/>
        <w:rPr>
          <w:sz w:val="20"/>
        </w:rPr>
      </w:pPr>
      <w:r>
        <w:rPr>
          <w:w w:val="105"/>
          <w:sz w:val="20"/>
        </w:rPr>
        <w:t>Form  of  </w:t>
      </w:r>
      <w:r>
        <w:rPr>
          <w:spacing w:val="2"/>
          <w:w w:val="105"/>
          <w:sz w:val="20"/>
        </w:rPr>
        <w:t>Executive  Employment  Agreement  between  </w:t>
      </w:r>
      <w:r>
        <w:rPr>
          <w:w w:val="105"/>
          <w:sz w:val="20"/>
        </w:rPr>
        <w:t>Southwest  and  certain   </w:t>
      </w:r>
      <w:r>
        <w:rPr>
          <w:spacing w:val="2"/>
          <w:w w:val="105"/>
          <w:sz w:val="20"/>
        </w:rPr>
        <w:t>key  </w:t>
      </w:r>
      <w:r>
        <w:rPr>
          <w:w w:val="105"/>
          <w:sz w:val="20"/>
        </w:rPr>
        <w:t>employees pursuant to </w:t>
      </w:r>
      <w:r>
        <w:rPr>
          <w:spacing w:val="3"/>
          <w:w w:val="105"/>
          <w:sz w:val="20"/>
        </w:rPr>
        <w:t>Executive </w:t>
      </w:r>
      <w:r>
        <w:rPr>
          <w:w w:val="105"/>
          <w:sz w:val="20"/>
        </w:rPr>
        <w:t>Service </w:t>
      </w:r>
      <w:r>
        <w:rPr>
          <w:spacing w:val="2"/>
          <w:w w:val="105"/>
          <w:sz w:val="20"/>
        </w:rPr>
        <w:t>Recognition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28 </w:t>
      </w:r>
      <w:r>
        <w:rPr>
          <w:w w:val="105"/>
          <w:sz w:val="20"/>
        </w:rPr>
        <w:t>to Southwest  Quarterly  Report  on  Form  10-Q  for  the  quarter  </w:t>
      </w:r>
      <w:r>
        <w:rPr>
          <w:spacing w:val="2"/>
          <w:w w:val="105"/>
          <w:sz w:val="20"/>
        </w:rPr>
        <w:t>ended  June  </w:t>
      </w:r>
      <w:r>
        <w:rPr>
          <w:w w:val="105"/>
          <w:sz w:val="20"/>
        </w:rPr>
        <w:t>30, 1987  [File  No. </w:t>
      </w:r>
      <w:r>
        <w:rPr>
          <w:spacing w:val="17"/>
          <w:w w:val="105"/>
          <w:sz w:val="20"/>
        </w:rPr>
        <w:t> </w:t>
      </w:r>
      <w:r>
        <w:rPr>
          <w:w w:val="105"/>
          <w:sz w:val="20"/>
        </w:rPr>
        <w:t>1-7259]).</w:t>
      </w:r>
    </w:p>
    <w:p>
      <w:pPr>
        <w:spacing w:after="0" w:line="254" w:lineRule="auto"/>
        <w:jc w:val="both"/>
        <w:rPr>
          <w:sz w:val="20"/>
        </w:rPr>
        <w:sectPr>
          <w:headerReference w:type="default" r:id="rId163"/>
          <w:footerReference w:type="default" r:id="rId164"/>
          <w:footerReference w:type="even" r:id="rId165"/>
          <w:pgSz w:w="11520" w:h="14400"/>
          <w:pgMar w:header="0" w:footer="706" w:top="960" w:bottom="900" w:left="1240" w:right="820"/>
          <w:pgNumType w:start="57"/>
        </w:sectPr>
      </w:pPr>
    </w:p>
    <w:p>
      <w:pPr>
        <w:pStyle w:val="ListParagraph"/>
        <w:numPr>
          <w:ilvl w:val="1"/>
          <w:numId w:val="9"/>
        </w:numPr>
        <w:tabs>
          <w:tab w:pos="1539" w:val="left" w:leader="none"/>
          <w:tab w:pos="1540" w:val="left" w:leader="none"/>
        </w:tabs>
        <w:spacing w:line="254" w:lineRule="auto" w:before="69" w:after="0"/>
        <w:ind w:left="1540" w:right="110" w:hanging="900"/>
        <w:jc w:val="both"/>
        <w:rPr>
          <w:sz w:val="20"/>
        </w:rPr>
      </w:pPr>
      <w:r>
        <w:rPr>
          <w:w w:val="105"/>
          <w:sz w:val="20"/>
        </w:rPr>
        <w:t>1992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1991  [File  No.  </w:t>
      </w:r>
      <w:r>
        <w:rPr>
          <w:spacing w:val="29"/>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0" w:hanging="900"/>
        <w:jc w:val="both"/>
        <w:rPr>
          <w:sz w:val="20"/>
        </w:rPr>
      </w:pPr>
      <w:r>
        <w:rPr>
          <w:w w:val="105"/>
          <w:sz w:val="20"/>
        </w:rPr>
        <w:t>1996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1996  [File  No.  </w:t>
      </w:r>
      <w:r>
        <w:rPr>
          <w:spacing w:val="29"/>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2" w:hanging="900"/>
        <w:jc w:val="both"/>
        <w:rPr>
          <w:sz w:val="20"/>
        </w:rPr>
      </w:pPr>
      <w:r>
        <w:rPr>
          <w:w w:val="105"/>
          <w:sz w:val="20"/>
        </w:rPr>
        <w:t>2001  </w:t>
      </w:r>
      <w:r>
        <w:rPr>
          <w:spacing w:val="2"/>
          <w:w w:val="105"/>
          <w:sz w:val="20"/>
        </w:rPr>
        <w:t>employment  agreement  </w:t>
      </w:r>
      <w:r>
        <w:rPr>
          <w:w w:val="105"/>
          <w:sz w:val="20"/>
        </w:rPr>
        <w:t>and  related  stock  </w:t>
      </w:r>
      <w:r>
        <w:rPr>
          <w:spacing w:val="2"/>
          <w:w w:val="105"/>
          <w:sz w:val="20"/>
        </w:rPr>
        <w:t>option  agreements  between  </w:t>
      </w:r>
      <w:r>
        <w:rPr>
          <w:spacing w:val="5"/>
          <w:w w:val="105"/>
          <w:sz w:val="20"/>
        </w:rPr>
        <w:t>Southwest </w:t>
      </w:r>
      <w:r>
        <w:rPr>
          <w:w w:val="105"/>
          <w:sz w:val="20"/>
        </w:rPr>
        <w:t>and Herbert D. Kelleher (incorporated by reference to </w:t>
      </w:r>
      <w:r>
        <w:rPr>
          <w:spacing w:val="2"/>
          <w:w w:val="105"/>
          <w:sz w:val="20"/>
          <w:u w:val="single"/>
        </w:rPr>
        <w:t>Exhibit </w:t>
      </w:r>
      <w:r>
        <w:rPr>
          <w:w w:val="105"/>
          <w:sz w:val="20"/>
          <w:u w:val="single"/>
        </w:rPr>
        <w:t>10 </w:t>
      </w:r>
      <w:r>
        <w:rPr>
          <w:w w:val="105"/>
          <w:sz w:val="20"/>
        </w:rPr>
        <w:t>to  Southwest’s  Quarterly Report</w:t>
      </w:r>
      <w:r>
        <w:rPr>
          <w:spacing w:val="36"/>
          <w:w w:val="105"/>
          <w:sz w:val="20"/>
        </w:rPr>
        <w:t> </w:t>
      </w:r>
      <w:r>
        <w:rPr>
          <w:w w:val="105"/>
          <w:sz w:val="20"/>
        </w:rPr>
        <w:t>on</w:t>
      </w:r>
      <w:r>
        <w:rPr>
          <w:spacing w:val="36"/>
          <w:w w:val="105"/>
          <w:sz w:val="20"/>
        </w:rPr>
        <w:t> </w:t>
      </w:r>
      <w:r>
        <w:rPr>
          <w:w w:val="105"/>
          <w:sz w:val="20"/>
        </w:rPr>
        <w:t>Form</w:t>
      </w:r>
      <w:r>
        <w:rPr>
          <w:spacing w:val="36"/>
          <w:w w:val="105"/>
          <w:sz w:val="20"/>
        </w:rPr>
        <w:t> </w:t>
      </w:r>
      <w:r>
        <w:rPr>
          <w:w w:val="105"/>
          <w:sz w:val="20"/>
        </w:rPr>
        <w:t>10-Q</w:t>
      </w:r>
      <w:r>
        <w:rPr>
          <w:spacing w:val="36"/>
          <w:w w:val="105"/>
          <w:sz w:val="20"/>
        </w:rPr>
        <w:t> </w:t>
      </w:r>
      <w:r>
        <w:rPr>
          <w:w w:val="105"/>
          <w:sz w:val="20"/>
        </w:rPr>
        <w:t>for</w:t>
      </w:r>
      <w:r>
        <w:rPr>
          <w:spacing w:val="36"/>
          <w:w w:val="105"/>
          <w:sz w:val="20"/>
        </w:rPr>
        <w:t> </w:t>
      </w:r>
      <w:r>
        <w:rPr>
          <w:w w:val="105"/>
          <w:sz w:val="20"/>
        </w:rPr>
        <w:t>the</w:t>
      </w:r>
      <w:r>
        <w:rPr>
          <w:spacing w:val="36"/>
          <w:w w:val="105"/>
          <w:sz w:val="20"/>
        </w:rPr>
        <w:t> </w:t>
      </w:r>
      <w:r>
        <w:rPr>
          <w:w w:val="105"/>
          <w:sz w:val="20"/>
        </w:rPr>
        <w:t>quarter</w:t>
      </w:r>
      <w:r>
        <w:rPr>
          <w:spacing w:val="36"/>
          <w:w w:val="105"/>
          <w:sz w:val="20"/>
        </w:rPr>
        <w:t> </w:t>
      </w:r>
      <w:r>
        <w:rPr>
          <w:w w:val="105"/>
          <w:sz w:val="20"/>
        </w:rPr>
        <w:t>ended</w:t>
      </w:r>
      <w:r>
        <w:rPr>
          <w:spacing w:val="36"/>
          <w:w w:val="105"/>
          <w:sz w:val="20"/>
        </w:rPr>
        <w:t> </w:t>
      </w:r>
      <w:r>
        <w:rPr>
          <w:w w:val="105"/>
          <w:sz w:val="20"/>
        </w:rPr>
        <w:t>March</w:t>
      </w:r>
      <w:r>
        <w:rPr>
          <w:spacing w:val="36"/>
          <w:w w:val="105"/>
          <w:sz w:val="20"/>
        </w:rPr>
        <w:t> </w:t>
      </w:r>
      <w:r>
        <w:rPr>
          <w:w w:val="105"/>
          <w:sz w:val="20"/>
        </w:rPr>
        <w:t>31,</w:t>
      </w:r>
      <w:r>
        <w:rPr>
          <w:spacing w:val="36"/>
          <w:w w:val="105"/>
          <w:sz w:val="20"/>
        </w:rPr>
        <w:t> </w:t>
      </w:r>
      <w:r>
        <w:rPr>
          <w:w w:val="105"/>
          <w:sz w:val="20"/>
        </w:rPr>
        <w:t>2001</w:t>
      </w:r>
      <w:r>
        <w:rPr>
          <w:spacing w:val="36"/>
          <w:w w:val="105"/>
          <w:sz w:val="20"/>
        </w:rPr>
        <w:t> </w:t>
      </w:r>
      <w:r>
        <w:rPr>
          <w:w w:val="105"/>
          <w:sz w:val="20"/>
        </w:rPr>
        <w:t>[File</w:t>
      </w:r>
      <w:r>
        <w:rPr>
          <w:spacing w:val="36"/>
          <w:w w:val="105"/>
          <w:sz w:val="20"/>
        </w:rPr>
        <w:t> </w:t>
      </w:r>
      <w:r>
        <w:rPr>
          <w:w w:val="105"/>
          <w:sz w:val="20"/>
        </w:rPr>
        <w:t>No.</w:t>
      </w:r>
      <w:r>
        <w:rPr>
          <w:spacing w:val="3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1991  Incentive  Stock  Option  </w:t>
      </w:r>
      <w:r>
        <w:rPr>
          <w:spacing w:val="46"/>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1991 Non-Qualified Stock Option  </w:t>
      </w:r>
      <w:r>
        <w:rPr>
          <w:spacing w:val="7"/>
          <w:w w:val="110"/>
          <w:sz w:val="20"/>
        </w:rPr>
        <w:t> </w:t>
      </w:r>
      <w:r>
        <w:rPr>
          <w:w w:val="110"/>
          <w:sz w:val="20"/>
        </w:rPr>
        <w:t>Plan.</w:t>
      </w:r>
    </w:p>
    <w:p>
      <w:pPr>
        <w:pStyle w:val="BodyText"/>
        <w:spacing w:before="8"/>
        <w:rPr>
          <w:sz w:val="17"/>
        </w:rPr>
      </w:pPr>
    </w:p>
    <w:p>
      <w:pPr>
        <w:pStyle w:val="ListParagraph"/>
        <w:numPr>
          <w:ilvl w:val="1"/>
          <w:numId w:val="9"/>
        </w:numPr>
        <w:tabs>
          <w:tab w:pos="1542" w:val="left" w:leader="none"/>
          <w:tab w:pos="1543" w:val="left" w:leader="none"/>
        </w:tabs>
        <w:spacing w:line="254" w:lineRule="auto" w:before="0" w:after="0"/>
        <w:ind w:left="1540" w:right="119" w:hanging="900"/>
        <w:jc w:val="both"/>
        <w:rPr>
          <w:sz w:val="20"/>
        </w:rPr>
      </w:pPr>
      <w:r>
        <w:rPr>
          <w:w w:val="105"/>
          <w:sz w:val="20"/>
        </w:rPr>
        <w:t>1991 Employee Stock Purchase Plan as </w:t>
      </w:r>
      <w:r>
        <w:rPr>
          <w:spacing w:val="4"/>
          <w:w w:val="105"/>
          <w:sz w:val="20"/>
        </w:rPr>
        <w:t>amended </w:t>
      </w:r>
      <w:r>
        <w:rPr>
          <w:spacing w:val="2"/>
          <w:w w:val="105"/>
          <w:sz w:val="20"/>
        </w:rPr>
        <w:t>September </w:t>
      </w:r>
      <w:r>
        <w:rPr>
          <w:w w:val="105"/>
          <w:sz w:val="20"/>
        </w:rPr>
        <w:t>21, 2000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  </w:t>
      </w:r>
      <w:r>
        <w:rPr>
          <w:w w:val="105"/>
          <w:sz w:val="20"/>
        </w:rPr>
        <w:t>to  </w:t>
      </w:r>
      <w:r>
        <w:rPr>
          <w:spacing w:val="4"/>
          <w:w w:val="105"/>
          <w:sz w:val="20"/>
        </w:rPr>
        <w:t>Amendment  </w:t>
      </w:r>
      <w:r>
        <w:rPr>
          <w:w w:val="105"/>
          <w:sz w:val="20"/>
        </w:rPr>
        <w:t>No.   1   to   Registration   Statement   on   Form   </w:t>
      </w:r>
      <w:r>
        <w:rPr>
          <w:spacing w:val="-3"/>
          <w:w w:val="105"/>
          <w:sz w:val="20"/>
        </w:rPr>
        <w:t>S-8 </w:t>
      </w:r>
      <w:r>
        <w:rPr>
          <w:w w:val="105"/>
          <w:sz w:val="20"/>
        </w:rPr>
        <w:t>[File  No. </w:t>
      </w:r>
      <w:r>
        <w:rPr>
          <w:spacing w:val="23"/>
          <w:w w:val="105"/>
          <w:sz w:val="20"/>
        </w:rPr>
        <w:t> </w:t>
      </w:r>
      <w:r>
        <w:rPr>
          <w:w w:val="105"/>
          <w:sz w:val="20"/>
        </w:rPr>
        <w:t>33-40653]).</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2" w:hanging="900"/>
        <w:jc w:val="both"/>
        <w:rPr>
          <w:sz w:val="20"/>
        </w:rPr>
      </w:pPr>
      <w:r>
        <w:rPr>
          <w:w w:val="105"/>
          <w:sz w:val="20"/>
        </w:rPr>
        <w:t>Southwest Airlines Co. Profitsharing Plan </w:t>
      </w:r>
      <w:r>
        <w:rPr>
          <w:spacing w:val="2"/>
          <w:w w:val="105"/>
          <w:sz w:val="20"/>
        </w:rPr>
        <w:t>(incorporated </w:t>
      </w:r>
      <w:r>
        <w:rPr>
          <w:w w:val="105"/>
          <w:sz w:val="20"/>
        </w:rPr>
        <w:t>by reference to </w:t>
      </w:r>
      <w:r>
        <w:rPr>
          <w:spacing w:val="2"/>
          <w:w w:val="105"/>
          <w:sz w:val="20"/>
          <w:u w:val="single"/>
        </w:rPr>
        <w:t>Exhibit </w:t>
      </w:r>
      <w:r>
        <w:rPr>
          <w:w w:val="105"/>
          <w:sz w:val="20"/>
          <w:u w:val="single"/>
        </w:rPr>
        <w:t>10.8 </w:t>
      </w:r>
      <w:r>
        <w:rPr>
          <w:spacing w:val="8"/>
          <w:w w:val="105"/>
          <w:sz w:val="20"/>
        </w:rPr>
        <w:t>to </w:t>
      </w:r>
      <w:r>
        <w:rPr>
          <w:w w:val="105"/>
          <w:sz w:val="20"/>
        </w:rPr>
        <w:t>Southwest’s Annual Report on Form 10-K for the year ended December 31, 2000  [File  </w:t>
      </w:r>
      <w:r>
        <w:rPr>
          <w:spacing w:val="6"/>
          <w:w w:val="105"/>
          <w:sz w:val="20"/>
        </w:rPr>
        <w:t>No. </w:t>
      </w:r>
      <w:r>
        <w:rPr>
          <w:w w:val="105"/>
          <w:sz w:val="20"/>
        </w:rPr>
        <w:t>1-729]); </w:t>
      </w:r>
      <w:r>
        <w:rPr>
          <w:spacing w:val="4"/>
          <w:w w:val="105"/>
          <w:sz w:val="20"/>
        </w:rPr>
        <w:t>Amendment </w:t>
      </w:r>
      <w:r>
        <w:rPr>
          <w:w w:val="105"/>
          <w:sz w:val="20"/>
        </w:rPr>
        <w:t>No. 1 to Southwest Airlines Co. Profitsharing 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10.11 </w:t>
      </w:r>
      <w:r>
        <w:rPr>
          <w:w w:val="105"/>
          <w:sz w:val="20"/>
        </w:rPr>
        <w:t>to Southwest’s Annual Report on Form 10-K for the year </w:t>
      </w:r>
      <w:r>
        <w:rPr>
          <w:spacing w:val="15"/>
          <w:w w:val="105"/>
          <w:sz w:val="20"/>
        </w:rPr>
        <w:t>ended </w:t>
      </w:r>
      <w:r>
        <w:rPr>
          <w:spacing w:val="3"/>
          <w:w w:val="105"/>
          <w:sz w:val="20"/>
        </w:rPr>
        <w:t>December </w:t>
      </w:r>
      <w:r>
        <w:rPr>
          <w:w w:val="105"/>
          <w:sz w:val="20"/>
        </w:rPr>
        <w:t>31, 2001 [File No. 1-7259]); </w:t>
      </w:r>
      <w:r>
        <w:rPr>
          <w:spacing w:val="4"/>
          <w:w w:val="105"/>
          <w:sz w:val="20"/>
        </w:rPr>
        <w:t>Amendment </w:t>
      </w:r>
      <w:r>
        <w:rPr>
          <w:w w:val="105"/>
          <w:sz w:val="20"/>
        </w:rPr>
        <w:t>No. 2 to Southwest Airlines  </w:t>
      </w:r>
      <w:r>
        <w:rPr>
          <w:spacing w:val="2"/>
          <w:w w:val="105"/>
          <w:sz w:val="20"/>
        </w:rPr>
        <w:t>Co.  Profitsharing </w:t>
      </w:r>
      <w:r>
        <w:rPr>
          <w:spacing w:val="22"/>
          <w:w w:val="105"/>
          <w:sz w:val="20"/>
        </w:rPr>
        <w:t> </w:t>
      </w:r>
      <w:r>
        <w:rPr>
          <w:spacing w:val="3"/>
          <w:w w:val="105"/>
          <w:sz w:val="20"/>
        </w:rPr>
        <w:t>Plan.</w:t>
      </w:r>
    </w:p>
    <w:p>
      <w:pPr>
        <w:pStyle w:val="BodyText"/>
        <w:spacing w:before="5"/>
        <w:rPr>
          <w:sz w:val="16"/>
        </w:rPr>
      </w:pPr>
    </w:p>
    <w:p>
      <w:pPr>
        <w:pStyle w:val="ListParagraph"/>
        <w:numPr>
          <w:ilvl w:val="1"/>
          <w:numId w:val="9"/>
        </w:numPr>
        <w:tabs>
          <w:tab w:pos="1540" w:val="left" w:leader="none"/>
        </w:tabs>
        <w:spacing w:line="254" w:lineRule="auto" w:before="0" w:after="0"/>
        <w:ind w:left="1540" w:right="109" w:hanging="900"/>
        <w:jc w:val="both"/>
        <w:rPr>
          <w:sz w:val="20"/>
        </w:rPr>
      </w:pPr>
      <w:r>
        <w:rPr>
          <w:w w:val="105"/>
          <w:sz w:val="20"/>
        </w:rPr>
        <w:t>Southwest Airlines Co.  401(k)  Plan  </w:t>
      </w:r>
      <w:r>
        <w:rPr>
          <w:spacing w:val="2"/>
          <w:w w:val="105"/>
          <w:sz w:val="20"/>
        </w:rPr>
        <w:t>(incorporated  </w:t>
      </w:r>
      <w:r>
        <w:rPr>
          <w:w w:val="105"/>
          <w:sz w:val="20"/>
        </w:rPr>
        <w:t>by  reference  to  </w:t>
      </w:r>
      <w:r>
        <w:rPr>
          <w:spacing w:val="2"/>
          <w:w w:val="105"/>
          <w:sz w:val="20"/>
          <w:u w:val="single"/>
        </w:rPr>
        <w:t>Exhibit  </w:t>
      </w:r>
      <w:r>
        <w:rPr>
          <w:w w:val="105"/>
          <w:sz w:val="20"/>
          <w:u w:val="single"/>
        </w:rPr>
        <w:t>10.12  </w:t>
      </w:r>
      <w:r>
        <w:rPr>
          <w:spacing w:val="8"/>
          <w:w w:val="105"/>
          <w:sz w:val="20"/>
        </w:rPr>
        <w:t>to </w:t>
      </w:r>
      <w:r>
        <w:rPr>
          <w:w w:val="105"/>
          <w:sz w:val="20"/>
        </w:rPr>
        <w:t>Southwest’s Annual Report on Form 10-K for the year ended December 31, 2001 ([File </w:t>
      </w:r>
      <w:r>
        <w:rPr>
          <w:spacing w:val="6"/>
          <w:w w:val="105"/>
          <w:sz w:val="20"/>
        </w:rPr>
        <w:t>No. </w:t>
      </w:r>
      <w:r>
        <w:rPr>
          <w:w w:val="105"/>
          <w:sz w:val="20"/>
        </w:rPr>
        <w:t>1-7259]); Amendment No. 1 to Southwest Airlines Co. 401(k) Plan; </w:t>
      </w:r>
      <w:r>
        <w:rPr>
          <w:spacing w:val="4"/>
          <w:w w:val="105"/>
          <w:sz w:val="20"/>
        </w:rPr>
        <w:t>Amendment </w:t>
      </w:r>
      <w:r>
        <w:rPr>
          <w:w w:val="105"/>
          <w:sz w:val="20"/>
        </w:rPr>
        <w:t>No. 2 </w:t>
      </w:r>
      <w:r>
        <w:rPr>
          <w:spacing w:val="4"/>
          <w:w w:val="105"/>
          <w:sz w:val="20"/>
        </w:rPr>
        <w:t>to </w:t>
      </w:r>
      <w:r>
        <w:rPr>
          <w:w w:val="105"/>
          <w:sz w:val="20"/>
        </w:rPr>
        <w:t>Southwest  Airlines  Co.  401(k) </w:t>
      </w:r>
      <w:r>
        <w:rPr>
          <w:spacing w:val="44"/>
          <w:w w:val="105"/>
          <w:sz w:val="20"/>
        </w:rPr>
        <w:t> </w:t>
      </w:r>
      <w:r>
        <w:rPr>
          <w:w w:val="105"/>
          <w:sz w:val="20"/>
        </w:rPr>
        <w:t>Plan.</w:t>
      </w:r>
    </w:p>
    <w:p>
      <w:pPr>
        <w:pStyle w:val="BodyText"/>
        <w:spacing w:before="5"/>
        <w:rPr>
          <w:sz w:val="16"/>
        </w:rPr>
      </w:pPr>
    </w:p>
    <w:p>
      <w:pPr>
        <w:pStyle w:val="ListParagraph"/>
        <w:numPr>
          <w:ilvl w:val="1"/>
          <w:numId w:val="9"/>
        </w:numPr>
        <w:tabs>
          <w:tab w:pos="1540" w:val="left" w:leader="none"/>
        </w:tabs>
        <w:spacing w:line="254" w:lineRule="auto" w:before="0" w:after="0"/>
        <w:ind w:left="1540" w:right="102" w:hanging="900"/>
        <w:jc w:val="both"/>
        <w:rPr>
          <w:sz w:val="20"/>
        </w:rPr>
      </w:pPr>
      <w:r>
        <w:rPr>
          <w:w w:val="105"/>
          <w:sz w:val="20"/>
        </w:rPr>
        <w:t>Southwest Airlines Co. 1995 SWAPA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10.14 </w:t>
      </w:r>
      <w:r>
        <w:rPr>
          <w:w w:val="105"/>
          <w:sz w:val="20"/>
        </w:rPr>
        <w:t>to Southwest’s Annual 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1996  Incentive  Stock  Option  </w:t>
      </w:r>
      <w:r>
        <w:rPr>
          <w:spacing w:val="46"/>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1996 Non-Qualified Stock Option  </w:t>
      </w:r>
      <w:r>
        <w:rPr>
          <w:spacing w:val="7"/>
          <w:w w:val="110"/>
          <w:sz w:val="20"/>
        </w:rPr>
        <w:t> </w:t>
      </w:r>
      <w:r>
        <w:rPr>
          <w:w w:val="110"/>
          <w:sz w:val="20"/>
        </w:rPr>
        <w:t>Plan.</w:t>
      </w:r>
    </w:p>
    <w:p>
      <w:pPr>
        <w:pStyle w:val="BodyText"/>
        <w:spacing w:before="8"/>
        <w:rPr>
          <w:sz w:val="17"/>
        </w:rPr>
      </w:pPr>
    </w:p>
    <w:p>
      <w:pPr>
        <w:pStyle w:val="ListParagraph"/>
        <w:numPr>
          <w:ilvl w:val="1"/>
          <w:numId w:val="9"/>
        </w:numPr>
        <w:tabs>
          <w:tab w:pos="1540" w:val="left" w:leader="none"/>
        </w:tabs>
        <w:spacing w:line="254" w:lineRule="auto" w:before="0" w:after="0"/>
        <w:ind w:left="1540" w:right="108" w:hanging="900"/>
        <w:jc w:val="both"/>
        <w:rPr>
          <w:sz w:val="20"/>
        </w:rPr>
      </w:pPr>
      <w:r>
        <w:rPr>
          <w:spacing w:val="2"/>
          <w:w w:val="105"/>
          <w:sz w:val="20"/>
        </w:rPr>
        <w:t>Employment Agreement dated  </w:t>
      </w:r>
      <w:r>
        <w:rPr>
          <w:w w:val="105"/>
          <w:sz w:val="20"/>
        </w:rPr>
        <w:t>as  of  </w:t>
      </w:r>
      <w:r>
        <w:rPr>
          <w:spacing w:val="2"/>
          <w:w w:val="105"/>
          <w:sz w:val="20"/>
        </w:rPr>
        <w:t>June  </w:t>
      </w:r>
      <w:r>
        <w:rPr>
          <w:w w:val="105"/>
          <w:sz w:val="20"/>
        </w:rPr>
        <w:t>19,  2002,  </w:t>
      </w:r>
      <w:r>
        <w:rPr>
          <w:spacing w:val="2"/>
          <w:w w:val="105"/>
          <w:sz w:val="20"/>
        </w:rPr>
        <w:t>between  </w:t>
      </w:r>
      <w:r>
        <w:rPr>
          <w:w w:val="105"/>
          <w:sz w:val="20"/>
        </w:rPr>
        <w:t>Southwest  and  James  F. Parker (incorporated by reference to </w:t>
      </w:r>
      <w:r>
        <w:rPr>
          <w:spacing w:val="2"/>
          <w:w w:val="105"/>
          <w:sz w:val="20"/>
          <w:u w:val="single"/>
        </w:rPr>
        <w:t>Exhibit </w:t>
      </w:r>
      <w:r>
        <w:rPr>
          <w:w w:val="105"/>
          <w:sz w:val="20"/>
          <w:u w:val="single"/>
        </w:rPr>
        <w:t>10.16 </w:t>
      </w:r>
      <w:r>
        <w:rPr>
          <w:w w:val="105"/>
          <w:sz w:val="20"/>
        </w:rPr>
        <w:t>to  Southwest’s  </w:t>
      </w:r>
      <w:r>
        <w:rPr>
          <w:spacing w:val="2"/>
          <w:w w:val="105"/>
          <w:sz w:val="20"/>
        </w:rPr>
        <w:t>Annual  </w:t>
      </w:r>
      <w:r>
        <w:rPr>
          <w:w w:val="105"/>
          <w:sz w:val="20"/>
        </w:rPr>
        <w:t>Report  on  </w:t>
      </w:r>
      <w:r>
        <w:rPr>
          <w:spacing w:val="9"/>
          <w:w w:val="105"/>
          <w:sz w:val="20"/>
        </w:rPr>
        <w:t>Form </w:t>
      </w:r>
      <w:r>
        <w:rPr>
          <w:w w:val="105"/>
          <w:sz w:val="20"/>
        </w:rPr>
        <w:t>10-K  for  the  year  ended  December  31,  2001  [File  No.</w:t>
      </w:r>
      <w:r>
        <w:rPr>
          <w:spacing w:val="23"/>
          <w:w w:val="105"/>
          <w:sz w:val="20"/>
        </w:rPr>
        <w:t> </w:t>
      </w:r>
      <w:r>
        <w:rPr>
          <w:w w:val="105"/>
          <w:sz w:val="20"/>
        </w:rPr>
        <w:t>1-7259]).</w:t>
      </w:r>
    </w:p>
    <w:p>
      <w:pPr>
        <w:pStyle w:val="BodyText"/>
        <w:spacing w:before="5"/>
        <w:rPr>
          <w:sz w:val="16"/>
        </w:rPr>
      </w:pPr>
    </w:p>
    <w:p>
      <w:pPr>
        <w:pStyle w:val="ListParagraph"/>
        <w:numPr>
          <w:ilvl w:val="1"/>
          <w:numId w:val="9"/>
        </w:numPr>
        <w:tabs>
          <w:tab w:pos="1540" w:val="left" w:leader="none"/>
        </w:tabs>
        <w:spacing w:line="254" w:lineRule="auto" w:before="0" w:after="0"/>
        <w:ind w:left="1540" w:right="108" w:hanging="900"/>
        <w:jc w:val="both"/>
        <w:rPr>
          <w:sz w:val="20"/>
        </w:rPr>
      </w:pPr>
      <w:r>
        <w:rPr>
          <w:spacing w:val="2"/>
          <w:w w:val="110"/>
          <w:sz w:val="20"/>
        </w:rPr>
        <w:t>Employment Agreement dated </w:t>
      </w:r>
      <w:r>
        <w:rPr>
          <w:w w:val="110"/>
          <w:sz w:val="20"/>
        </w:rPr>
        <w:t>as of </w:t>
      </w:r>
      <w:r>
        <w:rPr>
          <w:spacing w:val="2"/>
          <w:w w:val="110"/>
          <w:sz w:val="20"/>
        </w:rPr>
        <w:t>June </w:t>
      </w:r>
      <w:r>
        <w:rPr>
          <w:w w:val="110"/>
          <w:sz w:val="20"/>
        </w:rPr>
        <w:t>19, 2002, </w:t>
      </w:r>
      <w:r>
        <w:rPr>
          <w:spacing w:val="2"/>
          <w:w w:val="110"/>
          <w:sz w:val="20"/>
        </w:rPr>
        <w:t>between </w:t>
      </w:r>
      <w:r>
        <w:rPr>
          <w:w w:val="110"/>
          <w:sz w:val="20"/>
        </w:rPr>
        <w:t>Southwest and Colleen C. Barrett (incorporated by reference to </w:t>
      </w:r>
      <w:r>
        <w:rPr>
          <w:spacing w:val="2"/>
          <w:w w:val="110"/>
          <w:sz w:val="20"/>
          <w:u w:val="single"/>
        </w:rPr>
        <w:t>Exhibit </w:t>
      </w:r>
      <w:r>
        <w:rPr>
          <w:w w:val="110"/>
          <w:sz w:val="20"/>
          <w:u w:val="single"/>
        </w:rPr>
        <w:t>10.17 </w:t>
      </w:r>
      <w:r>
        <w:rPr>
          <w:w w:val="110"/>
          <w:sz w:val="20"/>
        </w:rPr>
        <w:t>to Southwest’s </w:t>
      </w:r>
      <w:r>
        <w:rPr>
          <w:spacing w:val="2"/>
          <w:w w:val="110"/>
          <w:sz w:val="20"/>
        </w:rPr>
        <w:t>Annual </w:t>
      </w:r>
      <w:r>
        <w:rPr>
          <w:w w:val="110"/>
          <w:sz w:val="20"/>
        </w:rPr>
        <w:t>Report on </w:t>
      </w:r>
      <w:r>
        <w:rPr>
          <w:spacing w:val="9"/>
          <w:w w:val="110"/>
          <w:sz w:val="20"/>
        </w:rPr>
        <w:t>Form </w:t>
      </w:r>
      <w:r>
        <w:rPr>
          <w:w w:val="110"/>
          <w:sz w:val="20"/>
        </w:rPr>
        <w:t>10-K</w:t>
      </w:r>
      <w:r>
        <w:rPr>
          <w:spacing w:val="19"/>
          <w:w w:val="110"/>
          <w:sz w:val="20"/>
        </w:rPr>
        <w:t> </w:t>
      </w:r>
      <w:r>
        <w:rPr>
          <w:w w:val="110"/>
          <w:sz w:val="20"/>
        </w:rPr>
        <w:t>for</w:t>
      </w:r>
      <w:r>
        <w:rPr>
          <w:spacing w:val="19"/>
          <w:w w:val="110"/>
          <w:sz w:val="20"/>
        </w:rPr>
        <w:t> </w:t>
      </w:r>
      <w:r>
        <w:rPr>
          <w:w w:val="110"/>
          <w:sz w:val="20"/>
        </w:rPr>
        <w:t>the</w:t>
      </w:r>
      <w:r>
        <w:rPr>
          <w:spacing w:val="19"/>
          <w:w w:val="110"/>
          <w:sz w:val="20"/>
        </w:rPr>
        <w:t> </w:t>
      </w:r>
      <w:r>
        <w:rPr>
          <w:w w:val="110"/>
          <w:sz w:val="20"/>
        </w:rPr>
        <w:t>year</w:t>
      </w:r>
      <w:r>
        <w:rPr>
          <w:spacing w:val="19"/>
          <w:w w:val="110"/>
          <w:sz w:val="20"/>
        </w:rPr>
        <w:t> </w:t>
      </w:r>
      <w:r>
        <w:rPr>
          <w:w w:val="110"/>
          <w:sz w:val="20"/>
        </w:rPr>
        <w:t>ended</w:t>
      </w:r>
      <w:r>
        <w:rPr>
          <w:spacing w:val="19"/>
          <w:w w:val="110"/>
          <w:sz w:val="20"/>
        </w:rPr>
        <w:t> </w:t>
      </w:r>
      <w:r>
        <w:rPr>
          <w:w w:val="110"/>
          <w:sz w:val="20"/>
        </w:rPr>
        <w:t>December</w:t>
      </w:r>
      <w:r>
        <w:rPr>
          <w:spacing w:val="19"/>
          <w:w w:val="110"/>
          <w:sz w:val="20"/>
        </w:rPr>
        <w:t> </w:t>
      </w:r>
      <w:r>
        <w:rPr>
          <w:w w:val="110"/>
          <w:sz w:val="20"/>
        </w:rPr>
        <w:t>31,</w:t>
      </w:r>
      <w:r>
        <w:rPr>
          <w:spacing w:val="19"/>
          <w:w w:val="110"/>
          <w:sz w:val="20"/>
        </w:rPr>
        <w:t> </w:t>
      </w:r>
      <w:r>
        <w:rPr>
          <w:w w:val="110"/>
          <w:sz w:val="20"/>
        </w:rPr>
        <w:t>2000</w:t>
      </w:r>
      <w:r>
        <w:rPr>
          <w:spacing w:val="19"/>
          <w:w w:val="110"/>
          <w:sz w:val="20"/>
        </w:rPr>
        <w:t> </w:t>
      </w:r>
      <w:r>
        <w:rPr>
          <w:w w:val="110"/>
          <w:sz w:val="20"/>
        </w:rPr>
        <w:t>[File</w:t>
      </w:r>
      <w:r>
        <w:rPr>
          <w:spacing w:val="19"/>
          <w:w w:val="110"/>
          <w:sz w:val="20"/>
        </w:rPr>
        <w:t> </w:t>
      </w:r>
      <w:r>
        <w:rPr>
          <w:w w:val="110"/>
          <w:sz w:val="20"/>
        </w:rPr>
        <w:t>No.</w:t>
      </w:r>
      <w:r>
        <w:rPr>
          <w:spacing w:val="19"/>
          <w:w w:val="110"/>
          <w:sz w:val="20"/>
        </w:rPr>
        <w:t> </w:t>
      </w:r>
      <w:r>
        <w:rPr>
          <w:w w:val="110"/>
          <w:sz w:val="20"/>
        </w:rPr>
        <w:t>1-7259]).</w:t>
      </w:r>
    </w:p>
    <w:p>
      <w:pPr>
        <w:spacing w:after="0" w:line="254" w:lineRule="auto"/>
        <w:jc w:val="both"/>
        <w:rPr>
          <w:sz w:val="20"/>
        </w:rPr>
        <w:sectPr>
          <w:headerReference w:type="default" r:id="rId166"/>
          <w:pgSz w:w="11520" w:h="14400"/>
          <w:pgMar w:header="0" w:footer="706" w:top="960" w:bottom="900" w:left="700" w:right="820"/>
        </w:sectPr>
      </w:pPr>
    </w:p>
    <w:p>
      <w:pPr>
        <w:pStyle w:val="ListParagraph"/>
        <w:numPr>
          <w:ilvl w:val="1"/>
          <w:numId w:val="9"/>
        </w:numPr>
        <w:tabs>
          <w:tab w:pos="1540" w:val="left" w:leader="none"/>
        </w:tabs>
        <w:spacing w:line="254" w:lineRule="auto" w:before="69" w:after="0"/>
        <w:ind w:left="1540" w:right="102" w:hanging="900"/>
        <w:jc w:val="both"/>
        <w:rPr>
          <w:sz w:val="20"/>
        </w:rPr>
      </w:pPr>
      <w:r>
        <w:rPr>
          <w:w w:val="105"/>
          <w:sz w:val="20"/>
        </w:rPr>
        <w:t>Southwest Airlines  Co.  Outside  Director  </w:t>
      </w:r>
      <w:r>
        <w:rPr>
          <w:spacing w:val="3"/>
          <w:w w:val="105"/>
          <w:sz w:val="20"/>
        </w:rPr>
        <w:t>Incentive</w:t>
      </w:r>
      <w:r>
        <w:rPr>
          <w:spacing w:val="53"/>
          <w:w w:val="105"/>
          <w:sz w:val="20"/>
        </w:rPr>
        <w:t> </w:t>
      </w:r>
      <w:r>
        <w:rPr>
          <w:w w:val="105"/>
          <w:sz w:val="20"/>
        </w:rPr>
        <w:t>Plan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w w:val="105"/>
          <w:sz w:val="20"/>
        </w:rPr>
        <w:t>March  31,  2002  [File  No.</w:t>
      </w:r>
      <w:r>
        <w:rPr>
          <w:spacing w:val="46"/>
          <w:w w:val="105"/>
          <w:sz w:val="20"/>
        </w:rPr>
        <w:t> </w:t>
      </w:r>
      <w:r>
        <w:rPr>
          <w:w w:val="105"/>
          <w:sz w:val="20"/>
        </w:rPr>
        <w:t>1-7259]).</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1998 SAEA Non-Qualified Stock Option  </w:t>
      </w:r>
      <w:r>
        <w:rPr>
          <w:spacing w:val="39"/>
          <w:w w:val="110"/>
          <w:sz w:val="20"/>
        </w:rPr>
        <w:t> </w:t>
      </w:r>
      <w:r>
        <w:rPr>
          <w:w w:val="110"/>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1999 SWAPIA Non-Qualified Stock Option  </w:t>
      </w:r>
      <w:r>
        <w:rPr>
          <w:spacing w:val="17"/>
          <w:w w:val="110"/>
          <w:sz w:val="20"/>
        </w:rPr>
        <w:t> </w:t>
      </w:r>
      <w:r>
        <w:rPr>
          <w:w w:val="110"/>
          <w:sz w:val="20"/>
        </w:rPr>
        <w:t>Plan.</w:t>
      </w:r>
    </w:p>
    <w:p>
      <w:pPr>
        <w:pStyle w:val="BodyText"/>
        <w:spacing w:before="8"/>
        <w:rPr>
          <w:sz w:val="17"/>
        </w:rPr>
      </w:pPr>
    </w:p>
    <w:p>
      <w:pPr>
        <w:pStyle w:val="ListParagraph"/>
        <w:numPr>
          <w:ilvl w:val="1"/>
          <w:numId w:val="9"/>
        </w:numPr>
        <w:tabs>
          <w:tab w:pos="1542" w:val="left" w:leader="none"/>
          <w:tab w:pos="1543" w:val="left" w:leader="none"/>
        </w:tabs>
        <w:spacing w:line="254" w:lineRule="auto" w:before="0" w:after="0"/>
        <w:ind w:left="1540" w:right="109" w:hanging="900"/>
        <w:jc w:val="left"/>
        <w:rPr>
          <w:sz w:val="20"/>
        </w:rPr>
      </w:pPr>
      <w:r>
        <w:rPr>
          <w:w w:val="105"/>
          <w:sz w:val="20"/>
        </w:rPr>
        <w:t>LUV 2000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333-53610]).</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9" w:hanging="900"/>
        <w:jc w:val="left"/>
        <w:rPr>
          <w:sz w:val="20"/>
        </w:rPr>
      </w:pPr>
      <w:r>
        <w:rPr>
          <w:w w:val="105"/>
          <w:sz w:val="20"/>
        </w:rPr>
        <w:t>2000 Aircraft </w:t>
      </w:r>
      <w:r>
        <w:rPr>
          <w:spacing w:val="3"/>
          <w:w w:val="105"/>
          <w:sz w:val="20"/>
        </w:rPr>
        <w:t>Appearance 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333-52388]).</w:t>
      </w:r>
    </w:p>
    <w:p>
      <w:pPr>
        <w:pStyle w:val="BodyText"/>
        <w:spacing w:before="5"/>
        <w:rPr>
          <w:sz w:val="16"/>
        </w:rPr>
      </w:pPr>
    </w:p>
    <w:p>
      <w:pPr>
        <w:pStyle w:val="ListParagraph"/>
        <w:numPr>
          <w:ilvl w:val="1"/>
          <w:numId w:val="9"/>
        </w:numPr>
        <w:tabs>
          <w:tab w:pos="1539" w:val="left" w:leader="none"/>
          <w:tab w:pos="1540" w:val="left" w:leader="none"/>
          <w:tab w:pos="4899" w:val="left" w:leader="none"/>
          <w:tab w:pos="8299" w:val="left" w:leader="none"/>
        </w:tabs>
        <w:spacing w:line="254" w:lineRule="auto" w:before="0" w:after="0"/>
        <w:ind w:left="1540" w:right="117" w:hanging="900"/>
        <w:jc w:val="left"/>
        <w:rPr>
          <w:sz w:val="20"/>
        </w:rPr>
      </w:pPr>
      <w:r>
        <w:rPr>
          <w:w w:val="105"/>
          <w:sz w:val="20"/>
        </w:rPr>
        <w:t>2000   Stock  </w:t>
      </w:r>
      <w:r>
        <w:rPr>
          <w:spacing w:val="41"/>
          <w:w w:val="105"/>
          <w:sz w:val="20"/>
        </w:rPr>
        <w:t> </w:t>
      </w:r>
      <w:r>
        <w:rPr>
          <w:w w:val="105"/>
          <w:sz w:val="20"/>
        </w:rPr>
        <w:t>Clerks  </w:t>
      </w:r>
      <w:r>
        <w:rPr>
          <w:spacing w:val="15"/>
          <w:w w:val="105"/>
          <w:sz w:val="20"/>
        </w:rPr>
        <w:t> </w:t>
      </w:r>
      <w:r>
        <w:rPr>
          <w:spacing w:val="3"/>
          <w:w w:val="105"/>
          <w:sz w:val="20"/>
        </w:rPr>
        <w:t>Non-Qualified</w:t>
        <w:tab/>
      </w:r>
      <w:r>
        <w:rPr>
          <w:w w:val="105"/>
          <w:sz w:val="20"/>
        </w:rPr>
        <w:t>Stock    </w:t>
      </w:r>
      <w:r>
        <w:rPr>
          <w:spacing w:val="2"/>
          <w:w w:val="105"/>
          <w:sz w:val="20"/>
        </w:rPr>
        <w:t>Option  </w:t>
      </w:r>
      <w:r>
        <w:rPr>
          <w:spacing w:val="30"/>
          <w:w w:val="105"/>
          <w:sz w:val="20"/>
        </w:rPr>
        <w:t> </w:t>
      </w:r>
      <w:r>
        <w:rPr>
          <w:w w:val="105"/>
          <w:sz w:val="20"/>
        </w:rPr>
        <w:t>Plan  </w:t>
      </w:r>
      <w:r>
        <w:rPr>
          <w:spacing w:val="39"/>
          <w:w w:val="105"/>
          <w:sz w:val="20"/>
        </w:rPr>
        <w:t> </w:t>
      </w:r>
      <w:r>
        <w:rPr>
          <w:spacing w:val="2"/>
          <w:w w:val="105"/>
          <w:sz w:val="20"/>
        </w:rPr>
        <w:t>(incorporated</w:t>
        <w:tab/>
      </w:r>
      <w:r>
        <w:rPr>
          <w:w w:val="105"/>
          <w:sz w:val="20"/>
        </w:rPr>
        <w:t>by  </w:t>
      </w:r>
      <w:r>
        <w:rPr>
          <w:spacing w:val="19"/>
          <w:w w:val="105"/>
          <w:sz w:val="20"/>
        </w:rPr>
        <w:t> </w:t>
      </w:r>
      <w:r>
        <w:rPr>
          <w:w w:val="105"/>
          <w:sz w:val="20"/>
        </w:rPr>
        <w:t>reference  </w:t>
      </w:r>
      <w:r>
        <w:rPr>
          <w:spacing w:val="44"/>
          <w:w w:val="105"/>
          <w:sz w:val="20"/>
        </w:rPr>
        <w:t> </w:t>
      </w:r>
      <w:r>
        <w:rPr>
          <w:spacing w:val="4"/>
          <w:w w:val="105"/>
          <w:sz w:val="20"/>
        </w:rPr>
        <w:t>to</w:t>
      </w:r>
      <w:r>
        <w:rPr>
          <w:w w:val="102"/>
          <w:sz w:val="20"/>
        </w:rPr>
        <w:t> </w:t>
      </w:r>
      <w:r>
        <w:rPr>
          <w:spacing w:val="2"/>
          <w:w w:val="105"/>
          <w:sz w:val="20"/>
          <w:u w:val="single"/>
        </w:rPr>
        <w:t>Exhibit   </w:t>
      </w:r>
      <w:r>
        <w:rPr>
          <w:w w:val="105"/>
          <w:sz w:val="20"/>
          <w:u w:val="single"/>
        </w:rPr>
        <w:t>4.1  </w:t>
      </w:r>
      <w:r>
        <w:rPr>
          <w:w w:val="105"/>
          <w:sz w:val="20"/>
        </w:rPr>
        <w:t>to  Registration  Statement  on  Form  S-8  [File  No. 333-52390]).</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9" w:hanging="900"/>
        <w:jc w:val="left"/>
        <w:rPr>
          <w:sz w:val="20"/>
        </w:rPr>
      </w:pPr>
      <w:r>
        <w:rPr>
          <w:w w:val="105"/>
          <w:sz w:val="20"/>
        </w:rPr>
        <w:t>2000 Flight Simulator </w:t>
      </w:r>
      <w:r>
        <w:rPr>
          <w:spacing w:val="3"/>
          <w:w w:val="105"/>
          <w:sz w:val="20"/>
        </w:rPr>
        <w:t>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333-53616]).</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333-98761]).</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17" w:hanging="900"/>
        <w:jc w:val="left"/>
        <w:rPr>
          <w:sz w:val="20"/>
        </w:rPr>
      </w:pPr>
      <w:r>
        <w:rPr>
          <w:w w:val="105"/>
          <w:sz w:val="20"/>
        </w:rPr>
        <w:t>2002  Bonus  SWAPA  </w:t>
      </w:r>
      <w:r>
        <w:rPr>
          <w:spacing w:val="3"/>
          <w:w w:val="105"/>
          <w:sz w:val="20"/>
        </w:rPr>
        <w:t>Non-Qualified</w:t>
      </w:r>
      <w:r>
        <w:rPr>
          <w:spacing w:val="53"/>
          <w:w w:val="105"/>
          <w:sz w:val="20"/>
        </w:rPr>
        <w:t>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4.1  </w:t>
      </w:r>
      <w:r>
        <w:rPr>
          <w:w w:val="105"/>
          <w:sz w:val="20"/>
        </w:rPr>
        <w:t>to  Registration  Statement  on  Form  S-8  [File  No. 333-98761]).</w:t>
      </w:r>
    </w:p>
    <w:p>
      <w:pPr>
        <w:pStyle w:val="BodyText"/>
        <w:spacing w:before="5"/>
        <w:rPr>
          <w:sz w:val="16"/>
        </w:rPr>
      </w:pPr>
    </w:p>
    <w:p>
      <w:pPr>
        <w:pStyle w:val="ListParagraph"/>
        <w:numPr>
          <w:ilvl w:val="1"/>
          <w:numId w:val="9"/>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4.2 </w:t>
      </w:r>
      <w:r>
        <w:rPr>
          <w:spacing w:val="8"/>
          <w:w w:val="105"/>
          <w:sz w:val="20"/>
        </w:rPr>
        <w:t>to </w:t>
      </w:r>
      <w:r>
        <w:rPr>
          <w:w w:val="105"/>
          <w:sz w:val="20"/>
        </w:rPr>
        <w:t>Registration  Statement  on  Form  S-8  [File  No. </w:t>
      </w:r>
      <w:r>
        <w:rPr>
          <w:spacing w:val="46"/>
          <w:w w:val="105"/>
          <w:sz w:val="20"/>
        </w:rPr>
        <w:t> </w:t>
      </w:r>
      <w:r>
        <w:rPr>
          <w:w w:val="105"/>
          <w:sz w:val="20"/>
        </w:rPr>
        <w:t>333-100862]).</w:t>
      </w:r>
    </w:p>
    <w:p>
      <w:pPr>
        <w:pStyle w:val="BodyText"/>
        <w:spacing w:before="5"/>
        <w:rPr>
          <w:sz w:val="16"/>
        </w:rPr>
      </w:pPr>
    </w:p>
    <w:p>
      <w:pPr>
        <w:pStyle w:val="ListParagraph"/>
        <w:numPr>
          <w:ilvl w:val="1"/>
          <w:numId w:val="9"/>
        </w:numPr>
        <w:tabs>
          <w:tab w:pos="1539" w:val="left" w:leader="none"/>
          <w:tab w:pos="1540" w:val="left" w:leader="none"/>
          <w:tab w:pos="3360" w:val="left" w:leader="none"/>
          <w:tab w:pos="4779" w:val="left" w:leader="none"/>
          <w:tab w:pos="6259" w:val="left" w:leader="none"/>
          <w:tab w:pos="8259" w:val="left" w:leader="none"/>
          <w:tab w:pos="9699" w:val="left" w:leader="none"/>
        </w:tabs>
        <w:spacing w:line="254" w:lineRule="auto" w:before="0" w:after="0"/>
        <w:ind w:left="1540" w:right="117" w:hanging="900"/>
        <w:jc w:val="left"/>
        <w:rPr>
          <w:sz w:val="20"/>
        </w:rPr>
      </w:pPr>
      <w:r>
        <w:rPr>
          <w:w w:val="105"/>
          <w:sz w:val="20"/>
        </w:rPr>
        <w:t>2002   </w:t>
      </w:r>
      <w:r>
        <w:rPr>
          <w:spacing w:val="18"/>
          <w:w w:val="105"/>
          <w:sz w:val="20"/>
        </w:rPr>
        <w:t> </w:t>
      </w:r>
      <w:r>
        <w:rPr>
          <w:spacing w:val="3"/>
          <w:w w:val="105"/>
          <w:sz w:val="20"/>
        </w:rPr>
        <w:t>Mechanics</w:t>
        <w:tab/>
        <w:t>Non-Qualified</w:t>
        <w:tab/>
      </w:r>
      <w:r>
        <w:rPr>
          <w:w w:val="105"/>
          <w:sz w:val="20"/>
        </w:rPr>
        <w:t>Stock   </w:t>
      </w:r>
      <w:r>
        <w:rPr>
          <w:spacing w:val="3"/>
          <w:w w:val="105"/>
          <w:sz w:val="20"/>
        </w:rPr>
        <w:t> </w:t>
      </w:r>
      <w:r>
        <w:rPr>
          <w:spacing w:val="2"/>
          <w:w w:val="105"/>
          <w:sz w:val="20"/>
        </w:rPr>
        <w:t>Option</w:t>
        <w:tab/>
      </w:r>
      <w:r>
        <w:rPr>
          <w:w w:val="105"/>
          <w:sz w:val="20"/>
        </w:rPr>
        <w:t>Plan   </w:t>
      </w:r>
      <w:r>
        <w:rPr>
          <w:spacing w:val="7"/>
          <w:w w:val="105"/>
          <w:sz w:val="20"/>
        </w:rPr>
        <w:t> </w:t>
      </w:r>
      <w:r>
        <w:rPr>
          <w:spacing w:val="2"/>
          <w:w w:val="105"/>
          <w:sz w:val="20"/>
        </w:rPr>
        <w:t>(incorporated</w:t>
        <w:tab/>
      </w:r>
      <w:r>
        <w:rPr>
          <w:w w:val="105"/>
          <w:sz w:val="20"/>
        </w:rPr>
        <w:t>by  </w:t>
      </w:r>
      <w:r>
        <w:rPr>
          <w:spacing w:val="43"/>
          <w:w w:val="105"/>
          <w:sz w:val="20"/>
        </w:rPr>
        <w:t> </w:t>
      </w:r>
      <w:r>
        <w:rPr>
          <w:w w:val="105"/>
          <w:sz w:val="20"/>
        </w:rPr>
        <w:t>reference</w:t>
        <w:tab/>
      </w:r>
      <w:r>
        <w:rPr>
          <w:spacing w:val="4"/>
          <w:sz w:val="20"/>
        </w:rPr>
        <w:t>to </w:t>
      </w:r>
      <w:r>
        <w:rPr>
          <w:spacing w:val="2"/>
          <w:w w:val="105"/>
          <w:sz w:val="20"/>
          <w:u w:val="single"/>
        </w:rPr>
        <w:t>Exhibit   </w:t>
      </w:r>
      <w:r>
        <w:rPr>
          <w:w w:val="105"/>
          <w:sz w:val="20"/>
          <w:u w:val="single"/>
        </w:rPr>
        <w:t>4.2  </w:t>
      </w:r>
      <w:r>
        <w:rPr>
          <w:w w:val="105"/>
          <w:sz w:val="20"/>
        </w:rPr>
        <w:t>to  Registration  Statement  on  Form  S-8  [File  No.</w:t>
      </w:r>
      <w:r>
        <w:rPr>
          <w:spacing w:val="15"/>
          <w:w w:val="105"/>
          <w:sz w:val="20"/>
        </w:rPr>
        <w:t> </w:t>
      </w:r>
      <w:r>
        <w:rPr>
          <w:w w:val="105"/>
          <w:sz w:val="20"/>
        </w:rPr>
        <w:t>333-100862]).</w:t>
      </w:r>
    </w:p>
    <w:p>
      <w:pPr>
        <w:pStyle w:val="BodyText"/>
        <w:spacing w:before="5"/>
        <w:rPr>
          <w:sz w:val="16"/>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05"/>
          <w:sz w:val="20"/>
        </w:rPr>
        <w:t>2002  Ramp,  Operations,  Provisioning,  and  Freight  Non-Qualified  Stock  Option    </w:t>
      </w:r>
      <w:r>
        <w:rPr>
          <w:spacing w:val="18"/>
          <w:w w:val="105"/>
          <w:sz w:val="20"/>
        </w:rPr>
        <w:t> </w:t>
      </w:r>
      <w:r>
        <w:rPr>
          <w:w w:val="105"/>
          <w:sz w:val="20"/>
        </w:rPr>
        <w:t>Plan.</w:t>
      </w:r>
    </w:p>
    <w:p>
      <w:pPr>
        <w:pStyle w:val="BodyText"/>
        <w:spacing w:before="8"/>
        <w:rPr>
          <w:sz w:val="17"/>
        </w:rPr>
      </w:pPr>
    </w:p>
    <w:p>
      <w:pPr>
        <w:pStyle w:val="ListParagraph"/>
        <w:numPr>
          <w:ilvl w:val="1"/>
          <w:numId w:val="9"/>
        </w:numPr>
        <w:tabs>
          <w:tab w:pos="1539" w:val="left" w:leader="none"/>
          <w:tab w:pos="1540" w:val="left" w:leader="none"/>
        </w:tabs>
        <w:spacing w:line="240" w:lineRule="auto" w:before="0" w:after="0"/>
        <w:ind w:left="1540" w:right="0" w:hanging="900"/>
        <w:jc w:val="left"/>
        <w:rPr>
          <w:sz w:val="20"/>
        </w:rPr>
      </w:pPr>
      <w:r>
        <w:rPr>
          <w:w w:val="110"/>
          <w:sz w:val="20"/>
        </w:rPr>
        <w:t>2002 Customer Service/Reservations Non-Qualified Stock Option    </w:t>
      </w:r>
      <w:r>
        <w:rPr>
          <w:spacing w:val="26"/>
          <w:w w:val="110"/>
          <w:sz w:val="20"/>
        </w:rPr>
        <w:t> </w:t>
      </w:r>
      <w:r>
        <w:rPr>
          <w:w w:val="110"/>
          <w:sz w:val="20"/>
        </w:rPr>
        <w:t>Plan.</w:t>
      </w:r>
    </w:p>
    <w:p>
      <w:pPr>
        <w:pStyle w:val="BodyText"/>
        <w:spacing w:before="8"/>
        <w:rPr>
          <w:sz w:val="17"/>
        </w:rPr>
      </w:pPr>
    </w:p>
    <w:p>
      <w:pPr>
        <w:pStyle w:val="ListParagraph"/>
        <w:numPr>
          <w:ilvl w:val="0"/>
          <w:numId w:val="10"/>
        </w:numPr>
        <w:tabs>
          <w:tab w:pos="1539" w:val="left" w:leader="none"/>
          <w:tab w:pos="1540" w:val="left" w:leader="none"/>
        </w:tabs>
        <w:spacing w:line="254" w:lineRule="auto" w:before="0" w:after="0"/>
        <w:ind w:left="1540" w:right="108" w:hanging="900"/>
        <w:jc w:val="left"/>
        <w:rPr>
          <w:sz w:val="20"/>
        </w:rPr>
      </w:pPr>
      <w:r>
        <w:rPr>
          <w:w w:val="105"/>
          <w:sz w:val="20"/>
        </w:rPr>
        <w:t>Subsidiaries of Southwest (incorporated by reference to </w:t>
      </w:r>
      <w:r>
        <w:rPr>
          <w:spacing w:val="2"/>
          <w:w w:val="105"/>
          <w:sz w:val="20"/>
          <w:u w:val="single"/>
        </w:rPr>
        <w:t>Exhibit </w:t>
      </w:r>
      <w:r>
        <w:rPr>
          <w:w w:val="105"/>
          <w:sz w:val="20"/>
          <w:u w:val="single"/>
        </w:rPr>
        <w:t>22 </w:t>
      </w:r>
      <w:r>
        <w:rPr>
          <w:w w:val="105"/>
          <w:sz w:val="20"/>
        </w:rPr>
        <w:t>to Southwest’s </w:t>
      </w:r>
      <w:r>
        <w:rPr>
          <w:spacing w:val="9"/>
          <w:w w:val="105"/>
          <w:sz w:val="20"/>
        </w:rPr>
        <w:t>Annual  </w:t>
      </w:r>
      <w:r>
        <w:rPr>
          <w:w w:val="105"/>
          <w:sz w:val="20"/>
        </w:rPr>
        <w:t>Report</w:t>
      </w:r>
      <w:r>
        <w:rPr>
          <w:spacing w:val="40"/>
          <w:w w:val="105"/>
          <w:sz w:val="20"/>
        </w:rPr>
        <w:t> </w:t>
      </w:r>
      <w:r>
        <w:rPr>
          <w:w w:val="105"/>
          <w:sz w:val="20"/>
        </w:rPr>
        <w:t>on</w:t>
      </w:r>
      <w:r>
        <w:rPr>
          <w:spacing w:val="40"/>
          <w:w w:val="105"/>
          <w:sz w:val="20"/>
        </w:rPr>
        <w:t> </w:t>
      </w:r>
      <w:r>
        <w:rPr>
          <w:w w:val="105"/>
          <w:sz w:val="20"/>
        </w:rPr>
        <w:t>Form</w:t>
      </w:r>
      <w:r>
        <w:rPr>
          <w:spacing w:val="40"/>
          <w:w w:val="105"/>
          <w:sz w:val="20"/>
        </w:rPr>
        <w:t> </w:t>
      </w:r>
      <w:r>
        <w:rPr>
          <w:w w:val="105"/>
          <w:sz w:val="20"/>
        </w:rPr>
        <w:t>10-K</w:t>
      </w:r>
      <w:r>
        <w:rPr>
          <w:spacing w:val="40"/>
          <w:w w:val="105"/>
          <w:sz w:val="20"/>
        </w:rPr>
        <w:t> </w:t>
      </w:r>
      <w:r>
        <w:rPr>
          <w:w w:val="105"/>
          <w:sz w:val="20"/>
        </w:rPr>
        <w:t>for</w:t>
      </w:r>
      <w:r>
        <w:rPr>
          <w:spacing w:val="40"/>
          <w:w w:val="105"/>
          <w:sz w:val="20"/>
        </w:rPr>
        <w:t> </w:t>
      </w:r>
      <w:r>
        <w:rPr>
          <w:w w:val="105"/>
          <w:sz w:val="20"/>
        </w:rPr>
        <w:t>the</w:t>
      </w:r>
      <w:r>
        <w:rPr>
          <w:spacing w:val="40"/>
          <w:w w:val="105"/>
          <w:sz w:val="20"/>
        </w:rPr>
        <w:t> </w:t>
      </w:r>
      <w:r>
        <w:rPr>
          <w:w w:val="105"/>
          <w:sz w:val="20"/>
        </w:rPr>
        <w:t>year</w:t>
      </w:r>
      <w:r>
        <w:rPr>
          <w:spacing w:val="40"/>
          <w:w w:val="105"/>
          <w:sz w:val="20"/>
        </w:rPr>
        <w:t> </w:t>
      </w:r>
      <w:r>
        <w:rPr>
          <w:w w:val="105"/>
          <w:sz w:val="20"/>
        </w:rPr>
        <w:t>ended</w:t>
      </w:r>
      <w:r>
        <w:rPr>
          <w:spacing w:val="40"/>
          <w:w w:val="105"/>
          <w:sz w:val="20"/>
        </w:rPr>
        <w:t> </w:t>
      </w:r>
      <w:r>
        <w:rPr>
          <w:w w:val="105"/>
          <w:sz w:val="20"/>
        </w:rPr>
        <w:t>December</w:t>
      </w:r>
      <w:r>
        <w:rPr>
          <w:spacing w:val="40"/>
          <w:w w:val="105"/>
          <w:sz w:val="20"/>
        </w:rPr>
        <w:t> </w:t>
      </w:r>
      <w:r>
        <w:rPr>
          <w:w w:val="105"/>
          <w:sz w:val="20"/>
        </w:rPr>
        <w:t>31,</w:t>
      </w:r>
      <w:r>
        <w:rPr>
          <w:spacing w:val="40"/>
          <w:w w:val="105"/>
          <w:sz w:val="20"/>
        </w:rPr>
        <w:t> </w:t>
      </w:r>
      <w:r>
        <w:rPr>
          <w:w w:val="105"/>
          <w:sz w:val="20"/>
        </w:rPr>
        <w:t>1997</w:t>
      </w:r>
      <w:r>
        <w:rPr>
          <w:spacing w:val="40"/>
          <w:w w:val="105"/>
          <w:sz w:val="20"/>
        </w:rPr>
        <w:t> </w:t>
      </w:r>
      <w:r>
        <w:rPr>
          <w:w w:val="105"/>
          <w:sz w:val="20"/>
        </w:rPr>
        <w:t>[File</w:t>
      </w:r>
      <w:r>
        <w:rPr>
          <w:spacing w:val="40"/>
          <w:w w:val="105"/>
          <w:sz w:val="20"/>
        </w:rPr>
        <w:t> </w:t>
      </w:r>
      <w:r>
        <w:rPr>
          <w:w w:val="105"/>
          <w:sz w:val="20"/>
        </w:rPr>
        <w:t>No.</w:t>
      </w:r>
      <w:r>
        <w:rPr>
          <w:spacing w:val="40"/>
          <w:w w:val="105"/>
          <w:sz w:val="20"/>
        </w:rPr>
        <w:t> </w:t>
      </w:r>
      <w:r>
        <w:rPr>
          <w:w w:val="105"/>
          <w:sz w:val="20"/>
        </w:rPr>
        <w:t>1-7259]).</w:t>
      </w:r>
    </w:p>
    <w:p>
      <w:pPr>
        <w:pStyle w:val="BodyText"/>
        <w:spacing w:before="5"/>
        <w:rPr>
          <w:sz w:val="16"/>
        </w:rPr>
      </w:pPr>
    </w:p>
    <w:p>
      <w:pPr>
        <w:pStyle w:val="ListParagraph"/>
        <w:numPr>
          <w:ilvl w:val="0"/>
          <w:numId w:val="10"/>
        </w:numPr>
        <w:tabs>
          <w:tab w:pos="1539" w:val="left" w:leader="none"/>
          <w:tab w:pos="1540" w:val="left" w:leader="none"/>
        </w:tabs>
        <w:spacing w:line="240" w:lineRule="auto" w:before="0" w:after="0"/>
        <w:ind w:left="1540" w:right="0" w:hanging="900"/>
        <w:jc w:val="left"/>
        <w:rPr>
          <w:sz w:val="20"/>
        </w:rPr>
      </w:pPr>
      <w:r>
        <w:rPr>
          <w:w w:val="105"/>
          <w:sz w:val="20"/>
        </w:rPr>
        <w:t>Consent  of  Ernst  &amp;  Young  LLP,  Independent  </w:t>
      </w:r>
      <w:r>
        <w:rPr>
          <w:spacing w:val="13"/>
          <w:w w:val="105"/>
          <w:sz w:val="20"/>
        </w:rPr>
        <w:t> </w:t>
      </w:r>
      <w:r>
        <w:rPr>
          <w:w w:val="105"/>
          <w:sz w:val="20"/>
        </w:rPr>
        <w:t>Auditors.</w:t>
      </w:r>
    </w:p>
    <w:p>
      <w:pPr>
        <w:pStyle w:val="BodyText"/>
        <w:spacing w:before="7"/>
        <w:rPr>
          <w:sz w:val="17"/>
        </w:rPr>
      </w:pPr>
    </w:p>
    <w:p>
      <w:pPr>
        <w:pStyle w:val="BodyText"/>
        <w:tabs>
          <w:tab w:pos="1539" w:val="left" w:leader="none"/>
        </w:tabs>
        <w:ind w:left="640"/>
      </w:pPr>
      <w:r>
        <w:rPr>
          <w:w w:val="105"/>
        </w:rPr>
        <w:t>99</w:t>
        <w:tab/>
        <w:t>Certifications  pursuant  to  Section  906  of  the  Sarbanes-Oxley  Act  of </w:t>
      </w:r>
      <w:r>
        <w:rPr>
          <w:spacing w:val="30"/>
          <w:w w:val="105"/>
        </w:rPr>
        <w:t> </w:t>
      </w:r>
      <w:r>
        <w:rPr>
          <w:w w:val="105"/>
        </w:rPr>
        <w:t>2002.</w:t>
      </w:r>
    </w:p>
    <w:p>
      <w:pPr>
        <w:pStyle w:val="BodyText"/>
        <w:spacing w:before="7"/>
        <w:rPr>
          <w:sz w:val="17"/>
        </w:rPr>
      </w:pPr>
    </w:p>
    <w:p>
      <w:pPr>
        <w:pStyle w:val="BodyText"/>
        <w:spacing w:line="254" w:lineRule="auto"/>
        <w:ind w:left="100" w:right="118" w:firstLine="360"/>
        <w:jc w:val="both"/>
      </w:pPr>
      <w:r>
        <w:rPr>
          <w:w w:val="105"/>
        </w:rPr>
        <w:t>A copy of each exhibit may be obtained at a  price  of  15  cents  per  page,  $10.00  minimum  order,  by writing  to:  Director  of  Investor  Relations,  Southwest  Airlines  Co.,  P.O.  Box  36611,  Dallas,  Texas  75235- 1611.</w:t>
      </w:r>
    </w:p>
    <w:p>
      <w:pPr>
        <w:pStyle w:val="BodyText"/>
        <w:spacing w:before="5"/>
        <w:rPr>
          <w:sz w:val="16"/>
        </w:rPr>
      </w:pPr>
    </w:p>
    <w:p>
      <w:pPr>
        <w:pStyle w:val="ListParagraph"/>
        <w:numPr>
          <w:ilvl w:val="1"/>
          <w:numId w:val="6"/>
        </w:numPr>
        <w:tabs>
          <w:tab w:pos="716" w:val="left" w:leader="none"/>
        </w:tabs>
        <w:spacing w:line="240" w:lineRule="auto" w:before="0" w:after="0"/>
        <w:ind w:left="715" w:right="0" w:hanging="335"/>
        <w:jc w:val="left"/>
        <w:rPr>
          <w:sz w:val="20"/>
        </w:rPr>
      </w:pPr>
      <w:r>
        <w:rPr>
          <w:w w:val="105"/>
          <w:sz w:val="20"/>
        </w:rPr>
        <w:t>No</w:t>
      </w:r>
      <w:r>
        <w:rPr>
          <w:spacing w:val="27"/>
          <w:w w:val="105"/>
          <w:sz w:val="20"/>
        </w:rPr>
        <w:t> </w:t>
      </w:r>
      <w:r>
        <w:rPr>
          <w:w w:val="105"/>
          <w:sz w:val="20"/>
        </w:rPr>
        <w:t>reports</w:t>
      </w:r>
      <w:r>
        <w:rPr>
          <w:spacing w:val="27"/>
          <w:w w:val="105"/>
          <w:sz w:val="20"/>
        </w:rPr>
        <w:t> </w:t>
      </w:r>
      <w:r>
        <w:rPr>
          <w:w w:val="105"/>
          <w:sz w:val="20"/>
        </w:rPr>
        <w:t>on</w:t>
      </w:r>
      <w:r>
        <w:rPr>
          <w:spacing w:val="27"/>
          <w:w w:val="105"/>
          <w:sz w:val="20"/>
        </w:rPr>
        <w:t> </w:t>
      </w:r>
      <w:r>
        <w:rPr>
          <w:w w:val="105"/>
          <w:sz w:val="20"/>
        </w:rPr>
        <w:t>Form</w:t>
      </w:r>
      <w:r>
        <w:rPr>
          <w:spacing w:val="27"/>
          <w:w w:val="105"/>
          <w:sz w:val="20"/>
        </w:rPr>
        <w:t> </w:t>
      </w:r>
      <w:r>
        <w:rPr>
          <w:w w:val="105"/>
          <w:sz w:val="20"/>
        </w:rPr>
        <w:t>8-K</w:t>
      </w:r>
      <w:r>
        <w:rPr>
          <w:spacing w:val="27"/>
          <w:w w:val="105"/>
          <w:sz w:val="20"/>
        </w:rPr>
        <w:t> </w:t>
      </w:r>
      <w:r>
        <w:rPr>
          <w:w w:val="105"/>
          <w:sz w:val="20"/>
        </w:rPr>
        <w:t>were</w:t>
      </w:r>
      <w:r>
        <w:rPr>
          <w:spacing w:val="27"/>
          <w:w w:val="105"/>
          <w:sz w:val="20"/>
        </w:rPr>
        <w:t> </w:t>
      </w:r>
      <w:r>
        <w:rPr>
          <w:w w:val="105"/>
          <w:sz w:val="20"/>
        </w:rPr>
        <w:t>filed</w:t>
      </w:r>
      <w:r>
        <w:rPr>
          <w:spacing w:val="27"/>
          <w:w w:val="105"/>
          <w:sz w:val="20"/>
        </w:rPr>
        <w:t> </w:t>
      </w:r>
      <w:r>
        <w:rPr>
          <w:w w:val="105"/>
          <w:sz w:val="20"/>
        </w:rPr>
        <w:t>during</w:t>
      </w:r>
      <w:r>
        <w:rPr>
          <w:spacing w:val="27"/>
          <w:w w:val="105"/>
          <w:sz w:val="20"/>
        </w:rPr>
        <w:t> </w:t>
      </w:r>
      <w:r>
        <w:rPr>
          <w:w w:val="105"/>
          <w:sz w:val="20"/>
        </w:rPr>
        <w:t>the</w:t>
      </w:r>
      <w:r>
        <w:rPr>
          <w:spacing w:val="27"/>
          <w:w w:val="105"/>
          <w:sz w:val="20"/>
        </w:rPr>
        <w:t> </w:t>
      </w:r>
      <w:r>
        <w:rPr>
          <w:w w:val="105"/>
          <w:sz w:val="20"/>
        </w:rPr>
        <w:t>fourth</w:t>
      </w:r>
      <w:r>
        <w:rPr>
          <w:spacing w:val="27"/>
          <w:w w:val="105"/>
          <w:sz w:val="20"/>
        </w:rPr>
        <w:t> </w:t>
      </w:r>
      <w:r>
        <w:rPr>
          <w:w w:val="105"/>
          <w:sz w:val="20"/>
        </w:rPr>
        <w:t>quarter</w:t>
      </w:r>
      <w:r>
        <w:rPr>
          <w:spacing w:val="27"/>
          <w:w w:val="105"/>
          <w:sz w:val="20"/>
        </w:rPr>
        <w:t> </w:t>
      </w:r>
      <w:r>
        <w:rPr>
          <w:w w:val="105"/>
          <w:sz w:val="20"/>
        </w:rPr>
        <w:t>of</w:t>
      </w:r>
      <w:r>
        <w:rPr>
          <w:spacing w:val="27"/>
          <w:w w:val="105"/>
          <w:sz w:val="20"/>
        </w:rPr>
        <w:t> </w:t>
      </w:r>
      <w:r>
        <w:rPr>
          <w:w w:val="105"/>
          <w:sz w:val="20"/>
        </w:rPr>
        <w:t>2002.</w:t>
      </w:r>
    </w:p>
    <w:p>
      <w:pPr>
        <w:spacing w:after="0" w:line="240" w:lineRule="auto"/>
        <w:jc w:val="left"/>
        <w:rPr>
          <w:sz w:val="20"/>
        </w:rPr>
        <w:sectPr>
          <w:headerReference w:type="default" r:id="rId167"/>
          <w:footerReference w:type="default" r:id="rId168"/>
          <w:footerReference w:type="even" r:id="rId169"/>
          <w:pgSz w:w="11520" w:h="14400"/>
          <w:pgMar w:header="0" w:footer="706" w:top="960" w:bottom="900" w:left="700" w:right="820"/>
          <w:pgNumType w:start="59"/>
        </w:sectPr>
      </w:pPr>
    </w:p>
    <w:p>
      <w:pPr>
        <w:pStyle w:val="BodyText"/>
        <w:spacing w:before="76"/>
        <w:ind w:left="100"/>
        <w:rPr>
          <w:rFonts w:ascii="Franklin Gothic Medium"/>
        </w:rPr>
      </w:pPr>
      <w:bookmarkStart w:name="Signatures" w:id="68"/>
      <w:bookmarkEnd w:id="68"/>
      <w:r>
        <w:rPr/>
      </w:r>
      <w:r>
        <w:rPr>
          <w:rFonts w:ascii="Franklin Gothic Medium"/>
        </w:rPr>
        <w:t>Signatures</w:t>
      </w:r>
    </w:p>
    <w:p>
      <w:pPr>
        <w:pStyle w:val="BodyText"/>
        <w:spacing w:before="1"/>
        <w:rPr>
          <w:rFonts w:ascii="Franklin Gothic Medium"/>
          <w:sz w:val="18"/>
        </w:rPr>
      </w:pPr>
    </w:p>
    <w:p>
      <w:pPr>
        <w:pStyle w:val="BodyText"/>
        <w:spacing w:line="254" w:lineRule="auto"/>
        <w:ind w:left="100" w:right="113" w:firstLine="180"/>
        <w:jc w:val="both"/>
      </w:pPr>
      <w:r>
        <w:rPr>
          <w:w w:val="105"/>
        </w:rPr>
        <w:t>Pursuant to the </w:t>
      </w:r>
      <w:r>
        <w:rPr>
          <w:spacing w:val="2"/>
          <w:w w:val="105"/>
        </w:rPr>
        <w:t>requirements </w:t>
      </w:r>
      <w:r>
        <w:rPr>
          <w:w w:val="105"/>
        </w:rPr>
        <w:t>of Section 13  or  15(d)  of  the  Securities  </w:t>
      </w:r>
      <w:r>
        <w:rPr>
          <w:spacing w:val="3"/>
          <w:w w:val="105"/>
        </w:rPr>
        <w:t>Exchange</w:t>
      </w:r>
      <w:r>
        <w:rPr>
          <w:spacing w:val="53"/>
          <w:w w:val="105"/>
        </w:rPr>
        <w:t> </w:t>
      </w:r>
      <w:r>
        <w:rPr>
          <w:w w:val="105"/>
        </w:rPr>
        <w:t>Act  of  1934,  </w:t>
      </w:r>
      <w:r>
        <w:rPr>
          <w:spacing w:val="6"/>
          <w:w w:val="105"/>
        </w:rPr>
        <w:t>the </w:t>
      </w:r>
      <w:r>
        <w:rPr>
          <w:spacing w:val="59"/>
          <w:w w:val="105"/>
        </w:rPr>
        <w:t> </w:t>
      </w:r>
      <w:r>
        <w:rPr>
          <w:w w:val="105"/>
        </w:rPr>
        <w:t>registrant has duly </w:t>
      </w:r>
      <w:r>
        <w:rPr>
          <w:spacing w:val="2"/>
          <w:w w:val="105"/>
        </w:rPr>
        <w:t>caused </w:t>
      </w:r>
      <w:r>
        <w:rPr>
          <w:w w:val="105"/>
        </w:rPr>
        <w:t>this report to be signed on its behalf by the </w:t>
      </w:r>
      <w:r>
        <w:rPr>
          <w:spacing w:val="3"/>
          <w:w w:val="105"/>
        </w:rPr>
        <w:t>undersigned,</w:t>
      </w:r>
      <w:r>
        <w:rPr>
          <w:spacing w:val="53"/>
          <w:w w:val="105"/>
        </w:rPr>
        <w:t> </w:t>
      </w:r>
      <w:r>
        <w:rPr>
          <w:w w:val="105"/>
        </w:rPr>
        <w:t>there  unto  </w:t>
      </w:r>
      <w:r>
        <w:rPr>
          <w:spacing w:val="4"/>
          <w:w w:val="105"/>
        </w:rPr>
        <w:t>duly  </w:t>
      </w:r>
      <w:r>
        <w:rPr>
          <w:spacing w:val="7"/>
          <w:w w:val="105"/>
        </w:rPr>
        <w:t>authorized.</w:t>
      </w:r>
    </w:p>
    <w:p>
      <w:pPr>
        <w:spacing w:after="0" w:line="254" w:lineRule="auto"/>
        <w:jc w:val="both"/>
        <w:sectPr>
          <w:headerReference w:type="default" r:id="rId170"/>
          <w:pgSz w:w="11520" w:h="14400"/>
          <w:pgMar w:header="0" w:footer="706" w:top="960" w:bottom="900" w:left="700" w:right="820"/>
        </w:sectPr>
      </w:pPr>
    </w:p>
    <w:p>
      <w:pPr>
        <w:pStyle w:val="BodyText"/>
        <w:rPr>
          <w:sz w:val="22"/>
        </w:rPr>
      </w:pPr>
    </w:p>
    <w:p>
      <w:pPr>
        <w:pStyle w:val="BodyText"/>
        <w:spacing w:before="7"/>
        <w:rPr>
          <w:sz w:val="25"/>
        </w:rPr>
      </w:pPr>
    </w:p>
    <w:p>
      <w:pPr>
        <w:pStyle w:val="BodyText"/>
        <w:ind w:left="100"/>
      </w:pPr>
      <w:r>
        <w:rPr>
          <w:w w:val="115"/>
        </w:rPr>
        <w:t>January 30, 2003</w:t>
      </w:r>
    </w:p>
    <w:p>
      <w:pPr>
        <w:pStyle w:val="BodyText"/>
        <w:spacing w:before="161"/>
        <w:ind w:left="100"/>
      </w:pPr>
      <w:r>
        <w:rPr/>
        <w:br w:type="column"/>
      </w:r>
      <w:r>
        <w:rPr>
          <w:w w:val="110"/>
        </w:rPr>
        <w:t>SOUTHWEST  AIRLINES CO.</w:t>
      </w:r>
    </w:p>
    <w:p>
      <w:pPr>
        <w:pStyle w:val="BodyText"/>
        <w:rPr>
          <w:sz w:val="22"/>
        </w:rPr>
      </w:pPr>
    </w:p>
    <w:p>
      <w:pPr>
        <w:pStyle w:val="BodyText"/>
        <w:spacing w:before="10"/>
        <w:rPr>
          <w:sz w:val="26"/>
        </w:rPr>
      </w:pPr>
    </w:p>
    <w:p>
      <w:pPr>
        <w:pStyle w:val="BodyText"/>
        <w:spacing w:line="254" w:lineRule="auto"/>
        <w:ind w:left="100" w:right="3071"/>
      </w:pPr>
      <w:r>
        <w:rPr>
          <w:w w:val="115"/>
        </w:rPr>
        <w:t>By </w:t>
      </w:r>
      <w:r>
        <w:rPr>
          <w:w w:val="115"/>
          <w:u w:val="single"/>
        </w:rPr>
        <w:t>/s/ Gary C. Kelly </w:t>
      </w:r>
      <w:r>
        <w:rPr>
          <w:w w:val="110"/>
        </w:rPr>
        <w:t>Gary C. Kelly</w:t>
      </w:r>
    </w:p>
    <w:p>
      <w:pPr>
        <w:spacing w:line="254" w:lineRule="auto" w:before="1"/>
        <w:ind w:left="100" w:right="2348" w:firstLine="0"/>
        <w:jc w:val="left"/>
        <w:rPr>
          <w:i/>
          <w:sz w:val="20"/>
        </w:rPr>
      </w:pPr>
      <w:r>
        <w:rPr>
          <w:i/>
          <w:w w:val="105"/>
          <w:sz w:val="20"/>
        </w:rPr>
        <w:t>Executive Vice President, </w:t>
      </w:r>
      <w:r>
        <w:rPr>
          <w:i/>
          <w:w w:val="105"/>
          <w:sz w:val="20"/>
        </w:rPr>
        <w:t>Chief  Financial Officer</w:t>
      </w:r>
    </w:p>
    <w:p>
      <w:pPr>
        <w:spacing w:after="0" w:line="254" w:lineRule="auto"/>
        <w:jc w:val="left"/>
        <w:rPr>
          <w:sz w:val="20"/>
        </w:rPr>
        <w:sectPr>
          <w:type w:val="continuous"/>
          <w:pgSz w:w="11520" w:h="14400"/>
          <w:pgMar w:top="0" w:bottom="280" w:left="700" w:right="820"/>
          <w:cols w:num="2" w:equalWidth="0">
            <w:col w:w="1702" w:space="3338"/>
            <w:col w:w="4960"/>
          </w:cols>
        </w:sectPr>
      </w:pPr>
    </w:p>
    <w:p>
      <w:pPr>
        <w:pStyle w:val="BodyText"/>
        <w:spacing w:line="254" w:lineRule="auto" w:before="161"/>
        <w:ind w:left="100" w:right="108" w:firstLine="180"/>
        <w:jc w:val="both"/>
      </w:pPr>
      <w:r>
        <w:rPr>
          <w:w w:val="105"/>
        </w:rPr>
        <w:t>Pursuant  to  the  </w:t>
      </w:r>
      <w:r>
        <w:rPr>
          <w:spacing w:val="2"/>
          <w:w w:val="105"/>
        </w:rPr>
        <w:t>requirements  </w:t>
      </w:r>
      <w:r>
        <w:rPr>
          <w:w w:val="105"/>
        </w:rPr>
        <w:t>of  the  Securities  </w:t>
      </w:r>
      <w:r>
        <w:rPr>
          <w:spacing w:val="3"/>
          <w:w w:val="105"/>
        </w:rPr>
        <w:t>Exchange</w:t>
      </w:r>
      <w:r>
        <w:rPr>
          <w:spacing w:val="53"/>
          <w:w w:val="105"/>
        </w:rPr>
        <w:t> </w:t>
      </w:r>
      <w:r>
        <w:rPr>
          <w:w w:val="105"/>
        </w:rPr>
        <w:t>Act  of  1934,  this  report  has  </w:t>
      </w:r>
      <w:r>
        <w:rPr>
          <w:spacing w:val="2"/>
          <w:w w:val="105"/>
        </w:rPr>
        <w:t>been   </w:t>
      </w:r>
      <w:r>
        <w:rPr>
          <w:spacing w:val="8"/>
          <w:w w:val="105"/>
        </w:rPr>
        <w:t>signed </w:t>
      </w:r>
      <w:r>
        <w:rPr>
          <w:w w:val="105"/>
        </w:rPr>
        <w:t>below by the following persons on January 30, 2003, on behalf of the registrant  and  in  the  </w:t>
      </w:r>
      <w:r>
        <w:rPr>
          <w:spacing w:val="8"/>
          <w:w w:val="105"/>
        </w:rPr>
        <w:t>capacities  </w:t>
      </w:r>
      <w:r>
        <w:rPr>
          <w:spacing w:val="9"/>
          <w:w w:val="105"/>
        </w:rPr>
        <w:t>indicated.</w:t>
      </w:r>
    </w:p>
    <w:p>
      <w:pPr>
        <w:pStyle w:val="BodyText"/>
        <w:tabs>
          <w:tab w:pos="4419" w:val="left" w:leader="none"/>
        </w:tabs>
        <w:spacing w:before="168"/>
        <w:ind w:left="460"/>
        <w:rPr>
          <w:rFonts w:ascii="Franklin Gothic Medium"/>
        </w:rPr>
      </w:pPr>
      <w:r>
        <w:rPr>
          <w:rFonts w:ascii="Franklin Gothic Medium"/>
        </w:rPr>
        <w:t>Signature</w:t>
        <w:tab/>
      </w:r>
      <w:r>
        <w:rPr>
          <w:rFonts w:ascii="Franklin Gothic Medium"/>
          <w:spacing w:val="9"/>
        </w:rPr>
        <w:t>Capacity</w:t>
      </w:r>
    </w:p>
    <w:p>
      <w:pPr>
        <w:tabs>
          <w:tab w:pos="4419" w:val="left" w:leader="none"/>
        </w:tabs>
        <w:spacing w:before="186"/>
        <w:ind w:left="460" w:right="0" w:firstLine="0"/>
        <w:jc w:val="left"/>
        <w:rPr>
          <w:i/>
          <w:sz w:val="20"/>
        </w:rPr>
      </w:pPr>
      <w:r>
        <w:rPr>
          <w:spacing w:val="-3"/>
          <w:w w:val="105"/>
          <w:sz w:val="20"/>
          <w:u w:val="single"/>
        </w:rPr>
        <w:t>/s/  </w:t>
      </w:r>
      <w:r>
        <w:rPr>
          <w:w w:val="105"/>
          <w:sz w:val="20"/>
          <w:u w:val="single"/>
        </w:rPr>
        <w:t>Herbert</w:t>
      </w:r>
      <w:r>
        <w:rPr>
          <w:spacing w:val="34"/>
          <w:w w:val="105"/>
          <w:sz w:val="20"/>
          <w:u w:val="single"/>
        </w:rPr>
        <w:t> </w:t>
      </w:r>
      <w:r>
        <w:rPr>
          <w:w w:val="105"/>
          <w:sz w:val="20"/>
          <w:u w:val="single"/>
        </w:rPr>
        <w:t>D.</w:t>
      </w:r>
      <w:r>
        <w:rPr>
          <w:spacing w:val="36"/>
          <w:w w:val="105"/>
          <w:sz w:val="20"/>
          <w:u w:val="single"/>
        </w:rPr>
        <w:t> </w:t>
      </w:r>
      <w:r>
        <w:rPr>
          <w:spacing w:val="2"/>
          <w:w w:val="105"/>
          <w:sz w:val="20"/>
          <w:u w:val="single"/>
        </w:rPr>
        <w:t>Kelleher</w:t>
      </w:r>
      <w:r>
        <w:rPr>
          <w:spacing w:val="2"/>
          <w:w w:val="105"/>
          <w:sz w:val="20"/>
        </w:rPr>
        <w:tab/>
      </w:r>
      <w:r>
        <w:rPr>
          <w:i/>
          <w:w w:val="105"/>
          <w:sz w:val="20"/>
        </w:rPr>
        <w:t>Chairman of the Board of   </w:t>
      </w:r>
      <w:r>
        <w:rPr>
          <w:i/>
          <w:spacing w:val="11"/>
          <w:w w:val="105"/>
          <w:sz w:val="20"/>
        </w:rPr>
        <w:t> </w:t>
      </w:r>
      <w:r>
        <w:rPr>
          <w:i/>
          <w:w w:val="105"/>
          <w:sz w:val="20"/>
        </w:rPr>
        <w:t>Directors</w:t>
      </w:r>
    </w:p>
    <w:p>
      <w:pPr>
        <w:pStyle w:val="BodyText"/>
        <w:spacing w:before="16"/>
        <w:ind w:left="460"/>
      </w:pPr>
      <w:r>
        <w:rPr>
          <w:w w:val="105"/>
        </w:rPr>
        <w:t>Herbert  D. Kelleher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James </w:t>
      </w:r>
      <w:r>
        <w:rPr>
          <w:spacing w:val="19"/>
          <w:w w:val="110"/>
          <w:sz w:val="20"/>
          <w:u w:val="single"/>
        </w:rPr>
        <w:t> </w:t>
      </w:r>
      <w:r>
        <w:rPr>
          <w:w w:val="110"/>
          <w:sz w:val="20"/>
          <w:u w:val="single"/>
        </w:rPr>
        <w:t>F.</w:t>
      </w:r>
      <w:r>
        <w:rPr>
          <w:spacing w:val="24"/>
          <w:w w:val="110"/>
          <w:sz w:val="20"/>
          <w:u w:val="single"/>
        </w:rPr>
        <w:t> </w:t>
      </w:r>
      <w:r>
        <w:rPr>
          <w:spacing w:val="3"/>
          <w:w w:val="110"/>
          <w:sz w:val="20"/>
          <w:u w:val="single"/>
        </w:rPr>
        <w:t>Parker</w:t>
      </w:r>
      <w:r>
        <w:rPr>
          <w:spacing w:val="3"/>
          <w:w w:val="110"/>
          <w:sz w:val="20"/>
        </w:rPr>
        <w:tab/>
      </w:r>
      <w:r>
        <w:rPr>
          <w:i/>
          <w:w w:val="110"/>
          <w:sz w:val="20"/>
        </w:rPr>
        <w:t>Chief Executive Officer and</w:t>
      </w:r>
      <w:r>
        <w:rPr>
          <w:i/>
          <w:spacing w:val="-11"/>
          <w:w w:val="110"/>
          <w:sz w:val="20"/>
        </w:rPr>
        <w:t> </w:t>
      </w:r>
      <w:r>
        <w:rPr>
          <w:i/>
          <w:w w:val="110"/>
          <w:sz w:val="20"/>
        </w:rPr>
        <w:t>Director</w:t>
      </w:r>
    </w:p>
    <w:p>
      <w:pPr>
        <w:pStyle w:val="BodyText"/>
        <w:spacing w:before="16"/>
        <w:ind w:left="460"/>
      </w:pPr>
      <w:r>
        <w:rPr>
          <w:w w:val="110"/>
        </w:rPr>
        <w:t>James  F. Parker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Colleen</w:t>
      </w:r>
      <w:r>
        <w:rPr>
          <w:spacing w:val="42"/>
          <w:w w:val="110"/>
          <w:sz w:val="20"/>
          <w:u w:val="single"/>
        </w:rPr>
        <w:t> </w:t>
      </w:r>
      <w:r>
        <w:rPr>
          <w:w w:val="110"/>
          <w:sz w:val="20"/>
          <w:u w:val="single"/>
        </w:rPr>
        <w:t>C.</w:t>
      </w:r>
      <w:r>
        <w:rPr>
          <w:spacing w:val="10"/>
          <w:w w:val="110"/>
          <w:sz w:val="20"/>
          <w:u w:val="single"/>
        </w:rPr>
        <w:t> </w:t>
      </w:r>
      <w:r>
        <w:rPr>
          <w:w w:val="110"/>
          <w:sz w:val="20"/>
          <w:u w:val="single"/>
        </w:rPr>
        <w:t>Barrett</w:t>
      </w:r>
      <w:r>
        <w:rPr>
          <w:w w:val="110"/>
          <w:sz w:val="20"/>
        </w:rPr>
        <w:tab/>
      </w:r>
      <w:r>
        <w:rPr>
          <w:i/>
          <w:w w:val="110"/>
          <w:sz w:val="20"/>
        </w:rPr>
        <w:t>President, Chief Operating Officer, and</w:t>
      </w:r>
      <w:r>
        <w:rPr>
          <w:i/>
          <w:spacing w:val="13"/>
          <w:w w:val="110"/>
          <w:sz w:val="20"/>
        </w:rPr>
        <w:t> </w:t>
      </w:r>
      <w:r>
        <w:rPr>
          <w:i/>
          <w:w w:val="110"/>
          <w:sz w:val="20"/>
        </w:rPr>
        <w:t>Director</w:t>
      </w:r>
    </w:p>
    <w:p>
      <w:pPr>
        <w:pStyle w:val="BodyText"/>
        <w:spacing w:before="16"/>
        <w:ind w:left="460"/>
      </w:pPr>
      <w:r>
        <w:rPr>
          <w:w w:val="110"/>
        </w:rPr>
        <w:t>Colleen C. Barrett</w:t>
      </w:r>
    </w:p>
    <w:p>
      <w:pPr>
        <w:tabs>
          <w:tab w:pos="4419" w:val="left" w:leader="none"/>
        </w:tabs>
        <w:spacing w:before="176"/>
        <w:ind w:left="460" w:right="0" w:firstLine="0"/>
        <w:jc w:val="left"/>
        <w:rPr>
          <w:i/>
          <w:sz w:val="20"/>
        </w:rPr>
      </w:pPr>
      <w:r>
        <w:rPr>
          <w:spacing w:val="-3"/>
          <w:w w:val="105"/>
          <w:sz w:val="20"/>
          <w:u w:val="single"/>
        </w:rPr>
        <w:t>/s/  </w:t>
      </w:r>
      <w:r>
        <w:rPr>
          <w:w w:val="105"/>
          <w:sz w:val="20"/>
          <w:u w:val="single"/>
        </w:rPr>
        <w:t>Gary</w:t>
      </w:r>
      <w:r>
        <w:rPr>
          <w:spacing w:val="21"/>
          <w:w w:val="105"/>
          <w:sz w:val="20"/>
          <w:u w:val="single"/>
        </w:rPr>
        <w:t> </w:t>
      </w:r>
      <w:r>
        <w:rPr>
          <w:w w:val="105"/>
          <w:sz w:val="20"/>
          <w:u w:val="single"/>
        </w:rPr>
        <w:t>C.</w:t>
      </w:r>
      <w:r>
        <w:rPr>
          <w:spacing w:val="25"/>
          <w:w w:val="105"/>
          <w:sz w:val="20"/>
          <w:u w:val="single"/>
        </w:rPr>
        <w:t> </w:t>
      </w:r>
      <w:r>
        <w:rPr>
          <w:spacing w:val="-3"/>
          <w:w w:val="105"/>
          <w:sz w:val="20"/>
          <w:u w:val="single"/>
        </w:rPr>
        <w:t>Kelly</w:t>
      </w:r>
      <w:r>
        <w:rPr>
          <w:spacing w:val="-3"/>
          <w:w w:val="105"/>
          <w:sz w:val="20"/>
        </w:rPr>
        <w:tab/>
      </w:r>
      <w:r>
        <w:rPr>
          <w:i/>
          <w:w w:val="105"/>
          <w:sz w:val="20"/>
        </w:rPr>
        <w:t>Executive  Vice  President  and  Chief  Financial</w:t>
      </w:r>
      <w:r>
        <w:rPr>
          <w:i/>
          <w:spacing w:val="-12"/>
          <w:w w:val="105"/>
          <w:sz w:val="20"/>
        </w:rPr>
        <w:t> </w:t>
      </w:r>
      <w:r>
        <w:rPr>
          <w:i/>
          <w:w w:val="105"/>
          <w:sz w:val="20"/>
        </w:rPr>
        <w:t>Officer</w:t>
      </w:r>
    </w:p>
    <w:p>
      <w:pPr>
        <w:tabs>
          <w:tab w:pos="4419" w:val="left" w:leader="none"/>
        </w:tabs>
        <w:spacing w:before="16"/>
        <w:ind w:left="460" w:right="0" w:firstLine="0"/>
        <w:jc w:val="left"/>
        <w:rPr>
          <w:i/>
          <w:sz w:val="20"/>
        </w:rPr>
      </w:pPr>
      <w:r>
        <w:rPr>
          <w:w w:val="105"/>
          <w:sz w:val="20"/>
        </w:rPr>
        <w:t>Gary</w:t>
      </w:r>
      <w:r>
        <w:rPr>
          <w:spacing w:val="12"/>
          <w:w w:val="105"/>
          <w:sz w:val="20"/>
        </w:rPr>
        <w:t> </w:t>
      </w:r>
      <w:r>
        <w:rPr>
          <w:w w:val="105"/>
          <w:sz w:val="20"/>
        </w:rPr>
        <w:t>C.</w:t>
      </w:r>
      <w:r>
        <w:rPr>
          <w:spacing w:val="12"/>
          <w:w w:val="105"/>
          <w:sz w:val="20"/>
        </w:rPr>
        <w:t> </w:t>
      </w:r>
      <w:r>
        <w:rPr>
          <w:w w:val="105"/>
          <w:sz w:val="20"/>
        </w:rPr>
        <w:t>Kelly</w:t>
        <w:tab/>
      </w:r>
      <w:r>
        <w:rPr>
          <w:i/>
          <w:w w:val="105"/>
          <w:sz w:val="20"/>
        </w:rPr>
        <w:t>(Chief  Financial  and  Accounting</w:t>
      </w:r>
      <w:r>
        <w:rPr>
          <w:i/>
          <w:spacing w:val="-11"/>
          <w:w w:val="105"/>
          <w:sz w:val="20"/>
        </w:rPr>
        <w:t> </w:t>
      </w:r>
      <w:r>
        <w:rPr>
          <w:i/>
          <w:w w:val="105"/>
          <w:sz w:val="20"/>
        </w:rPr>
        <w:t>Officer)</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C.</w:t>
      </w:r>
      <w:r>
        <w:rPr>
          <w:spacing w:val="13"/>
          <w:w w:val="110"/>
          <w:sz w:val="20"/>
          <w:u w:val="single"/>
        </w:rPr>
        <w:t> </w:t>
      </w:r>
      <w:r>
        <w:rPr>
          <w:spacing w:val="2"/>
          <w:w w:val="110"/>
          <w:sz w:val="20"/>
          <w:u w:val="single"/>
        </w:rPr>
        <w:t>Webb</w:t>
      </w:r>
      <w:r>
        <w:rPr>
          <w:spacing w:val="48"/>
          <w:w w:val="110"/>
          <w:sz w:val="20"/>
          <w:u w:val="single"/>
        </w:rPr>
        <w:t> </w:t>
      </w:r>
      <w:r>
        <w:rPr>
          <w:w w:val="110"/>
          <w:sz w:val="20"/>
          <w:u w:val="single"/>
        </w:rPr>
        <w:t>Crockett</w:t>
      </w:r>
      <w:r>
        <w:rPr>
          <w:w w:val="110"/>
          <w:sz w:val="20"/>
        </w:rPr>
        <w:tab/>
      </w:r>
      <w:r>
        <w:rPr>
          <w:i/>
          <w:spacing w:val="3"/>
          <w:w w:val="110"/>
          <w:sz w:val="20"/>
        </w:rPr>
        <w:t>Director</w:t>
      </w:r>
    </w:p>
    <w:p>
      <w:pPr>
        <w:pStyle w:val="BodyText"/>
        <w:spacing w:before="16"/>
        <w:ind w:left="460"/>
      </w:pPr>
      <w:r>
        <w:rPr>
          <w:w w:val="105"/>
        </w:rPr>
        <w:t>C.  Webb Crockett</w:t>
      </w:r>
    </w:p>
    <w:p>
      <w:pPr>
        <w:tabs>
          <w:tab w:pos="4419" w:val="left" w:leader="none"/>
        </w:tabs>
        <w:spacing w:before="176"/>
        <w:ind w:left="460" w:right="0" w:firstLine="0"/>
        <w:jc w:val="left"/>
        <w:rPr>
          <w:i/>
          <w:sz w:val="20"/>
        </w:rPr>
      </w:pPr>
      <w:r>
        <w:rPr>
          <w:spacing w:val="-3"/>
          <w:w w:val="110"/>
          <w:sz w:val="20"/>
          <w:u w:val="single"/>
        </w:rPr>
        <w:t>/s/ </w:t>
      </w:r>
      <w:r>
        <w:rPr>
          <w:spacing w:val="2"/>
          <w:w w:val="110"/>
          <w:sz w:val="20"/>
          <w:u w:val="single"/>
        </w:rPr>
        <w:t>William</w:t>
      </w:r>
      <w:r>
        <w:rPr>
          <w:spacing w:val="36"/>
          <w:w w:val="110"/>
          <w:sz w:val="20"/>
          <w:u w:val="single"/>
        </w:rPr>
        <w:t> </w:t>
      </w:r>
      <w:r>
        <w:rPr>
          <w:w w:val="110"/>
          <w:sz w:val="20"/>
          <w:u w:val="single"/>
        </w:rPr>
        <w:t>H.</w:t>
      </w:r>
      <w:r>
        <w:rPr>
          <w:spacing w:val="10"/>
          <w:w w:val="110"/>
          <w:sz w:val="20"/>
          <w:u w:val="single"/>
        </w:rPr>
        <w:t> </w:t>
      </w:r>
      <w:r>
        <w:rPr>
          <w:spacing w:val="9"/>
          <w:w w:val="110"/>
          <w:sz w:val="20"/>
          <w:u w:val="single"/>
        </w:rPr>
        <w:t>Cunningham</w:t>
      </w:r>
      <w:r>
        <w:rPr>
          <w:spacing w:val="9"/>
          <w:w w:val="110"/>
          <w:sz w:val="20"/>
        </w:rPr>
        <w:tab/>
      </w:r>
      <w:r>
        <w:rPr>
          <w:i/>
          <w:spacing w:val="3"/>
          <w:w w:val="110"/>
          <w:sz w:val="20"/>
        </w:rPr>
        <w:t>Director</w:t>
      </w:r>
    </w:p>
    <w:p>
      <w:pPr>
        <w:pStyle w:val="BodyText"/>
        <w:spacing w:before="16"/>
        <w:ind w:left="460"/>
      </w:pPr>
      <w:r>
        <w:rPr>
          <w:w w:val="105"/>
        </w:rPr>
        <w:t>William  H.  Cunningham</w:t>
      </w:r>
    </w:p>
    <w:p>
      <w:pPr>
        <w:tabs>
          <w:tab w:pos="4419" w:val="left" w:leader="none"/>
        </w:tabs>
        <w:spacing w:before="176"/>
        <w:ind w:left="460" w:right="0" w:firstLine="0"/>
        <w:jc w:val="left"/>
        <w:rPr>
          <w:i/>
          <w:sz w:val="20"/>
        </w:rPr>
      </w:pPr>
      <w:r>
        <w:rPr>
          <w:spacing w:val="-3"/>
          <w:w w:val="110"/>
          <w:sz w:val="20"/>
          <w:u w:val="single"/>
        </w:rPr>
        <w:t>/s/ </w:t>
      </w:r>
      <w:r>
        <w:rPr>
          <w:spacing w:val="3"/>
          <w:w w:val="110"/>
          <w:sz w:val="20"/>
          <w:u w:val="single"/>
        </w:rPr>
        <w:t>William</w:t>
      </w:r>
      <w:r>
        <w:rPr>
          <w:spacing w:val="30"/>
          <w:w w:val="110"/>
          <w:sz w:val="20"/>
          <w:u w:val="single"/>
        </w:rPr>
        <w:t> </w:t>
      </w:r>
      <w:r>
        <w:rPr>
          <w:w w:val="110"/>
          <w:sz w:val="20"/>
          <w:u w:val="single"/>
        </w:rPr>
        <w:t>P.</w:t>
      </w:r>
      <w:r>
        <w:rPr>
          <w:spacing w:val="11"/>
          <w:w w:val="110"/>
          <w:sz w:val="20"/>
          <w:u w:val="single"/>
        </w:rPr>
        <w:t> </w:t>
      </w:r>
      <w:r>
        <w:rPr>
          <w:spacing w:val="8"/>
          <w:w w:val="110"/>
          <w:sz w:val="20"/>
          <w:u w:val="single"/>
        </w:rPr>
        <w:t>Hobby</w:t>
      </w:r>
      <w:r>
        <w:rPr>
          <w:spacing w:val="8"/>
          <w:w w:val="110"/>
          <w:sz w:val="20"/>
        </w:rPr>
        <w:tab/>
      </w:r>
      <w:r>
        <w:rPr>
          <w:i/>
          <w:spacing w:val="3"/>
          <w:w w:val="110"/>
          <w:sz w:val="20"/>
        </w:rPr>
        <w:t>Director</w:t>
      </w:r>
    </w:p>
    <w:p>
      <w:pPr>
        <w:pStyle w:val="BodyText"/>
        <w:spacing w:before="16"/>
        <w:ind w:left="460"/>
      </w:pPr>
      <w:r>
        <w:rPr>
          <w:w w:val="105"/>
        </w:rPr>
        <w:t>William  P. Hobby</w:t>
      </w:r>
    </w:p>
    <w:p>
      <w:pPr>
        <w:tabs>
          <w:tab w:pos="4419" w:val="left" w:leader="none"/>
        </w:tabs>
        <w:spacing w:before="176"/>
        <w:ind w:left="460" w:right="0" w:firstLine="0"/>
        <w:jc w:val="left"/>
        <w:rPr>
          <w:i/>
          <w:sz w:val="20"/>
        </w:rPr>
      </w:pPr>
      <w:r>
        <w:rPr>
          <w:spacing w:val="-3"/>
          <w:w w:val="115"/>
          <w:sz w:val="20"/>
          <w:u w:val="single"/>
        </w:rPr>
        <w:t>/s/ </w:t>
      </w:r>
      <w:r>
        <w:rPr>
          <w:w w:val="115"/>
          <w:sz w:val="20"/>
          <w:u w:val="single"/>
        </w:rPr>
        <w:t>Travis</w:t>
      </w:r>
      <w:r>
        <w:rPr>
          <w:spacing w:val="22"/>
          <w:w w:val="115"/>
          <w:sz w:val="20"/>
          <w:u w:val="single"/>
        </w:rPr>
        <w:t> </w:t>
      </w:r>
      <w:r>
        <w:rPr>
          <w:w w:val="115"/>
          <w:sz w:val="20"/>
          <w:u w:val="single"/>
        </w:rPr>
        <w:t>C. </w:t>
      </w:r>
      <w:r>
        <w:rPr>
          <w:spacing w:val="7"/>
          <w:w w:val="115"/>
          <w:sz w:val="20"/>
          <w:u w:val="single"/>
        </w:rPr>
        <w:t>Johnson</w:t>
      </w:r>
      <w:r>
        <w:rPr>
          <w:spacing w:val="7"/>
          <w:w w:val="115"/>
          <w:sz w:val="20"/>
        </w:rPr>
        <w:tab/>
      </w:r>
      <w:r>
        <w:rPr>
          <w:i/>
          <w:spacing w:val="3"/>
          <w:w w:val="115"/>
          <w:sz w:val="20"/>
        </w:rPr>
        <w:t>Director</w:t>
      </w:r>
    </w:p>
    <w:p>
      <w:pPr>
        <w:pStyle w:val="BodyText"/>
        <w:spacing w:before="16"/>
        <w:ind w:left="460"/>
      </w:pPr>
      <w:r>
        <w:rPr>
          <w:w w:val="110"/>
        </w:rPr>
        <w:t>Travis  C. Johnson</w:t>
      </w:r>
    </w:p>
    <w:p>
      <w:pPr>
        <w:tabs>
          <w:tab w:pos="4419" w:val="left" w:leader="none"/>
        </w:tabs>
        <w:spacing w:before="176"/>
        <w:ind w:left="460" w:right="0" w:firstLine="0"/>
        <w:jc w:val="left"/>
        <w:rPr>
          <w:i/>
          <w:sz w:val="20"/>
        </w:rPr>
      </w:pPr>
      <w:r>
        <w:rPr>
          <w:spacing w:val="-3"/>
          <w:w w:val="115"/>
          <w:sz w:val="20"/>
          <w:u w:val="single"/>
        </w:rPr>
        <w:t>/s/ </w:t>
      </w:r>
      <w:r>
        <w:rPr>
          <w:w w:val="115"/>
          <w:sz w:val="20"/>
          <w:u w:val="single"/>
        </w:rPr>
        <w:t>R.</w:t>
      </w:r>
      <w:r>
        <w:rPr>
          <w:spacing w:val="6"/>
          <w:w w:val="115"/>
          <w:sz w:val="20"/>
          <w:u w:val="single"/>
        </w:rPr>
        <w:t> </w:t>
      </w:r>
      <w:r>
        <w:rPr>
          <w:w w:val="115"/>
          <w:sz w:val="20"/>
          <w:u w:val="single"/>
        </w:rPr>
        <w:t>W.</w:t>
      </w:r>
      <w:r>
        <w:rPr>
          <w:spacing w:val="19"/>
          <w:w w:val="115"/>
          <w:sz w:val="20"/>
          <w:u w:val="single"/>
        </w:rPr>
        <w:t> </w:t>
      </w:r>
      <w:r>
        <w:rPr>
          <w:spacing w:val="4"/>
          <w:w w:val="115"/>
          <w:sz w:val="20"/>
          <w:u w:val="single"/>
        </w:rPr>
        <w:t>King</w:t>
      </w:r>
      <w:r>
        <w:rPr>
          <w:spacing w:val="4"/>
          <w:w w:val="115"/>
          <w:sz w:val="20"/>
        </w:rPr>
        <w:tab/>
      </w:r>
      <w:r>
        <w:rPr>
          <w:i/>
          <w:spacing w:val="3"/>
          <w:w w:val="115"/>
          <w:sz w:val="20"/>
        </w:rPr>
        <w:t>Director</w:t>
      </w:r>
    </w:p>
    <w:p>
      <w:pPr>
        <w:pStyle w:val="ListParagraph"/>
        <w:numPr>
          <w:ilvl w:val="0"/>
          <w:numId w:val="11"/>
        </w:numPr>
        <w:tabs>
          <w:tab w:pos="719" w:val="left" w:leader="none"/>
        </w:tabs>
        <w:spacing w:line="240" w:lineRule="auto" w:before="16" w:after="0"/>
        <w:ind w:left="718" w:right="0" w:hanging="258"/>
        <w:jc w:val="left"/>
        <w:rPr>
          <w:sz w:val="20"/>
        </w:rPr>
      </w:pPr>
      <w:r>
        <w:rPr>
          <w:w w:val="105"/>
          <w:sz w:val="20"/>
        </w:rPr>
        <w:t>W.</w:t>
      </w:r>
      <w:r>
        <w:rPr>
          <w:spacing w:val="27"/>
          <w:w w:val="105"/>
          <w:sz w:val="20"/>
        </w:rPr>
        <w:t> </w:t>
      </w:r>
      <w:r>
        <w:rPr>
          <w:w w:val="105"/>
          <w:sz w:val="20"/>
        </w:rPr>
        <w:t>King</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John</w:t>
      </w:r>
      <w:r>
        <w:rPr>
          <w:spacing w:val="29"/>
          <w:w w:val="110"/>
          <w:sz w:val="20"/>
          <w:u w:val="single"/>
        </w:rPr>
        <w:t> </w:t>
      </w:r>
      <w:r>
        <w:rPr>
          <w:w w:val="110"/>
          <w:sz w:val="20"/>
          <w:u w:val="single"/>
        </w:rPr>
        <w:t>T.</w:t>
      </w:r>
      <w:r>
        <w:rPr>
          <w:spacing w:val="2"/>
          <w:w w:val="110"/>
          <w:sz w:val="20"/>
          <w:u w:val="single"/>
        </w:rPr>
        <w:t> </w:t>
      </w:r>
      <w:r>
        <w:rPr>
          <w:spacing w:val="7"/>
          <w:w w:val="110"/>
          <w:sz w:val="20"/>
          <w:u w:val="single"/>
        </w:rPr>
        <w:t>Montford</w:t>
      </w:r>
      <w:r>
        <w:rPr>
          <w:spacing w:val="7"/>
          <w:w w:val="110"/>
          <w:sz w:val="20"/>
        </w:rPr>
        <w:tab/>
      </w:r>
      <w:r>
        <w:rPr>
          <w:i/>
          <w:spacing w:val="3"/>
          <w:w w:val="110"/>
          <w:sz w:val="20"/>
        </w:rPr>
        <w:t>Director</w:t>
      </w:r>
    </w:p>
    <w:p>
      <w:pPr>
        <w:pStyle w:val="BodyText"/>
        <w:spacing w:before="16"/>
        <w:ind w:left="460"/>
      </w:pPr>
      <w:r>
        <w:rPr>
          <w:w w:val="105"/>
        </w:rPr>
        <w:t>John  T. Montford</w:t>
      </w:r>
    </w:p>
    <w:p>
      <w:pPr>
        <w:tabs>
          <w:tab w:pos="4419" w:val="left" w:leader="none"/>
        </w:tabs>
        <w:spacing w:before="176"/>
        <w:ind w:left="460" w:right="0" w:firstLine="0"/>
        <w:jc w:val="left"/>
        <w:rPr>
          <w:i/>
          <w:sz w:val="20"/>
        </w:rPr>
      </w:pPr>
      <w:r>
        <w:rPr>
          <w:spacing w:val="-3"/>
          <w:w w:val="110"/>
          <w:sz w:val="20"/>
          <w:u w:val="single"/>
        </w:rPr>
        <w:t>/s/ </w:t>
      </w:r>
      <w:r>
        <w:rPr>
          <w:w w:val="110"/>
          <w:sz w:val="20"/>
          <w:u w:val="single"/>
        </w:rPr>
        <w:t>June</w:t>
      </w:r>
      <w:r>
        <w:rPr>
          <w:spacing w:val="44"/>
          <w:w w:val="110"/>
          <w:sz w:val="20"/>
          <w:u w:val="single"/>
        </w:rPr>
        <w:t> </w:t>
      </w:r>
      <w:r>
        <w:rPr>
          <w:w w:val="110"/>
          <w:sz w:val="20"/>
          <w:u w:val="single"/>
        </w:rPr>
        <w:t>M.</w:t>
      </w:r>
      <w:r>
        <w:rPr>
          <w:spacing w:val="23"/>
          <w:w w:val="110"/>
          <w:sz w:val="20"/>
          <w:u w:val="single"/>
        </w:rPr>
        <w:t> </w:t>
      </w:r>
      <w:r>
        <w:rPr>
          <w:spacing w:val="4"/>
          <w:w w:val="110"/>
          <w:sz w:val="20"/>
          <w:u w:val="single"/>
        </w:rPr>
        <w:t>Morris</w:t>
      </w:r>
      <w:r>
        <w:rPr>
          <w:spacing w:val="4"/>
          <w:w w:val="110"/>
          <w:sz w:val="20"/>
        </w:rPr>
        <w:tab/>
      </w:r>
      <w:r>
        <w:rPr>
          <w:i/>
          <w:spacing w:val="3"/>
          <w:w w:val="110"/>
          <w:sz w:val="20"/>
        </w:rPr>
        <w:t>Director</w:t>
      </w:r>
    </w:p>
    <w:p>
      <w:pPr>
        <w:pStyle w:val="BodyText"/>
        <w:spacing w:before="16"/>
        <w:ind w:left="460"/>
      </w:pPr>
      <w:r>
        <w:rPr>
          <w:w w:val="105"/>
        </w:rPr>
        <w:t>June  M. Morris</w:t>
      </w:r>
    </w:p>
    <w:p>
      <w:pPr>
        <w:spacing w:after="0"/>
        <w:sectPr>
          <w:type w:val="continuous"/>
          <w:pgSz w:w="11520" w:h="14400"/>
          <w:pgMar w:top="0" w:bottom="280" w:left="700" w:right="820"/>
        </w:sectPr>
      </w:pPr>
    </w:p>
    <w:p>
      <w:pPr>
        <w:pStyle w:val="BodyText"/>
        <w:spacing w:before="76"/>
        <w:ind w:left="100"/>
        <w:rPr>
          <w:rFonts w:ascii="Franklin Gothic Medium"/>
        </w:rPr>
      </w:pPr>
      <w:bookmarkStart w:name="Certifications" w:id="69"/>
      <w:bookmarkEnd w:id="69"/>
      <w:r>
        <w:rPr/>
      </w:r>
      <w:r>
        <w:rPr>
          <w:rFonts w:ascii="Franklin Gothic Medium"/>
        </w:rPr>
        <w:t>Certifications</w:t>
      </w:r>
    </w:p>
    <w:p>
      <w:pPr>
        <w:pStyle w:val="BodyText"/>
        <w:spacing w:before="185"/>
        <w:ind w:left="100"/>
      </w:pPr>
      <w:r>
        <w:rPr>
          <w:w w:val="105"/>
        </w:rPr>
        <w:t>I,  Gary  C.  Kelly,  Executive  Vice  President  and  Chief  Financial  Officer  of  Southwest  Airlines  Co.,  certify that:</w:t>
      </w:r>
    </w:p>
    <w:p>
      <w:pPr>
        <w:pStyle w:val="ListParagraph"/>
        <w:numPr>
          <w:ilvl w:val="1"/>
          <w:numId w:val="11"/>
        </w:numPr>
        <w:tabs>
          <w:tab w:pos="1040" w:val="left" w:leader="none"/>
        </w:tabs>
        <w:spacing w:line="240" w:lineRule="auto" w:before="175" w:after="0"/>
        <w:ind w:left="1180" w:right="0" w:hanging="440"/>
        <w:jc w:val="left"/>
        <w:rPr>
          <w:sz w:val="20"/>
        </w:rPr>
      </w:pPr>
      <w:r>
        <w:rPr>
          <w:w w:val="105"/>
          <w:sz w:val="20"/>
        </w:rPr>
        <w:t>I</w:t>
      </w:r>
      <w:r>
        <w:rPr>
          <w:spacing w:val="39"/>
          <w:w w:val="105"/>
          <w:sz w:val="20"/>
        </w:rPr>
        <w:t> </w:t>
      </w:r>
      <w:r>
        <w:rPr>
          <w:w w:val="105"/>
          <w:sz w:val="20"/>
        </w:rPr>
        <w:t>have</w:t>
      </w:r>
      <w:r>
        <w:rPr>
          <w:spacing w:val="39"/>
          <w:w w:val="105"/>
          <w:sz w:val="20"/>
        </w:rPr>
        <w:t> </w:t>
      </w:r>
      <w:r>
        <w:rPr>
          <w:w w:val="105"/>
          <w:sz w:val="20"/>
        </w:rPr>
        <w:t>reviewed</w:t>
      </w:r>
      <w:r>
        <w:rPr>
          <w:spacing w:val="39"/>
          <w:w w:val="105"/>
          <w:sz w:val="20"/>
        </w:rPr>
        <w:t> </w:t>
      </w:r>
      <w:r>
        <w:rPr>
          <w:w w:val="105"/>
          <w:sz w:val="20"/>
        </w:rPr>
        <w:t>this</w:t>
      </w:r>
      <w:r>
        <w:rPr>
          <w:spacing w:val="39"/>
          <w:w w:val="105"/>
          <w:sz w:val="20"/>
        </w:rPr>
        <w:t> </w:t>
      </w:r>
      <w:r>
        <w:rPr>
          <w:w w:val="105"/>
          <w:sz w:val="20"/>
        </w:rPr>
        <w:t>annual</w:t>
      </w:r>
      <w:r>
        <w:rPr>
          <w:spacing w:val="39"/>
          <w:w w:val="105"/>
          <w:sz w:val="20"/>
        </w:rPr>
        <w:t> </w:t>
      </w:r>
      <w:r>
        <w:rPr>
          <w:w w:val="105"/>
          <w:sz w:val="20"/>
        </w:rPr>
        <w:t>report</w:t>
      </w:r>
      <w:r>
        <w:rPr>
          <w:spacing w:val="39"/>
          <w:w w:val="105"/>
          <w:sz w:val="20"/>
        </w:rPr>
        <w:t> </w:t>
      </w:r>
      <w:r>
        <w:rPr>
          <w:w w:val="105"/>
          <w:sz w:val="20"/>
        </w:rPr>
        <w:t>on</w:t>
      </w:r>
      <w:r>
        <w:rPr>
          <w:spacing w:val="39"/>
          <w:w w:val="105"/>
          <w:sz w:val="20"/>
        </w:rPr>
        <w:t> </w:t>
      </w:r>
      <w:r>
        <w:rPr>
          <w:w w:val="105"/>
          <w:sz w:val="20"/>
        </w:rPr>
        <w:t>Form</w:t>
      </w:r>
      <w:r>
        <w:rPr>
          <w:spacing w:val="39"/>
          <w:w w:val="105"/>
          <w:sz w:val="20"/>
        </w:rPr>
        <w:t> </w:t>
      </w:r>
      <w:r>
        <w:rPr>
          <w:w w:val="105"/>
          <w:sz w:val="20"/>
        </w:rPr>
        <w:t>10-K</w:t>
      </w:r>
      <w:r>
        <w:rPr>
          <w:spacing w:val="39"/>
          <w:w w:val="105"/>
          <w:sz w:val="20"/>
        </w:rPr>
        <w:t> </w:t>
      </w:r>
      <w:r>
        <w:rPr>
          <w:w w:val="105"/>
          <w:sz w:val="20"/>
        </w:rPr>
        <w:t>of</w:t>
      </w:r>
      <w:r>
        <w:rPr>
          <w:spacing w:val="39"/>
          <w:w w:val="105"/>
          <w:sz w:val="20"/>
        </w:rPr>
        <w:t> </w:t>
      </w:r>
      <w:r>
        <w:rPr>
          <w:w w:val="105"/>
          <w:sz w:val="20"/>
        </w:rPr>
        <w:t>Southwest</w:t>
      </w:r>
      <w:r>
        <w:rPr>
          <w:spacing w:val="39"/>
          <w:w w:val="105"/>
          <w:sz w:val="20"/>
        </w:rPr>
        <w:t> </w:t>
      </w:r>
      <w:r>
        <w:rPr>
          <w:w w:val="105"/>
          <w:sz w:val="20"/>
        </w:rPr>
        <w:t>Airlines</w:t>
      </w:r>
      <w:r>
        <w:rPr>
          <w:spacing w:val="39"/>
          <w:w w:val="105"/>
          <w:sz w:val="20"/>
        </w:rPr>
        <w:t> </w:t>
      </w:r>
      <w:r>
        <w:rPr>
          <w:w w:val="105"/>
          <w:sz w:val="20"/>
        </w:rPr>
        <w:t>Co.;</w:t>
      </w:r>
    </w:p>
    <w:p>
      <w:pPr>
        <w:pStyle w:val="ListParagraph"/>
        <w:numPr>
          <w:ilvl w:val="1"/>
          <w:numId w:val="11"/>
        </w:numPr>
        <w:tabs>
          <w:tab w:pos="1180" w:val="left" w:leader="none"/>
        </w:tabs>
        <w:spacing w:line="254" w:lineRule="auto" w:before="175" w:after="0"/>
        <w:ind w:left="1180" w:right="113" w:hanging="440"/>
        <w:jc w:val="both"/>
        <w:rPr>
          <w:sz w:val="20"/>
        </w:rPr>
      </w:pPr>
      <w:r>
        <w:rPr>
          <w:w w:val="105"/>
          <w:sz w:val="20"/>
        </w:rPr>
        <w:t>Based on my </w:t>
      </w:r>
      <w:r>
        <w:rPr>
          <w:spacing w:val="2"/>
          <w:w w:val="105"/>
          <w:sz w:val="20"/>
        </w:rPr>
        <w:t>knowledge, </w:t>
      </w:r>
      <w:r>
        <w:rPr>
          <w:w w:val="105"/>
          <w:sz w:val="20"/>
        </w:rPr>
        <w:t>this  </w:t>
      </w:r>
      <w:r>
        <w:rPr>
          <w:spacing w:val="2"/>
          <w:w w:val="105"/>
          <w:sz w:val="20"/>
        </w:rPr>
        <w:t>annual  </w:t>
      </w:r>
      <w:r>
        <w:rPr>
          <w:w w:val="105"/>
          <w:sz w:val="20"/>
        </w:rPr>
        <w:t>report  does  not  </w:t>
      </w:r>
      <w:r>
        <w:rPr>
          <w:spacing w:val="2"/>
          <w:w w:val="105"/>
          <w:sz w:val="20"/>
        </w:rPr>
        <w:t>contain  </w:t>
      </w:r>
      <w:r>
        <w:rPr>
          <w:w w:val="105"/>
          <w:sz w:val="20"/>
        </w:rPr>
        <w:t>any  untrue  statement  of  a material fact or omit to state a material fact necessary to make the statements  </w:t>
      </w:r>
      <w:r>
        <w:rPr>
          <w:spacing w:val="2"/>
          <w:w w:val="105"/>
          <w:sz w:val="20"/>
        </w:rPr>
        <w:t>made,  </w:t>
      </w:r>
      <w:r>
        <w:rPr>
          <w:w w:val="105"/>
          <w:sz w:val="20"/>
        </w:rPr>
        <w:t>in  </w:t>
      </w:r>
      <w:r>
        <w:rPr>
          <w:spacing w:val="3"/>
          <w:w w:val="105"/>
          <w:sz w:val="20"/>
        </w:rPr>
        <w:t>light          </w:t>
      </w:r>
      <w:r>
        <w:rPr>
          <w:w w:val="105"/>
          <w:sz w:val="20"/>
        </w:rPr>
        <w:t>of  the  circumstances  under  </w:t>
      </w:r>
      <w:r>
        <w:rPr>
          <w:spacing w:val="2"/>
          <w:w w:val="105"/>
          <w:sz w:val="20"/>
        </w:rPr>
        <w:t>which  </w:t>
      </w:r>
      <w:r>
        <w:rPr>
          <w:w w:val="105"/>
          <w:sz w:val="20"/>
        </w:rPr>
        <w:t>such  statements  were  </w:t>
      </w:r>
      <w:r>
        <w:rPr>
          <w:spacing w:val="2"/>
          <w:w w:val="105"/>
          <w:sz w:val="20"/>
        </w:rPr>
        <w:t>made,  </w:t>
      </w:r>
      <w:r>
        <w:rPr>
          <w:w w:val="105"/>
          <w:sz w:val="20"/>
        </w:rPr>
        <w:t>not  </w:t>
      </w:r>
      <w:r>
        <w:rPr>
          <w:spacing w:val="2"/>
          <w:w w:val="105"/>
          <w:sz w:val="20"/>
        </w:rPr>
        <w:t>misleading   </w:t>
      </w:r>
      <w:r>
        <w:rPr>
          <w:w w:val="105"/>
          <w:sz w:val="20"/>
        </w:rPr>
        <w:t>with  </w:t>
      </w:r>
      <w:r>
        <w:rPr>
          <w:spacing w:val="4"/>
          <w:w w:val="105"/>
          <w:sz w:val="20"/>
        </w:rPr>
        <w:t>respect  </w:t>
      </w:r>
      <w:r>
        <w:rPr>
          <w:w w:val="105"/>
          <w:sz w:val="20"/>
        </w:rPr>
        <w:t>to  the  period  covered  by  this  annual</w:t>
      </w:r>
      <w:r>
        <w:rPr>
          <w:spacing w:val="-10"/>
          <w:w w:val="105"/>
          <w:sz w:val="20"/>
        </w:rPr>
        <w:t> </w:t>
      </w:r>
      <w:r>
        <w:rPr>
          <w:w w:val="105"/>
          <w:sz w:val="20"/>
        </w:rPr>
        <w:t>report;</w:t>
      </w:r>
    </w:p>
    <w:p>
      <w:pPr>
        <w:pStyle w:val="ListParagraph"/>
        <w:numPr>
          <w:ilvl w:val="1"/>
          <w:numId w:val="11"/>
        </w:numPr>
        <w:tabs>
          <w:tab w:pos="1180" w:val="left" w:leader="none"/>
        </w:tabs>
        <w:spacing w:line="254" w:lineRule="auto" w:before="160" w:after="0"/>
        <w:ind w:left="1180" w:right="108" w:hanging="440"/>
        <w:jc w:val="both"/>
        <w:rPr>
          <w:sz w:val="20"/>
        </w:rPr>
      </w:pPr>
      <w:r>
        <w:rPr>
          <w:w w:val="105"/>
          <w:sz w:val="20"/>
        </w:rPr>
        <w:t>Based  on  my  </w:t>
      </w:r>
      <w:r>
        <w:rPr>
          <w:spacing w:val="2"/>
          <w:w w:val="105"/>
          <w:sz w:val="20"/>
        </w:rPr>
        <w:t>knowledge,  </w:t>
      </w:r>
      <w:r>
        <w:rPr>
          <w:w w:val="105"/>
          <w:sz w:val="20"/>
        </w:rPr>
        <w:t>the  </w:t>
      </w:r>
      <w:r>
        <w:rPr>
          <w:spacing w:val="2"/>
          <w:w w:val="105"/>
          <w:sz w:val="20"/>
        </w:rPr>
        <w:t>financial  </w:t>
      </w:r>
      <w:r>
        <w:rPr>
          <w:w w:val="105"/>
          <w:sz w:val="20"/>
        </w:rPr>
        <w:t>statements,  and  other  </w:t>
      </w:r>
      <w:r>
        <w:rPr>
          <w:spacing w:val="2"/>
          <w:w w:val="105"/>
          <w:sz w:val="20"/>
        </w:rPr>
        <w:t>financial  </w:t>
      </w:r>
      <w:r>
        <w:rPr>
          <w:spacing w:val="3"/>
          <w:w w:val="105"/>
          <w:sz w:val="20"/>
        </w:rPr>
        <w:t>information   </w:t>
      </w:r>
      <w:r>
        <w:rPr>
          <w:spacing w:val="9"/>
          <w:w w:val="105"/>
          <w:sz w:val="20"/>
        </w:rPr>
        <w:t>included </w:t>
      </w:r>
      <w:r>
        <w:rPr>
          <w:w w:val="105"/>
          <w:sz w:val="20"/>
        </w:rPr>
        <w:t>in this annual report, fairly present in all material respects the </w:t>
      </w:r>
      <w:r>
        <w:rPr>
          <w:spacing w:val="2"/>
          <w:w w:val="105"/>
          <w:sz w:val="20"/>
        </w:rPr>
        <w:t>financial condition, </w:t>
      </w:r>
      <w:r>
        <w:rPr>
          <w:w w:val="105"/>
          <w:sz w:val="20"/>
        </w:rPr>
        <w:t>results </w:t>
      </w:r>
      <w:r>
        <w:rPr>
          <w:spacing w:val="6"/>
          <w:w w:val="105"/>
          <w:sz w:val="20"/>
        </w:rPr>
        <w:t>of </w:t>
      </w:r>
      <w:r>
        <w:rPr>
          <w:spacing w:val="2"/>
          <w:w w:val="105"/>
          <w:sz w:val="20"/>
        </w:rPr>
        <w:t>operations, </w:t>
      </w:r>
      <w:r>
        <w:rPr>
          <w:w w:val="105"/>
          <w:sz w:val="20"/>
        </w:rPr>
        <w:t>and cash flows  of  the  registrant  as  of,  and  for,  the  </w:t>
      </w:r>
      <w:r>
        <w:rPr>
          <w:spacing w:val="2"/>
          <w:w w:val="105"/>
          <w:sz w:val="20"/>
        </w:rPr>
        <w:t>periods  presented  </w:t>
      </w:r>
      <w:r>
        <w:rPr>
          <w:w w:val="105"/>
          <w:sz w:val="20"/>
        </w:rPr>
        <w:t>in  </w:t>
      </w:r>
      <w:r>
        <w:rPr>
          <w:spacing w:val="5"/>
          <w:w w:val="105"/>
          <w:sz w:val="20"/>
        </w:rPr>
        <w:t>this  </w:t>
      </w:r>
      <w:r>
        <w:rPr>
          <w:spacing w:val="2"/>
          <w:w w:val="105"/>
          <w:sz w:val="20"/>
        </w:rPr>
        <w:t>annual</w:t>
      </w:r>
      <w:r>
        <w:rPr>
          <w:spacing w:val="39"/>
          <w:w w:val="105"/>
          <w:sz w:val="20"/>
        </w:rPr>
        <w:t> </w:t>
      </w:r>
      <w:r>
        <w:rPr>
          <w:spacing w:val="3"/>
          <w:w w:val="105"/>
          <w:sz w:val="20"/>
        </w:rPr>
        <w:t>report;</w:t>
      </w:r>
    </w:p>
    <w:p>
      <w:pPr>
        <w:pStyle w:val="ListParagraph"/>
        <w:numPr>
          <w:ilvl w:val="1"/>
          <w:numId w:val="11"/>
        </w:numPr>
        <w:tabs>
          <w:tab w:pos="1180" w:val="left" w:leader="none"/>
        </w:tabs>
        <w:spacing w:line="254" w:lineRule="auto" w:before="160" w:after="0"/>
        <w:ind w:left="1180" w:right="116" w:hanging="440"/>
        <w:jc w:val="both"/>
        <w:rPr>
          <w:sz w:val="20"/>
        </w:rPr>
      </w:pPr>
      <w:r>
        <w:rPr>
          <w:w w:val="105"/>
          <w:sz w:val="20"/>
        </w:rPr>
        <w:t>The  registrant’s  other  certifying  officers  and  I  are  </w:t>
      </w:r>
      <w:r>
        <w:rPr>
          <w:spacing w:val="2"/>
          <w:w w:val="105"/>
          <w:sz w:val="20"/>
        </w:rPr>
        <w:t>responsible   </w:t>
      </w:r>
      <w:r>
        <w:rPr>
          <w:w w:val="105"/>
          <w:sz w:val="20"/>
        </w:rPr>
        <w:t>for   establishing   </w:t>
      </w:r>
      <w:r>
        <w:rPr>
          <w:spacing w:val="12"/>
          <w:w w:val="105"/>
          <w:sz w:val="20"/>
        </w:rPr>
        <w:t>and </w:t>
      </w:r>
      <w:r>
        <w:rPr>
          <w:spacing w:val="4"/>
          <w:w w:val="105"/>
          <w:sz w:val="20"/>
        </w:rPr>
        <w:t>maintaining  </w:t>
      </w:r>
      <w:r>
        <w:rPr>
          <w:w w:val="105"/>
          <w:sz w:val="20"/>
        </w:rPr>
        <w:t>disclosure  controls  and  </w:t>
      </w:r>
      <w:r>
        <w:rPr>
          <w:spacing w:val="2"/>
          <w:w w:val="105"/>
          <w:sz w:val="20"/>
        </w:rPr>
        <w:t>procedures  </w:t>
      </w:r>
      <w:r>
        <w:rPr>
          <w:w w:val="105"/>
          <w:sz w:val="20"/>
        </w:rPr>
        <w:t>(as  </w:t>
      </w:r>
      <w:r>
        <w:rPr>
          <w:spacing w:val="3"/>
          <w:w w:val="105"/>
          <w:sz w:val="20"/>
        </w:rPr>
        <w:t>defined</w:t>
      </w:r>
      <w:r>
        <w:rPr>
          <w:spacing w:val="53"/>
          <w:w w:val="105"/>
          <w:sz w:val="20"/>
        </w:rPr>
        <w:t> </w:t>
      </w:r>
      <w:r>
        <w:rPr>
          <w:w w:val="105"/>
          <w:sz w:val="20"/>
        </w:rPr>
        <w:t>in  </w:t>
      </w:r>
      <w:r>
        <w:rPr>
          <w:spacing w:val="3"/>
          <w:w w:val="105"/>
          <w:sz w:val="20"/>
        </w:rPr>
        <w:t>Exchange   </w:t>
      </w:r>
      <w:r>
        <w:rPr>
          <w:w w:val="105"/>
          <w:sz w:val="20"/>
        </w:rPr>
        <w:t>Act   Rules   13a-14 and  15d-14)  for  the  registrant  and  we</w:t>
      </w:r>
      <w:r>
        <w:rPr>
          <w:spacing w:val="-15"/>
          <w:w w:val="105"/>
          <w:sz w:val="20"/>
        </w:rPr>
        <w:t> </w:t>
      </w:r>
      <w:r>
        <w:rPr>
          <w:w w:val="105"/>
          <w:sz w:val="20"/>
        </w:rPr>
        <w:t>have:</w:t>
      </w:r>
    </w:p>
    <w:p>
      <w:pPr>
        <w:pStyle w:val="ListParagraph"/>
        <w:numPr>
          <w:ilvl w:val="2"/>
          <w:numId w:val="11"/>
        </w:numPr>
        <w:tabs>
          <w:tab w:pos="1540" w:val="left" w:leader="none"/>
        </w:tabs>
        <w:spacing w:line="283" w:lineRule="auto" w:before="180" w:after="0"/>
        <w:ind w:left="1540" w:right="125" w:hanging="360"/>
        <w:jc w:val="both"/>
        <w:rPr>
          <w:sz w:val="18"/>
        </w:rPr>
      </w:pPr>
      <w:r>
        <w:rPr>
          <w:w w:val="105"/>
          <w:sz w:val="18"/>
        </w:rPr>
        <w:t>designed  such  disclosure  </w:t>
      </w:r>
      <w:r>
        <w:rPr>
          <w:spacing w:val="2"/>
          <w:w w:val="105"/>
          <w:sz w:val="18"/>
        </w:rPr>
        <w:t>controls</w:t>
      </w:r>
      <w:r>
        <w:rPr>
          <w:spacing w:val="46"/>
          <w:w w:val="105"/>
          <w:sz w:val="18"/>
        </w:rPr>
        <w:t> </w:t>
      </w:r>
      <w:r>
        <w:rPr>
          <w:w w:val="105"/>
          <w:sz w:val="18"/>
        </w:rPr>
        <w:t>and  procedures  to  ensure  that  material  </w:t>
      </w:r>
      <w:r>
        <w:rPr>
          <w:spacing w:val="3"/>
          <w:w w:val="105"/>
          <w:sz w:val="18"/>
        </w:rPr>
        <w:t>information  </w:t>
      </w:r>
      <w:r>
        <w:rPr>
          <w:spacing w:val="2"/>
          <w:w w:val="105"/>
          <w:sz w:val="18"/>
        </w:rPr>
        <w:t>relating   to </w:t>
      </w:r>
      <w:r>
        <w:rPr>
          <w:w w:val="105"/>
          <w:sz w:val="18"/>
        </w:rPr>
        <w:t>the  </w:t>
      </w:r>
      <w:r>
        <w:rPr>
          <w:spacing w:val="2"/>
          <w:w w:val="105"/>
          <w:sz w:val="18"/>
        </w:rPr>
        <w:t>registrant,</w:t>
      </w:r>
      <w:r>
        <w:rPr>
          <w:spacing w:val="46"/>
          <w:w w:val="105"/>
          <w:sz w:val="18"/>
        </w:rPr>
        <w:t> </w:t>
      </w:r>
      <w:r>
        <w:rPr>
          <w:spacing w:val="2"/>
          <w:w w:val="105"/>
          <w:sz w:val="18"/>
        </w:rPr>
        <w:t>including</w:t>
      </w:r>
      <w:r>
        <w:rPr>
          <w:spacing w:val="46"/>
          <w:w w:val="105"/>
          <w:sz w:val="18"/>
        </w:rPr>
        <w:t> </w:t>
      </w:r>
      <w:r>
        <w:rPr>
          <w:w w:val="105"/>
          <w:sz w:val="18"/>
        </w:rPr>
        <w:t>its  </w:t>
      </w:r>
      <w:r>
        <w:rPr>
          <w:spacing w:val="2"/>
          <w:w w:val="105"/>
          <w:sz w:val="18"/>
        </w:rPr>
        <w:t>consolidated</w:t>
      </w:r>
      <w:r>
        <w:rPr>
          <w:spacing w:val="46"/>
          <w:w w:val="105"/>
          <w:sz w:val="18"/>
        </w:rPr>
        <w:t> </w:t>
      </w:r>
      <w:r>
        <w:rPr>
          <w:w w:val="105"/>
          <w:sz w:val="18"/>
        </w:rPr>
        <w:t>subsidiaries,  </w:t>
      </w:r>
      <w:r>
        <w:rPr>
          <w:spacing w:val="-3"/>
          <w:w w:val="105"/>
          <w:sz w:val="18"/>
        </w:rPr>
        <w:t>is </w:t>
      </w:r>
      <w:r>
        <w:rPr>
          <w:spacing w:val="36"/>
          <w:w w:val="105"/>
          <w:sz w:val="18"/>
        </w:rPr>
        <w:t> </w:t>
      </w:r>
      <w:r>
        <w:rPr>
          <w:w w:val="105"/>
          <w:sz w:val="18"/>
        </w:rPr>
        <w:t>made  </w:t>
      </w:r>
      <w:r>
        <w:rPr>
          <w:spacing w:val="3"/>
          <w:w w:val="105"/>
          <w:sz w:val="18"/>
        </w:rPr>
        <w:t>known  </w:t>
      </w:r>
      <w:r>
        <w:rPr>
          <w:w w:val="105"/>
          <w:sz w:val="18"/>
        </w:rPr>
        <w:t>to   us   by   others   </w:t>
      </w:r>
      <w:r>
        <w:rPr>
          <w:spacing w:val="12"/>
          <w:w w:val="105"/>
          <w:sz w:val="18"/>
        </w:rPr>
        <w:t>within </w:t>
      </w:r>
      <w:r>
        <w:rPr>
          <w:w w:val="105"/>
          <w:sz w:val="18"/>
        </w:rPr>
        <w:t>those  entities,  </w:t>
      </w:r>
      <w:r>
        <w:rPr>
          <w:spacing w:val="3"/>
          <w:w w:val="105"/>
          <w:sz w:val="18"/>
        </w:rPr>
        <w:t>particularly  during   </w:t>
      </w:r>
      <w:r>
        <w:rPr>
          <w:w w:val="105"/>
          <w:sz w:val="18"/>
        </w:rPr>
        <w:t>the  period  in  which   this  </w:t>
      </w:r>
      <w:r>
        <w:rPr>
          <w:spacing w:val="2"/>
          <w:w w:val="105"/>
          <w:sz w:val="18"/>
        </w:rPr>
        <w:t>annual  </w:t>
      </w:r>
      <w:r>
        <w:rPr>
          <w:spacing w:val="4"/>
          <w:w w:val="105"/>
          <w:sz w:val="18"/>
        </w:rPr>
        <w:t>report  </w:t>
      </w:r>
      <w:r>
        <w:rPr>
          <w:spacing w:val="-3"/>
          <w:w w:val="105"/>
          <w:sz w:val="18"/>
        </w:rPr>
        <w:t>is  </w:t>
      </w:r>
      <w:r>
        <w:rPr>
          <w:spacing w:val="2"/>
          <w:w w:val="105"/>
          <w:sz w:val="18"/>
        </w:rPr>
        <w:t>being</w:t>
      </w:r>
      <w:r>
        <w:rPr>
          <w:spacing w:val="6"/>
          <w:w w:val="105"/>
          <w:sz w:val="18"/>
        </w:rPr>
        <w:t> </w:t>
      </w:r>
      <w:r>
        <w:rPr>
          <w:spacing w:val="3"/>
          <w:w w:val="105"/>
          <w:sz w:val="18"/>
        </w:rPr>
        <w:t>prepared;</w:t>
      </w:r>
    </w:p>
    <w:p>
      <w:pPr>
        <w:pStyle w:val="ListParagraph"/>
        <w:numPr>
          <w:ilvl w:val="2"/>
          <w:numId w:val="11"/>
        </w:numPr>
        <w:tabs>
          <w:tab w:pos="1540" w:val="left" w:leader="none"/>
        </w:tabs>
        <w:spacing w:line="283" w:lineRule="auto" w:before="161" w:after="0"/>
        <w:ind w:left="1540" w:right="134" w:hanging="360"/>
        <w:jc w:val="both"/>
        <w:rPr>
          <w:sz w:val="18"/>
        </w:rPr>
      </w:pPr>
      <w:r>
        <w:rPr>
          <w:spacing w:val="2"/>
          <w:w w:val="110"/>
          <w:sz w:val="18"/>
        </w:rPr>
        <w:t>evaluated </w:t>
      </w:r>
      <w:r>
        <w:rPr>
          <w:w w:val="110"/>
          <w:sz w:val="18"/>
        </w:rPr>
        <w:t>the effectiveness of the </w:t>
      </w:r>
      <w:r>
        <w:rPr>
          <w:spacing w:val="2"/>
          <w:w w:val="110"/>
          <w:sz w:val="18"/>
        </w:rPr>
        <w:t>registrant’s </w:t>
      </w:r>
      <w:r>
        <w:rPr>
          <w:w w:val="110"/>
          <w:sz w:val="18"/>
        </w:rPr>
        <w:t>disclosure </w:t>
      </w:r>
      <w:r>
        <w:rPr>
          <w:spacing w:val="2"/>
          <w:w w:val="110"/>
          <w:sz w:val="18"/>
        </w:rPr>
        <w:t>controls  </w:t>
      </w:r>
      <w:r>
        <w:rPr>
          <w:w w:val="110"/>
          <w:sz w:val="18"/>
        </w:rPr>
        <w:t>and  procedures  as  of  a  </w:t>
      </w:r>
      <w:r>
        <w:rPr>
          <w:spacing w:val="3"/>
          <w:w w:val="110"/>
          <w:sz w:val="18"/>
        </w:rPr>
        <w:t>date within  </w:t>
      </w:r>
      <w:r>
        <w:rPr>
          <w:w w:val="110"/>
          <w:sz w:val="18"/>
        </w:rPr>
        <w:t>90 days prior to  the filing date  of this </w:t>
      </w:r>
      <w:r>
        <w:rPr>
          <w:spacing w:val="2"/>
          <w:w w:val="110"/>
          <w:sz w:val="18"/>
        </w:rPr>
        <w:t>annual  report  </w:t>
      </w:r>
      <w:r>
        <w:rPr>
          <w:w w:val="110"/>
          <w:sz w:val="18"/>
        </w:rPr>
        <w:t>(the </w:t>
      </w:r>
      <w:r>
        <w:rPr>
          <w:spacing w:val="2"/>
          <w:w w:val="110"/>
          <w:sz w:val="18"/>
        </w:rPr>
        <w:t>“Evaluation  Date”);</w:t>
      </w:r>
      <w:r>
        <w:rPr>
          <w:spacing w:val="48"/>
          <w:w w:val="110"/>
          <w:sz w:val="18"/>
        </w:rPr>
        <w:t> </w:t>
      </w:r>
      <w:r>
        <w:rPr>
          <w:spacing w:val="3"/>
          <w:w w:val="110"/>
          <w:sz w:val="18"/>
        </w:rPr>
        <w:t>and</w:t>
      </w:r>
    </w:p>
    <w:p>
      <w:pPr>
        <w:pStyle w:val="ListParagraph"/>
        <w:numPr>
          <w:ilvl w:val="2"/>
          <w:numId w:val="11"/>
        </w:numPr>
        <w:tabs>
          <w:tab w:pos="1540" w:val="left" w:leader="none"/>
        </w:tabs>
        <w:spacing w:line="283" w:lineRule="auto" w:before="161" w:after="0"/>
        <w:ind w:left="1540" w:right="107" w:hanging="360"/>
        <w:jc w:val="both"/>
        <w:rPr>
          <w:sz w:val="18"/>
        </w:rPr>
      </w:pPr>
      <w:r>
        <w:rPr>
          <w:w w:val="110"/>
          <w:sz w:val="18"/>
        </w:rPr>
        <w:t>presented in this annual report our </w:t>
      </w:r>
      <w:r>
        <w:rPr>
          <w:spacing w:val="3"/>
          <w:w w:val="110"/>
          <w:sz w:val="18"/>
        </w:rPr>
        <w:t>conclusions </w:t>
      </w:r>
      <w:r>
        <w:rPr>
          <w:w w:val="110"/>
          <w:sz w:val="18"/>
        </w:rPr>
        <w:t>about the effectiveness  of  the  disclosure  </w:t>
      </w:r>
      <w:r>
        <w:rPr>
          <w:spacing w:val="10"/>
          <w:w w:val="110"/>
          <w:sz w:val="18"/>
        </w:rPr>
        <w:t>controls </w:t>
      </w:r>
      <w:r>
        <w:rPr>
          <w:w w:val="110"/>
          <w:sz w:val="18"/>
        </w:rPr>
        <w:t>and  procedures based  on  our  evaluation  as of the  </w:t>
      </w:r>
      <w:r>
        <w:rPr>
          <w:spacing w:val="2"/>
          <w:w w:val="110"/>
          <w:sz w:val="18"/>
        </w:rPr>
        <w:t>Evaluation</w:t>
      </w:r>
      <w:r>
        <w:rPr>
          <w:spacing w:val="9"/>
          <w:w w:val="110"/>
          <w:sz w:val="18"/>
        </w:rPr>
        <w:t> </w:t>
      </w:r>
      <w:r>
        <w:rPr>
          <w:spacing w:val="3"/>
          <w:w w:val="110"/>
          <w:sz w:val="18"/>
        </w:rPr>
        <w:t>Date;</w:t>
      </w:r>
    </w:p>
    <w:p>
      <w:pPr>
        <w:pStyle w:val="ListParagraph"/>
        <w:numPr>
          <w:ilvl w:val="1"/>
          <w:numId w:val="11"/>
        </w:numPr>
        <w:tabs>
          <w:tab w:pos="1180" w:val="left" w:leader="none"/>
        </w:tabs>
        <w:spacing w:line="254" w:lineRule="auto" w:before="142" w:after="0"/>
        <w:ind w:left="1180" w:right="111" w:hanging="440"/>
        <w:jc w:val="both"/>
        <w:rPr>
          <w:sz w:val="20"/>
        </w:rPr>
      </w:pPr>
      <w:r>
        <w:rPr>
          <w:w w:val="105"/>
          <w:sz w:val="20"/>
        </w:rPr>
        <w:t>The registrant’s other certifying officers and I have  disclosed,  based  on  our  most  </w:t>
      </w:r>
      <w:r>
        <w:rPr>
          <w:spacing w:val="6"/>
          <w:w w:val="105"/>
          <w:sz w:val="20"/>
        </w:rPr>
        <w:t>recent </w:t>
      </w:r>
      <w:r>
        <w:rPr>
          <w:spacing w:val="3"/>
          <w:w w:val="105"/>
          <w:sz w:val="20"/>
        </w:rPr>
        <w:t>evaluation, </w:t>
      </w:r>
      <w:r>
        <w:rPr>
          <w:w w:val="105"/>
          <w:sz w:val="20"/>
        </w:rPr>
        <w:t>to the registrant’s auditors and  the  audit  </w:t>
      </w:r>
      <w:r>
        <w:rPr>
          <w:spacing w:val="3"/>
          <w:w w:val="105"/>
          <w:sz w:val="20"/>
        </w:rPr>
        <w:t>committee</w:t>
      </w:r>
      <w:r>
        <w:rPr>
          <w:spacing w:val="53"/>
          <w:w w:val="105"/>
          <w:sz w:val="20"/>
        </w:rPr>
        <w:t> </w:t>
      </w:r>
      <w:r>
        <w:rPr>
          <w:w w:val="105"/>
          <w:sz w:val="20"/>
        </w:rPr>
        <w:t>of  registrant’s  board  </w:t>
      </w:r>
      <w:r>
        <w:rPr>
          <w:spacing w:val="6"/>
          <w:w w:val="105"/>
          <w:sz w:val="20"/>
        </w:rPr>
        <w:t>of  </w:t>
      </w:r>
      <w:r>
        <w:rPr>
          <w:w w:val="105"/>
          <w:sz w:val="20"/>
        </w:rPr>
        <w:t>directors  (or  persons  performing  the  equivalent </w:t>
      </w:r>
      <w:r>
        <w:rPr>
          <w:spacing w:val="34"/>
          <w:w w:val="105"/>
          <w:sz w:val="20"/>
        </w:rPr>
        <w:t> </w:t>
      </w:r>
      <w:r>
        <w:rPr>
          <w:w w:val="105"/>
          <w:sz w:val="20"/>
        </w:rPr>
        <w:t>function):</w:t>
      </w:r>
    </w:p>
    <w:p>
      <w:pPr>
        <w:pStyle w:val="ListParagraph"/>
        <w:numPr>
          <w:ilvl w:val="2"/>
          <w:numId w:val="11"/>
        </w:numPr>
        <w:tabs>
          <w:tab w:pos="1540" w:val="left" w:leader="none"/>
        </w:tabs>
        <w:spacing w:line="283" w:lineRule="auto" w:before="180" w:after="0"/>
        <w:ind w:left="1540" w:right="132" w:hanging="360"/>
        <w:jc w:val="both"/>
        <w:rPr>
          <w:sz w:val="18"/>
        </w:rPr>
      </w:pPr>
      <w:r>
        <w:rPr>
          <w:w w:val="105"/>
          <w:sz w:val="18"/>
        </w:rPr>
        <w:t>all  significant  deficiencies  in  the  design  or  </w:t>
      </w:r>
      <w:r>
        <w:rPr>
          <w:spacing w:val="3"/>
          <w:w w:val="105"/>
          <w:sz w:val="18"/>
        </w:rPr>
        <w:t>operation   </w:t>
      </w:r>
      <w:r>
        <w:rPr>
          <w:w w:val="105"/>
          <w:sz w:val="18"/>
        </w:rPr>
        <w:t>of  </w:t>
      </w:r>
      <w:r>
        <w:rPr>
          <w:spacing w:val="2"/>
          <w:w w:val="105"/>
          <w:sz w:val="18"/>
        </w:rPr>
        <w:t>internal   controls   which   could   </w:t>
      </w:r>
      <w:r>
        <w:rPr>
          <w:spacing w:val="5"/>
          <w:w w:val="105"/>
          <w:sz w:val="18"/>
        </w:rPr>
        <w:t>adversely </w:t>
      </w:r>
      <w:r>
        <w:rPr>
          <w:spacing w:val="-6"/>
          <w:w w:val="105"/>
          <w:sz w:val="18"/>
        </w:rPr>
        <w:t>af </w:t>
      </w:r>
      <w:r>
        <w:rPr>
          <w:spacing w:val="-3"/>
          <w:w w:val="105"/>
          <w:sz w:val="18"/>
        </w:rPr>
        <w:t>fect </w:t>
      </w:r>
      <w:r>
        <w:rPr>
          <w:w w:val="105"/>
          <w:sz w:val="18"/>
        </w:rPr>
        <w:t>the </w:t>
      </w:r>
      <w:r>
        <w:rPr>
          <w:spacing w:val="2"/>
          <w:w w:val="105"/>
          <w:sz w:val="18"/>
        </w:rPr>
        <w:t>registrant’s </w:t>
      </w:r>
      <w:r>
        <w:rPr>
          <w:spacing w:val="3"/>
          <w:w w:val="105"/>
          <w:sz w:val="18"/>
        </w:rPr>
        <w:t>ability </w:t>
      </w:r>
      <w:r>
        <w:rPr>
          <w:w w:val="105"/>
          <w:sz w:val="18"/>
        </w:rPr>
        <w:t>to </w:t>
      </w:r>
      <w:r>
        <w:rPr>
          <w:spacing w:val="2"/>
          <w:w w:val="105"/>
          <w:sz w:val="18"/>
        </w:rPr>
        <w:t>record, </w:t>
      </w:r>
      <w:r>
        <w:rPr>
          <w:w w:val="105"/>
          <w:sz w:val="18"/>
        </w:rPr>
        <w:t>process, summarize, and  </w:t>
      </w:r>
      <w:r>
        <w:rPr>
          <w:spacing w:val="2"/>
          <w:w w:val="105"/>
          <w:sz w:val="18"/>
        </w:rPr>
        <w:t>report</w:t>
      </w:r>
      <w:r>
        <w:rPr>
          <w:spacing w:val="46"/>
          <w:w w:val="105"/>
          <w:sz w:val="18"/>
        </w:rPr>
        <w:t> </w:t>
      </w:r>
      <w:r>
        <w:rPr>
          <w:spacing w:val="2"/>
          <w:w w:val="105"/>
          <w:sz w:val="18"/>
        </w:rPr>
        <w:t>financial</w:t>
      </w:r>
      <w:r>
        <w:rPr>
          <w:spacing w:val="46"/>
          <w:w w:val="105"/>
          <w:sz w:val="18"/>
        </w:rPr>
        <w:t> </w:t>
      </w:r>
      <w:r>
        <w:rPr>
          <w:spacing w:val="2"/>
          <w:w w:val="105"/>
          <w:sz w:val="18"/>
        </w:rPr>
        <w:t>data  </w:t>
      </w:r>
      <w:r>
        <w:rPr>
          <w:w w:val="105"/>
          <w:sz w:val="18"/>
        </w:rPr>
        <w:t>and  </w:t>
      </w:r>
      <w:r>
        <w:rPr>
          <w:spacing w:val="3"/>
          <w:w w:val="105"/>
          <w:sz w:val="18"/>
        </w:rPr>
        <w:t>have </w:t>
      </w:r>
      <w:r>
        <w:rPr>
          <w:w w:val="105"/>
          <w:sz w:val="18"/>
        </w:rPr>
        <w:t>identified  for  the  registrant’s  auditors   any  material   weaknesses  in  </w:t>
      </w:r>
      <w:r>
        <w:rPr>
          <w:spacing w:val="2"/>
          <w:w w:val="105"/>
          <w:sz w:val="18"/>
        </w:rPr>
        <w:t>internal   </w:t>
      </w:r>
      <w:r>
        <w:rPr>
          <w:spacing w:val="3"/>
          <w:w w:val="105"/>
          <w:sz w:val="18"/>
        </w:rPr>
        <w:t>controls;  </w:t>
      </w:r>
      <w:r>
        <w:rPr>
          <w:spacing w:val="18"/>
          <w:w w:val="105"/>
          <w:sz w:val="18"/>
        </w:rPr>
        <w:t> </w:t>
      </w:r>
      <w:r>
        <w:rPr>
          <w:spacing w:val="4"/>
          <w:w w:val="105"/>
          <w:sz w:val="18"/>
        </w:rPr>
        <w:t>and</w:t>
      </w:r>
    </w:p>
    <w:p>
      <w:pPr>
        <w:pStyle w:val="ListParagraph"/>
        <w:numPr>
          <w:ilvl w:val="2"/>
          <w:numId w:val="11"/>
        </w:numPr>
        <w:tabs>
          <w:tab w:pos="1540" w:val="left" w:leader="none"/>
        </w:tabs>
        <w:spacing w:line="283" w:lineRule="auto" w:before="160" w:after="0"/>
        <w:ind w:left="1540" w:right="120" w:hanging="360"/>
        <w:jc w:val="both"/>
        <w:rPr>
          <w:sz w:val="18"/>
        </w:rPr>
      </w:pPr>
      <w:r>
        <w:rPr>
          <w:w w:val="105"/>
          <w:sz w:val="18"/>
        </w:rPr>
        <w:t>any fraud, whether or not material, that involves  management  or  other  employees  who  have  a significant  role   in  the  registrant’s  internal   </w:t>
      </w:r>
      <w:r>
        <w:rPr>
          <w:spacing w:val="3"/>
          <w:w w:val="105"/>
          <w:sz w:val="18"/>
        </w:rPr>
        <w:t>controls; </w:t>
      </w:r>
      <w:r>
        <w:rPr>
          <w:spacing w:val="42"/>
          <w:w w:val="105"/>
          <w:sz w:val="18"/>
        </w:rPr>
        <w:t> </w:t>
      </w:r>
      <w:r>
        <w:rPr>
          <w:spacing w:val="4"/>
          <w:w w:val="105"/>
          <w:sz w:val="18"/>
        </w:rPr>
        <w:t>and</w:t>
      </w:r>
    </w:p>
    <w:p>
      <w:pPr>
        <w:pStyle w:val="ListParagraph"/>
        <w:numPr>
          <w:ilvl w:val="1"/>
          <w:numId w:val="11"/>
        </w:numPr>
        <w:tabs>
          <w:tab w:pos="1180" w:val="left" w:leader="none"/>
        </w:tabs>
        <w:spacing w:line="254" w:lineRule="auto" w:before="141" w:after="0"/>
        <w:ind w:left="1180" w:right="109" w:hanging="440"/>
        <w:jc w:val="both"/>
        <w:rPr>
          <w:sz w:val="20"/>
        </w:rPr>
      </w:pPr>
      <w:r>
        <w:rPr>
          <w:w w:val="105"/>
          <w:sz w:val="20"/>
        </w:rPr>
        <w:t>The registrant’s other certifying  officers  and  I  have  </w:t>
      </w:r>
      <w:r>
        <w:rPr>
          <w:spacing w:val="3"/>
          <w:w w:val="105"/>
          <w:sz w:val="20"/>
        </w:rPr>
        <w:t>indicated</w:t>
      </w:r>
      <w:r>
        <w:rPr>
          <w:spacing w:val="53"/>
          <w:w w:val="105"/>
          <w:sz w:val="20"/>
        </w:rPr>
        <w:t> </w:t>
      </w:r>
      <w:r>
        <w:rPr>
          <w:w w:val="105"/>
          <w:sz w:val="20"/>
        </w:rPr>
        <w:t>in  this  </w:t>
      </w:r>
      <w:r>
        <w:rPr>
          <w:spacing w:val="2"/>
          <w:w w:val="105"/>
          <w:sz w:val="20"/>
        </w:rPr>
        <w:t>annual  </w:t>
      </w:r>
      <w:r>
        <w:rPr>
          <w:w w:val="105"/>
          <w:sz w:val="20"/>
        </w:rPr>
        <w:t>report  whether  </w:t>
      </w:r>
      <w:r>
        <w:rPr>
          <w:spacing w:val="4"/>
          <w:w w:val="105"/>
          <w:sz w:val="20"/>
        </w:rPr>
        <w:t>or </w:t>
      </w:r>
      <w:r>
        <w:rPr>
          <w:w w:val="105"/>
          <w:sz w:val="20"/>
        </w:rPr>
        <w:t>not there were </w:t>
      </w:r>
      <w:r>
        <w:rPr>
          <w:spacing w:val="2"/>
          <w:w w:val="105"/>
          <w:sz w:val="20"/>
        </w:rPr>
        <w:t>significant changes  </w:t>
      </w:r>
      <w:r>
        <w:rPr>
          <w:w w:val="105"/>
          <w:sz w:val="20"/>
        </w:rPr>
        <w:t>in  internal  controls  or  in  other  factors  that  </w:t>
      </w:r>
      <w:r>
        <w:rPr>
          <w:spacing w:val="8"/>
          <w:w w:val="105"/>
          <w:sz w:val="20"/>
        </w:rPr>
        <w:t>could  </w:t>
      </w:r>
      <w:r>
        <w:rPr>
          <w:w w:val="105"/>
          <w:sz w:val="20"/>
        </w:rPr>
        <w:t>significantly affect internal controls </w:t>
      </w:r>
      <w:r>
        <w:rPr>
          <w:spacing w:val="2"/>
          <w:w w:val="105"/>
          <w:sz w:val="20"/>
        </w:rPr>
        <w:t>subsequent </w:t>
      </w:r>
      <w:r>
        <w:rPr>
          <w:w w:val="105"/>
          <w:sz w:val="20"/>
        </w:rPr>
        <w:t>to the date of  our  most  recent  </w:t>
      </w:r>
      <w:r>
        <w:rPr>
          <w:spacing w:val="8"/>
          <w:w w:val="105"/>
          <w:sz w:val="20"/>
        </w:rPr>
        <w:t>evaluation, </w:t>
      </w:r>
      <w:r>
        <w:rPr>
          <w:spacing w:val="2"/>
          <w:w w:val="105"/>
          <w:sz w:val="20"/>
        </w:rPr>
        <w:t>including </w:t>
      </w:r>
      <w:r>
        <w:rPr>
          <w:w w:val="105"/>
          <w:sz w:val="20"/>
        </w:rPr>
        <w:t>any corrective  actions  with  regard  to  </w:t>
      </w:r>
      <w:r>
        <w:rPr>
          <w:spacing w:val="2"/>
          <w:w w:val="105"/>
          <w:sz w:val="20"/>
        </w:rPr>
        <w:t>significant  </w:t>
      </w:r>
      <w:r>
        <w:rPr>
          <w:spacing w:val="3"/>
          <w:w w:val="105"/>
          <w:sz w:val="20"/>
        </w:rPr>
        <w:t>deficiencies</w:t>
      </w:r>
      <w:r>
        <w:rPr>
          <w:spacing w:val="53"/>
          <w:w w:val="105"/>
          <w:sz w:val="20"/>
        </w:rPr>
        <w:t> </w:t>
      </w:r>
      <w:r>
        <w:rPr>
          <w:w w:val="105"/>
          <w:sz w:val="20"/>
        </w:rPr>
        <w:t>and  </w:t>
      </w:r>
      <w:r>
        <w:rPr>
          <w:spacing w:val="6"/>
          <w:w w:val="105"/>
          <w:sz w:val="20"/>
        </w:rPr>
        <w:t>material </w:t>
      </w:r>
      <w:r>
        <w:rPr>
          <w:spacing w:val="5"/>
          <w:w w:val="105"/>
          <w:sz w:val="20"/>
        </w:rPr>
        <w:t>weaknesses.</w:t>
      </w:r>
    </w:p>
    <w:p>
      <w:pPr>
        <w:pStyle w:val="BodyText"/>
        <w:tabs>
          <w:tab w:pos="5679" w:val="left" w:leader="none"/>
        </w:tabs>
        <w:spacing w:line="254" w:lineRule="auto" w:before="161"/>
        <w:ind w:left="5680" w:right="2860" w:hanging="4500"/>
      </w:pPr>
      <w:r>
        <w:rPr>
          <w:w w:val="110"/>
        </w:rPr>
        <w:t>Date: February</w:t>
      </w:r>
      <w:r>
        <w:rPr>
          <w:spacing w:val="47"/>
          <w:w w:val="110"/>
        </w:rPr>
        <w:t> </w:t>
      </w:r>
      <w:r>
        <w:rPr>
          <w:w w:val="110"/>
        </w:rPr>
        <w:t>5,</w:t>
      </w:r>
      <w:r>
        <w:rPr>
          <w:spacing w:val="23"/>
          <w:w w:val="110"/>
        </w:rPr>
        <w:t> </w:t>
      </w:r>
      <w:r>
        <w:rPr>
          <w:w w:val="110"/>
        </w:rPr>
        <w:t>2003</w:t>
        <w:tab/>
      </w:r>
      <w:r>
        <w:rPr>
          <w:spacing w:val="-3"/>
          <w:w w:val="110"/>
          <w:u w:val="single"/>
        </w:rPr>
        <w:t>/s/ </w:t>
      </w:r>
      <w:r>
        <w:rPr>
          <w:w w:val="110"/>
          <w:u w:val="single"/>
        </w:rPr>
        <w:t>Gary</w:t>
      </w:r>
      <w:r>
        <w:rPr>
          <w:spacing w:val="42"/>
          <w:w w:val="110"/>
          <w:u w:val="single"/>
        </w:rPr>
        <w:t> </w:t>
      </w:r>
      <w:r>
        <w:rPr>
          <w:w w:val="110"/>
          <w:u w:val="single"/>
        </w:rPr>
        <w:t>C.</w:t>
      </w:r>
      <w:r>
        <w:rPr>
          <w:spacing w:val="14"/>
          <w:w w:val="110"/>
          <w:u w:val="single"/>
        </w:rPr>
        <w:t> </w:t>
      </w:r>
      <w:r>
        <w:rPr>
          <w:spacing w:val="-3"/>
          <w:w w:val="110"/>
          <w:u w:val="single"/>
        </w:rPr>
        <w:t>Kelly</w:t>
      </w:r>
      <w:r>
        <w:rPr>
          <w:spacing w:val="-3"/>
          <w:w w:val="106"/>
        </w:rPr>
        <w:t> </w:t>
      </w:r>
      <w:r>
        <w:rPr>
          <w:w w:val="110"/>
        </w:rPr>
        <w:t>Gary C.</w:t>
      </w:r>
      <w:r>
        <w:rPr>
          <w:spacing w:val="-24"/>
          <w:w w:val="110"/>
        </w:rPr>
        <w:t> </w:t>
      </w:r>
      <w:r>
        <w:rPr>
          <w:w w:val="110"/>
        </w:rPr>
        <w:t>Kelly</w:t>
      </w:r>
    </w:p>
    <w:p>
      <w:pPr>
        <w:spacing w:line="254" w:lineRule="auto" w:before="1"/>
        <w:ind w:left="5680" w:right="1861" w:firstLine="0"/>
        <w:jc w:val="left"/>
        <w:rPr>
          <w:i/>
          <w:sz w:val="20"/>
        </w:rPr>
      </w:pPr>
      <w:r>
        <w:rPr>
          <w:i/>
          <w:w w:val="105"/>
          <w:sz w:val="20"/>
        </w:rPr>
        <w:t>Executive Vice President </w:t>
      </w:r>
      <w:r>
        <w:rPr>
          <w:i/>
          <w:w w:val="105"/>
          <w:sz w:val="20"/>
        </w:rPr>
        <w:t>Chief  Financial Officer</w:t>
      </w:r>
    </w:p>
    <w:p>
      <w:pPr>
        <w:spacing w:after="0" w:line="254" w:lineRule="auto"/>
        <w:jc w:val="left"/>
        <w:rPr>
          <w:sz w:val="20"/>
        </w:rPr>
        <w:sectPr>
          <w:headerReference w:type="default" r:id="rId171"/>
          <w:footerReference w:type="default" r:id="rId172"/>
          <w:footerReference w:type="even" r:id="rId173"/>
          <w:pgSz w:w="11520" w:h="14400"/>
          <w:pgMar w:header="0" w:footer="706" w:top="900" w:bottom="900" w:left="700" w:right="820"/>
          <w:pgNumType w:start="61"/>
        </w:sectPr>
      </w:pPr>
    </w:p>
    <w:p>
      <w:pPr>
        <w:pStyle w:val="BodyText"/>
        <w:spacing w:before="76"/>
        <w:ind w:left="100"/>
        <w:rPr>
          <w:rFonts w:ascii="Franklin Gothic Medium"/>
        </w:rPr>
      </w:pPr>
      <w:r>
        <w:rPr>
          <w:rFonts w:ascii="Franklin Gothic Medium"/>
        </w:rPr>
        <w:t>Certifications</w:t>
      </w:r>
    </w:p>
    <w:p>
      <w:pPr>
        <w:pStyle w:val="BodyText"/>
        <w:spacing w:before="1"/>
        <w:rPr>
          <w:rFonts w:ascii="Franklin Gothic Medium"/>
          <w:sz w:val="18"/>
        </w:rPr>
      </w:pPr>
    </w:p>
    <w:p>
      <w:pPr>
        <w:pStyle w:val="BodyText"/>
        <w:ind w:left="100"/>
      </w:pPr>
      <w:r>
        <w:rPr>
          <w:w w:val="105"/>
        </w:rPr>
        <w:t>I,  James  F.  Parker,  Chief  Executive  Officer  of  Southwest  Airlines  Co.,  certify that:</w:t>
      </w:r>
    </w:p>
    <w:p>
      <w:pPr>
        <w:pStyle w:val="ListParagraph"/>
        <w:numPr>
          <w:ilvl w:val="0"/>
          <w:numId w:val="12"/>
        </w:numPr>
        <w:tabs>
          <w:tab w:pos="1179" w:val="left" w:leader="none"/>
          <w:tab w:pos="1180" w:val="left" w:leader="none"/>
        </w:tabs>
        <w:spacing w:line="240" w:lineRule="auto" w:before="175" w:after="0"/>
        <w:ind w:left="1180" w:right="0" w:hanging="440"/>
        <w:jc w:val="left"/>
        <w:rPr>
          <w:sz w:val="20"/>
        </w:rPr>
      </w:pPr>
      <w:r>
        <w:rPr>
          <w:w w:val="105"/>
          <w:sz w:val="20"/>
        </w:rPr>
        <w:t>I</w:t>
      </w:r>
      <w:r>
        <w:rPr>
          <w:spacing w:val="39"/>
          <w:w w:val="105"/>
          <w:sz w:val="20"/>
        </w:rPr>
        <w:t> </w:t>
      </w:r>
      <w:r>
        <w:rPr>
          <w:w w:val="105"/>
          <w:sz w:val="20"/>
        </w:rPr>
        <w:t>have</w:t>
      </w:r>
      <w:r>
        <w:rPr>
          <w:spacing w:val="39"/>
          <w:w w:val="105"/>
          <w:sz w:val="20"/>
        </w:rPr>
        <w:t> </w:t>
      </w:r>
      <w:r>
        <w:rPr>
          <w:w w:val="105"/>
          <w:sz w:val="20"/>
        </w:rPr>
        <w:t>reviewed</w:t>
      </w:r>
      <w:r>
        <w:rPr>
          <w:spacing w:val="39"/>
          <w:w w:val="105"/>
          <w:sz w:val="20"/>
        </w:rPr>
        <w:t> </w:t>
      </w:r>
      <w:r>
        <w:rPr>
          <w:w w:val="105"/>
          <w:sz w:val="20"/>
        </w:rPr>
        <w:t>this</w:t>
      </w:r>
      <w:r>
        <w:rPr>
          <w:spacing w:val="39"/>
          <w:w w:val="105"/>
          <w:sz w:val="20"/>
        </w:rPr>
        <w:t> </w:t>
      </w:r>
      <w:r>
        <w:rPr>
          <w:w w:val="105"/>
          <w:sz w:val="20"/>
        </w:rPr>
        <w:t>annual</w:t>
      </w:r>
      <w:r>
        <w:rPr>
          <w:spacing w:val="39"/>
          <w:w w:val="105"/>
          <w:sz w:val="20"/>
        </w:rPr>
        <w:t> </w:t>
      </w:r>
      <w:r>
        <w:rPr>
          <w:w w:val="105"/>
          <w:sz w:val="20"/>
        </w:rPr>
        <w:t>report</w:t>
      </w:r>
      <w:r>
        <w:rPr>
          <w:spacing w:val="39"/>
          <w:w w:val="105"/>
          <w:sz w:val="20"/>
        </w:rPr>
        <w:t> </w:t>
      </w:r>
      <w:r>
        <w:rPr>
          <w:w w:val="105"/>
          <w:sz w:val="20"/>
        </w:rPr>
        <w:t>on</w:t>
      </w:r>
      <w:r>
        <w:rPr>
          <w:spacing w:val="39"/>
          <w:w w:val="105"/>
          <w:sz w:val="20"/>
        </w:rPr>
        <w:t> </w:t>
      </w:r>
      <w:r>
        <w:rPr>
          <w:w w:val="105"/>
          <w:sz w:val="20"/>
        </w:rPr>
        <w:t>Form</w:t>
      </w:r>
      <w:r>
        <w:rPr>
          <w:spacing w:val="39"/>
          <w:w w:val="105"/>
          <w:sz w:val="20"/>
        </w:rPr>
        <w:t> </w:t>
      </w:r>
      <w:r>
        <w:rPr>
          <w:w w:val="105"/>
          <w:sz w:val="20"/>
        </w:rPr>
        <w:t>10-K</w:t>
      </w:r>
      <w:r>
        <w:rPr>
          <w:spacing w:val="39"/>
          <w:w w:val="105"/>
          <w:sz w:val="20"/>
        </w:rPr>
        <w:t> </w:t>
      </w:r>
      <w:r>
        <w:rPr>
          <w:w w:val="105"/>
          <w:sz w:val="20"/>
        </w:rPr>
        <w:t>of</w:t>
      </w:r>
      <w:r>
        <w:rPr>
          <w:spacing w:val="39"/>
          <w:w w:val="105"/>
          <w:sz w:val="20"/>
        </w:rPr>
        <w:t> </w:t>
      </w:r>
      <w:r>
        <w:rPr>
          <w:w w:val="105"/>
          <w:sz w:val="20"/>
        </w:rPr>
        <w:t>Southwest</w:t>
      </w:r>
      <w:r>
        <w:rPr>
          <w:spacing w:val="39"/>
          <w:w w:val="105"/>
          <w:sz w:val="20"/>
        </w:rPr>
        <w:t> </w:t>
      </w:r>
      <w:r>
        <w:rPr>
          <w:w w:val="105"/>
          <w:sz w:val="20"/>
        </w:rPr>
        <w:t>Airlines</w:t>
      </w:r>
      <w:r>
        <w:rPr>
          <w:spacing w:val="39"/>
          <w:w w:val="105"/>
          <w:sz w:val="20"/>
        </w:rPr>
        <w:t> </w:t>
      </w:r>
      <w:r>
        <w:rPr>
          <w:w w:val="105"/>
          <w:sz w:val="20"/>
        </w:rPr>
        <w:t>Co.;</w:t>
      </w:r>
    </w:p>
    <w:p>
      <w:pPr>
        <w:pStyle w:val="ListParagraph"/>
        <w:numPr>
          <w:ilvl w:val="0"/>
          <w:numId w:val="12"/>
        </w:numPr>
        <w:tabs>
          <w:tab w:pos="1180" w:val="left" w:leader="none"/>
        </w:tabs>
        <w:spacing w:line="254" w:lineRule="auto" w:before="175" w:after="0"/>
        <w:ind w:left="1180" w:right="113" w:hanging="440"/>
        <w:jc w:val="both"/>
        <w:rPr>
          <w:sz w:val="20"/>
        </w:rPr>
      </w:pPr>
      <w:r>
        <w:rPr>
          <w:w w:val="105"/>
          <w:sz w:val="20"/>
        </w:rPr>
        <w:t>Based on my </w:t>
      </w:r>
      <w:r>
        <w:rPr>
          <w:spacing w:val="2"/>
          <w:w w:val="105"/>
          <w:sz w:val="20"/>
        </w:rPr>
        <w:t>knowledge, </w:t>
      </w:r>
      <w:r>
        <w:rPr>
          <w:w w:val="105"/>
          <w:sz w:val="20"/>
        </w:rPr>
        <w:t>this  </w:t>
      </w:r>
      <w:r>
        <w:rPr>
          <w:spacing w:val="2"/>
          <w:w w:val="105"/>
          <w:sz w:val="20"/>
        </w:rPr>
        <w:t>annual  </w:t>
      </w:r>
      <w:r>
        <w:rPr>
          <w:w w:val="105"/>
          <w:sz w:val="20"/>
        </w:rPr>
        <w:t>report  does  not  </w:t>
      </w:r>
      <w:r>
        <w:rPr>
          <w:spacing w:val="2"/>
          <w:w w:val="105"/>
          <w:sz w:val="20"/>
        </w:rPr>
        <w:t>contain  </w:t>
      </w:r>
      <w:r>
        <w:rPr>
          <w:w w:val="105"/>
          <w:sz w:val="20"/>
        </w:rPr>
        <w:t>any  untrue  statement  of  a material fact or omit to state a material fact necessary to make the statements  </w:t>
      </w:r>
      <w:r>
        <w:rPr>
          <w:spacing w:val="2"/>
          <w:w w:val="105"/>
          <w:sz w:val="20"/>
        </w:rPr>
        <w:t>made,  </w:t>
      </w:r>
      <w:r>
        <w:rPr>
          <w:w w:val="105"/>
          <w:sz w:val="20"/>
        </w:rPr>
        <w:t>in  </w:t>
      </w:r>
      <w:r>
        <w:rPr>
          <w:spacing w:val="3"/>
          <w:w w:val="105"/>
          <w:sz w:val="20"/>
        </w:rPr>
        <w:t>light          </w:t>
      </w:r>
      <w:r>
        <w:rPr>
          <w:w w:val="105"/>
          <w:sz w:val="20"/>
        </w:rPr>
        <w:t>of  the  circumstances  under  </w:t>
      </w:r>
      <w:r>
        <w:rPr>
          <w:spacing w:val="2"/>
          <w:w w:val="105"/>
          <w:sz w:val="20"/>
        </w:rPr>
        <w:t>which  </w:t>
      </w:r>
      <w:r>
        <w:rPr>
          <w:w w:val="105"/>
          <w:sz w:val="20"/>
        </w:rPr>
        <w:t>such  statements  were  </w:t>
      </w:r>
      <w:r>
        <w:rPr>
          <w:spacing w:val="2"/>
          <w:w w:val="105"/>
          <w:sz w:val="20"/>
        </w:rPr>
        <w:t>made,  </w:t>
      </w:r>
      <w:r>
        <w:rPr>
          <w:w w:val="105"/>
          <w:sz w:val="20"/>
        </w:rPr>
        <w:t>not  </w:t>
      </w:r>
      <w:r>
        <w:rPr>
          <w:spacing w:val="2"/>
          <w:w w:val="105"/>
          <w:sz w:val="20"/>
        </w:rPr>
        <w:t>misleading   </w:t>
      </w:r>
      <w:r>
        <w:rPr>
          <w:w w:val="105"/>
          <w:sz w:val="20"/>
        </w:rPr>
        <w:t>with  </w:t>
      </w:r>
      <w:r>
        <w:rPr>
          <w:spacing w:val="4"/>
          <w:w w:val="105"/>
          <w:sz w:val="20"/>
        </w:rPr>
        <w:t>respect  </w:t>
      </w:r>
      <w:r>
        <w:rPr>
          <w:w w:val="105"/>
          <w:sz w:val="20"/>
        </w:rPr>
        <w:t>to  the  period  covered  by  this  annual</w:t>
      </w:r>
      <w:r>
        <w:rPr>
          <w:spacing w:val="-10"/>
          <w:w w:val="105"/>
          <w:sz w:val="20"/>
        </w:rPr>
        <w:t> </w:t>
      </w:r>
      <w:r>
        <w:rPr>
          <w:w w:val="105"/>
          <w:sz w:val="20"/>
        </w:rPr>
        <w:t>report;</w:t>
      </w:r>
    </w:p>
    <w:p>
      <w:pPr>
        <w:pStyle w:val="ListParagraph"/>
        <w:numPr>
          <w:ilvl w:val="0"/>
          <w:numId w:val="12"/>
        </w:numPr>
        <w:tabs>
          <w:tab w:pos="1180" w:val="left" w:leader="none"/>
        </w:tabs>
        <w:spacing w:line="254" w:lineRule="auto" w:before="161" w:after="0"/>
        <w:ind w:left="1180" w:right="108" w:hanging="440"/>
        <w:jc w:val="both"/>
        <w:rPr>
          <w:sz w:val="20"/>
        </w:rPr>
      </w:pPr>
      <w:r>
        <w:rPr>
          <w:w w:val="105"/>
          <w:sz w:val="20"/>
        </w:rPr>
        <w:t>Based  on  my  </w:t>
      </w:r>
      <w:r>
        <w:rPr>
          <w:spacing w:val="2"/>
          <w:w w:val="105"/>
          <w:sz w:val="20"/>
        </w:rPr>
        <w:t>knowledge,  </w:t>
      </w:r>
      <w:r>
        <w:rPr>
          <w:w w:val="105"/>
          <w:sz w:val="20"/>
        </w:rPr>
        <w:t>the  </w:t>
      </w:r>
      <w:r>
        <w:rPr>
          <w:spacing w:val="2"/>
          <w:w w:val="105"/>
          <w:sz w:val="20"/>
        </w:rPr>
        <w:t>financial  </w:t>
      </w:r>
      <w:r>
        <w:rPr>
          <w:w w:val="105"/>
          <w:sz w:val="20"/>
        </w:rPr>
        <w:t>statements,  and  other  </w:t>
      </w:r>
      <w:r>
        <w:rPr>
          <w:spacing w:val="2"/>
          <w:w w:val="105"/>
          <w:sz w:val="20"/>
        </w:rPr>
        <w:t>financial  </w:t>
      </w:r>
      <w:r>
        <w:rPr>
          <w:spacing w:val="3"/>
          <w:w w:val="105"/>
          <w:sz w:val="20"/>
        </w:rPr>
        <w:t>information   </w:t>
      </w:r>
      <w:r>
        <w:rPr>
          <w:spacing w:val="9"/>
          <w:w w:val="105"/>
          <w:sz w:val="20"/>
        </w:rPr>
        <w:t>included </w:t>
      </w:r>
      <w:r>
        <w:rPr>
          <w:w w:val="105"/>
          <w:sz w:val="20"/>
        </w:rPr>
        <w:t>in this annual report, fairly present in all material respects the </w:t>
      </w:r>
      <w:r>
        <w:rPr>
          <w:spacing w:val="2"/>
          <w:w w:val="105"/>
          <w:sz w:val="20"/>
        </w:rPr>
        <w:t>financial condition, </w:t>
      </w:r>
      <w:r>
        <w:rPr>
          <w:w w:val="105"/>
          <w:sz w:val="20"/>
        </w:rPr>
        <w:t>results </w:t>
      </w:r>
      <w:r>
        <w:rPr>
          <w:spacing w:val="6"/>
          <w:w w:val="105"/>
          <w:sz w:val="20"/>
        </w:rPr>
        <w:t>of </w:t>
      </w:r>
      <w:r>
        <w:rPr>
          <w:spacing w:val="2"/>
          <w:w w:val="105"/>
          <w:sz w:val="20"/>
        </w:rPr>
        <w:t>operations, </w:t>
      </w:r>
      <w:r>
        <w:rPr>
          <w:w w:val="105"/>
          <w:sz w:val="20"/>
        </w:rPr>
        <w:t>and cash flows  of  the  registrant  as  of,  and  for,  the  </w:t>
      </w:r>
      <w:r>
        <w:rPr>
          <w:spacing w:val="2"/>
          <w:w w:val="105"/>
          <w:sz w:val="20"/>
        </w:rPr>
        <w:t>periods  presented  </w:t>
      </w:r>
      <w:r>
        <w:rPr>
          <w:w w:val="105"/>
          <w:sz w:val="20"/>
        </w:rPr>
        <w:t>in  </w:t>
      </w:r>
      <w:r>
        <w:rPr>
          <w:spacing w:val="5"/>
          <w:w w:val="105"/>
          <w:sz w:val="20"/>
        </w:rPr>
        <w:t>this  </w:t>
      </w:r>
      <w:r>
        <w:rPr>
          <w:spacing w:val="2"/>
          <w:w w:val="105"/>
          <w:sz w:val="20"/>
        </w:rPr>
        <w:t>annual</w:t>
      </w:r>
      <w:r>
        <w:rPr>
          <w:spacing w:val="39"/>
          <w:w w:val="105"/>
          <w:sz w:val="20"/>
        </w:rPr>
        <w:t> </w:t>
      </w:r>
      <w:r>
        <w:rPr>
          <w:spacing w:val="3"/>
          <w:w w:val="105"/>
          <w:sz w:val="20"/>
        </w:rPr>
        <w:t>report;</w:t>
      </w:r>
    </w:p>
    <w:p>
      <w:pPr>
        <w:pStyle w:val="ListParagraph"/>
        <w:numPr>
          <w:ilvl w:val="0"/>
          <w:numId w:val="12"/>
        </w:numPr>
        <w:tabs>
          <w:tab w:pos="1180" w:val="left" w:leader="none"/>
        </w:tabs>
        <w:spacing w:line="254" w:lineRule="auto" w:before="161" w:after="0"/>
        <w:ind w:left="1180" w:right="116" w:hanging="440"/>
        <w:jc w:val="both"/>
        <w:rPr>
          <w:sz w:val="20"/>
        </w:rPr>
      </w:pPr>
      <w:r>
        <w:rPr>
          <w:w w:val="105"/>
          <w:sz w:val="20"/>
        </w:rPr>
        <w:t>The  registrant’s  other  certifying  officers  and  I  are  </w:t>
      </w:r>
      <w:r>
        <w:rPr>
          <w:spacing w:val="2"/>
          <w:w w:val="105"/>
          <w:sz w:val="20"/>
        </w:rPr>
        <w:t>responsible   </w:t>
      </w:r>
      <w:r>
        <w:rPr>
          <w:w w:val="105"/>
          <w:sz w:val="20"/>
        </w:rPr>
        <w:t>for   establishing   </w:t>
      </w:r>
      <w:r>
        <w:rPr>
          <w:spacing w:val="12"/>
          <w:w w:val="105"/>
          <w:sz w:val="20"/>
        </w:rPr>
        <w:t>and </w:t>
      </w:r>
      <w:r>
        <w:rPr>
          <w:spacing w:val="4"/>
          <w:w w:val="105"/>
          <w:sz w:val="20"/>
        </w:rPr>
        <w:t>maintaining  </w:t>
      </w:r>
      <w:r>
        <w:rPr>
          <w:w w:val="105"/>
          <w:sz w:val="20"/>
        </w:rPr>
        <w:t>disclosure  controls  and  </w:t>
      </w:r>
      <w:r>
        <w:rPr>
          <w:spacing w:val="2"/>
          <w:w w:val="105"/>
          <w:sz w:val="20"/>
        </w:rPr>
        <w:t>procedures  </w:t>
      </w:r>
      <w:r>
        <w:rPr>
          <w:w w:val="105"/>
          <w:sz w:val="20"/>
        </w:rPr>
        <w:t>(as  </w:t>
      </w:r>
      <w:r>
        <w:rPr>
          <w:spacing w:val="3"/>
          <w:w w:val="105"/>
          <w:sz w:val="20"/>
        </w:rPr>
        <w:t>defined</w:t>
      </w:r>
      <w:r>
        <w:rPr>
          <w:spacing w:val="53"/>
          <w:w w:val="105"/>
          <w:sz w:val="20"/>
        </w:rPr>
        <w:t> </w:t>
      </w:r>
      <w:r>
        <w:rPr>
          <w:w w:val="105"/>
          <w:sz w:val="20"/>
        </w:rPr>
        <w:t>in  </w:t>
      </w:r>
      <w:r>
        <w:rPr>
          <w:spacing w:val="3"/>
          <w:w w:val="105"/>
          <w:sz w:val="20"/>
        </w:rPr>
        <w:t>Exchange   </w:t>
      </w:r>
      <w:r>
        <w:rPr>
          <w:w w:val="105"/>
          <w:sz w:val="20"/>
        </w:rPr>
        <w:t>Act   Rules   13a-14 and  15d-14)  for  the  registrant  and  we</w:t>
      </w:r>
      <w:r>
        <w:rPr>
          <w:spacing w:val="-15"/>
          <w:w w:val="105"/>
          <w:sz w:val="20"/>
        </w:rPr>
        <w:t> </w:t>
      </w:r>
      <w:r>
        <w:rPr>
          <w:w w:val="105"/>
          <w:sz w:val="20"/>
        </w:rPr>
        <w:t>have:</w:t>
      </w:r>
    </w:p>
    <w:p>
      <w:pPr>
        <w:pStyle w:val="ListParagraph"/>
        <w:numPr>
          <w:ilvl w:val="1"/>
          <w:numId w:val="12"/>
        </w:numPr>
        <w:tabs>
          <w:tab w:pos="1540" w:val="left" w:leader="none"/>
        </w:tabs>
        <w:spacing w:line="283" w:lineRule="auto" w:before="180" w:after="0"/>
        <w:ind w:left="1540" w:right="125" w:hanging="360"/>
        <w:jc w:val="both"/>
        <w:rPr>
          <w:sz w:val="18"/>
        </w:rPr>
      </w:pPr>
      <w:r>
        <w:rPr>
          <w:w w:val="105"/>
          <w:sz w:val="18"/>
        </w:rPr>
        <w:t>designed  such  disclosure  </w:t>
      </w:r>
      <w:r>
        <w:rPr>
          <w:spacing w:val="2"/>
          <w:w w:val="105"/>
          <w:sz w:val="18"/>
        </w:rPr>
        <w:t>controls</w:t>
      </w:r>
      <w:r>
        <w:rPr>
          <w:spacing w:val="46"/>
          <w:w w:val="105"/>
          <w:sz w:val="18"/>
        </w:rPr>
        <w:t> </w:t>
      </w:r>
      <w:r>
        <w:rPr>
          <w:w w:val="105"/>
          <w:sz w:val="18"/>
        </w:rPr>
        <w:t>and  procedures  to  ensure  that  material  </w:t>
      </w:r>
      <w:r>
        <w:rPr>
          <w:spacing w:val="3"/>
          <w:w w:val="105"/>
          <w:sz w:val="18"/>
        </w:rPr>
        <w:t>information  </w:t>
      </w:r>
      <w:r>
        <w:rPr>
          <w:spacing w:val="2"/>
          <w:w w:val="105"/>
          <w:sz w:val="18"/>
        </w:rPr>
        <w:t>relating   to </w:t>
      </w:r>
      <w:r>
        <w:rPr>
          <w:w w:val="105"/>
          <w:sz w:val="18"/>
        </w:rPr>
        <w:t>the  </w:t>
      </w:r>
      <w:r>
        <w:rPr>
          <w:spacing w:val="2"/>
          <w:w w:val="105"/>
          <w:sz w:val="18"/>
        </w:rPr>
        <w:t>registrant,</w:t>
      </w:r>
      <w:r>
        <w:rPr>
          <w:spacing w:val="46"/>
          <w:w w:val="105"/>
          <w:sz w:val="18"/>
        </w:rPr>
        <w:t> </w:t>
      </w:r>
      <w:r>
        <w:rPr>
          <w:spacing w:val="2"/>
          <w:w w:val="105"/>
          <w:sz w:val="18"/>
        </w:rPr>
        <w:t>including</w:t>
      </w:r>
      <w:r>
        <w:rPr>
          <w:spacing w:val="46"/>
          <w:w w:val="105"/>
          <w:sz w:val="18"/>
        </w:rPr>
        <w:t> </w:t>
      </w:r>
      <w:r>
        <w:rPr>
          <w:w w:val="105"/>
          <w:sz w:val="18"/>
        </w:rPr>
        <w:t>its  </w:t>
      </w:r>
      <w:r>
        <w:rPr>
          <w:spacing w:val="2"/>
          <w:w w:val="105"/>
          <w:sz w:val="18"/>
        </w:rPr>
        <w:t>consolidated</w:t>
      </w:r>
      <w:r>
        <w:rPr>
          <w:spacing w:val="46"/>
          <w:w w:val="105"/>
          <w:sz w:val="18"/>
        </w:rPr>
        <w:t> </w:t>
      </w:r>
      <w:r>
        <w:rPr>
          <w:w w:val="105"/>
          <w:sz w:val="18"/>
        </w:rPr>
        <w:t>subsidiaries,  </w:t>
      </w:r>
      <w:r>
        <w:rPr>
          <w:spacing w:val="-3"/>
          <w:w w:val="105"/>
          <w:sz w:val="18"/>
        </w:rPr>
        <w:t>is </w:t>
      </w:r>
      <w:r>
        <w:rPr>
          <w:spacing w:val="36"/>
          <w:w w:val="105"/>
          <w:sz w:val="18"/>
        </w:rPr>
        <w:t> </w:t>
      </w:r>
      <w:r>
        <w:rPr>
          <w:w w:val="105"/>
          <w:sz w:val="18"/>
        </w:rPr>
        <w:t>made  </w:t>
      </w:r>
      <w:r>
        <w:rPr>
          <w:spacing w:val="3"/>
          <w:w w:val="105"/>
          <w:sz w:val="18"/>
        </w:rPr>
        <w:t>known  </w:t>
      </w:r>
      <w:r>
        <w:rPr>
          <w:w w:val="105"/>
          <w:sz w:val="18"/>
        </w:rPr>
        <w:t>to   us   by   others   </w:t>
      </w:r>
      <w:r>
        <w:rPr>
          <w:spacing w:val="12"/>
          <w:w w:val="105"/>
          <w:sz w:val="18"/>
        </w:rPr>
        <w:t>within </w:t>
      </w:r>
      <w:r>
        <w:rPr>
          <w:w w:val="105"/>
          <w:sz w:val="18"/>
        </w:rPr>
        <w:t>those  entities,  </w:t>
      </w:r>
      <w:r>
        <w:rPr>
          <w:spacing w:val="2"/>
          <w:w w:val="105"/>
          <w:sz w:val="18"/>
        </w:rPr>
        <w:t>particularly  during  </w:t>
      </w:r>
      <w:r>
        <w:rPr>
          <w:w w:val="105"/>
          <w:sz w:val="18"/>
        </w:rPr>
        <w:t>the  </w:t>
      </w:r>
      <w:r>
        <w:rPr>
          <w:spacing w:val="2"/>
          <w:w w:val="105"/>
          <w:sz w:val="18"/>
        </w:rPr>
        <w:t>period   </w:t>
      </w:r>
      <w:r>
        <w:rPr>
          <w:w w:val="105"/>
          <w:sz w:val="18"/>
        </w:rPr>
        <w:t>in  </w:t>
      </w:r>
      <w:r>
        <w:rPr>
          <w:spacing w:val="2"/>
          <w:w w:val="105"/>
          <w:sz w:val="18"/>
        </w:rPr>
        <w:t>which  </w:t>
      </w:r>
      <w:r>
        <w:rPr>
          <w:w w:val="105"/>
          <w:sz w:val="18"/>
        </w:rPr>
        <w:t>this  annual  report   </w:t>
      </w:r>
      <w:r>
        <w:rPr>
          <w:spacing w:val="-3"/>
          <w:w w:val="105"/>
          <w:sz w:val="18"/>
        </w:rPr>
        <w:t>is  </w:t>
      </w:r>
      <w:r>
        <w:rPr>
          <w:w w:val="105"/>
          <w:sz w:val="18"/>
        </w:rPr>
        <w:t>being </w:t>
      </w:r>
      <w:r>
        <w:rPr>
          <w:spacing w:val="14"/>
          <w:w w:val="105"/>
          <w:sz w:val="18"/>
        </w:rPr>
        <w:t> </w:t>
      </w:r>
      <w:r>
        <w:rPr>
          <w:w w:val="105"/>
          <w:sz w:val="18"/>
        </w:rPr>
        <w:t>prepared;</w:t>
      </w:r>
    </w:p>
    <w:p>
      <w:pPr>
        <w:pStyle w:val="ListParagraph"/>
        <w:numPr>
          <w:ilvl w:val="1"/>
          <w:numId w:val="12"/>
        </w:numPr>
        <w:tabs>
          <w:tab w:pos="1540" w:val="left" w:leader="none"/>
        </w:tabs>
        <w:spacing w:line="283" w:lineRule="auto" w:before="160" w:after="0"/>
        <w:ind w:left="1540" w:right="134" w:hanging="360"/>
        <w:jc w:val="both"/>
        <w:rPr>
          <w:sz w:val="18"/>
        </w:rPr>
      </w:pPr>
      <w:r>
        <w:rPr>
          <w:spacing w:val="2"/>
          <w:w w:val="110"/>
          <w:sz w:val="18"/>
        </w:rPr>
        <w:t>evaluated </w:t>
      </w:r>
      <w:r>
        <w:rPr>
          <w:w w:val="110"/>
          <w:sz w:val="18"/>
        </w:rPr>
        <w:t>the effectiveness of the </w:t>
      </w:r>
      <w:r>
        <w:rPr>
          <w:spacing w:val="2"/>
          <w:w w:val="110"/>
          <w:sz w:val="18"/>
        </w:rPr>
        <w:t>registrant’s </w:t>
      </w:r>
      <w:r>
        <w:rPr>
          <w:w w:val="110"/>
          <w:sz w:val="18"/>
        </w:rPr>
        <w:t>disclosure </w:t>
      </w:r>
      <w:r>
        <w:rPr>
          <w:spacing w:val="2"/>
          <w:w w:val="110"/>
          <w:sz w:val="18"/>
        </w:rPr>
        <w:t>controls  </w:t>
      </w:r>
      <w:r>
        <w:rPr>
          <w:w w:val="110"/>
          <w:sz w:val="18"/>
        </w:rPr>
        <w:t>and  procedures  as  of  a  </w:t>
      </w:r>
      <w:r>
        <w:rPr>
          <w:spacing w:val="3"/>
          <w:w w:val="110"/>
          <w:sz w:val="18"/>
        </w:rPr>
        <w:t>date within  </w:t>
      </w:r>
      <w:r>
        <w:rPr>
          <w:w w:val="110"/>
          <w:sz w:val="18"/>
        </w:rPr>
        <w:t>90 days prior to  the filing date  of this </w:t>
      </w:r>
      <w:r>
        <w:rPr>
          <w:spacing w:val="2"/>
          <w:w w:val="110"/>
          <w:sz w:val="18"/>
        </w:rPr>
        <w:t>annual  report  </w:t>
      </w:r>
      <w:r>
        <w:rPr>
          <w:w w:val="110"/>
          <w:sz w:val="18"/>
        </w:rPr>
        <w:t>(the </w:t>
      </w:r>
      <w:r>
        <w:rPr>
          <w:spacing w:val="2"/>
          <w:w w:val="110"/>
          <w:sz w:val="18"/>
        </w:rPr>
        <w:t>“Evaluation  Date”);</w:t>
      </w:r>
      <w:r>
        <w:rPr>
          <w:spacing w:val="48"/>
          <w:w w:val="110"/>
          <w:sz w:val="18"/>
        </w:rPr>
        <w:t> </w:t>
      </w:r>
      <w:r>
        <w:rPr>
          <w:spacing w:val="3"/>
          <w:w w:val="110"/>
          <w:sz w:val="18"/>
        </w:rPr>
        <w:t>and</w:t>
      </w:r>
    </w:p>
    <w:p>
      <w:pPr>
        <w:pStyle w:val="ListParagraph"/>
        <w:numPr>
          <w:ilvl w:val="1"/>
          <w:numId w:val="12"/>
        </w:numPr>
        <w:tabs>
          <w:tab w:pos="1540" w:val="left" w:leader="none"/>
        </w:tabs>
        <w:spacing w:line="283" w:lineRule="auto" w:before="160" w:after="0"/>
        <w:ind w:left="1540" w:right="107" w:hanging="360"/>
        <w:jc w:val="both"/>
        <w:rPr>
          <w:sz w:val="18"/>
        </w:rPr>
      </w:pPr>
      <w:r>
        <w:rPr>
          <w:w w:val="110"/>
          <w:sz w:val="18"/>
        </w:rPr>
        <w:t>presented in this annual report our conclusions about the effectiveness of  the disclosure  </w:t>
      </w:r>
      <w:r>
        <w:rPr>
          <w:spacing w:val="10"/>
          <w:w w:val="110"/>
          <w:sz w:val="18"/>
        </w:rPr>
        <w:t>controls  </w:t>
      </w:r>
      <w:r>
        <w:rPr>
          <w:w w:val="110"/>
          <w:sz w:val="18"/>
        </w:rPr>
        <w:t>and  procedures based  on  our  evaluation  as of the  </w:t>
      </w:r>
      <w:r>
        <w:rPr>
          <w:spacing w:val="2"/>
          <w:w w:val="110"/>
          <w:sz w:val="18"/>
        </w:rPr>
        <w:t>Evaluation</w:t>
      </w:r>
      <w:r>
        <w:rPr>
          <w:spacing w:val="9"/>
          <w:w w:val="110"/>
          <w:sz w:val="18"/>
        </w:rPr>
        <w:t> </w:t>
      </w:r>
      <w:r>
        <w:rPr>
          <w:spacing w:val="3"/>
          <w:w w:val="110"/>
          <w:sz w:val="18"/>
        </w:rPr>
        <w:t>Date;</w:t>
      </w:r>
    </w:p>
    <w:p>
      <w:pPr>
        <w:pStyle w:val="ListParagraph"/>
        <w:numPr>
          <w:ilvl w:val="0"/>
          <w:numId w:val="12"/>
        </w:numPr>
        <w:tabs>
          <w:tab w:pos="1180" w:val="left" w:leader="none"/>
        </w:tabs>
        <w:spacing w:line="254" w:lineRule="auto" w:before="142" w:after="0"/>
        <w:ind w:left="1180" w:right="111" w:hanging="440"/>
        <w:jc w:val="both"/>
        <w:rPr>
          <w:sz w:val="20"/>
        </w:rPr>
      </w:pPr>
      <w:r>
        <w:rPr>
          <w:w w:val="105"/>
          <w:sz w:val="20"/>
        </w:rPr>
        <w:t>The registrant’s other certifying officers and I have  disclosed,  based  on  our  most  </w:t>
      </w:r>
      <w:r>
        <w:rPr>
          <w:spacing w:val="6"/>
          <w:w w:val="105"/>
          <w:sz w:val="20"/>
        </w:rPr>
        <w:t>recent </w:t>
      </w:r>
      <w:r>
        <w:rPr>
          <w:spacing w:val="3"/>
          <w:w w:val="105"/>
          <w:sz w:val="20"/>
        </w:rPr>
        <w:t>evaluation, </w:t>
      </w:r>
      <w:r>
        <w:rPr>
          <w:w w:val="105"/>
          <w:sz w:val="20"/>
        </w:rPr>
        <w:t>to the registrant’s auditors and  the  audit  </w:t>
      </w:r>
      <w:r>
        <w:rPr>
          <w:spacing w:val="3"/>
          <w:w w:val="105"/>
          <w:sz w:val="20"/>
        </w:rPr>
        <w:t>committee</w:t>
      </w:r>
      <w:r>
        <w:rPr>
          <w:spacing w:val="53"/>
          <w:w w:val="105"/>
          <w:sz w:val="20"/>
        </w:rPr>
        <w:t> </w:t>
      </w:r>
      <w:r>
        <w:rPr>
          <w:w w:val="105"/>
          <w:sz w:val="20"/>
        </w:rPr>
        <w:t>of  registrant’s  board  </w:t>
      </w:r>
      <w:r>
        <w:rPr>
          <w:spacing w:val="6"/>
          <w:w w:val="105"/>
          <w:sz w:val="20"/>
        </w:rPr>
        <w:t>of  </w:t>
      </w:r>
      <w:r>
        <w:rPr>
          <w:w w:val="105"/>
          <w:sz w:val="20"/>
        </w:rPr>
        <w:t>directors  (or  persons  performing  the  equivalent </w:t>
      </w:r>
      <w:r>
        <w:rPr>
          <w:spacing w:val="34"/>
          <w:w w:val="105"/>
          <w:sz w:val="20"/>
        </w:rPr>
        <w:t> </w:t>
      </w:r>
      <w:r>
        <w:rPr>
          <w:w w:val="105"/>
          <w:sz w:val="20"/>
        </w:rPr>
        <w:t>function):</w:t>
      </w:r>
    </w:p>
    <w:p>
      <w:pPr>
        <w:pStyle w:val="ListParagraph"/>
        <w:numPr>
          <w:ilvl w:val="1"/>
          <w:numId w:val="12"/>
        </w:numPr>
        <w:tabs>
          <w:tab w:pos="1540" w:val="left" w:leader="none"/>
        </w:tabs>
        <w:spacing w:line="283" w:lineRule="auto" w:before="180" w:after="0"/>
        <w:ind w:left="1540" w:right="132" w:hanging="360"/>
        <w:jc w:val="both"/>
        <w:rPr>
          <w:sz w:val="18"/>
        </w:rPr>
      </w:pPr>
      <w:r>
        <w:rPr>
          <w:w w:val="105"/>
          <w:sz w:val="18"/>
        </w:rPr>
        <w:t>all  significant  deficiencies  in  the  design  or  </w:t>
      </w:r>
      <w:r>
        <w:rPr>
          <w:spacing w:val="3"/>
          <w:w w:val="105"/>
          <w:sz w:val="18"/>
        </w:rPr>
        <w:t>operation   </w:t>
      </w:r>
      <w:r>
        <w:rPr>
          <w:w w:val="105"/>
          <w:sz w:val="18"/>
        </w:rPr>
        <w:t>of  </w:t>
      </w:r>
      <w:r>
        <w:rPr>
          <w:spacing w:val="2"/>
          <w:w w:val="105"/>
          <w:sz w:val="18"/>
        </w:rPr>
        <w:t>internal   controls   which   could   </w:t>
      </w:r>
      <w:r>
        <w:rPr>
          <w:spacing w:val="5"/>
          <w:w w:val="105"/>
          <w:sz w:val="18"/>
        </w:rPr>
        <w:t>adversely </w:t>
      </w:r>
      <w:r>
        <w:rPr>
          <w:spacing w:val="-6"/>
          <w:w w:val="105"/>
          <w:sz w:val="18"/>
        </w:rPr>
        <w:t>af </w:t>
      </w:r>
      <w:r>
        <w:rPr>
          <w:spacing w:val="-3"/>
          <w:w w:val="105"/>
          <w:sz w:val="18"/>
        </w:rPr>
        <w:t>fect </w:t>
      </w:r>
      <w:r>
        <w:rPr>
          <w:w w:val="105"/>
          <w:sz w:val="18"/>
        </w:rPr>
        <w:t>the </w:t>
      </w:r>
      <w:r>
        <w:rPr>
          <w:spacing w:val="2"/>
          <w:w w:val="105"/>
          <w:sz w:val="18"/>
        </w:rPr>
        <w:t>registrant’s </w:t>
      </w:r>
      <w:r>
        <w:rPr>
          <w:spacing w:val="3"/>
          <w:w w:val="105"/>
          <w:sz w:val="18"/>
        </w:rPr>
        <w:t>ability </w:t>
      </w:r>
      <w:r>
        <w:rPr>
          <w:w w:val="105"/>
          <w:sz w:val="18"/>
        </w:rPr>
        <w:t>to record, process, summarize, and  </w:t>
      </w:r>
      <w:r>
        <w:rPr>
          <w:spacing w:val="2"/>
          <w:w w:val="105"/>
          <w:sz w:val="18"/>
        </w:rPr>
        <w:t>report</w:t>
      </w:r>
      <w:r>
        <w:rPr>
          <w:spacing w:val="46"/>
          <w:w w:val="105"/>
          <w:sz w:val="18"/>
        </w:rPr>
        <w:t> </w:t>
      </w:r>
      <w:r>
        <w:rPr>
          <w:spacing w:val="2"/>
          <w:w w:val="105"/>
          <w:sz w:val="18"/>
        </w:rPr>
        <w:t>financial</w:t>
      </w:r>
      <w:r>
        <w:rPr>
          <w:spacing w:val="46"/>
          <w:w w:val="105"/>
          <w:sz w:val="18"/>
        </w:rPr>
        <w:t> </w:t>
      </w:r>
      <w:r>
        <w:rPr>
          <w:spacing w:val="2"/>
          <w:w w:val="105"/>
          <w:sz w:val="18"/>
        </w:rPr>
        <w:t>data  </w:t>
      </w:r>
      <w:r>
        <w:rPr>
          <w:w w:val="105"/>
          <w:sz w:val="18"/>
        </w:rPr>
        <w:t>and  </w:t>
      </w:r>
      <w:r>
        <w:rPr>
          <w:spacing w:val="3"/>
          <w:w w:val="105"/>
          <w:sz w:val="18"/>
        </w:rPr>
        <w:t>have  </w:t>
      </w:r>
      <w:r>
        <w:rPr>
          <w:w w:val="105"/>
          <w:sz w:val="18"/>
        </w:rPr>
        <w:t>identified  for  the  registrant’s  auditors   any  material   weaknesses  in  </w:t>
      </w:r>
      <w:r>
        <w:rPr>
          <w:spacing w:val="2"/>
          <w:w w:val="105"/>
          <w:sz w:val="18"/>
        </w:rPr>
        <w:t>internal   </w:t>
      </w:r>
      <w:r>
        <w:rPr>
          <w:spacing w:val="3"/>
          <w:w w:val="105"/>
          <w:sz w:val="18"/>
        </w:rPr>
        <w:t>controls;  </w:t>
      </w:r>
      <w:r>
        <w:rPr>
          <w:spacing w:val="18"/>
          <w:w w:val="105"/>
          <w:sz w:val="18"/>
        </w:rPr>
        <w:t> </w:t>
      </w:r>
      <w:r>
        <w:rPr>
          <w:spacing w:val="4"/>
          <w:w w:val="105"/>
          <w:sz w:val="18"/>
        </w:rPr>
        <w:t>and</w:t>
      </w:r>
    </w:p>
    <w:p>
      <w:pPr>
        <w:pStyle w:val="ListParagraph"/>
        <w:numPr>
          <w:ilvl w:val="1"/>
          <w:numId w:val="12"/>
        </w:numPr>
        <w:tabs>
          <w:tab w:pos="1540" w:val="left" w:leader="none"/>
        </w:tabs>
        <w:spacing w:line="283" w:lineRule="auto" w:before="160" w:after="0"/>
        <w:ind w:left="1539" w:right="120" w:hanging="359"/>
        <w:jc w:val="both"/>
        <w:rPr>
          <w:sz w:val="18"/>
        </w:rPr>
      </w:pPr>
      <w:r>
        <w:rPr>
          <w:w w:val="105"/>
          <w:sz w:val="18"/>
        </w:rPr>
        <w:t>any fraud, whether or not material, that involves management  or  other  employees  who  have  a  significant  role   in  the  registrant’s  internal   </w:t>
      </w:r>
      <w:r>
        <w:rPr>
          <w:spacing w:val="3"/>
          <w:w w:val="105"/>
          <w:sz w:val="18"/>
        </w:rPr>
        <w:t>controls; </w:t>
      </w:r>
      <w:r>
        <w:rPr>
          <w:spacing w:val="42"/>
          <w:w w:val="105"/>
          <w:sz w:val="18"/>
        </w:rPr>
        <w:t> </w:t>
      </w:r>
      <w:r>
        <w:rPr>
          <w:spacing w:val="4"/>
          <w:w w:val="105"/>
          <w:sz w:val="18"/>
        </w:rPr>
        <w:t>and</w:t>
      </w:r>
    </w:p>
    <w:p>
      <w:pPr>
        <w:pStyle w:val="ListParagraph"/>
        <w:numPr>
          <w:ilvl w:val="0"/>
          <w:numId w:val="12"/>
        </w:numPr>
        <w:tabs>
          <w:tab w:pos="1180" w:val="left" w:leader="none"/>
        </w:tabs>
        <w:spacing w:line="254" w:lineRule="auto" w:before="141" w:after="0"/>
        <w:ind w:left="1180" w:right="109" w:hanging="440"/>
        <w:jc w:val="both"/>
        <w:rPr>
          <w:sz w:val="20"/>
        </w:rPr>
      </w:pPr>
      <w:r>
        <w:rPr>
          <w:w w:val="105"/>
          <w:sz w:val="20"/>
        </w:rPr>
        <w:t>The registrant’s other certifying  officers  and  I  have  </w:t>
      </w:r>
      <w:r>
        <w:rPr>
          <w:spacing w:val="3"/>
          <w:w w:val="105"/>
          <w:sz w:val="20"/>
        </w:rPr>
        <w:t>indicated</w:t>
      </w:r>
      <w:r>
        <w:rPr>
          <w:spacing w:val="53"/>
          <w:w w:val="105"/>
          <w:sz w:val="20"/>
        </w:rPr>
        <w:t> </w:t>
      </w:r>
      <w:r>
        <w:rPr>
          <w:w w:val="105"/>
          <w:sz w:val="20"/>
        </w:rPr>
        <w:t>in  this  </w:t>
      </w:r>
      <w:r>
        <w:rPr>
          <w:spacing w:val="2"/>
          <w:w w:val="105"/>
          <w:sz w:val="20"/>
        </w:rPr>
        <w:t>annual  </w:t>
      </w:r>
      <w:r>
        <w:rPr>
          <w:w w:val="105"/>
          <w:sz w:val="20"/>
        </w:rPr>
        <w:t>report  whether  </w:t>
      </w:r>
      <w:r>
        <w:rPr>
          <w:spacing w:val="4"/>
          <w:w w:val="105"/>
          <w:sz w:val="20"/>
        </w:rPr>
        <w:t>or </w:t>
      </w:r>
      <w:r>
        <w:rPr>
          <w:w w:val="105"/>
          <w:sz w:val="20"/>
        </w:rPr>
        <w:t>not there were </w:t>
      </w:r>
      <w:r>
        <w:rPr>
          <w:spacing w:val="2"/>
          <w:w w:val="105"/>
          <w:sz w:val="20"/>
        </w:rPr>
        <w:t>significant changes  </w:t>
      </w:r>
      <w:r>
        <w:rPr>
          <w:w w:val="105"/>
          <w:sz w:val="20"/>
        </w:rPr>
        <w:t>in  internal  controls  or  in  other  factors  that  </w:t>
      </w:r>
      <w:r>
        <w:rPr>
          <w:spacing w:val="8"/>
          <w:w w:val="105"/>
          <w:sz w:val="20"/>
        </w:rPr>
        <w:t>could  </w:t>
      </w:r>
      <w:r>
        <w:rPr>
          <w:w w:val="105"/>
          <w:sz w:val="20"/>
        </w:rPr>
        <w:t>significantly affect internal controls </w:t>
      </w:r>
      <w:r>
        <w:rPr>
          <w:spacing w:val="2"/>
          <w:w w:val="105"/>
          <w:sz w:val="20"/>
        </w:rPr>
        <w:t>subsequent </w:t>
      </w:r>
      <w:r>
        <w:rPr>
          <w:w w:val="105"/>
          <w:sz w:val="20"/>
        </w:rPr>
        <w:t>to the date of  our  most  recent  </w:t>
      </w:r>
      <w:r>
        <w:rPr>
          <w:spacing w:val="8"/>
          <w:w w:val="105"/>
          <w:sz w:val="20"/>
        </w:rPr>
        <w:t>evaluation, </w:t>
      </w:r>
      <w:r>
        <w:rPr>
          <w:spacing w:val="2"/>
          <w:w w:val="105"/>
          <w:sz w:val="20"/>
        </w:rPr>
        <w:t>including </w:t>
      </w:r>
      <w:r>
        <w:rPr>
          <w:w w:val="105"/>
          <w:sz w:val="20"/>
        </w:rPr>
        <w:t>any corrective  actions  with  regard  to  </w:t>
      </w:r>
      <w:r>
        <w:rPr>
          <w:spacing w:val="2"/>
          <w:w w:val="105"/>
          <w:sz w:val="20"/>
        </w:rPr>
        <w:t>significant  </w:t>
      </w:r>
      <w:r>
        <w:rPr>
          <w:spacing w:val="3"/>
          <w:w w:val="105"/>
          <w:sz w:val="20"/>
        </w:rPr>
        <w:t>deficiencies</w:t>
      </w:r>
      <w:r>
        <w:rPr>
          <w:spacing w:val="53"/>
          <w:w w:val="105"/>
          <w:sz w:val="20"/>
        </w:rPr>
        <w:t> </w:t>
      </w:r>
      <w:r>
        <w:rPr>
          <w:w w:val="105"/>
          <w:sz w:val="20"/>
        </w:rPr>
        <w:t>and  </w:t>
      </w:r>
      <w:r>
        <w:rPr>
          <w:spacing w:val="6"/>
          <w:w w:val="105"/>
          <w:sz w:val="20"/>
        </w:rPr>
        <w:t>material </w:t>
      </w:r>
      <w:r>
        <w:rPr>
          <w:spacing w:val="5"/>
          <w:w w:val="105"/>
          <w:sz w:val="20"/>
        </w:rPr>
        <w:t>weaknesses.</w:t>
      </w:r>
    </w:p>
    <w:p>
      <w:pPr>
        <w:pStyle w:val="BodyText"/>
        <w:tabs>
          <w:tab w:pos="5679" w:val="left" w:leader="none"/>
        </w:tabs>
        <w:spacing w:line="254" w:lineRule="auto" w:before="160"/>
        <w:ind w:left="5680" w:right="2418" w:hanging="4500"/>
      </w:pPr>
      <w:r>
        <w:rPr>
          <w:w w:val="115"/>
        </w:rPr>
        <w:t>Date: February</w:t>
      </w:r>
      <w:r>
        <w:rPr>
          <w:spacing w:val="5"/>
          <w:w w:val="115"/>
        </w:rPr>
        <w:t> </w:t>
      </w:r>
      <w:r>
        <w:rPr>
          <w:w w:val="115"/>
        </w:rPr>
        <w:t>5,</w:t>
      </w:r>
      <w:r>
        <w:rPr>
          <w:spacing w:val="2"/>
          <w:w w:val="115"/>
        </w:rPr>
        <w:t> </w:t>
      </w:r>
      <w:r>
        <w:rPr>
          <w:w w:val="115"/>
        </w:rPr>
        <w:t>2003</w:t>
        <w:tab/>
      </w:r>
      <w:r>
        <w:rPr>
          <w:spacing w:val="-3"/>
          <w:w w:val="115"/>
          <w:u w:val="single"/>
        </w:rPr>
        <w:t>/s/ </w:t>
      </w:r>
      <w:r>
        <w:rPr>
          <w:w w:val="115"/>
          <w:u w:val="single"/>
        </w:rPr>
        <w:t>James</w:t>
      </w:r>
      <w:r>
        <w:rPr>
          <w:spacing w:val="31"/>
          <w:w w:val="115"/>
          <w:u w:val="single"/>
        </w:rPr>
        <w:t> </w:t>
      </w:r>
      <w:r>
        <w:rPr>
          <w:w w:val="115"/>
          <w:u w:val="single"/>
        </w:rPr>
        <w:t>F.</w:t>
      </w:r>
      <w:r>
        <w:rPr>
          <w:spacing w:val="7"/>
          <w:w w:val="115"/>
          <w:u w:val="single"/>
        </w:rPr>
        <w:t> </w:t>
      </w:r>
      <w:r>
        <w:rPr>
          <w:spacing w:val="4"/>
          <w:w w:val="115"/>
          <w:u w:val="single"/>
        </w:rPr>
        <w:t>Parker</w:t>
      </w:r>
      <w:r>
        <w:rPr>
          <w:spacing w:val="-15"/>
          <w:u w:val="single"/>
        </w:rPr>
        <w:t> </w:t>
      </w:r>
      <w:r>
        <w:rPr>
          <w:spacing w:val="-15"/>
        </w:rPr>
        <w:t> </w:t>
      </w:r>
      <w:r>
        <w:rPr>
          <w:w w:val="115"/>
        </w:rPr>
        <w:t>James F.</w:t>
      </w:r>
      <w:r>
        <w:rPr>
          <w:spacing w:val="4"/>
          <w:w w:val="115"/>
        </w:rPr>
        <w:t> </w:t>
      </w:r>
      <w:r>
        <w:rPr>
          <w:w w:val="115"/>
        </w:rPr>
        <w:t>Parker</w:t>
      </w:r>
    </w:p>
    <w:p>
      <w:pPr>
        <w:spacing w:before="0"/>
        <w:ind w:left="5680" w:right="0" w:firstLine="0"/>
        <w:jc w:val="left"/>
        <w:rPr>
          <w:i/>
          <w:sz w:val="20"/>
        </w:rPr>
      </w:pPr>
      <w:r>
        <w:rPr>
          <w:i/>
          <w:w w:val="105"/>
          <w:sz w:val="20"/>
        </w:rPr>
        <w:t>Chief  Executive Officer</w:t>
      </w:r>
    </w:p>
    <w:p>
      <w:pPr>
        <w:spacing w:after="0"/>
        <w:jc w:val="left"/>
        <w:rPr>
          <w:sz w:val="20"/>
        </w:rPr>
        <w:sectPr>
          <w:headerReference w:type="default" r:id="rId174"/>
          <w:pgSz w:w="11520" w:h="14400"/>
          <w:pgMar w:header="0" w:footer="706" w:top="960" w:bottom="900" w:left="700" w:right="820"/>
        </w:sectPr>
      </w:pPr>
    </w:p>
    <w:p>
      <w:pPr>
        <w:pStyle w:val="BodyText"/>
        <w:spacing w:before="76"/>
        <w:ind w:left="100"/>
        <w:rPr>
          <w:rFonts w:ascii="Franklin Gothic Medium"/>
        </w:rPr>
      </w:pPr>
      <w:bookmarkStart w:name="Index to Exhibits" w:id="70"/>
      <w:bookmarkEnd w:id="70"/>
      <w:r>
        <w:rPr/>
      </w:r>
      <w:r>
        <w:rPr>
          <w:rFonts w:ascii="Franklin Gothic Medium"/>
        </w:rPr>
        <w:t>Index  to  Exhibits</w:t>
      </w:r>
    </w:p>
    <w:p>
      <w:pPr>
        <w:pStyle w:val="BodyText"/>
        <w:spacing w:before="1"/>
        <w:rPr>
          <w:rFonts w:ascii="Franklin Gothic Medium"/>
          <w:sz w:val="25"/>
        </w:rPr>
      </w:pPr>
    </w:p>
    <w:p>
      <w:pPr>
        <w:pStyle w:val="ListParagraph"/>
        <w:numPr>
          <w:ilvl w:val="1"/>
          <w:numId w:val="13"/>
        </w:numPr>
        <w:tabs>
          <w:tab w:pos="1539" w:val="left" w:leader="none"/>
          <w:tab w:pos="1540" w:val="left" w:leader="none"/>
        </w:tabs>
        <w:spacing w:line="254" w:lineRule="auto" w:before="1" w:after="0"/>
        <w:ind w:left="1540" w:right="109" w:hanging="900"/>
        <w:jc w:val="both"/>
        <w:rPr>
          <w:sz w:val="20"/>
        </w:rPr>
      </w:pP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w w:val="105"/>
          <w:sz w:val="20"/>
        </w:rPr>
        <w:t>to Southwest’s Registration Statement on Form S-3 [File No. 33-52155]); </w:t>
      </w:r>
      <w:r>
        <w:rPr>
          <w:spacing w:val="4"/>
          <w:w w:val="105"/>
          <w:sz w:val="20"/>
        </w:rPr>
        <w:t>Amendment to  </w:t>
      </w:r>
      <w:r>
        <w:rPr>
          <w:w w:val="105"/>
          <w:sz w:val="20"/>
        </w:rPr>
        <w:t>Restated Articles  of  </w:t>
      </w:r>
      <w:r>
        <w:rPr>
          <w:spacing w:val="3"/>
          <w:w w:val="105"/>
          <w:sz w:val="20"/>
        </w:rPr>
        <w:t>Incorporation</w:t>
      </w:r>
      <w:r>
        <w:rPr>
          <w:spacing w:val="53"/>
          <w:w w:val="105"/>
          <w:sz w:val="20"/>
        </w:rPr>
        <w:t>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w w:val="105"/>
          <w:sz w:val="20"/>
        </w:rPr>
        <w:t>to  Southwest’s  Quarterly  Report  on  Form  10-Q  for  the   quarter   </w:t>
      </w:r>
      <w:r>
        <w:rPr>
          <w:spacing w:val="2"/>
          <w:w w:val="105"/>
          <w:sz w:val="20"/>
        </w:rPr>
        <w:t>ended   June   </w:t>
      </w:r>
      <w:r>
        <w:rPr>
          <w:w w:val="105"/>
          <w:sz w:val="20"/>
        </w:rPr>
        <w:t>30,   1996 [File No. 1-7259]); </w:t>
      </w:r>
      <w:r>
        <w:rPr>
          <w:spacing w:val="4"/>
          <w:w w:val="105"/>
          <w:sz w:val="20"/>
        </w:rPr>
        <w:t>Amendment </w:t>
      </w:r>
      <w:r>
        <w:rPr>
          <w:w w:val="105"/>
          <w:sz w:val="20"/>
        </w:rPr>
        <w:t>to Restated Articles of </w:t>
      </w:r>
      <w:r>
        <w:rPr>
          <w:spacing w:val="3"/>
          <w:w w:val="105"/>
          <w:sz w:val="20"/>
        </w:rPr>
        <w:t>Incorporation </w:t>
      </w:r>
      <w:r>
        <w:rPr>
          <w:w w:val="105"/>
          <w:sz w:val="20"/>
        </w:rPr>
        <w:t>of </w:t>
      </w:r>
      <w:r>
        <w:rPr>
          <w:spacing w:val="5"/>
          <w:w w:val="105"/>
          <w:sz w:val="20"/>
        </w:rPr>
        <w:t>Southwest  </w:t>
      </w:r>
      <w:r>
        <w:rPr>
          <w:w w:val="105"/>
          <w:sz w:val="20"/>
        </w:rPr>
        <w:t>(incorporated by reference to </w:t>
      </w:r>
      <w:r>
        <w:rPr>
          <w:spacing w:val="2"/>
          <w:w w:val="105"/>
          <w:sz w:val="20"/>
          <w:u w:val="single"/>
        </w:rPr>
        <w:t>Exhibit </w:t>
      </w:r>
      <w:r>
        <w:rPr>
          <w:w w:val="105"/>
          <w:sz w:val="20"/>
          <w:u w:val="single"/>
        </w:rPr>
        <w:t>3.1 </w:t>
      </w:r>
      <w:r>
        <w:rPr>
          <w:w w:val="105"/>
          <w:sz w:val="20"/>
        </w:rPr>
        <w:t>to Southwest’s Quarterly  Report on Form  10-Q  </w:t>
      </w:r>
      <w:r>
        <w:rPr>
          <w:spacing w:val="2"/>
          <w:w w:val="105"/>
          <w:sz w:val="20"/>
        </w:rPr>
        <w:t>for  </w:t>
      </w:r>
      <w:r>
        <w:rPr>
          <w:w w:val="105"/>
          <w:sz w:val="20"/>
        </w:rPr>
        <w:t>the quarter </w:t>
      </w:r>
      <w:r>
        <w:rPr>
          <w:spacing w:val="2"/>
          <w:w w:val="105"/>
          <w:sz w:val="20"/>
        </w:rPr>
        <w:t>ended June </w:t>
      </w:r>
      <w:r>
        <w:rPr>
          <w:w w:val="105"/>
          <w:sz w:val="20"/>
        </w:rPr>
        <w:t>30, 1998 [File No. 1-7259]); </w:t>
      </w:r>
      <w:r>
        <w:rPr>
          <w:spacing w:val="4"/>
          <w:w w:val="105"/>
          <w:sz w:val="20"/>
        </w:rPr>
        <w:t>Amendment </w:t>
      </w:r>
      <w:r>
        <w:rPr>
          <w:w w:val="105"/>
          <w:sz w:val="20"/>
        </w:rPr>
        <w:t>to Restated Articles </w:t>
      </w:r>
      <w:r>
        <w:rPr>
          <w:spacing w:val="6"/>
          <w:w w:val="105"/>
          <w:sz w:val="20"/>
        </w:rPr>
        <w:t>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4.2 </w:t>
      </w:r>
      <w:r>
        <w:rPr>
          <w:w w:val="105"/>
          <w:sz w:val="20"/>
        </w:rPr>
        <w:t>to </w:t>
      </w:r>
      <w:r>
        <w:rPr>
          <w:spacing w:val="3"/>
          <w:w w:val="105"/>
          <w:sz w:val="20"/>
        </w:rPr>
        <w:t>Southwest’s </w:t>
      </w:r>
      <w:r>
        <w:rPr>
          <w:w w:val="105"/>
          <w:sz w:val="20"/>
        </w:rPr>
        <w:t>Registration  Statement  on  Form  S-8  [File  No.  333-82735]);  </w:t>
      </w:r>
      <w:r>
        <w:rPr>
          <w:spacing w:val="3"/>
          <w:w w:val="105"/>
          <w:sz w:val="20"/>
        </w:rPr>
        <w:t>Amendment</w:t>
      </w:r>
      <w:r>
        <w:rPr>
          <w:spacing w:val="53"/>
          <w:w w:val="105"/>
          <w:sz w:val="20"/>
        </w:rPr>
        <w:t> </w:t>
      </w:r>
      <w:r>
        <w:rPr>
          <w:w w:val="105"/>
          <w:sz w:val="20"/>
        </w:rPr>
        <w:t>to  </w:t>
      </w:r>
      <w:r>
        <w:rPr>
          <w:spacing w:val="4"/>
          <w:w w:val="105"/>
          <w:sz w:val="20"/>
        </w:rPr>
        <w:t>Restated  </w:t>
      </w:r>
      <w:r>
        <w:rPr>
          <w:w w:val="105"/>
          <w:sz w:val="20"/>
        </w:rPr>
        <w:t>Articles of </w:t>
      </w:r>
      <w:r>
        <w:rPr>
          <w:spacing w:val="3"/>
          <w:w w:val="105"/>
          <w:sz w:val="20"/>
        </w:rPr>
        <w:t>Incorporation </w:t>
      </w:r>
      <w:r>
        <w:rPr>
          <w:w w:val="105"/>
          <w:sz w:val="20"/>
        </w:rPr>
        <w:t>of Southwest </w:t>
      </w:r>
      <w:r>
        <w:rPr>
          <w:spacing w:val="2"/>
          <w:w w:val="105"/>
          <w:sz w:val="20"/>
        </w:rPr>
        <w:t>(incorporated </w:t>
      </w:r>
      <w:r>
        <w:rPr>
          <w:w w:val="105"/>
          <w:sz w:val="20"/>
        </w:rPr>
        <w:t>by  reference  to  </w:t>
      </w:r>
      <w:r>
        <w:rPr>
          <w:spacing w:val="2"/>
          <w:w w:val="105"/>
          <w:sz w:val="20"/>
          <w:u w:val="single"/>
        </w:rPr>
        <w:t>Exhibit  </w:t>
      </w:r>
      <w:r>
        <w:rPr>
          <w:w w:val="105"/>
          <w:sz w:val="20"/>
          <w:u w:val="single"/>
        </w:rPr>
        <w:t>3.1  </w:t>
      </w:r>
      <w:r>
        <w:rPr>
          <w:spacing w:val="8"/>
          <w:w w:val="105"/>
          <w:sz w:val="20"/>
        </w:rPr>
        <w:t>to </w:t>
      </w:r>
      <w:r>
        <w:rPr>
          <w:w w:val="105"/>
          <w:sz w:val="20"/>
        </w:rPr>
        <w:t>Southwest’s Quarterly Report on Form 10-Q for the quarter </w:t>
      </w:r>
      <w:r>
        <w:rPr>
          <w:spacing w:val="2"/>
          <w:w w:val="105"/>
          <w:sz w:val="20"/>
        </w:rPr>
        <w:t>ended June </w:t>
      </w:r>
      <w:r>
        <w:rPr>
          <w:w w:val="105"/>
          <w:sz w:val="20"/>
        </w:rPr>
        <w:t>30, 2001 (File </w:t>
      </w:r>
      <w:r>
        <w:rPr>
          <w:spacing w:val="6"/>
          <w:w w:val="105"/>
          <w:sz w:val="20"/>
        </w:rPr>
        <w:t>No. </w:t>
      </w:r>
      <w:r>
        <w:rPr>
          <w:w w:val="105"/>
          <w:sz w:val="20"/>
        </w:rPr>
        <w:t>1-7259).</w:t>
      </w:r>
    </w:p>
    <w:p>
      <w:pPr>
        <w:pStyle w:val="BodyText"/>
        <w:spacing w:before="4"/>
        <w:rPr>
          <w:sz w:val="21"/>
        </w:rPr>
      </w:pPr>
    </w:p>
    <w:p>
      <w:pPr>
        <w:pStyle w:val="ListParagraph"/>
        <w:numPr>
          <w:ilvl w:val="1"/>
          <w:numId w:val="13"/>
        </w:numPr>
        <w:tabs>
          <w:tab w:pos="1540" w:val="left" w:leader="none"/>
          <w:tab w:pos="1541" w:val="left" w:leader="none"/>
        </w:tabs>
        <w:spacing w:line="254" w:lineRule="auto" w:before="1" w:after="0"/>
        <w:ind w:left="1540" w:right="117" w:hanging="900"/>
        <w:jc w:val="both"/>
        <w:rPr>
          <w:sz w:val="20"/>
        </w:rPr>
      </w:pPr>
      <w:r>
        <w:rPr>
          <w:w w:val="105"/>
          <w:sz w:val="20"/>
        </w:rPr>
        <w:t>Bylaws  of  Southwest,  as  </w:t>
      </w:r>
      <w:r>
        <w:rPr>
          <w:spacing w:val="4"/>
          <w:w w:val="105"/>
          <w:sz w:val="20"/>
        </w:rPr>
        <w:t>amended  </w:t>
      </w:r>
      <w:r>
        <w:rPr>
          <w:w w:val="105"/>
          <w:sz w:val="20"/>
        </w:rPr>
        <w:t>through  May  2002  </w:t>
      </w:r>
      <w:r>
        <w:rPr>
          <w:spacing w:val="2"/>
          <w:w w:val="105"/>
          <w:sz w:val="20"/>
        </w:rPr>
        <w:t>(incorporated  </w:t>
      </w:r>
      <w:r>
        <w:rPr>
          <w:w w:val="105"/>
          <w:sz w:val="20"/>
        </w:rPr>
        <w:t>by  reference   </w:t>
      </w:r>
      <w:r>
        <w:rPr>
          <w:spacing w:val="4"/>
          <w:w w:val="105"/>
          <w:sz w:val="20"/>
        </w:rPr>
        <w:t>to </w:t>
      </w:r>
      <w:r>
        <w:rPr>
          <w:spacing w:val="4"/>
          <w:w w:val="105"/>
          <w:sz w:val="20"/>
          <w:u w:val="single"/>
        </w:rPr>
        <w:t>Exhibit </w:t>
      </w:r>
      <w:r>
        <w:rPr>
          <w:w w:val="105"/>
          <w:sz w:val="20"/>
          <w:u w:val="single"/>
        </w:rPr>
        <w:t>3.2 </w:t>
      </w:r>
      <w:r>
        <w:rPr>
          <w:w w:val="105"/>
          <w:sz w:val="20"/>
        </w:rPr>
        <w:t>to Southwest’s Quarterly Report on Form 10-Q for the  quarter  </w:t>
      </w:r>
      <w:r>
        <w:rPr>
          <w:spacing w:val="2"/>
          <w:w w:val="105"/>
          <w:sz w:val="20"/>
        </w:rPr>
        <w:t>ended  June  </w:t>
      </w:r>
      <w:r>
        <w:rPr>
          <w:w w:val="105"/>
          <w:sz w:val="20"/>
        </w:rPr>
        <w:t>30,  2001  (File  No. </w:t>
      </w:r>
      <w:r>
        <w:rPr>
          <w:spacing w:val="25"/>
          <w:w w:val="105"/>
          <w:sz w:val="20"/>
        </w:rPr>
        <w:t> </w:t>
      </w:r>
      <w:r>
        <w:rPr>
          <w:w w:val="105"/>
          <w:sz w:val="20"/>
        </w:rPr>
        <w:t>1-7259).</w:t>
      </w:r>
    </w:p>
    <w:p>
      <w:pPr>
        <w:pStyle w:val="BodyText"/>
        <w:spacing w:before="4"/>
        <w:rPr>
          <w:sz w:val="21"/>
        </w:rPr>
      </w:pPr>
    </w:p>
    <w:p>
      <w:pPr>
        <w:pStyle w:val="ListParagraph"/>
        <w:numPr>
          <w:ilvl w:val="1"/>
          <w:numId w:val="14"/>
        </w:numPr>
        <w:tabs>
          <w:tab w:pos="1540" w:val="left" w:leader="none"/>
          <w:tab w:pos="1541" w:val="left" w:leader="none"/>
        </w:tabs>
        <w:spacing w:line="254" w:lineRule="auto" w:before="1" w:after="0"/>
        <w:ind w:left="1540" w:right="102" w:hanging="900"/>
        <w:jc w:val="both"/>
        <w:rPr>
          <w:sz w:val="20"/>
        </w:rPr>
      </w:pPr>
      <w:r>
        <w:rPr>
          <w:w w:val="105"/>
          <w:sz w:val="20"/>
        </w:rPr>
        <w:t>364-Day  </w:t>
      </w:r>
      <w:r>
        <w:rPr>
          <w:spacing w:val="3"/>
          <w:w w:val="105"/>
          <w:sz w:val="20"/>
        </w:rPr>
        <w:t>Competitive</w:t>
      </w:r>
      <w:r>
        <w:rPr>
          <w:spacing w:val="53"/>
          <w:w w:val="105"/>
          <w:sz w:val="20"/>
        </w:rPr>
        <w:t> </w:t>
      </w:r>
      <w:r>
        <w:rPr>
          <w:spacing w:val="3"/>
          <w:w w:val="105"/>
          <w:sz w:val="20"/>
        </w:rPr>
        <w:t>Advance</w:t>
      </w:r>
      <w:r>
        <w:rPr>
          <w:spacing w:val="53"/>
          <w:w w:val="105"/>
          <w:sz w:val="20"/>
        </w:rPr>
        <w:t> </w:t>
      </w:r>
      <w:r>
        <w:rPr>
          <w:w w:val="105"/>
          <w:sz w:val="20"/>
        </w:rPr>
        <w:t>and   </w:t>
      </w:r>
      <w:r>
        <w:rPr>
          <w:spacing w:val="2"/>
          <w:w w:val="105"/>
          <w:sz w:val="20"/>
        </w:rPr>
        <w:t>Revolving   </w:t>
      </w:r>
      <w:r>
        <w:rPr>
          <w:w w:val="105"/>
          <w:sz w:val="20"/>
        </w:rPr>
        <w:t>Credit   Facility   </w:t>
      </w:r>
      <w:r>
        <w:rPr>
          <w:spacing w:val="2"/>
          <w:w w:val="105"/>
          <w:sz w:val="20"/>
        </w:rPr>
        <w:t>Agreement   dated   </w:t>
      </w:r>
      <w:r>
        <w:rPr>
          <w:w w:val="105"/>
          <w:sz w:val="20"/>
        </w:rPr>
        <w:t>as   </w:t>
      </w:r>
      <w:r>
        <w:rPr>
          <w:spacing w:val="6"/>
          <w:w w:val="105"/>
          <w:sz w:val="20"/>
        </w:rPr>
        <w:t>of </w:t>
      </w:r>
      <w:r>
        <w:rPr>
          <w:w w:val="105"/>
          <w:sz w:val="20"/>
        </w:rPr>
        <w:t>April 23, 2002, and 3-Year </w:t>
      </w:r>
      <w:r>
        <w:rPr>
          <w:spacing w:val="3"/>
          <w:w w:val="105"/>
          <w:sz w:val="20"/>
        </w:rPr>
        <w:t>Competitive Advance </w:t>
      </w:r>
      <w:r>
        <w:rPr>
          <w:w w:val="105"/>
          <w:sz w:val="20"/>
        </w:rPr>
        <w:t>and </w:t>
      </w:r>
      <w:r>
        <w:rPr>
          <w:spacing w:val="2"/>
          <w:w w:val="105"/>
          <w:sz w:val="20"/>
        </w:rPr>
        <w:t>Revolving  </w:t>
      </w:r>
      <w:r>
        <w:rPr>
          <w:w w:val="105"/>
          <w:sz w:val="20"/>
        </w:rPr>
        <w:t>Credit  Facility  </w:t>
      </w:r>
      <w:r>
        <w:rPr>
          <w:spacing w:val="8"/>
          <w:w w:val="105"/>
          <w:sz w:val="20"/>
        </w:rPr>
        <w:t>Agreement </w:t>
      </w:r>
      <w:r>
        <w:rPr>
          <w:w w:val="105"/>
          <w:sz w:val="20"/>
        </w:rPr>
        <w:t>dated as of April  23,  2002  </w:t>
      </w:r>
      <w:r>
        <w:rPr>
          <w:spacing w:val="2"/>
          <w:w w:val="105"/>
          <w:sz w:val="20"/>
        </w:rPr>
        <w:t>(incorporated  </w:t>
      </w:r>
      <w:r>
        <w:rPr>
          <w:w w:val="105"/>
          <w:sz w:val="20"/>
        </w:rPr>
        <w:t>by  reference  to  </w:t>
      </w:r>
      <w:r>
        <w:rPr>
          <w:spacing w:val="2"/>
          <w:w w:val="105"/>
          <w:sz w:val="20"/>
          <w:u w:val="single"/>
        </w:rPr>
        <w:t>Exhibits  </w:t>
      </w:r>
      <w:r>
        <w:rPr>
          <w:w w:val="105"/>
          <w:sz w:val="20"/>
          <w:u w:val="single"/>
        </w:rPr>
        <w:t>10.2  and  10.1</w:t>
      </w:r>
      <w:r>
        <w:rPr>
          <w:w w:val="105"/>
          <w:sz w:val="20"/>
        </w:rPr>
        <w:t>, respectively, to Southwest’s Quarterly Report on Form 10-Q  for  the  quarter  </w:t>
      </w:r>
      <w:r>
        <w:rPr>
          <w:spacing w:val="15"/>
          <w:w w:val="105"/>
          <w:sz w:val="20"/>
        </w:rPr>
        <w:t>ended  </w:t>
      </w:r>
      <w:r>
        <w:rPr>
          <w:w w:val="105"/>
          <w:sz w:val="20"/>
        </w:rPr>
        <w:t>September  30,  2002  (File  No.  </w:t>
      </w:r>
      <w:r>
        <w:rPr>
          <w:spacing w:val="25"/>
          <w:w w:val="105"/>
          <w:sz w:val="20"/>
        </w:rPr>
        <w:t> </w:t>
      </w:r>
      <w:r>
        <w:rPr>
          <w:w w:val="105"/>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2" w:hanging="900"/>
        <w:jc w:val="both"/>
        <w:rPr>
          <w:sz w:val="20"/>
        </w:rPr>
      </w:pPr>
      <w:r>
        <w:rPr>
          <w:spacing w:val="3"/>
          <w:w w:val="105"/>
          <w:sz w:val="20"/>
        </w:rPr>
        <w:t>Specimen</w:t>
      </w:r>
      <w:r>
        <w:rPr>
          <w:spacing w:val="53"/>
          <w:w w:val="105"/>
          <w:sz w:val="20"/>
        </w:rPr>
        <w:t> </w:t>
      </w:r>
      <w:r>
        <w:rPr>
          <w:w w:val="105"/>
          <w:sz w:val="20"/>
        </w:rPr>
        <w:t>certificate  representing  </w:t>
      </w:r>
      <w:r>
        <w:rPr>
          <w:spacing w:val="3"/>
          <w:w w:val="105"/>
          <w:sz w:val="20"/>
        </w:rPr>
        <w:t>Common</w:t>
      </w:r>
      <w:r>
        <w:rPr>
          <w:spacing w:val="53"/>
          <w:w w:val="105"/>
          <w:sz w:val="20"/>
        </w:rPr>
        <w:t> </w:t>
      </w:r>
      <w:r>
        <w:rPr>
          <w:w w:val="105"/>
          <w:sz w:val="20"/>
        </w:rPr>
        <w:t>Stock   of   Southwest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10" w:hanging="900"/>
        <w:jc w:val="both"/>
        <w:rPr>
          <w:sz w:val="20"/>
        </w:rPr>
      </w:pPr>
      <w:r>
        <w:rPr>
          <w:spacing w:val="2"/>
          <w:w w:val="105"/>
          <w:sz w:val="20"/>
        </w:rPr>
        <w:t>Amended </w:t>
      </w:r>
      <w:r>
        <w:rPr>
          <w:w w:val="105"/>
          <w:sz w:val="20"/>
        </w:rPr>
        <w:t>and Restated Rights </w:t>
      </w:r>
      <w:r>
        <w:rPr>
          <w:spacing w:val="2"/>
          <w:w w:val="105"/>
          <w:sz w:val="20"/>
        </w:rPr>
        <w:t>Agreement dated </w:t>
      </w:r>
      <w:r>
        <w:rPr>
          <w:w w:val="105"/>
          <w:sz w:val="20"/>
        </w:rPr>
        <w:t>July 18, 1996, </w:t>
      </w:r>
      <w:r>
        <w:rPr>
          <w:spacing w:val="2"/>
          <w:w w:val="105"/>
          <w:sz w:val="20"/>
        </w:rPr>
        <w:t>between </w:t>
      </w:r>
      <w:r>
        <w:rPr>
          <w:w w:val="105"/>
          <w:sz w:val="20"/>
        </w:rPr>
        <w:t>Southwest </w:t>
      </w:r>
      <w:r>
        <w:rPr>
          <w:spacing w:val="12"/>
          <w:w w:val="105"/>
          <w:sz w:val="20"/>
        </w:rPr>
        <w:t>and </w:t>
      </w:r>
      <w:r>
        <w:rPr>
          <w:spacing w:val="2"/>
          <w:w w:val="105"/>
          <w:sz w:val="20"/>
        </w:rPr>
        <w:t>Continental </w:t>
      </w:r>
      <w:r>
        <w:rPr>
          <w:w w:val="105"/>
          <w:sz w:val="20"/>
        </w:rPr>
        <w:t>Stock  Transfer  &amp;  Trust  </w:t>
      </w:r>
      <w:r>
        <w:rPr>
          <w:spacing w:val="2"/>
          <w:w w:val="105"/>
          <w:sz w:val="20"/>
        </w:rPr>
        <w:t>Company,  </w:t>
      </w:r>
      <w:r>
        <w:rPr>
          <w:w w:val="105"/>
          <w:sz w:val="20"/>
        </w:rPr>
        <w:t>as  Rights  Agent  </w:t>
      </w:r>
      <w:r>
        <w:rPr>
          <w:spacing w:val="2"/>
          <w:w w:val="105"/>
          <w:sz w:val="20"/>
        </w:rPr>
        <w:t>(incorporated  </w:t>
      </w:r>
      <w:r>
        <w:rPr>
          <w:w w:val="105"/>
          <w:sz w:val="20"/>
        </w:rPr>
        <w:t>by  </w:t>
      </w:r>
      <w:r>
        <w:rPr>
          <w:spacing w:val="7"/>
          <w:w w:val="105"/>
          <w:sz w:val="20"/>
        </w:rPr>
        <w:t>reference </w:t>
      </w:r>
      <w:r>
        <w:rPr>
          <w:w w:val="105"/>
          <w:sz w:val="20"/>
        </w:rPr>
        <w:t>to  </w:t>
      </w:r>
      <w:r>
        <w:rPr>
          <w:spacing w:val="2"/>
          <w:w w:val="105"/>
          <w:sz w:val="20"/>
          <w:u w:val="single"/>
        </w:rPr>
        <w:t>Exhibit  </w:t>
      </w:r>
      <w:r>
        <w:rPr>
          <w:w w:val="105"/>
          <w:sz w:val="20"/>
          <w:u w:val="single"/>
        </w:rPr>
        <w:t>1</w:t>
      </w:r>
      <w:r>
        <w:rPr>
          <w:w w:val="105"/>
          <w:sz w:val="20"/>
        </w:rPr>
        <w:t>,  Southwest’s  Registration  Statement  on  Form  8-A/A  dated  August   12,  1996 [File No. 1-7259]); </w:t>
      </w:r>
      <w:r>
        <w:rPr>
          <w:spacing w:val="4"/>
          <w:w w:val="105"/>
          <w:sz w:val="20"/>
        </w:rPr>
        <w:t>Amendment </w:t>
      </w:r>
      <w:r>
        <w:rPr>
          <w:w w:val="105"/>
          <w:sz w:val="20"/>
        </w:rPr>
        <w:t>No. 1 to Rights  </w:t>
      </w:r>
      <w:r>
        <w:rPr>
          <w:spacing w:val="2"/>
          <w:w w:val="105"/>
          <w:sz w:val="20"/>
        </w:rPr>
        <w:t>Agreement  dated  March  </w:t>
      </w:r>
      <w:r>
        <w:rPr>
          <w:w w:val="105"/>
          <w:sz w:val="20"/>
        </w:rPr>
        <w:t>15,  2001 </w:t>
      </w:r>
      <w:r>
        <w:rPr>
          <w:spacing w:val="2"/>
          <w:w w:val="105"/>
          <w:sz w:val="20"/>
        </w:rPr>
        <w:t>(incorporated </w:t>
      </w:r>
      <w:r>
        <w:rPr>
          <w:w w:val="105"/>
          <w:sz w:val="20"/>
        </w:rPr>
        <w:t>by reference to  </w:t>
      </w:r>
      <w:r>
        <w:rPr>
          <w:spacing w:val="2"/>
          <w:w w:val="105"/>
          <w:sz w:val="20"/>
          <w:u w:val="single"/>
        </w:rPr>
        <w:t>Exhibit  </w:t>
      </w:r>
      <w:r>
        <w:rPr>
          <w:w w:val="105"/>
          <w:sz w:val="20"/>
          <w:u w:val="single"/>
        </w:rPr>
        <w:t>1  </w:t>
      </w:r>
      <w:r>
        <w:rPr>
          <w:w w:val="105"/>
          <w:sz w:val="20"/>
        </w:rPr>
        <w:t>to  Form  8-A  </w:t>
      </w:r>
      <w:r>
        <w:rPr>
          <w:spacing w:val="4"/>
          <w:w w:val="105"/>
          <w:sz w:val="20"/>
        </w:rPr>
        <w:t>Amendment  </w:t>
      </w:r>
      <w:r>
        <w:rPr>
          <w:w w:val="105"/>
          <w:sz w:val="20"/>
        </w:rPr>
        <w:t>No.  3  dated  April  25, 2001  [File  No. </w:t>
      </w:r>
      <w:r>
        <w:rPr>
          <w:spacing w:val="17"/>
          <w:w w:val="105"/>
          <w:sz w:val="20"/>
        </w:rPr>
        <w:t> </w:t>
      </w:r>
      <w:r>
        <w:rPr>
          <w:w w:val="105"/>
          <w:sz w:val="20"/>
        </w:rPr>
        <w:t>1-7529]).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8" w:hanging="900"/>
        <w:jc w:val="both"/>
        <w:rPr>
          <w:sz w:val="20"/>
        </w:rPr>
      </w:pPr>
      <w:r>
        <w:rPr>
          <w:w w:val="110"/>
          <w:sz w:val="20"/>
        </w:rPr>
        <w:t>Indenture dated as of June 20, 1991, </w:t>
      </w:r>
      <w:r>
        <w:rPr>
          <w:spacing w:val="2"/>
          <w:w w:val="110"/>
          <w:sz w:val="20"/>
        </w:rPr>
        <w:t>between </w:t>
      </w:r>
      <w:r>
        <w:rPr>
          <w:w w:val="110"/>
          <w:sz w:val="20"/>
        </w:rPr>
        <w:t>Southwest Airlines Co. and Bank of  </w:t>
      </w:r>
      <w:r>
        <w:rPr>
          <w:spacing w:val="9"/>
          <w:w w:val="110"/>
          <w:sz w:val="20"/>
        </w:rPr>
        <w:t>New  </w:t>
      </w:r>
      <w:r>
        <w:rPr>
          <w:w w:val="110"/>
          <w:sz w:val="20"/>
        </w:rPr>
        <w:t>York, successor to </w:t>
      </w:r>
      <w:r>
        <w:rPr>
          <w:spacing w:val="2"/>
          <w:w w:val="110"/>
          <w:sz w:val="20"/>
        </w:rPr>
        <w:t>NationsBank </w:t>
      </w:r>
      <w:r>
        <w:rPr>
          <w:w w:val="110"/>
          <w:sz w:val="20"/>
        </w:rPr>
        <w:t>of Texas, N.A. (formerly NCNB Texas  </w:t>
      </w:r>
      <w:r>
        <w:rPr>
          <w:spacing w:val="2"/>
          <w:w w:val="110"/>
          <w:sz w:val="20"/>
        </w:rPr>
        <w:t>National  </w:t>
      </w:r>
      <w:r>
        <w:rPr>
          <w:spacing w:val="3"/>
          <w:w w:val="110"/>
          <w:sz w:val="20"/>
        </w:rPr>
        <w:t>Bank),  </w:t>
      </w:r>
      <w:r>
        <w:rPr>
          <w:w w:val="110"/>
          <w:sz w:val="20"/>
        </w:rPr>
        <w:t>Trustee (incorporated by reference to </w:t>
      </w:r>
      <w:r>
        <w:rPr>
          <w:spacing w:val="2"/>
          <w:w w:val="110"/>
          <w:sz w:val="20"/>
          <w:u w:val="single"/>
        </w:rPr>
        <w:t>Exhibit </w:t>
      </w:r>
      <w:r>
        <w:rPr>
          <w:w w:val="110"/>
          <w:sz w:val="20"/>
          <w:u w:val="single"/>
        </w:rPr>
        <w:t>4.1 </w:t>
      </w:r>
      <w:r>
        <w:rPr>
          <w:w w:val="110"/>
          <w:sz w:val="20"/>
        </w:rPr>
        <w:t>to Southwest’s Current Report on  </w:t>
      </w:r>
      <w:r>
        <w:rPr>
          <w:spacing w:val="9"/>
          <w:w w:val="110"/>
          <w:sz w:val="20"/>
        </w:rPr>
        <w:t>Form </w:t>
      </w:r>
      <w:r>
        <w:rPr>
          <w:w w:val="110"/>
          <w:sz w:val="20"/>
        </w:rPr>
        <w:t>8-K dated June 24, 1991 [File No.   </w:t>
      </w:r>
      <w:r>
        <w:rPr>
          <w:spacing w:val="28"/>
          <w:w w:val="110"/>
          <w:sz w:val="20"/>
        </w:rPr>
        <w:t> </w:t>
      </w:r>
      <w:r>
        <w:rPr>
          <w:w w:val="110"/>
          <w:sz w:val="20"/>
        </w:rPr>
        <w:t>1-7259]).</w:t>
      </w:r>
    </w:p>
    <w:p>
      <w:pPr>
        <w:pStyle w:val="BodyText"/>
        <w:spacing w:before="4"/>
        <w:rPr>
          <w:sz w:val="21"/>
        </w:rPr>
      </w:pPr>
    </w:p>
    <w:p>
      <w:pPr>
        <w:pStyle w:val="ListParagraph"/>
        <w:numPr>
          <w:ilvl w:val="1"/>
          <w:numId w:val="14"/>
        </w:numPr>
        <w:tabs>
          <w:tab w:pos="1539" w:val="left" w:leader="none"/>
          <w:tab w:pos="1540" w:val="left" w:leader="none"/>
        </w:tabs>
        <w:spacing w:line="254" w:lineRule="auto" w:before="1" w:after="0"/>
        <w:ind w:left="1540" w:right="108" w:hanging="900"/>
        <w:jc w:val="both"/>
        <w:rPr>
          <w:sz w:val="20"/>
        </w:rPr>
      </w:pPr>
      <w:r>
        <w:rPr>
          <w:w w:val="105"/>
          <w:sz w:val="20"/>
        </w:rPr>
        <w:t>Indenture dated as  of  February  25,  1997,  between  the  Company  and  U.S.  Trust  </w:t>
      </w:r>
      <w:r>
        <w:rPr>
          <w:spacing w:val="9"/>
          <w:w w:val="105"/>
          <w:sz w:val="20"/>
        </w:rPr>
        <w:t>Company </w:t>
      </w:r>
      <w:r>
        <w:rPr>
          <w:w w:val="105"/>
          <w:sz w:val="20"/>
        </w:rPr>
        <w:t>of Texas, N.A. (incorporated by reference to </w:t>
      </w:r>
      <w:r>
        <w:rPr>
          <w:spacing w:val="2"/>
          <w:w w:val="105"/>
          <w:sz w:val="20"/>
          <w:u w:val="single"/>
        </w:rPr>
        <w:t>Exhibit  </w:t>
      </w:r>
      <w:r>
        <w:rPr>
          <w:w w:val="105"/>
          <w:sz w:val="20"/>
          <w:u w:val="single"/>
        </w:rPr>
        <w:t>4.2  </w:t>
      </w:r>
      <w:r>
        <w:rPr>
          <w:w w:val="105"/>
          <w:sz w:val="20"/>
        </w:rPr>
        <w:t>to  Southwest’s  </w:t>
      </w:r>
      <w:r>
        <w:rPr>
          <w:spacing w:val="2"/>
          <w:w w:val="105"/>
          <w:sz w:val="20"/>
        </w:rPr>
        <w:t>Annual  </w:t>
      </w:r>
      <w:r>
        <w:rPr>
          <w:w w:val="105"/>
          <w:sz w:val="20"/>
        </w:rPr>
        <w:t>Report  </w:t>
      </w:r>
      <w:r>
        <w:rPr>
          <w:spacing w:val="12"/>
          <w:w w:val="105"/>
          <w:sz w:val="20"/>
        </w:rPr>
        <w:t>on </w:t>
      </w:r>
      <w:r>
        <w:rPr>
          <w:w w:val="105"/>
          <w:sz w:val="20"/>
        </w:rPr>
        <w:t>Form  10-K  for  the  year  ended  December  31,  1996  [File  No.</w:t>
      </w:r>
      <w:r>
        <w:rPr>
          <w:spacing w:val="-9"/>
          <w:w w:val="105"/>
          <w:sz w:val="20"/>
        </w:rPr>
        <w:t> </w:t>
      </w:r>
      <w:r>
        <w:rPr>
          <w:w w:val="105"/>
          <w:sz w:val="20"/>
        </w:rPr>
        <w:t>1-7259]).</w:t>
      </w:r>
    </w:p>
    <w:p>
      <w:pPr>
        <w:spacing w:after="0" w:line="254" w:lineRule="auto"/>
        <w:jc w:val="both"/>
        <w:rPr>
          <w:sz w:val="20"/>
        </w:rPr>
        <w:sectPr>
          <w:headerReference w:type="default" r:id="rId175"/>
          <w:footerReference w:type="default" r:id="rId176"/>
          <w:footerReference w:type="even" r:id="rId177"/>
          <w:pgSz w:w="11520" w:h="14400"/>
          <w:pgMar w:header="0" w:footer="706" w:top="960" w:bottom="900" w:left="700" w:right="840"/>
          <w:pgNumType w:start="63"/>
        </w:sectPr>
      </w:pPr>
    </w:p>
    <w:p>
      <w:pPr>
        <w:pStyle w:val="BodyText"/>
        <w:spacing w:line="254" w:lineRule="auto" w:before="69"/>
        <w:ind w:left="1540" w:right="104"/>
        <w:jc w:val="both"/>
      </w:pPr>
      <w:r>
        <w:rPr>
          <w:w w:val="110"/>
        </w:rPr>
        <w:t>Southwest is not filing any other instruments </w:t>
      </w:r>
      <w:r>
        <w:rPr>
          <w:spacing w:val="4"/>
          <w:w w:val="110"/>
        </w:rPr>
        <w:t>evidencing </w:t>
      </w:r>
      <w:r>
        <w:rPr>
          <w:w w:val="110"/>
        </w:rPr>
        <w:t>any </w:t>
      </w:r>
      <w:r>
        <w:rPr>
          <w:spacing w:val="3"/>
          <w:w w:val="110"/>
        </w:rPr>
        <w:t>indebtedness </w:t>
      </w:r>
      <w:r>
        <w:rPr>
          <w:spacing w:val="2"/>
          <w:w w:val="110"/>
        </w:rPr>
        <w:t>because </w:t>
      </w:r>
      <w:r>
        <w:rPr>
          <w:spacing w:val="6"/>
          <w:w w:val="110"/>
        </w:rPr>
        <w:t>the</w:t>
      </w:r>
      <w:r>
        <w:rPr>
          <w:spacing w:val="61"/>
          <w:w w:val="110"/>
        </w:rPr>
        <w:t> </w:t>
      </w:r>
      <w:r>
        <w:rPr>
          <w:w w:val="110"/>
        </w:rPr>
        <w:t>total amount of securities authorized under any single such instrument  does  not  </w:t>
      </w:r>
      <w:r>
        <w:rPr>
          <w:spacing w:val="12"/>
          <w:w w:val="110"/>
        </w:rPr>
        <w:t>exceed </w:t>
      </w:r>
      <w:r>
        <w:rPr>
          <w:w w:val="110"/>
        </w:rPr>
        <w:t>ten percent of its total consolidated assets. Copies of  such  instruments  will be  </w:t>
      </w:r>
      <w:r>
        <w:rPr>
          <w:spacing w:val="8"/>
          <w:w w:val="110"/>
        </w:rPr>
        <w:t>furnished</w:t>
      </w:r>
      <w:r>
        <w:rPr>
          <w:spacing w:val="65"/>
          <w:w w:val="110"/>
        </w:rPr>
        <w:t> </w:t>
      </w:r>
      <w:r>
        <w:rPr>
          <w:w w:val="110"/>
        </w:rPr>
        <w:t>to</w:t>
      </w:r>
      <w:r>
        <w:rPr>
          <w:spacing w:val="38"/>
          <w:w w:val="110"/>
        </w:rPr>
        <w:t> </w:t>
      </w:r>
      <w:r>
        <w:rPr>
          <w:w w:val="110"/>
        </w:rPr>
        <w:t>the</w:t>
      </w:r>
      <w:r>
        <w:rPr>
          <w:spacing w:val="38"/>
          <w:w w:val="110"/>
        </w:rPr>
        <w:t> </w:t>
      </w:r>
      <w:r>
        <w:rPr>
          <w:w w:val="110"/>
        </w:rPr>
        <w:t>Securities</w:t>
      </w:r>
      <w:r>
        <w:rPr>
          <w:spacing w:val="38"/>
          <w:w w:val="110"/>
        </w:rPr>
        <w:t> </w:t>
      </w:r>
      <w:r>
        <w:rPr>
          <w:w w:val="110"/>
        </w:rPr>
        <w:t>and</w:t>
      </w:r>
      <w:r>
        <w:rPr>
          <w:spacing w:val="38"/>
          <w:w w:val="110"/>
        </w:rPr>
        <w:t> </w:t>
      </w:r>
      <w:r>
        <w:rPr>
          <w:w w:val="110"/>
        </w:rPr>
        <w:t>Exchange</w:t>
      </w:r>
      <w:r>
        <w:rPr>
          <w:spacing w:val="38"/>
          <w:w w:val="110"/>
        </w:rPr>
        <w:t> </w:t>
      </w:r>
      <w:r>
        <w:rPr>
          <w:w w:val="110"/>
        </w:rPr>
        <w:t>Commission</w:t>
      </w:r>
      <w:r>
        <w:rPr>
          <w:spacing w:val="38"/>
          <w:w w:val="110"/>
        </w:rPr>
        <w:t> </w:t>
      </w:r>
      <w:r>
        <w:rPr>
          <w:w w:val="110"/>
        </w:rPr>
        <w:t>upon</w:t>
      </w:r>
      <w:r>
        <w:rPr>
          <w:spacing w:val="38"/>
          <w:w w:val="110"/>
        </w:rPr>
        <w:t> </w:t>
      </w:r>
      <w:r>
        <w:rPr>
          <w:w w:val="110"/>
        </w:rPr>
        <w:t>request.</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02" w:hanging="900"/>
        <w:jc w:val="both"/>
        <w:rPr>
          <w:sz w:val="20"/>
        </w:rPr>
      </w:pPr>
      <w:r>
        <w:rPr>
          <w:spacing w:val="2"/>
          <w:w w:val="105"/>
          <w:sz w:val="20"/>
        </w:rPr>
        <w:t>Purchase  Agreement  </w:t>
      </w:r>
      <w:r>
        <w:rPr>
          <w:w w:val="105"/>
          <w:sz w:val="20"/>
        </w:rPr>
        <w:t>No.  1810,  dated  January  19,  1994,  </w:t>
      </w:r>
      <w:r>
        <w:rPr>
          <w:spacing w:val="2"/>
          <w:w w:val="105"/>
          <w:sz w:val="20"/>
        </w:rPr>
        <w:t>between  </w:t>
      </w:r>
      <w:r>
        <w:rPr>
          <w:w w:val="105"/>
          <w:sz w:val="20"/>
        </w:rPr>
        <w:t>The  Boeing   </w:t>
      </w:r>
      <w:r>
        <w:rPr>
          <w:spacing w:val="9"/>
          <w:w w:val="105"/>
          <w:sz w:val="20"/>
        </w:rPr>
        <w:t>Company </w:t>
      </w:r>
      <w:r>
        <w:rPr>
          <w:w w:val="105"/>
          <w:sz w:val="20"/>
        </w:rPr>
        <w:t>and  Southwest  </w:t>
      </w:r>
      <w:r>
        <w:rPr>
          <w:spacing w:val="2"/>
          <w:w w:val="105"/>
          <w:sz w:val="20"/>
        </w:rPr>
        <w:t>(incorporated  </w:t>
      </w:r>
      <w:r>
        <w:rPr>
          <w:w w:val="105"/>
          <w:sz w:val="20"/>
        </w:rPr>
        <w:t>by  reference  to  </w:t>
      </w:r>
      <w:r>
        <w:rPr>
          <w:spacing w:val="2"/>
          <w:w w:val="105"/>
          <w:sz w:val="20"/>
          <w:u w:val="single"/>
        </w:rPr>
        <w:t>Exhibit  </w:t>
      </w:r>
      <w:r>
        <w:rPr>
          <w:w w:val="105"/>
          <w:sz w:val="20"/>
          <w:u w:val="single"/>
        </w:rPr>
        <w:t>10.4  </w:t>
      </w:r>
      <w:r>
        <w:rPr>
          <w:w w:val="105"/>
          <w:sz w:val="20"/>
        </w:rPr>
        <w:t>to  Southwest’s  </w:t>
      </w:r>
      <w:r>
        <w:rPr>
          <w:spacing w:val="2"/>
          <w:w w:val="105"/>
          <w:sz w:val="20"/>
        </w:rPr>
        <w:t>Annual   </w:t>
      </w:r>
      <w:r>
        <w:rPr>
          <w:spacing w:val="4"/>
          <w:w w:val="105"/>
          <w:sz w:val="20"/>
        </w:rPr>
        <w:t>Report </w:t>
      </w:r>
      <w:r>
        <w:rPr>
          <w:w w:val="105"/>
          <w:sz w:val="20"/>
        </w:rPr>
        <w:t>on Form 10-K for the year </w:t>
      </w:r>
      <w:r>
        <w:rPr>
          <w:spacing w:val="3"/>
          <w:w w:val="105"/>
          <w:sz w:val="20"/>
        </w:rPr>
        <w:t>ended December </w:t>
      </w:r>
      <w:r>
        <w:rPr>
          <w:w w:val="105"/>
          <w:sz w:val="20"/>
        </w:rPr>
        <w:t>31, 1993 [File No. 1-7259]); </w:t>
      </w:r>
      <w:r>
        <w:rPr>
          <w:spacing w:val="6"/>
          <w:w w:val="105"/>
          <w:sz w:val="20"/>
        </w:rPr>
        <w:t>Supplemental </w:t>
      </w:r>
      <w:r>
        <w:rPr>
          <w:spacing w:val="2"/>
          <w:w w:val="105"/>
          <w:sz w:val="20"/>
        </w:rPr>
        <w:t>Agreement  </w:t>
      </w:r>
      <w:r>
        <w:rPr>
          <w:w w:val="105"/>
          <w:sz w:val="20"/>
        </w:rPr>
        <w:t>No.  1.  </w:t>
      </w:r>
      <w:r>
        <w:rPr>
          <w:spacing w:val="2"/>
          <w:w w:val="105"/>
          <w:sz w:val="20"/>
        </w:rPr>
        <w:t>(incorporated  </w:t>
      </w:r>
      <w:r>
        <w:rPr>
          <w:w w:val="105"/>
          <w:sz w:val="20"/>
        </w:rPr>
        <w:t>by  reference  to  </w:t>
      </w:r>
      <w:r>
        <w:rPr>
          <w:spacing w:val="2"/>
          <w:w w:val="105"/>
          <w:sz w:val="20"/>
          <w:u w:val="single"/>
        </w:rPr>
        <w:t>Exhibit  </w:t>
      </w:r>
      <w:r>
        <w:rPr>
          <w:w w:val="105"/>
          <w:sz w:val="20"/>
          <w:u w:val="single"/>
        </w:rPr>
        <w:t>10.3  </w:t>
      </w:r>
      <w:r>
        <w:rPr>
          <w:w w:val="105"/>
          <w:sz w:val="20"/>
        </w:rPr>
        <w:t>to  Southwest’s   </w:t>
      </w:r>
      <w:r>
        <w:rPr>
          <w:spacing w:val="9"/>
          <w:w w:val="105"/>
          <w:sz w:val="20"/>
        </w:rPr>
        <w:t>Annual </w:t>
      </w:r>
      <w:r>
        <w:rPr>
          <w:w w:val="105"/>
          <w:sz w:val="20"/>
        </w:rPr>
        <w:t>Report on Form 10-K for the  year  </w:t>
      </w:r>
      <w:r>
        <w:rPr>
          <w:spacing w:val="3"/>
          <w:w w:val="105"/>
          <w:sz w:val="20"/>
        </w:rPr>
        <w:t>ended</w:t>
      </w:r>
      <w:r>
        <w:rPr>
          <w:spacing w:val="53"/>
          <w:w w:val="105"/>
          <w:sz w:val="20"/>
        </w:rPr>
        <w:t> </w:t>
      </w:r>
      <w:r>
        <w:rPr>
          <w:spacing w:val="3"/>
          <w:w w:val="105"/>
          <w:sz w:val="20"/>
        </w:rPr>
        <w:t>December</w:t>
      </w:r>
      <w:r>
        <w:rPr>
          <w:spacing w:val="53"/>
          <w:w w:val="105"/>
          <w:sz w:val="20"/>
        </w:rPr>
        <w:t> </w:t>
      </w:r>
      <w:r>
        <w:rPr>
          <w:w w:val="105"/>
          <w:sz w:val="20"/>
        </w:rPr>
        <w:t>31,  1996  [File  No.  1-7259]); Supplemental Agreements Nos. 2, 3, and 4 </w:t>
      </w:r>
      <w:r>
        <w:rPr>
          <w:spacing w:val="2"/>
          <w:w w:val="105"/>
          <w:sz w:val="20"/>
        </w:rPr>
        <w:t>(incorporated </w:t>
      </w:r>
      <w:r>
        <w:rPr>
          <w:w w:val="105"/>
          <w:sz w:val="20"/>
        </w:rPr>
        <w:t>by reference to </w:t>
      </w:r>
      <w:r>
        <w:rPr>
          <w:spacing w:val="2"/>
          <w:w w:val="105"/>
          <w:sz w:val="20"/>
          <w:u w:val="single"/>
        </w:rPr>
        <w:t>Exhibit </w:t>
      </w:r>
      <w:r>
        <w:rPr>
          <w:w w:val="105"/>
          <w:sz w:val="20"/>
          <w:u w:val="single"/>
        </w:rPr>
        <w:t>10.2 </w:t>
      </w:r>
      <w:r>
        <w:rPr>
          <w:spacing w:val="8"/>
          <w:w w:val="105"/>
          <w:sz w:val="20"/>
        </w:rPr>
        <w:t>to </w:t>
      </w:r>
      <w:r>
        <w:rPr>
          <w:w w:val="105"/>
          <w:sz w:val="20"/>
        </w:rPr>
        <w:t>Southwest’s Annual Report on Form 10-K for the year ended December 31, 1997 [File </w:t>
      </w:r>
      <w:r>
        <w:rPr>
          <w:spacing w:val="6"/>
          <w:w w:val="105"/>
          <w:sz w:val="20"/>
        </w:rPr>
        <w:t>No. </w:t>
      </w:r>
      <w:r>
        <w:rPr>
          <w:w w:val="105"/>
          <w:sz w:val="20"/>
        </w:rPr>
        <w:t>1-7259]);  </w:t>
      </w:r>
      <w:r>
        <w:rPr>
          <w:spacing w:val="2"/>
          <w:w w:val="105"/>
          <w:sz w:val="20"/>
        </w:rPr>
        <w:t>Supplemental  Agreements  </w:t>
      </w:r>
      <w:r>
        <w:rPr>
          <w:w w:val="105"/>
          <w:sz w:val="20"/>
        </w:rPr>
        <w:t>Nos.  5,  6,  and  7;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w:t>
      </w:r>
      <w:r>
        <w:rPr>
          <w:spacing w:val="2"/>
          <w:w w:val="105"/>
          <w:sz w:val="20"/>
        </w:rPr>
        <w:t>Annual  </w:t>
      </w:r>
      <w:r>
        <w:rPr>
          <w:w w:val="105"/>
          <w:sz w:val="20"/>
        </w:rPr>
        <w:t>Report  on  Form   10-K   for   the   year   </w:t>
      </w:r>
      <w:r>
        <w:rPr>
          <w:spacing w:val="15"/>
          <w:w w:val="105"/>
          <w:sz w:val="20"/>
        </w:rPr>
        <w:t>ended  </w:t>
      </w:r>
      <w:r>
        <w:rPr>
          <w:spacing w:val="2"/>
          <w:w w:val="105"/>
          <w:sz w:val="20"/>
        </w:rPr>
        <w:t>December </w:t>
      </w:r>
      <w:r>
        <w:rPr>
          <w:w w:val="105"/>
          <w:sz w:val="20"/>
        </w:rPr>
        <w:t>31, 1998 [File No. 1-7259]); </w:t>
      </w:r>
      <w:r>
        <w:rPr>
          <w:spacing w:val="2"/>
          <w:w w:val="105"/>
          <w:sz w:val="20"/>
        </w:rPr>
        <w:t>Supplemental Agreements </w:t>
      </w:r>
      <w:r>
        <w:rPr>
          <w:w w:val="105"/>
          <w:sz w:val="20"/>
        </w:rPr>
        <w:t>Nos. 8, 9,  and  10 (incorporated by reference to </w:t>
      </w:r>
      <w:r>
        <w:rPr>
          <w:spacing w:val="4"/>
          <w:w w:val="105"/>
          <w:sz w:val="20"/>
          <w:u w:val="single"/>
        </w:rPr>
        <w:t>Exhibit  </w:t>
      </w:r>
      <w:r>
        <w:rPr>
          <w:w w:val="105"/>
          <w:sz w:val="20"/>
          <w:u w:val="single"/>
        </w:rPr>
        <w:t>10.1  </w:t>
      </w:r>
      <w:r>
        <w:rPr>
          <w:w w:val="105"/>
          <w:sz w:val="20"/>
        </w:rPr>
        <w:t>to  Southwest’s  Annual  Report  on  Form  10-K  </w:t>
      </w:r>
      <w:r>
        <w:rPr>
          <w:spacing w:val="2"/>
          <w:w w:val="105"/>
          <w:sz w:val="20"/>
        </w:rPr>
        <w:t>for </w:t>
      </w:r>
      <w:r>
        <w:rPr>
          <w:w w:val="105"/>
          <w:sz w:val="20"/>
        </w:rPr>
        <w:t>the  year  </w:t>
      </w:r>
      <w:r>
        <w:rPr>
          <w:spacing w:val="3"/>
          <w:w w:val="105"/>
          <w:sz w:val="20"/>
        </w:rPr>
        <w:t>ended</w:t>
      </w:r>
      <w:r>
        <w:rPr>
          <w:spacing w:val="53"/>
          <w:w w:val="105"/>
          <w:sz w:val="20"/>
        </w:rPr>
        <w:t> </w:t>
      </w:r>
      <w:r>
        <w:rPr>
          <w:spacing w:val="3"/>
          <w:w w:val="105"/>
          <w:sz w:val="20"/>
        </w:rPr>
        <w:t>December</w:t>
      </w:r>
      <w:r>
        <w:rPr>
          <w:spacing w:val="53"/>
          <w:w w:val="105"/>
          <w:sz w:val="20"/>
        </w:rPr>
        <w:t> </w:t>
      </w:r>
      <w:r>
        <w:rPr>
          <w:w w:val="105"/>
          <w:sz w:val="20"/>
        </w:rPr>
        <w:t>31,  1999  [File  No.  1-7259]);  </w:t>
      </w:r>
      <w:r>
        <w:rPr>
          <w:spacing w:val="2"/>
          <w:w w:val="105"/>
          <w:sz w:val="20"/>
        </w:rPr>
        <w:t>Supplemental   Agreements   </w:t>
      </w:r>
      <w:r>
        <w:rPr>
          <w:spacing w:val="5"/>
          <w:w w:val="105"/>
          <w:sz w:val="20"/>
        </w:rPr>
        <w:t>Nos. </w:t>
      </w:r>
      <w:r>
        <w:rPr>
          <w:w w:val="105"/>
          <w:sz w:val="20"/>
        </w:rPr>
        <w:t>11, 12, 13, and  14  </w:t>
      </w:r>
      <w:r>
        <w:rPr>
          <w:spacing w:val="2"/>
          <w:w w:val="105"/>
          <w:sz w:val="20"/>
        </w:rPr>
        <w:t>(incorporated  </w:t>
      </w:r>
      <w:r>
        <w:rPr>
          <w:w w:val="105"/>
          <w:sz w:val="20"/>
        </w:rPr>
        <w:t>by  reference  to  </w:t>
      </w:r>
      <w:r>
        <w:rPr>
          <w:spacing w:val="2"/>
          <w:w w:val="105"/>
          <w:sz w:val="20"/>
          <w:u w:val="single"/>
        </w:rPr>
        <w:t>Exhibit  </w:t>
      </w:r>
      <w:r>
        <w:rPr>
          <w:w w:val="105"/>
          <w:sz w:val="20"/>
          <w:u w:val="single"/>
        </w:rPr>
        <w:t>10.1  </w:t>
      </w:r>
      <w:r>
        <w:rPr>
          <w:w w:val="105"/>
          <w:sz w:val="20"/>
        </w:rPr>
        <w:t>to  Southwest’s  Quarterly Report on Form 10-Q for the quarter </w:t>
      </w:r>
      <w:r>
        <w:rPr>
          <w:spacing w:val="2"/>
          <w:w w:val="105"/>
          <w:sz w:val="20"/>
        </w:rPr>
        <w:t>ended September </w:t>
      </w:r>
      <w:r>
        <w:rPr>
          <w:w w:val="105"/>
          <w:sz w:val="20"/>
        </w:rPr>
        <w:t>30, 2000 [File  No.  1-7259]); </w:t>
      </w:r>
      <w:r>
        <w:rPr>
          <w:spacing w:val="2"/>
          <w:w w:val="105"/>
          <w:sz w:val="20"/>
        </w:rPr>
        <w:t>Supplemental Agreements </w:t>
      </w:r>
      <w:r>
        <w:rPr>
          <w:w w:val="105"/>
          <w:sz w:val="20"/>
        </w:rPr>
        <w:t>Nos.  15,  16,  17,  18,  and  19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spacing w:val="2"/>
          <w:w w:val="105"/>
          <w:sz w:val="20"/>
        </w:rPr>
        <w:t>September  </w:t>
      </w:r>
      <w:r>
        <w:rPr>
          <w:w w:val="105"/>
          <w:sz w:val="20"/>
        </w:rPr>
        <w:t>30,  2001  [File  No.  1-7259]);  </w:t>
      </w:r>
      <w:r>
        <w:rPr>
          <w:spacing w:val="2"/>
          <w:w w:val="105"/>
          <w:sz w:val="20"/>
        </w:rPr>
        <w:t>Supplemental  Agreements  </w:t>
      </w:r>
      <w:r>
        <w:rPr>
          <w:w w:val="105"/>
          <w:sz w:val="20"/>
        </w:rPr>
        <w:t>Nos.  20,  21,   22,   23, and 24  </w:t>
      </w:r>
      <w:r>
        <w:rPr>
          <w:spacing w:val="2"/>
          <w:w w:val="105"/>
          <w:sz w:val="20"/>
        </w:rPr>
        <w:t>(incorporated  </w:t>
      </w:r>
      <w:r>
        <w:rPr>
          <w:w w:val="105"/>
          <w:sz w:val="20"/>
        </w:rPr>
        <w:t>by  reference  to  </w:t>
      </w:r>
      <w:r>
        <w:rPr>
          <w:spacing w:val="2"/>
          <w:w w:val="105"/>
          <w:sz w:val="20"/>
          <w:u w:val="single"/>
        </w:rPr>
        <w:t>Exhibit  </w:t>
      </w:r>
      <w:r>
        <w:rPr>
          <w:w w:val="105"/>
          <w:sz w:val="20"/>
          <w:u w:val="single"/>
        </w:rPr>
        <w:t>10.3  </w:t>
      </w:r>
      <w:r>
        <w:rPr>
          <w:w w:val="105"/>
          <w:sz w:val="20"/>
        </w:rPr>
        <w:t>to  Southwest’s  Quarterly  Report  </w:t>
      </w:r>
      <w:r>
        <w:rPr>
          <w:spacing w:val="12"/>
          <w:w w:val="105"/>
          <w:sz w:val="20"/>
        </w:rPr>
        <w:t>on  </w:t>
      </w:r>
      <w:r>
        <w:rPr>
          <w:w w:val="105"/>
          <w:sz w:val="20"/>
        </w:rPr>
        <w:t>Form</w:t>
      </w:r>
      <w:r>
        <w:rPr>
          <w:spacing w:val="41"/>
          <w:w w:val="105"/>
          <w:sz w:val="20"/>
        </w:rPr>
        <w:t> </w:t>
      </w:r>
      <w:r>
        <w:rPr>
          <w:w w:val="105"/>
          <w:sz w:val="20"/>
        </w:rPr>
        <w:t>10-Q</w:t>
      </w:r>
      <w:r>
        <w:rPr>
          <w:spacing w:val="41"/>
          <w:w w:val="105"/>
          <w:sz w:val="20"/>
        </w:rPr>
        <w:t> </w:t>
      </w:r>
      <w:r>
        <w:rPr>
          <w:w w:val="105"/>
          <w:sz w:val="20"/>
        </w:rPr>
        <w:t>for</w:t>
      </w:r>
      <w:r>
        <w:rPr>
          <w:spacing w:val="41"/>
          <w:w w:val="105"/>
          <w:sz w:val="20"/>
        </w:rPr>
        <w:t> </w:t>
      </w:r>
      <w:r>
        <w:rPr>
          <w:w w:val="105"/>
          <w:sz w:val="20"/>
        </w:rPr>
        <w:t>the</w:t>
      </w:r>
      <w:r>
        <w:rPr>
          <w:spacing w:val="41"/>
          <w:w w:val="105"/>
          <w:sz w:val="20"/>
        </w:rPr>
        <w:t> </w:t>
      </w:r>
      <w:r>
        <w:rPr>
          <w:w w:val="105"/>
          <w:sz w:val="20"/>
        </w:rPr>
        <w:t>quarter</w:t>
      </w:r>
      <w:r>
        <w:rPr>
          <w:spacing w:val="41"/>
          <w:w w:val="105"/>
          <w:sz w:val="20"/>
        </w:rPr>
        <w:t> </w:t>
      </w:r>
      <w:r>
        <w:rPr>
          <w:w w:val="105"/>
          <w:sz w:val="20"/>
        </w:rPr>
        <w:t>ended</w:t>
      </w:r>
      <w:r>
        <w:rPr>
          <w:spacing w:val="41"/>
          <w:w w:val="105"/>
          <w:sz w:val="20"/>
        </w:rPr>
        <w:t> </w:t>
      </w:r>
      <w:r>
        <w:rPr>
          <w:w w:val="105"/>
          <w:sz w:val="20"/>
        </w:rPr>
        <w:t>September</w:t>
      </w:r>
      <w:r>
        <w:rPr>
          <w:spacing w:val="41"/>
          <w:w w:val="105"/>
          <w:sz w:val="20"/>
        </w:rPr>
        <w:t> </w:t>
      </w:r>
      <w:r>
        <w:rPr>
          <w:w w:val="105"/>
          <w:sz w:val="20"/>
        </w:rPr>
        <w:t>30,</w:t>
      </w:r>
      <w:r>
        <w:rPr>
          <w:spacing w:val="41"/>
          <w:w w:val="105"/>
          <w:sz w:val="20"/>
        </w:rPr>
        <w:t> </w:t>
      </w:r>
      <w:r>
        <w:rPr>
          <w:w w:val="105"/>
          <w:sz w:val="20"/>
        </w:rPr>
        <w:t>2002</w:t>
      </w:r>
      <w:r>
        <w:rPr>
          <w:spacing w:val="41"/>
          <w:w w:val="105"/>
          <w:sz w:val="20"/>
        </w:rPr>
        <w:t> </w:t>
      </w:r>
      <w:r>
        <w:rPr>
          <w:w w:val="105"/>
          <w:sz w:val="20"/>
        </w:rPr>
        <w:t>[File</w:t>
      </w:r>
      <w:r>
        <w:rPr>
          <w:spacing w:val="41"/>
          <w:w w:val="105"/>
          <w:sz w:val="20"/>
        </w:rPr>
        <w:t> </w:t>
      </w:r>
      <w:r>
        <w:rPr>
          <w:w w:val="105"/>
          <w:sz w:val="20"/>
        </w:rPr>
        <w:t>No.</w:t>
      </w:r>
      <w:r>
        <w:rPr>
          <w:spacing w:val="41"/>
          <w:w w:val="105"/>
          <w:sz w:val="20"/>
        </w:rPr>
        <w:t> </w:t>
      </w:r>
      <w:r>
        <w:rPr>
          <w:w w:val="105"/>
          <w:sz w:val="20"/>
        </w:rPr>
        <w:t>1-7259]).</w:t>
      </w:r>
    </w:p>
    <w:p>
      <w:pPr>
        <w:pStyle w:val="BodyText"/>
        <w:spacing w:before="4"/>
        <w:rPr>
          <w:sz w:val="21"/>
        </w:rPr>
      </w:pPr>
    </w:p>
    <w:p>
      <w:pPr>
        <w:pStyle w:val="BodyText"/>
        <w:spacing w:line="254" w:lineRule="auto"/>
        <w:ind w:left="1540" w:right="101"/>
        <w:jc w:val="both"/>
      </w:pPr>
      <w:r>
        <w:rPr>
          <w:w w:val="105"/>
        </w:rPr>
        <w:t>Pursuant to 17 CFR  240.24b-2,  confidential  information  has  been  omitted  and  has  been filed separately with the Securities and Exchange Commission pursuant to a Confidential Treatment  Application  filed  with  the Commission.</w:t>
      </w:r>
    </w:p>
    <w:p>
      <w:pPr>
        <w:pStyle w:val="BodyText"/>
        <w:spacing w:before="4"/>
        <w:rPr>
          <w:sz w:val="21"/>
        </w:rPr>
      </w:pPr>
    </w:p>
    <w:p>
      <w:pPr>
        <w:pStyle w:val="BodyText"/>
        <w:spacing w:line="254" w:lineRule="auto"/>
        <w:ind w:left="1540" w:right="111"/>
        <w:jc w:val="both"/>
      </w:pPr>
      <w:r>
        <w:rPr>
          <w:w w:val="105"/>
        </w:rPr>
        <w:t>The following </w:t>
      </w:r>
      <w:r>
        <w:rPr>
          <w:spacing w:val="2"/>
          <w:w w:val="105"/>
        </w:rPr>
        <w:t>exhibits </w:t>
      </w:r>
      <w:r>
        <w:rPr>
          <w:w w:val="105"/>
        </w:rPr>
        <w:t>filed under </w:t>
      </w:r>
      <w:r>
        <w:rPr>
          <w:spacing w:val="2"/>
          <w:w w:val="105"/>
        </w:rPr>
        <w:t>paragraph </w:t>
      </w:r>
      <w:r>
        <w:rPr>
          <w:w w:val="105"/>
        </w:rPr>
        <w:t>10 of </w:t>
      </w:r>
      <w:r>
        <w:rPr>
          <w:spacing w:val="2"/>
          <w:w w:val="105"/>
        </w:rPr>
        <w:t>Item  </w:t>
      </w:r>
      <w:r>
        <w:rPr>
          <w:w w:val="105"/>
        </w:rPr>
        <w:t>601  are  the  </w:t>
      </w:r>
      <w:r>
        <w:rPr>
          <w:spacing w:val="6"/>
          <w:w w:val="105"/>
        </w:rPr>
        <w:t>Company’s  </w:t>
      </w:r>
      <w:r>
        <w:rPr>
          <w:spacing w:val="2"/>
          <w:w w:val="105"/>
        </w:rPr>
        <w:t>compensation   plans   </w:t>
      </w:r>
      <w:r>
        <w:rPr>
          <w:w w:val="105"/>
        </w:rPr>
        <w:t>and </w:t>
      </w:r>
      <w:r>
        <w:rPr>
          <w:spacing w:val="1"/>
          <w:w w:val="105"/>
        </w:rPr>
        <w:t> </w:t>
      </w:r>
      <w:r>
        <w:rPr>
          <w:spacing w:val="3"/>
          <w:w w:val="105"/>
        </w:rPr>
        <w:t>arrangements.</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both"/>
        <w:rPr>
          <w:sz w:val="20"/>
        </w:rPr>
      </w:pPr>
      <w:r>
        <w:rPr>
          <w:w w:val="105"/>
          <w:sz w:val="20"/>
        </w:rPr>
        <w:t>Form  of  </w:t>
      </w:r>
      <w:r>
        <w:rPr>
          <w:spacing w:val="2"/>
          <w:w w:val="105"/>
          <w:sz w:val="20"/>
        </w:rPr>
        <w:t>Executive  Employment  Agreement  between  </w:t>
      </w:r>
      <w:r>
        <w:rPr>
          <w:w w:val="105"/>
          <w:sz w:val="20"/>
        </w:rPr>
        <w:t>Southwest  and  certain   </w:t>
      </w:r>
      <w:r>
        <w:rPr>
          <w:spacing w:val="2"/>
          <w:w w:val="105"/>
          <w:sz w:val="20"/>
        </w:rPr>
        <w:t>key  </w:t>
      </w:r>
      <w:r>
        <w:rPr>
          <w:w w:val="105"/>
          <w:sz w:val="20"/>
        </w:rPr>
        <w:t>employees pursuant to Executive Service </w:t>
      </w:r>
      <w:r>
        <w:rPr>
          <w:spacing w:val="2"/>
          <w:w w:val="105"/>
          <w:sz w:val="20"/>
        </w:rPr>
        <w:t>Recognition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28 </w:t>
      </w:r>
      <w:r>
        <w:rPr>
          <w:w w:val="105"/>
          <w:sz w:val="20"/>
        </w:rPr>
        <w:t>to Southwest Quarterly  Report  on  Form  10-Q  for  the  quarter  </w:t>
      </w:r>
      <w:r>
        <w:rPr>
          <w:spacing w:val="2"/>
          <w:w w:val="105"/>
          <w:sz w:val="20"/>
        </w:rPr>
        <w:t>ended  June  </w:t>
      </w:r>
      <w:r>
        <w:rPr>
          <w:w w:val="105"/>
          <w:sz w:val="20"/>
        </w:rPr>
        <w:t>30, 1987  [File  No. </w:t>
      </w:r>
      <w:r>
        <w:rPr>
          <w:spacing w:val="17"/>
          <w:w w:val="105"/>
          <w:sz w:val="20"/>
        </w:rPr>
        <w:t> </w:t>
      </w:r>
      <w:r>
        <w:rPr>
          <w:w w:val="105"/>
          <w:sz w:val="20"/>
        </w:rPr>
        <w:t>1-7259]).</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0" w:hanging="900"/>
        <w:jc w:val="both"/>
        <w:rPr>
          <w:sz w:val="20"/>
        </w:rPr>
      </w:pPr>
      <w:r>
        <w:rPr>
          <w:w w:val="105"/>
          <w:sz w:val="20"/>
        </w:rPr>
        <w:t>1992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1991  [File  No.  </w:t>
      </w:r>
      <w:r>
        <w:rPr>
          <w:spacing w:val="29"/>
          <w:w w:val="105"/>
          <w:sz w:val="20"/>
        </w:rPr>
        <w:t> </w:t>
      </w:r>
      <w:r>
        <w:rPr>
          <w:w w:val="105"/>
          <w:sz w:val="20"/>
        </w:rPr>
        <w:t>1-7259]).</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0" w:hanging="900"/>
        <w:jc w:val="both"/>
        <w:rPr>
          <w:sz w:val="20"/>
        </w:rPr>
      </w:pPr>
      <w:r>
        <w:rPr>
          <w:w w:val="105"/>
          <w:sz w:val="20"/>
        </w:rPr>
        <w:t>1996 stock option  agreements  between  Southwest  and  Herbert  D.  Kelleher  </w:t>
      </w:r>
      <w:r>
        <w:rPr>
          <w:spacing w:val="7"/>
          <w:w w:val="105"/>
          <w:sz w:val="20"/>
        </w:rPr>
        <w:t>(incorporated  </w:t>
      </w:r>
      <w:r>
        <w:rPr>
          <w:w w:val="105"/>
          <w:sz w:val="20"/>
        </w:rPr>
        <w:t>by reference to </w:t>
      </w:r>
      <w:r>
        <w:rPr>
          <w:spacing w:val="2"/>
          <w:w w:val="105"/>
          <w:sz w:val="20"/>
          <w:u w:val="single"/>
        </w:rPr>
        <w:t>Exhibit  </w:t>
      </w:r>
      <w:r>
        <w:rPr>
          <w:w w:val="105"/>
          <w:sz w:val="20"/>
          <w:u w:val="single"/>
        </w:rPr>
        <w:t>10.8  </w:t>
      </w:r>
      <w:r>
        <w:rPr>
          <w:w w:val="105"/>
          <w:sz w:val="20"/>
        </w:rPr>
        <w:t>to  Southwest’s  </w:t>
      </w:r>
      <w:r>
        <w:rPr>
          <w:spacing w:val="2"/>
          <w:w w:val="105"/>
          <w:sz w:val="20"/>
        </w:rPr>
        <w:t>Annual  </w:t>
      </w:r>
      <w:r>
        <w:rPr>
          <w:w w:val="105"/>
          <w:sz w:val="20"/>
        </w:rPr>
        <w:t>Report  on  Form  10-K  for  the  </w:t>
      </w:r>
      <w:r>
        <w:rPr>
          <w:spacing w:val="5"/>
          <w:w w:val="105"/>
          <w:sz w:val="20"/>
        </w:rPr>
        <w:t>year </w:t>
      </w:r>
      <w:r>
        <w:rPr>
          <w:w w:val="105"/>
          <w:sz w:val="20"/>
        </w:rPr>
        <w:t>ended  December  31,  1996  [File  No.  </w:t>
      </w:r>
      <w:r>
        <w:rPr>
          <w:spacing w:val="29"/>
          <w:w w:val="105"/>
          <w:sz w:val="20"/>
        </w:rPr>
        <w:t> </w:t>
      </w:r>
      <w:r>
        <w:rPr>
          <w:w w:val="105"/>
          <w:sz w:val="20"/>
        </w:rPr>
        <w:t>1-7259]).</w:t>
      </w:r>
    </w:p>
    <w:p>
      <w:pPr>
        <w:spacing w:after="0" w:line="254" w:lineRule="auto"/>
        <w:jc w:val="both"/>
        <w:rPr>
          <w:sz w:val="20"/>
        </w:rPr>
        <w:sectPr>
          <w:headerReference w:type="default" r:id="rId178"/>
          <w:pgSz w:w="11520" w:h="14400"/>
          <w:pgMar w:header="0" w:footer="706" w:top="960" w:bottom="900" w:left="700" w:right="840"/>
        </w:sectPr>
      </w:pPr>
    </w:p>
    <w:p>
      <w:pPr>
        <w:pStyle w:val="ListParagraph"/>
        <w:numPr>
          <w:ilvl w:val="1"/>
          <w:numId w:val="15"/>
        </w:numPr>
        <w:tabs>
          <w:tab w:pos="999" w:val="left" w:leader="none"/>
          <w:tab w:pos="1000" w:val="left" w:leader="none"/>
        </w:tabs>
        <w:spacing w:line="254" w:lineRule="auto" w:before="69" w:after="0"/>
        <w:ind w:left="1000" w:right="112" w:hanging="900"/>
        <w:jc w:val="both"/>
        <w:rPr>
          <w:sz w:val="20"/>
        </w:rPr>
      </w:pPr>
      <w:r>
        <w:rPr>
          <w:w w:val="105"/>
          <w:sz w:val="20"/>
        </w:rPr>
        <w:t>2001 </w:t>
      </w:r>
      <w:r>
        <w:rPr>
          <w:spacing w:val="2"/>
          <w:w w:val="105"/>
          <w:sz w:val="20"/>
        </w:rPr>
        <w:t>employment  agreement  </w:t>
      </w:r>
      <w:r>
        <w:rPr>
          <w:w w:val="105"/>
          <w:sz w:val="20"/>
        </w:rPr>
        <w:t>and  related  stock  </w:t>
      </w:r>
      <w:r>
        <w:rPr>
          <w:spacing w:val="2"/>
          <w:w w:val="105"/>
          <w:sz w:val="20"/>
        </w:rPr>
        <w:t>option  agreements  between  </w:t>
      </w:r>
      <w:r>
        <w:rPr>
          <w:spacing w:val="5"/>
          <w:w w:val="105"/>
          <w:sz w:val="20"/>
        </w:rPr>
        <w:t>Southwest </w:t>
      </w:r>
      <w:r>
        <w:rPr>
          <w:w w:val="105"/>
          <w:sz w:val="20"/>
        </w:rPr>
        <w:t>and Herbert D. Kelleher (incorporated by reference to </w:t>
      </w:r>
      <w:r>
        <w:rPr>
          <w:spacing w:val="2"/>
          <w:w w:val="105"/>
          <w:sz w:val="20"/>
          <w:u w:val="single"/>
        </w:rPr>
        <w:t>Exhibit </w:t>
      </w:r>
      <w:r>
        <w:rPr>
          <w:w w:val="105"/>
          <w:sz w:val="20"/>
          <w:u w:val="single"/>
        </w:rPr>
        <w:t>10 </w:t>
      </w:r>
      <w:r>
        <w:rPr>
          <w:w w:val="105"/>
          <w:sz w:val="20"/>
        </w:rPr>
        <w:t>to  Southwest’s  Quarterly Report</w:t>
      </w:r>
      <w:r>
        <w:rPr>
          <w:spacing w:val="36"/>
          <w:w w:val="105"/>
          <w:sz w:val="20"/>
        </w:rPr>
        <w:t> </w:t>
      </w:r>
      <w:r>
        <w:rPr>
          <w:w w:val="105"/>
          <w:sz w:val="20"/>
        </w:rPr>
        <w:t>on</w:t>
      </w:r>
      <w:r>
        <w:rPr>
          <w:spacing w:val="36"/>
          <w:w w:val="105"/>
          <w:sz w:val="20"/>
        </w:rPr>
        <w:t> </w:t>
      </w:r>
      <w:r>
        <w:rPr>
          <w:w w:val="105"/>
          <w:sz w:val="20"/>
        </w:rPr>
        <w:t>Form</w:t>
      </w:r>
      <w:r>
        <w:rPr>
          <w:spacing w:val="36"/>
          <w:w w:val="105"/>
          <w:sz w:val="20"/>
        </w:rPr>
        <w:t> </w:t>
      </w:r>
      <w:r>
        <w:rPr>
          <w:w w:val="105"/>
          <w:sz w:val="20"/>
        </w:rPr>
        <w:t>10-Q</w:t>
      </w:r>
      <w:r>
        <w:rPr>
          <w:spacing w:val="36"/>
          <w:w w:val="105"/>
          <w:sz w:val="20"/>
        </w:rPr>
        <w:t> </w:t>
      </w:r>
      <w:r>
        <w:rPr>
          <w:w w:val="105"/>
          <w:sz w:val="20"/>
        </w:rPr>
        <w:t>for</w:t>
      </w:r>
      <w:r>
        <w:rPr>
          <w:spacing w:val="36"/>
          <w:w w:val="105"/>
          <w:sz w:val="20"/>
        </w:rPr>
        <w:t> </w:t>
      </w:r>
      <w:r>
        <w:rPr>
          <w:w w:val="105"/>
          <w:sz w:val="20"/>
        </w:rPr>
        <w:t>the</w:t>
      </w:r>
      <w:r>
        <w:rPr>
          <w:spacing w:val="36"/>
          <w:w w:val="105"/>
          <w:sz w:val="20"/>
        </w:rPr>
        <w:t> </w:t>
      </w:r>
      <w:r>
        <w:rPr>
          <w:w w:val="105"/>
          <w:sz w:val="20"/>
        </w:rPr>
        <w:t>quarter</w:t>
      </w:r>
      <w:r>
        <w:rPr>
          <w:spacing w:val="36"/>
          <w:w w:val="105"/>
          <w:sz w:val="20"/>
        </w:rPr>
        <w:t> </w:t>
      </w:r>
      <w:r>
        <w:rPr>
          <w:w w:val="105"/>
          <w:sz w:val="20"/>
        </w:rPr>
        <w:t>ended</w:t>
      </w:r>
      <w:r>
        <w:rPr>
          <w:spacing w:val="36"/>
          <w:w w:val="105"/>
          <w:sz w:val="20"/>
        </w:rPr>
        <w:t> </w:t>
      </w:r>
      <w:r>
        <w:rPr>
          <w:w w:val="105"/>
          <w:sz w:val="20"/>
        </w:rPr>
        <w:t>March</w:t>
      </w:r>
      <w:r>
        <w:rPr>
          <w:spacing w:val="36"/>
          <w:w w:val="105"/>
          <w:sz w:val="20"/>
        </w:rPr>
        <w:t> </w:t>
      </w:r>
      <w:r>
        <w:rPr>
          <w:w w:val="105"/>
          <w:sz w:val="20"/>
        </w:rPr>
        <w:t>31,</w:t>
      </w:r>
      <w:r>
        <w:rPr>
          <w:spacing w:val="36"/>
          <w:w w:val="105"/>
          <w:sz w:val="20"/>
        </w:rPr>
        <w:t> </w:t>
      </w:r>
      <w:r>
        <w:rPr>
          <w:w w:val="105"/>
          <w:sz w:val="20"/>
        </w:rPr>
        <w:t>2001</w:t>
      </w:r>
      <w:r>
        <w:rPr>
          <w:spacing w:val="36"/>
          <w:w w:val="105"/>
          <w:sz w:val="20"/>
        </w:rPr>
        <w:t> </w:t>
      </w:r>
      <w:r>
        <w:rPr>
          <w:w w:val="105"/>
          <w:sz w:val="20"/>
        </w:rPr>
        <w:t>[File</w:t>
      </w:r>
      <w:r>
        <w:rPr>
          <w:spacing w:val="36"/>
          <w:w w:val="105"/>
          <w:sz w:val="20"/>
        </w:rPr>
        <w:t> </w:t>
      </w:r>
      <w:r>
        <w:rPr>
          <w:w w:val="105"/>
          <w:sz w:val="20"/>
        </w:rPr>
        <w:t>No.</w:t>
      </w:r>
      <w:r>
        <w:rPr>
          <w:spacing w:val="36"/>
          <w:w w:val="105"/>
          <w:sz w:val="20"/>
        </w:rPr>
        <w:t> </w:t>
      </w:r>
      <w:r>
        <w:rPr>
          <w:w w:val="105"/>
          <w:sz w:val="20"/>
        </w:rPr>
        <w:t>1-7259]).</w:t>
      </w:r>
    </w:p>
    <w:p>
      <w:pPr>
        <w:pStyle w:val="BodyText"/>
        <w:spacing w:before="4"/>
        <w:rPr>
          <w:sz w:val="21"/>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05"/>
          <w:sz w:val="20"/>
        </w:rPr>
        <w:t>1991  Incentive  Stock  Option  </w:t>
      </w:r>
      <w:r>
        <w:rPr>
          <w:spacing w:val="46"/>
          <w:w w:val="105"/>
          <w:sz w:val="20"/>
        </w:rPr>
        <w:t> </w:t>
      </w:r>
      <w:r>
        <w:rPr>
          <w:w w:val="105"/>
          <w:sz w:val="20"/>
        </w:rPr>
        <w:t>Plan.</w:t>
      </w:r>
    </w:p>
    <w:p>
      <w:pPr>
        <w:pStyle w:val="BodyText"/>
        <w:spacing w:before="7"/>
        <w:rPr>
          <w:sz w:val="22"/>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10"/>
          <w:sz w:val="20"/>
        </w:rPr>
        <w:t>1991 Non-Qualified Stock Option  </w:t>
      </w:r>
      <w:r>
        <w:rPr>
          <w:spacing w:val="7"/>
          <w:w w:val="110"/>
          <w:sz w:val="20"/>
        </w:rPr>
        <w:t> </w:t>
      </w:r>
      <w:r>
        <w:rPr>
          <w:w w:val="110"/>
          <w:sz w:val="20"/>
        </w:rPr>
        <w:t>Plan.</w:t>
      </w:r>
    </w:p>
    <w:p>
      <w:pPr>
        <w:pStyle w:val="BodyText"/>
        <w:spacing w:before="7"/>
        <w:rPr>
          <w:sz w:val="22"/>
        </w:rPr>
      </w:pPr>
    </w:p>
    <w:p>
      <w:pPr>
        <w:pStyle w:val="ListParagraph"/>
        <w:numPr>
          <w:ilvl w:val="1"/>
          <w:numId w:val="15"/>
        </w:numPr>
        <w:tabs>
          <w:tab w:pos="1002" w:val="left" w:leader="none"/>
          <w:tab w:pos="1003" w:val="left" w:leader="none"/>
        </w:tabs>
        <w:spacing w:line="254" w:lineRule="auto" w:before="0" w:after="0"/>
        <w:ind w:left="1000" w:right="119" w:hanging="900"/>
        <w:jc w:val="both"/>
        <w:rPr>
          <w:sz w:val="20"/>
        </w:rPr>
      </w:pPr>
      <w:r>
        <w:rPr>
          <w:w w:val="105"/>
          <w:sz w:val="20"/>
        </w:rPr>
        <w:t>1991 Employee Stock Purchase Plan as </w:t>
      </w:r>
      <w:r>
        <w:rPr>
          <w:spacing w:val="4"/>
          <w:w w:val="105"/>
          <w:sz w:val="20"/>
        </w:rPr>
        <w:t>amended </w:t>
      </w:r>
      <w:r>
        <w:rPr>
          <w:spacing w:val="2"/>
          <w:w w:val="105"/>
          <w:sz w:val="20"/>
        </w:rPr>
        <w:t>September </w:t>
      </w:r>
      <w:r>
        <w:rPr>
          <w:w w:val="105"/>
          <w:sz w:val="20"/>
        </w:rPr>
        <w:t>21, 2000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  </w:t>
      </w:r>
      <w:r>
        <w:rPr>
          <w:w w:val="105"/>
          <w:sz w:val="20"/>
        </w:rPr>
        <w:t>to  </w:t>
      </w:r>
      <w:r>
        <w:rPr>
          <w:spacing w:val="4"/>
          <w:w w:val="105"/>
          <w:sz w:val="20"/>
        </w:rPr>
        <w:t>Amendment  </w:t>
      </w:r>
      <w:r>
        <w:rPr>
          <w:w w:val="105"/>
          <w:sz w:val="20"/>
        </w:rPr>
        <w:t>No.   1   to   Registration   Statement   on   Form   </w:t>
      </w:r>
      <w:r>
        <w:rPr>
          <w:spacing w:val="-3"/>
          <w:w w:val="105"/>
          <w:sz w:val="20"/>
        </w:rPr>
        <w:t>S-8 </w:t>
      </w:r>
      <w:r>
        <w:rPr>
          <w:w w:val="105"/>
          <w:sz w:val="20"/>
        </w:rPr>
        <w:t>[File  No. </w:t>
      </w:r>
      <w:r>
        <w:rPr>
          <w:spacing w:val="23"/>
          <w:w w:val="105"/>
          <w:sz w:val="20"/>
        </w:rPr>
        <w:t> </w:t>
      </w:r>
      <w:r>
        <w:rPr>
          <w:w w:val="105"/>
          <w:sz w:val="20"/>
        </w:rPr>
        <w:t>33-40653]).</w:t>
      </w:r>
    </w:p>
    <w:p>
      <w:pPr>
        <w:pStyle w:val="BodyText"/>
        <w:spacing w:before="4"/>
        <w:rPr>
          <w:sz w:val="21"/>
        </w:rPr>
      </w:pPr>
    </w:p>
    <w:p>
      <w:pPr>
        <w:pStyle w:val="ListParagraph"/>
        <w:numPr>
          <w:ilvl w:val="1"/>
          <w:numId w:val="15"/>
        </w:numPr>
        <w:tabs>
          <w:tab w:pos="999" w:val="left" w:leader="none"/>
          <w:tab w:pos="1000" w:val="left" w:leader="none"/>
        </w:tabs>
        <w:spacing w:line="254" w:lineRule="auto" w:before="0" w:after="0"/>
        <w:ind w:left="1000" w:right="102" w:hanging="900"/>
        <w:jc w:val="both"/>
        <w:rPr>
          <w:sz w:val="20"/>
        </w:rPr>
      </w:pPr>
      <w:r>
        <w:rPr>
          <w:w w:val="105"/>
          <w:sz w:val="20"/>
        </w:rPr>
        <w:t>Southwest Airlines Co. Profitsharing Plan </w:t>
      </w:r>
      <w:r>
        <w:rPr>
          <w:spacing w:val="2"/>
          <w:w w:val="105"/>
          <w:sz w:val="20"/>
        </w:rPr>
        <w:t>(incorporated </w:t>
      </w:r>
      <w:r>
        <w:rPr>
          <w:w w:val="105"/>
          <w:sz w:val="20"/>
        </w:rPr>
        <w:t>by reference to </w:t>
      </w:r>
      <w:r>
        <w:rPr>
          <w:spacing w:val="2"/>
          <w:w w:val="105"/>
          <w:sz w:val="20"/>
          <w:u w:val="single"/>
        </w:rPr>
        <w:t>Exhibit </w:t>
      </w:r>
      <w:r>
        <w:rPr>
          <w:w w:val="105"/>
          <w:sz w:val="20"/>
          <w:u w:val="single"/>
        </w:rPr>
        <w:t>10.8 </w:t>
      </w:r>
      <w:r>
        <w:rPr>
          <w:spacing w:val="8"/>
          <w:w w:val="105"/>
          <w:sz w:val="20"/>
        </w:rPr>
        <w:t>to </w:t>
      </w:r>
      <w:r>
        <w:rPr>
          <w:w w:val="105"/>
          <w:sz w:val="20"/>
        </w:rPr>
        <w:t>Southwest’s Annual Report on Form 10-K for the year ended December 31, 2000 [File </w:t>
      </w:r>
      <w:r>
        <w:rPr>
          <w:spacing w:val="6"/>
          <w:w w:val="105"/>
          <w:sz w:val="20"/>
        </w:rPr>
        <w:t>No. </w:t>
      </w:r>
      <w:r>
        <w:rPr>
          <w:w w:val="105"/>
          <w:sz w:val="20"/>
        </w:rPr>
        <w:t>1-7259]); Amendment No. 1 to Southwest Airlines Co. Profitsharing 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10.11 </w:t>
      </w:r>
      <w:r>
        <w:rPr>
          <w:w w:val="105"/>
          <w:sz w:val="20"/>
        </w:rPr>
        <w:t>to Southwest’s Annual Report on Form 10-K for the year </w:t>
      </w:r>
      <w:r>
        <w:rPr>
          <w:spacing w:val="15"/>
          <w:w w:val="105"/>
          <w:sz w:val="20"/>
        </w:rPr>
        <w:t>ended </w:t>
      </w:r>
      <w:r>
        <w:rPr>
          <w:spacing w:val="3"/>
          <w:w w:val="105"/>
          <w:sz w:val="20"/>
        </w:rPr>
        <w:t>December </w:t>
      </w:r>
      <w:r>
        <w:rPr>
          <w:w w:val="105"/>
          <w:sz w:val="20"/>
        </w:rPr>
        <w:t>31, 2001 [File No. 1-7259]); </w:t>
      </w:r>
      <w:r>
        <w:rPr>
          <w:spacing w:val="4"/>
          <w:w w:val="105"/>
          <w:sz w:val="20"/>
        </w:rPr>
        <w:t>Amendment </w:t>
      </w:r>
      <w:r>
        <w:rPr>
          <w:w w:val="105"/>
          <w:sz w:val="20"/>
        </w:rPr>
        <w:t>No. 2 to Southwest Airlines  </w:t>
      </w:r>
      <w:r>
        <w:rPr>
          <w:spacing w:val="2"/>
          <w:w w:val="105"/>
          <w:sz w:val="20"/>
        </w:rPr>
        <w:t>Co.  Profitsharing </w:t>
      </w:r>
      <w:r>
        <w:rPr>
          <w:spacing w:val="22"/>
          <w:w w:val="105"/>
          <w:sz w:val="20"/>
        </w:rPr>
        <w:t> </w:t>
      </w:r>
      <w:r>
        <w:rPr>
          <w:spacing w:val="3"/>
          <w:w w:val="105"/>
          <w:sz w:val="20"/>
        </w:rPr>
        <w:t>Plan.</w:t>
      </w:r>
    </w:p>
    <w:p>
      <w:pPr>
        <w:pStyle w:val="BodyText"/>
        <w:spacing w:before="4"/>
        <w:rPr>
          <w:sz w:val="21"/>
        </w:rPr>
      </w:pPr>
    </w:p>
    <w:p>
      <w:pPr>
        <w:pStyle w:val="ListParagraph"/>
        <w:numPr>
          <w:ilvl w:val="1"/>
          <w:numId w:val="15"/>
        </w:numPr>
        <w:tabs>
          <w:tab w:pos="1000" w:val="left" w:leader="none"/>
        </w:tabs>
        <w:spacing w:line="254" w:lineRule="auto" w:before="0" w:after="0"/>
        <w:ind w:left="1000" w:right="109" w:hanging="900"/>
        <w:jc w:val="both"/>
        <w:rPr>
          <w:sz w:val="20"/>
        </w:rPr>
      </w:pPr>
      <w:r>
        <w:rPr>
          <w:w w:val="105"/>
          <w:sz w:val="20"/>
        </w:rPr>
        <w:t>Southwest Airlines Co. 401(k)  Plan  </w:t>
      </w:r>
      <w:r>
        <w:rPr>
          <w:spacing w:val="2"/>
          <w:w w:val="105"/>
          <w:sz w:val="20"/>
        </w:rPr>
        <w:t>(incorporated  </w:t>
      </w:r>
      <w:r>
        <w:rPr>
          <w:w w:val="105"/>
          <w:sz w:val="20"/>
        </w:rPr>
        <w:t>by  reference  to  </w:t>
      </w:r>
      <w:r>
        <w:rPr>
          <w:spacing w:val="2"/>
          <w:w w:val="105"/>
          <w:sz w:val="20"/>
          <w:u w:val="single"/>
        </w:rPr>
        <w:t>Exhibit  </w:t>
      </w:r>
      <w:r>
        <w:rPr>
          <w:w w:val="105"/>
          <w:sz w:val="20"/>
          <w:u w:val="single"/>
        </w:rPr>
        <w:t>10.12  </w:t>
      </w:r>
      <w:r>
        <w:rPr>
          <w:spacing w:val="8"/>
          <w:w w:val="105"/>
          <w:sz w:val="20"/>
        </w:rPr>
        <w:t>to </w:t>
      </w:r>
      <w:r>
        <w:rPr>
          <w:w w:val="105"/>
          <w:sz w:val="20"/>
        </w:rPr>
        <w:t>Southwest’s Annual Report on Form 10-K for the year ended December 31, 2001 [File </w:t>
      </w:r>
      <w:r>
        <w:rPr>
          <w:spacing w:val="6"/>
          <w:w w:val="105"/>
          <w:sz w:val="20"/>
        </w:rPr>
        <w:t>No. </w:t>
      </w:r>
      <w:r>
        <w:rPr>
          <w:w w:val="105"/>
          <w:sz w:val="20"/>
        </w:rPr>
        <w:t>1-7259]); Amendment No. 1 to Southwest Airlines Co. 401(k) Plan; </w:t>
      </w:r>
      <w:r>
        <w:rPr>
          <w:spacing w:val="4"/>
          <w:w w:val="105"/>
          <w:sz w:val="20"/>
        </w:rPr>
        <w:t>Amendment </w:t>
      </w:r>
      <w:r>
        <w:rPr>
          <w:w w:val="105"/>
          <w:sz w:val="20"/>
        </w:rPr>
        <w:t>No. 2 </w:t>
      </w:r>
      <w:r>
        <w:rPr>
          <w:spacing w:val="4"/>
          <w:w w:val="105"/>
          <w:sz w:val="20"/>
        </w:rPr>
        <w:t>to </w:t>
      </w:r>
      <w:r>
        <w:rPr>
          <w:w w:val="105"/>
          <w:sz w:val="20"/>
        </w:rPr>
        <w:t>Southwest  Airlines  Co.  401(k) </w:t>
      </w:r>
      <w:r>
        <w:rPr>
          <w:spacing w:val="44"/>
          <w:w w:val="105"/>
          <w:sz w:val="20"/>
        </w:rPr>
        <w:t> </w:t>
      </w:r>
      <w:r>
        <w:rPr>
          <w:w w:val="105"/>
          <w:sz w:val="20"/>
        </w:rPr>
        <w:t>Plan.</w:t>
      </w:r>
    </w:p>
    <w:p>
      <w:pPr>
        <w:pStyle w:val="BodyText"/>
        <w:spacing w:before="4"/>
        <w:rPr>
          <w:sz w:val="21"/>
        </w:rPr>
      </w:pPr>
    </w:p>
    <w:p>
      <w:pPr>
        <w:pStyle w:val="ListParagraph"/>
        <w:numPr>
          <w:ilvl w:val="1"/>
          <w:numId w:val="15"/>
        </w:numPr>
        <w:tabs>
          <w:tab w:pos="1000" w:val="left" w:leader="none"/>
        </w:tabs>
        <w:spacing w:line="254" w:lineRule="auto" w:before="0" w:after="0"/>
        <w:ind w:left="1000" w:right="102" w:hanging="900"/>
        <w:jc w:val="both"/>
        <w:rPr>
          <w:sz w:val="20"/>
        </w:rPr>
      </w:pPr>
      <w:r>
        <w:rPr>
          <w:w w:val="105"/>
          <w:sz w:val="20"/>
        </w:rPr>
        <w:t>Southwest Airlines Co. 1995 SWAPA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10.14 </w:t>
      </w:r>
      <w:r>
        <w:rPr>
          <w:w w:val="105"/>
          <w:sz w:val="20"/>
        </w:rPr>
        <w:t>to Southwest’s Annual Report on Form 10-K for the year </w:t>
      </w:r>
      <w:r>
        <w:rPr>
          <w:spacing w:val="15"/>
          <w:w w:val="105"/>
          <w:sz w:val="20"/>
        </w:rPr>
        <w:t>ended </w:t>
      </w:r>
      <w:r>
        <w:rPr>
          <w:w w:val="105"/>
          <w:sz w:val="20"/>
        </w:rPr>
        <w:t>December  31,  1994  [File  No.  </w:t>
      </w:r>
      <w:r>
        <w:rPr>
          <w:spacing w:val="16"/>
          <w:w w:val="105"/>
          <w:sz w:val="20"/>
        </w:rPr>
        <w:t> </w:t>
      </w:r>
      <w:r>
        <w:rPr>
          <w:w w:val="105"/>
          <w:sz w:val="20"/>
        </w:rPr>
        <w:t>1-7259]).</w:t>
      </w:r>
    </w:p>
    <w:p>
      <w:pPr>
        <w:pStyle w:val="BodyText"/>
        <w:spacing w:before="4"/>
        <w:rPr>
          <w:sz w:val="21"/>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05"/>
          <w:sz w:val="20"/>
        </w:rPr>
        <w:t>1996  Incentive  Stock  Option  </w:t>
      </w:r>
      <w:r>
        <w:rPr>
          <w:spacing w:val="46"/>
          <w:w w:val="105"/>
          <w:sz w:val="20"/>
        </w:rPr>
        <w:t> </w:t>
      </w:r>
      <w:r>
        <w:rPr>
          <w:w w:val="105"/>
          <w:sz w:val="20"/>
        </w:rPr>
        <w:t>Plan.</w:t>
      </w:r>
    </w:p>
    <w:p>
      <w:pPr>
        <w:pStyle w:val="BodyText"/>
        <w:spacing w:before="7"/>
        <w:rPr>
          <w:sz w:val="22"/>
        </w:rPr>
      </w:pPr>
    </w:p>
    <w:p>
      <w:pPr>
        <w:pStyle w:val="ListParagraph"/>
        <w:numPr>
          <w:ilvl w:val="1"/>
          <w:numId w:val="15"/>
        </w:numPr>
        <w:tabs>
          <w:tab w:pos="999" w:val="left" w:leader="none"/>
          <w:tab w:pos="1000" w:val="left" w:leader="none"/>
        </w:tabs>
        <w:spacing w:line="240" w:lineRule="auto" w:before="0" w:after="0"/>
        <w:ind w:left="1000" w:right="0" w:hanging="900"/>
        <w:jc w:val="left"/>
        <w:rPr>
          <w:sz w:val="20"/>
        </w:rPr>
      </w:pPr>
      <w:r>
        <w:rPr>
          <w:w w:val="110"/>
          <w:sz w:val="20"/>
        </w:rPr>
        <w:t>1996 Non-Qualified Stock Option  </w:t>
      </w:r>
      <w:r>
        <w:rPr>
          <w:spacing w:val="7"/>
          <w:w w:val="110"/>
          <w:sz w:val="20"/>
        </w:rPr>
        <w:t> </w:t>
      </w:r>
      <w:r>
        <w:rPr>
          <w:w w:val="110"/>
          <w:sz w:val="20"/>
        </w:rPr>
        <w:t>Plan.</w:t>
      </w:r>
    </w:p>
    <w:p>
      <w:pPr>
        <w:pStyle w:val="BodyText"/>
        <w:spacing w:before="7"/>
        <w:rPr>
          <w:sz w:val="22"/>
        </w:rPr>
      </w:pPr>
    </w:p>
    <w:p>
      <w:pPr>
        <w:pStyle w:val="ListParagraph"/>
        <w:numPr>
          <w:ilvl w:val="1"/>
          <w:numId w:val="15"/>
        </w:numPr>
        <w:tabs>
          <w:tab w:pos="1000" w:val="left" w:leader="none"/>
        </w:tabs>
        <w:spacing w:line="254" w:lineRule="auto" w:before="0" w:after="0"/>
        <w:ind w:left="1000" w:right="108" w:hanging="900"/>
        <w:jc w:val="both"/>
        <w:rPr>
          <w:sz w:val="20"/>
        </w:rPr>
      </w:pPr>
      <w:r>
        <w:rPr>
          <w:spacing w:val="2"/>
          <w:w w:val="105"/>
          <w:sz w:val="20"/>
        </w:rPr>
        <w:t>Employment Agreement dated </w:t>
      </w:r>
      <w:r>
        <w:rPr>
          <w:w w:val="105"/>
          <w:sz w:val="20"/>
        </w:rPr>
        <w:t>as  of  </w:t>
      </w:r>
      <w:r>
        <w:rPr>
          <w:spacing w:val="2"/>
          <w:w w:val="105"/>
          <w:sz w:val="20"/>
        </w:rPr>
        <w:t>June  </w:t>
      </w:r>
      <w:r>
        <w:rPr>
          <w:w w:val="105"/>
          <w:sz w:val="20"/>
        </w:rPr>
        <w:t>19,  2002,  </w:t>
      </w:r>
      <w:r>
        <w:rPr>
          <w:spacing w:val="2"/>
          <w:w w:val="105"/>
          <w:sz w:val="20"/>
        </w:rPr>
        <w:t>between  </w:t>
      </w:r>
      <w:r>
        <w:rPr>
          <w:w w:val="105"/>
          <w:sz w:val="20"/>
        </w:rPr>
        <w:t>Southwest  and  James  F. Parker (incorporated by reference to </w:t>
      </w:r>
      <w:r>
        <w:rPr>
          <w:spacing w:val="2"/>
          <w:w w:val="105"/>
          <w:sz w:val="20"/>
          <w:u w:val="single"/>
        </w:rPr>
        <w:t>Exhibit </w:t>
      </w:r>
      <w:r>
        <w:rPr>
          <w:w w:val="105"/>
          <w:sz w:val="20"/>
          <w:u w:val="single"/>
        </w:rPr>
        <w:t>10.16 </w:t>
      </w:r>
      <w:r>
        <w:rPr>
          <w:w w:val="105"/>
          <w:sz w:val="20"/>
        </w:rPr>
        <w:t>to Southwest’s  </w:t>
      </w:r>
      <w:r>
        <w:rPr>
          <w:spacing w:val="2"/>
          <w:w w:val="105"/>
          <w:sz w:val="20"/>
        </w:rPr>
        <w:t>Annual  </w:t>
      </w:r>
      <w:r>
        <w:rPr>
          <w:w w:val="105"/>
          <w:sz w:val="20"/>
        </w:rPr>
        <w:t>Report  on  </w:t>
      </w:r>
      <w:r>
        <w:rPr>
          <w:spacing w:val="9"/>
          <w:w w:val="105"/>
          <w:sz w:val="20"/>
        </w:rPr>
        <w:t>Form  </w:t>
      </w:r>
      <w:r>
        <w:rPr>
          <w:w w:val="105"/>
          <w:sz w:val="20"/>
        </w:rPr>
        <w:t>10-K  for  the  year  ended  December  31,  2001  [File  No.</w:t>
      </w:r>
      <w:r>
        <w:rPr>
          <w:spacing w:val="23"/>
          <w:w w:val="105"/>
          <w:sz w:val="20"/>
        </w:rPr>
        <w:t> </w:t>
      </w:r>
      <w:r>
        <w:rPr>
          <w:w w:val="105"/>
          <w:sz w:val="20"/>
        </w:rPr>
        <w:t>1-7259]).</w:t>
      </w:r>
    </w:p>
    <w:p>
      <w:pPr>
        <w:pStyle w:val="BodyText"/>
        <w:spacing w:before="4"/>
        <w:rPr>
          <w:sz w:val="21"/>
        </w:rPr>
      </w:pPr>
    </w:p>
    <w:p>
      <w:pPr>
        <w:pStyle w:val="ListParagraph"/>
        <w:numPr>
          <w:ilvl w:val="1"/>
          <w:numId w:val="15"/>
        </w:numPr>
        <w:tabs>
          <w:tab w:pos="1000" w:val="left" w:leader="none"/>
        </w:tabs>
        <w:spacing w:line="254" w:lineRule="auto" w:before="0" w:after="0"/>
        <w:ind w:left="1000" w:right="108" w:hanging="900"/>
        <w:jc w:val="both"/>
        <w:rPr>
          <w:sz w:val="20"/>
        </w:rPr>
      </w:pPr>
      <w:r>
        <w:rPr>
          <w:spacing w:val="2"/>
          <w:w w:val="110"/>
          <w:sz w:val="20"/>
        </w:rPr>
        <w:t>Employment Agreement dated </w:t>
      </w:r>
      <w:r>
        <w:rPr>
          <w:w w:val="110"/>
          <w:sz w:val="20"/>
        </w:rPr>
        <w:t>as of </w:t>
      </w:r>
      <w:r>
        <w:rPr>
          <w:spacing w:val="2"/>
          <w:w w:val="110"/>
          <w:sz w:val="20"/>
        </w:rPr>
        <w:t>June </w:t>
      </w:r>
      <w:r>
        <w:rPr>
          <w:w w:val="110"/>
          <w:sz w:val="20"/>
        </w:rPr>
        <w:t>19, 2002, </w:t>
      </w:r>
      <w:r>
        <w:rPr>
          <w:spacing w:val="2"/>
          <w:w w:val="110"/>
          <w:sz w:val="20"/>
        </w:rPr>
        <w:t>between </w:t>
      </w:r>
      <w:r>
        <w:rPr>
          <w:w w:val="110"/>
          <w:sz w:val="20"/>
        </w:rPr>
        <w:t>Southwest and Colleen C. Barrett (incorporated by reference to </w:t>
      </w:r>
      <w:r>
        <w:rPr>
          <w:spacing w:val="2"/>
          <w:w w:val="110"/>
          <w:sz w:val="20"/>
          <w:u w:val="single"/>
        </w:rPr>
        <w:t>Exhibit </w:t>
      </w:r>
      <w:r>
        <w:rPr>
          <w:w w:val="110"/>
          <w:sz w:val="20"/>
          <w:u w:val="single"/>
        </w:rPr>
        <w:t>10.17 </w:t>
      </w:r>
      <w:r>
        <w:rPr>
          <w:w w:val="110"/>
          <w:sz w:val="20"/>
        </w:rPr>
        <w:t>to Southwest’s </w:t>
      </w:r>
      <w:r>
        <w:rPr>
          <w:spacing w:val="2"/>
          <w:w w:val="110"/>
          <w:sz w:val="20"/>
        </w:rPr>
        <w:t>Annual </w:t>
      </w:r>
      <w:r>
        <w:rPr>
          <w:w w:val="110"/>
          <w:sz w:val="20"/>
        </w:rPr>
        <w:t>Report on </w:t>
      </w:r>
      <w:r>
        <w:rPr>
          <w:spacing w:val="9"/>
          <w:w w:val="110"/>
          <w:sz w:val="20"/>
        </w:rPr>
        <w:t>Form </w:t>
      </w:r>
      <w:r>
        <w:rPr>
          <w:w w:val="110"/>
          <w:sz w:val="20"/>
        </w:rPr>
        <w:t>10-K</w:t>
      </w:r>
      <w:r>
        <w:rPr>
          <w:spacing w:val="19"/>
          <w:w w:val="110"/>
          <w:sz w:val="20"/>
        </w:rPr>
        <w:t> </w:t>
      </w:r>
      <w:r>
        <w:rPr>
          <w:w w:val="110"/>
          <w:sz w:val="20"/>
        </w:rPr>
        <w:t>for</w:t>
      </w:r>
      <w:r>
        <w:rPr>
          <w:spacing w:val="19"/>
          <w:w w:val="110"/>
          <w:sz w:val="20"/>
        </w:rPr>
        <w:t> </w:t>
      </w:r>
      <w:r>
        <w:rPr>
          <w:w w:val="110"/>
          <w:sz w:val="20"/>
        </w:rPr>
        <w:t>the</w:t>
      </w:r>
      <w:r>
        <w:rPr>
          <w:spacing w:val="19"/>
          <w:w w:val="110"/>
          <w:sz w:val="20"/>
        </w:rPr>
        <w:t> </w:t>
      </w:r>
      <w:r>
        <w:rPr>
          <w:w w:val="110"/>
          <w:sz w:val="20"/>
        </w:rPr>
        <w:t>year</w:t>
      </w:r>
      <w:r>
        <w:rPr>
          <w:spacing w:val="19"/>
          <w:w w:val="110"/>
          <w:sz w:val="20"/>
        </w:rPr>
        <w:t> </w:t>
      </w:r>
      <w:r>
        <w:rPr>
          <w:w w:val="110"/>
          <w:sz w:val="20"/>
        </w:rPr>
        <w:t>ended</w:t>
      </w:r>
      <w:r>
        <w:rPr>
          <w:spacing w:val="19"/>
          <w:w w:val="110"/>
          <w:sz w:val="20"/>
        </w:rPr>
        <w:t> </w:t>
      </w:r>
      <w:r>
        <w:rPr>
          <w:w w:val="110"/>
          <w:sz w:val="20"/>
        </w:rPr>
        <w:t>December</w:t>
      </w:r>
      <w:r>
        <w:rPr>
          <w:spacing w:val="19"/>
          <w:w w:val="110"/>
          <w:sz w:val="20"/>
        </w:rPr>
        <w:t> </w:t>
      </w:r>
      <w:r>
        <w:rPr>
          <w:w w:val="110"/>
          <w:sz w:val="20"/>
        </w:rPr>
        <w:t>31,</w:t>
      </w:r>
      <w:r>
        <w:rPr>
          <w:spacing w:val="19"/>
          <w:w w:val="110"/>
          <w:sz w:val="20"/>
        </w:rPr>
        <w:t> </w:t>
      </w:r>
      <w:r>
        <w:rPr>
          <w:w w:val="110"/>
          <w:sz w:val="20"/>
        </w:rPr>
        <w:t>2000</w:t>
      </w:r>
      <w:r>
        <w:rPr>
          <w:spacing w:val="19"/>
          <w:w w:val="110"/>
          <w:sz w:val="20"/>
        </w:rPr>
        <w:t> </w:t>
      </w:r>
      <w:r>
        <w:rPr>
          <w:w w:val="110"/>
          <w:sz w:val="20"/>
        </w:rPr>
        <w:t>[File</w:t>
      </w:r>
      <w:r>
        <w:rPr>
          <w:spacing w:val="19"/>
          <w:w w:val="110"/>
          <w:sz w:val="20"/>
        </w:rPr>
        <w:t> </w:t>
      </w:r>
      <w:r>
        <w:rPr>
          <w:w w:val="110"/>
          <w:sz w:val="20"/>
        </w:rPr>
        <w:t>No.</w:t>
      </w:r>
      <w:r>
        <w:rPr>
          <w:spacing w:val="19"/>
          <w:w w:val="110"/>
          <w:sz w:val="20"/>
        </w:rPr>
        <w:t> </w:t>
      </w:r>
      <w:r>
        <w:rPr>
          <w:w w:val="110"/>
          <w:sz w:val="20"/>
        </w:rPr>
        <w:t>1-7259]).</w:t>
      </w:r>
    </w:p>
    <w:p>
      <w:pPr>
        <w:pStyle w:val="BodyText"/>
        <w:spacing w:before="4"/>
        <w:rPr>
          <w:sz w:val="21"/>
        </w:rPr>
      </w:pPr>
    </w:p>
    <w:p>
      <w:pPr>
        <w:pStyle w:val="ListParagraph"/>
        <w:numPr>
          <w:ilvl w:val="1"/>
          <w:numId w:val="15"/>
        </w:numPr>
        <w:tabs>
          <w:tab w:pos="1000" w:val="left" w:leader="none"/>
        </w:tabs>
        <w:spacing w:line="254" w:lineRule="auto" w:before="0" w:after="0"/>
        <w:ind w:left="1000" w:right="102" w:hanging="900"/>
        <w:jc w:val="both"/>
        <w:rPr>
          <w:sz w:val="20"/>
        </w:rPr>
      </w:pPr>
      <w:r>
        <w:rPr>
          <w:w w:val="105"/>
          <w:sz w:val="20"/>
        </w:rPr>
        <w:t>Southwest Airlines  Co.  Outside  Director  </w:t>
      </w:r>
      <w:r>
        <w:rPr>
          <w:spacing w:val="3"/>
          <w:w w:val="105"/>
          <w:sz w:val="20"/>
        </w:rPr>
        <w:t>Incentive</w:t>
      </w:r>
      <w:r>
        <w:rPr>
          <w:spacing w:val="53"/>
          <w:w w:val="105"/>
          <w:sz w:val="20"/>
        </w:rPr>
        <w:t>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10.1  </w:t>
      </w:r>
      <w:r>
        <w:rPr>
          <w:w w:val="105"/>
          <w:sz w:val="20"/>
        </w:rPr>
        <w:t>to  Southwest’s  Quarterly  Report  on  Form  10-Q  for  the   quarter   </w:t>
      </w:r>
      <w:r>
        <w:rPr>
          <w:spacing w:val="15"/>
          <w:w w:val="105"/>
          <w:sz w:val="20"/>
        </w:rPr>
        <w:t>ended  </w:t>
      </w:r>
      <w:r>
        <w:rPr>
          <w:w w:val="105"/>
          <w:sz w:val="20"/>
        </w:rPr>
        <w:t>March  31,  2002  [File  </w:t>
      </w:r>
      <w:r>
        <w:rPr>
          <w:spacing w:val="6"/>
          <w:w w:val="105"/>
          <w:sz w:val="20"/>
        </w:rPr>
        <w:t>No.</w:t>
      </w:r>
      <w:r>
        <w:rPr>
          <w:spacing w:val="48"/>
          <w:w w:val="105"/>
          <w:sz w:val="20"/>
        </w:rPr>
        <w:t> </w:t>
      </w:r>
      <w:r>
        <w:rPr>
          <w:w w:val="105"/>
          <w:sz w:val="20"/>
        </w:rPr>
        <w:t>1-7259]).</w:t>
      </w:r>
    </w:p>
    <w:p>
      <w:pPr>
        <w:spacing w:after="0" w:line="254" w:lineRule="auto"/>
        <w:jc w:val="both"/>
        <w:rPr>
          <w:sz w:val="20"/>
        </w:rPr>
        <w:sectPr>
          <w:headerReference w:type="default" r:id="rId179"/>
          <w:footerReference w:type="default" r:id="rId180"/>
          <w:footerReference w:type="even" r:id="rId181"/>
          <w:pgSz w:w="11520" w:h="14400"/>
          <w:pgMar w:header="0" w:footer="706" w:top="960" w:bottom="900" w:left="1240" w:right="840"/>
          <w:pgNumType w:start="65"/>
        </w:sectPr>
      </w:pPr>
    </w:p>
    <w:p>
      <w:pPr>
        <w:pStyle w:val="ListParagraph"/>
        <w:numPr>
          <w:ilvl w:val="1"/>
          <w:numId w:val="15"/>
        </w:numPr>
        <w:tabs>
          <w:tab w:pos="1539" w:val="left" w:leader="none"/>
          <w:tab w:pos="1540" w:val="left" w:leader="none"/>
        </w:tabs>
        <w:spacing w:line="240" w:lineRule="auto" w:before="69" w:after="0"/>
        <w:ind w:left="1540" w:right="0" w:hanging="900"/>
        <w:jc w:val="left"/>
        <w:rPr>
          <w:sz w:val="20"/>
        </w:rPr>
      </w:pPr>
      <w:r>
        <w:rPr>
          <w:w w:val="110"/>
          <w:sz w:val="20"/>
        </w:rPr>
        <w:t>1998 SAEA Non-Qualified Stock Option  </w:t>
      </w:r>
      <w:r>
        <w:rPr>
          <w:spacing w:val="39"/>
          <w:w w:val="110"/>
          <w:sz w:val="20"/>
        </w:rPr>
        <w:t> </w:t>
      </w:r>
      <w:r>
        <w:rPr>
          <w:w w:val="110"/>
          <w:sz w:val="20"/>
        </w:rPr>
        <w:t>Plan.</w:t>
      </w:r>
    </w:p>
    <w:p>
      <w:pPr>
        <w:pStyle w:val="BodyText"/>
        <w:spacing w:before="6"/>
        <w:rPr>
          <w:sz w:val="22"/>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10"/>
          <w:sz w:val="20"/>
        </w:rPr>
        <w:t>1999 SWAPIA Non-Qualified Stock Option  </w:t>
      </w:r>
      <w:r>
        <w:rPr>
          <w:spacing w:val="17"/>
          <w:w w:val="110"/>
          <w:sz w:val="20"/>
        </w:rPr>
        <w:t> </w:t>
      </w:r>
      <w:r>
        <w:rPr>
          <w:w w:val="110"/>
          <w:sz w:val="20"/>
        </w:rPr>
        <w:t>Plan.</w:t>
      </w:r>
    </w:p>
    <w:p>
      <w:pPr>
        <w:pStyle w:val="BodyText"/>
        <w:spacing w:before="6"/>
        <w:rPr>
          <w:sz w:val="22"/>
        </w:rPr>
      </w:pPr>
    </w:p>
    <w:p>
      <w:pPr>
        <w:pStyle w:val="ListParagraph"/>
        <w:numPr>
          <w:ilvl w:val="1"/>
          <w:numId w:val="15"/>
        </w:numPr>
        <w:tabs>
          <w:tab w:pos="1542" w:val="left" w:leader="none"/>
          <w:tab w:pos="1543" w:val="left" w:leader="none"/>
        </w:tabs>
        <w:spacing w:line="254" w:lineRule="auto" w:before="0" w:after="0"/>
        <w:ind w:left="1540" w:right="109" w:hanging="900"/>
        <w:jc w:val="left"/>
        <w:rPr>
          <w:sz w:val="20"/>
        </w:rPr>
      </w:pPr>
      <w:r>
        <w:rPr>
          <w:w w:val="105"/>
          <w:sz w:val="20"/>
        </w:rPr>
        <w:t>LUV 2000 </w:t>
      </w:r>
      <w:r>
        <w:rPr>
          <w:spacing w:val="3"/>
          <w:w w:val="105"/>
          <w:sz w:val="20"/>
        </w:rPr>
        <w:t>Non-Qualified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333-53610]).</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9" w:hanging="900"/>
        <w:jc w:val="left"/>
        <w:rPr>
          <w:sz w:val="20"/>
        </w:rPr>
      </w:pPr>
      <w:r>
        <w:rPr>
          <w:w w:val="105"/>
          <w:sz w:val="20"/>
        </w:rPr>
        <w:t>2000 Aircraft </w:t>
      </w:r>
      <w:r>
        <w:rPr>
          <w:spacing w:val="3"/>
          <w:w w:val="105"/>
          <w:sz w:val="20"/>
        </w:rPr>
        <w:t>Appearance 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333-52388]).</w:t>
      </w:r>
    </w:p>
    <w:p>
      <w:pPr>
        <w:pStyle w:val="BodyText"/>
        <w:spacing w:before="4"/>
        <w:rPr>
          <w:sz w:val="21"/>
        </w:rPr>
      </w:pPr>
    </w:p>
    <w:p>
      <w:pPr>
        <w:pStyle w:val="ListParagraph"/>
        <w:numPr>
          <w:ilvl w:val="1"/>
          <w:numId w:val="15"/>
        </w:numPr>
        <w:tabs>
          <w:tab w:pos="1539" w:val="left" w:leader="none"/>
          <w:tab w:pos="1540" w:val="left" w:leader="none"/>
          <w:tab w:pos="8279" w:val="left" w:leader="none"/>
        </w:tabs>
        <w:spacing w:line="254" w:lineRule="auto" w:before="0" w:after="0"/>
        <w:ind w:left="1540" w:right="117" w:hanging="900"/>
        <w:jc w:val="left"/>
        <w:rPr>
          <w:sz w:val="20"/>
        </w:rPr>
      </w:pPr>
      <w:r>
        <w:rPr>
          <w:w w:val="105"/>
          <w:sz w:val="20"/>
        </w:rPr>
        <w:t>2000   Stock   Clerks   </w:t>
      </w:r>
      <w:r>
        <w:rPr>
          <w:spacing w:val="3"/>
          <w:w w:val="105"/>
          <w:sz w:val="20"/>
        </w:rPr>
        <w:t>Non-Qualified    </w:t>
      </w:r>
      <w:r>
        <w:rPr>
          <w:w w:val="105"/>
          <w:sz w:val="20"/>
        </w:rPr>
        <w:t>Stock    </w:t>
      </w:r>
      <w:r>
        <w:rPr>
          <w:spacing w:val="2"/>
          <w:w w:val="105"/>
          <w:sz w:val="20"/>
        </w:rPr>
        <w:t>Option   </w:t>
      </w:r>
      <w:r>
        <w:rPr>
          <w:spacing w:val="23"/>
          <w:w w:val="105"/>
          <w:sz w:val="20"/>
        </w:rPr>
        <w:t> </w:t>
      </w:r>
      <w:r>
        <w:rPr>
          <w:w w:val="105"/>
          <w:sz w:val="20"/>
        </w:rPr>
        <w:t>Plan   </w:t>
      </w:r>
      <w:r>
        <w:rPr>
          <w:spacing w:val="1"/>
          <w:w w:val="105"/>
          <w:sz w:val="20"/>
        </w:rPr>
        <w:t> </w:t>
      </w:r>
      <w:r>
        <w:rPr>
          <w:spacing w:val="2"/>
          <w:w w:val="105"/>
          <w:sz w:val="20"/>
        </w:rPr>
        <w:t>(incorporated</w:t>
        <w:tab/>
      </w:r>
      <w:r>
        <w:rPr>
          <w:w w:val="105"/>
          <w:sz w:val="20"/>
        </w:rPr>
        <w:t>by  </w:t>
      </w:r>
      <w:r>
        <w:rPr>
          <w:spacing w:val="19"/>
          <w:w w:val="105"/>
          <w:sz w:val="20"/>
        </w:rPr>
        <w:t> </w:t>
      </w:r>
      <w:r>
        <w:rPr>
          <w:w w:val="105"/>
          <w:sz w:val="20"/>
        </w:rPr>
        <w:t>reference  </w:t>
      </w:r>
      <w:r>
        <w:rPr>
          <w:spacing w:val="44"/>
          <w:w w:val="105"/>
          <w:sz w:val="20"/>
        </w:rPr>
        <w:t> </w:t>
      </w:r>
      <w:r>
        <w:rPr>
          <w:spacing w:val="4"/>
          <w:w w:val="105"/>
          <w:sz w:val="20"/>
        </w:rPr>
        <w:t>to</w:t>
      </w:r>
      <w:r>
        <w:rPr>
          <w:w w:val="102"/>
          <w:sz w:val="20"/>
        </w:rPr>
        <w:t> </w:t>
      </w:r>
      <w:r>
        <w:rPr>
          <w:spacing w:val="2"/>
          <w:w w:val="105"/>
          <w:sz w:val="20"/>
          <w:u w:val="single"/>
        </w:rPr>
        <w:t>Exhibit   </w:t>
      </w:r>
      <w:r>
        <w:rPr>
          <w:w w:val="105"/>
          <w:sz w:val="20"/>
          <w:u w:val="single"/>
        </w:rPr>
        <w:t>4.1  </w:t>
      </w:r>
      <w:r>
        <w:rPr>
          <w:w w:val="105"/>
          <w:sz w:val="20"/>
        </w:rPr>
        <w:t>to  Registration  Statement  on  Form  S-8  [File  No. 333-52390]).</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9" w:hanging="900"/>
        <w:jc w:val="left"/>
        <w:rPr>
          <w:sz w:val="20"/>
        </w:rPr>
      </w:pPr>
      <w:r>
        <w:rPr>
          <w:w w:val="105"/>
          <w:sz w:val="20"/>
        </w:rPr>
        <w:t>2000 Flight Simulator </w:t>
      </w:r>
      <w:r>
        <w:rPr>
          <w:spacing w:val="3"/>
          <w:w w:val="105"/>
          <w:sz w:val="20"/>
        </w:rPr>
        <w:t>Technicians Non-Qualified </w:t>
      </w:r>
      <w:r>
        <w:rPr>
          <w:w w:val="105"/>
          <w:sz w:val="20"/>
        </w:rPr>
        <w:t>Stock  </w:t>
      </w:r>
      <w:r>
        <w:rPr>
          <w:spacing w:val="2"/>
          <w:w w:val="105"/>
          <w:sz w:val="20"/>
        </w:rPr>
        <w:t>Option  </w:t>
      </w:r>
      <w:r>
        <w:rPr>
          <w:w w:val="105"/>
          <w:sz w:val="20"/>
        </w:rPr>
        <w:t>Plan  </w:t>
      </w:r>
      <w:r>
        <w:rPr>
          <w:spacing w:val="2"/>
          <w:w w:val="105"/>
          <w:sz w:val="20"/>
        </w:rPr>
        <w:t>(incorporated  </w:t>
      </w:r>
      <w:r>
        <w:rPr>
          <w:spacing w:val="4"/>
          <w:w w:val="105"/>
          <w:sz w:val="20"/>
        </w:rPr>
        <w:t>by </w:t>
      </w:r>
      <w:r>
        <w:rPr>
          <w:w w:val="105"/>
          <w:sz w:val="20"/>
        </w:rPr>
        <w:t>reference  to  </w:t>
      </w:r>
      <w:r>
        <w:rPr>
          <w:spacing w:val="2"/>
          <w:w w:val="105"/>
          <w:sz w:val="20"/>
          <w:u w:val="single"/>
        </w:rPr>
        <w:t>Exhibit  </w:t>
      </w:r>
      <w:r>
        <w:rPr>
          <w:w w:val="105"/>
          <w:sz w:val="20"/>
          <w:u w:val="single"/>
        </w:rPr>
        <w:t>4.1  </w:t>
      </w:r>
      <w:r>
        <w:rPr>
          <w:w w:val="105"/>
          <w:sz w:val="20"/>
        </w:rPr>
        <w:t>to  Registration  Statement  on  Form  S-8  [File  No.</w:t>
      </w:r>
      <w:r>
        <w:rPr>
          <w:spacing w:val="30"/>
          <w:w w:val="105"/>
          <w:sz w:val="20"/>
        </w:rPr>
        <w:t> </w:t>
      </w:r>
      <w:r>
        <w:rPr>
          <w:w w:val="105"/>
          <w:sz w:val="20"/>
        </w:rPr>
        <w:t>333-53616]).</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09" w:hanging="900"/>
        <w:jc w:val="left"/>
        <w:rPr>
          <w:sz w:val="20"/>
        </w:rPr>
      </w:pPr>
      <w:r>
        <w:rPr>
          <w:w w:val="105"/>
          <w:sz w:val="20"/>
        </w:rPr>
        <w:t>2002 SWAPA Non-Qualified Stock Option Plan (incorporated by reference to </w:t>
      </w:r>
      <w:r>
        <w:rPr>
          <w:spacing w:val="2"/>
          <w:w w:val="105"/>
          <w:sz w:val="20"/>
          <w:u w:val="single"/>
        </w:rPr>
        <w:t>Exhibit </w:t>
      </w:r>
      <w:r>
        <w:rPr>
          <w:w w:val="105"/>
          <w:sz w:val="20"/>
          <w:u w:val="single"/>
        </w:rPr>
        <w:t>4.1 </w:t>
      </w:r>
      <w:r>
        <w:rPr>
          <w:spacing w:val="8"/>
          <w:w w:val="105"/>
          <w:sz w:val="20"/>
        </w:rPr>
        <w:t>to </w:t>
      </w:r>
      <w:r>
        <w:rPr>
          <w:w w:val="105"/>
          <w:sz w:val="20"/>
        </w:rPr>
        <w:t>Registration  Statement  on  Form  S-8  [File  No. </w:t>
      </w:r>
      <w:r>
        <w:rPr>
          <w:spacing w:val="32"/>
          <w:w w:val="105"/>
          <w:sz w:val="20"/>
        </w:rPr>
        <w:t> </w:t>
      </w:r>
      <w:r>
        <w:rPr>
          <w:w w:val="105"/>
          <w:sz w:val="20"/>
        </w:rPr>
        <w:t>333-98761]).</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left"/>
        <w:rPr>
          <w:sz w:val="20"/>
        </w:rPr>
      </w:pPr>
      <w:r>
        <w:rPr>
          <w:w w:val="105"/>
          <w:sz w:val="20"/>
        </w:rPr>
        <w:t>2002  Bonus  SWAPA  </w:t>
      </w:r>
      <w:r>
        <w:rPr>
          <w:spacing w:val="3"/>
          <w:w w:val="105"/>
          <w:sz w:val="20"/>
        </w:rPr>
        <w:t>Non-Qualified</w:t>
      </w:r>
      <w:r>
        <w:rPr>
          <w:spacing w:val="53"/>
          <w:w w:val="105"/>
          <w:sz w:val="20"/>
        </w:rPr>
        <w:t> </w:t>
      </w:r>
      <w:r>
        <w:rPr>
          <w:w w:val="105"/>
          <w:sz w:val="20"/>
        </w:rPr>
        <w:t>Stock  </w:t>
      </w:r>
      <w:r>
        <w:rPr>
          <w:spacing w:val="2"/>
          <w:w w:val="105"/>
          <w:sz w:val="20"/>
        </w:rPr>
        <w:t>Option  </w:t>
      </w:r>
      <w:r>
        <w:rPr>
          <w:w w:val="105"/>
          <w:sz w:val="20"/>
        </w:rPr>
        <w:t>Plan  </w:t>
      </w:r>
      <w:r>
        <w:rPr>
          <w:spacing w:val="2"/>
          <w:w w:val="105"/>
          <w:sz w:val="20"/>
        </w:rPr>
        <w:t>(incorporated  </w:t>
      </w:r>
      <w:r>
        <w:rPr>
          <w:w w:val="105"/>
          <w:sz w:val="20"/>
        </w:rPr>
        <w:t>by   reference   </w:t>
      </w:r>
      <w:r>
        <w:rPr>
          <w:spacing w:val="4"/>
          <w:w w:val="105"/>
          <w:sz w:val="20"/>
        </w:rPr>
        <w:t>to </w:t>
      </w:r>
      <w:r>
        <w:rPr>
          <w:spacing w:val="2"/>
          <w:w w:val="105"/>
          <w:sz w:val="20"/>
          <w:u w:val="single"/>
        </w:rPr>
        <w:t>Exhibit   </w:t>
      </w:r>
      <w:r>
        <w:rPr>
          <w:w w:val="105"/>
          <w:sz w:val="20"/>
          <w:u w:val="single"/>
        </w:rPr>
        <w:t>4.1  </w:t>
      </w:r>
      <w:r>
        <w:rPr>
          <w:w w:val="105"/>
          <w:sz w:val="20"/>
        </w:rPr>
        <w:t>to  Registration  Statement  on  Form  S-8  [File  No. 333-98761]).</w:t>
      </w:r>
    </w:p>
    <w:p>
      <w:pPr>
        <w:pStyle w:val="BodyText"/>
        <w:spacing w:before="4"/>
        <w:rPr>
          <w:sz w:val="21"/>
        </w:rPr>
      </w:pPr>
    </w:p>
    <w:p>
      <w:pPr>
        <w:pStyle w:val="ListParagraph"/>
        <w:numPr>
          <w:ilvl w:val="1"/>
          <w:numId w:val="15"/>
        </w:numPr>
        <w:tabs>
          <w:tab w:pos="1539" w:val="left" w:leader="none"/>
          <w:tab w:pos="1540" w:val="left" w:leader="none"/>
        </w:tabs>
        <w:spacing w:line="254" w:lineRule="auto" w:before="0" w:after="0"/>
        <w:ind w:left="1540" w:right="117" w:hanging="900"/>
        <w:jc w:val="left"/>
        <w:rPr>
          <w:sz w:val="20"/>
        </w:rPr>
      </w:pPr>
      <w:r>
        <w:rPr>
          <w:w w:val="105"/>
          <w:sz w:val="20"/>
        </w:rPr>
        <w:t>2002 SWAPIA Non-Qualified Stock Option Plan (incorporated by reference to </w:t>
      </w:r>
      <w:r>
        <w:rPr>
          <w:spacing w:val="2"/>
          <w:w w:val="105"/>
          <w:sz w:val="20"/>
          <w:u w:val="single"/>
        </w:rPr>
        <w:t>Exhibit </w:t>
      </w:r>
      <w:r>
        <w:rPr>
          <w:w w:val="105"/>
          <w:sz w:val="20"/>
          <w:u w:val="single"/>
        </w:rPr>
        <w:t>4.2 </w:t>
      </w:r>
      <w:r>
        <w:rPr>
          <w:w w:val="105"/>
          <w:sz w:val="20"/>
        </w:rPr>
        <w:t>to Registration  Statement  on  Form  S-8  [File  No. </w:t>
      </w:r>
      <w:r>
        <w:rPr>
          <w:spacing w:val="46"/>
          <w:w w:val="105"/>
          <w:sz w:val="20"/>
        </w:rPr>
        <w:t> </w:t>
      </w:r>
      <w:r>
        <w:rPr>
          <w:w w:val="105"/>
          <w:sz w:val="20"/>
        </w:rPr>
        <w:t>333-100862]).</w:t>
      </w:r>
    </w:p>
    <w:p>
      <w:pPr>
        <w:pStyle w:val="BodyText"/>
        <w:spacing w:before="4"/>
        <w:rPr>
          <w:sz w:val="21"/>
        </w:rPr>
      </w:pPr>
    </w:p>
    <w:p>
      <w:pPr>
        <w:pStyle w:val="ListParagraph"/>
        <w:numPr>
          <w:ilvl w:val="1"/>
          <w:numId w:val="15"/>
        </w:numPr>
        <w:tabs>
          <w:tab w:pos="1539" w:val="left" w:leader="none"/>
          <w:tab w:pos="1540" w:val="left" w:leader="none"/>
          <w:tab w:pos="3360" w:val="left" w:leader="none"/>
          <w:tab w:pos="4779" w:val="left" w:leader="none"/>
          <w:tab w:pos="6239" w:val="left" w:leader="none"/>
          <w:tab w:pos="8239" w:val="left" w:leader="none"/>
          <w:tab w:pos="9679" w:val="left" w:leader="none"/>
        </w:tabs>
        <w:spacing w:line="254" w:lineRule="auto" w:before="0" w:after="0"/>
        <w:ind w:left="1540" w:right="117" w:hanging="900"/>
        <w:jc w:val="left"/>
        <w:rPr>
          <w:sz w:val="20"/>
        </w:rPr>
      </w:pPr>
      <w:r>
        <w:rPr>
          <w:w w:val="105"/>
          <w:sz w:val="20"/>
        </w:rPr>
        <w:t>2002   </w:t>
      </w:r>
      <w:r>
        <w:rPr>
          <w:spacing w:val="18"/>
          <w:w w:val="105"/>
          <w:sz w:val="20"/>
        </w:rPr>
        <w:t> </w:t>
      </w:r>
      <w:r>
        <w:rPr>
          <w:spacing w:val="3"/>
          <w:w w:val="105"/>
          <w:sz w:val="20"/>
        </w:rPr>
        <w:t>Mechanics</w:t>
        <w:tab/>
        <w:t>Non-Qualified</w:t>
        <w:tab/>
      </w:r>
      <w:r>
        <w:rPr>
          <w:w w:val="105"/>
          <w:sz w:val="20"/>
        </w:rPr>
        <w:t>Stock  </w:t>
      </w:r>
      <w:r>
        <w:rPr>
          <w:spacing w:val="30"/>
          <w:w w:val="105"/>
          <w:sz w:val="20"/>
        </w:rPr>
        <w:t> </w:t>
      </w:r>
      <w:r>
        <w:rPr>
          <w:spacing w:val="2"/>
          <w:w w:val="105"/>
          <w:sz w:val="20"/>
        </w:rPr>
        <w:t>Option</w:t>
        <w:tab/>
      </w:r>
      <w:r>
        <w:rPr>
          <w:w w:val="105"/>
          <w:sz w:val="20"/>
        </w:rPr>
        <w:t>Plan   </w:t>
      </w:r>
      <w:r>
        <w:rPr>
          <w:spacing w:val="7"/>
          <w:w w:val="105"/>
          <w:sz w:val="20"/>
        </w:rPr>
        <w:t> </w:t>
      </w:r>
      <w:r>
        <w:rPr>
          <w:spacing w:val="2"/>
          <w:w w:val="105"/>
          <w:sz w:val="20"/>
        </w:rPr>
        <w:t>(incorporated</w:t>
        <w:tab/>
      </w:r>
      <w:r>
        <w:rPr>
          <w:w w:val="105"/>
          <w:sz w:val="20"/>
        </w:rPr>
        <w:t>by  </w:t>
      </w:r>
      <w:r>
        <w:rPr>
          <w:spacing w:val="43"/>
          <w:w w:val="105"/>
          <w:sz w:val="20"/>
        </w:rPr>
        <w:t> </w:t>
      </w:r>
      <w:r>
        <w:rPr>
          <w:w w:val="105"/>
          <w:sz w:val="20"/>
        </w:rPr>
        <w:t>reference</w:t>
        <w:tab/>
      </w:r>
      <w:r>
        <w:rPr>
          <w:spacing w:val="4"/>
          <w:sz w:val="20"/>
        </w:rPr>
        <w:t>to </w:t>
      </w:r>
      <w:r>
        <w:rPr>
          <w:spacing w:val="2"/>
          <w:w w:val="105"/>
          <w:sz w:val="20"/>
          <w:u w:val="single"/>
        </w:rPr>
        <w:t>Exhibit   </w:t>
      </w:r>
      <w:r>
        <w:rPr>
          <w:w w:val="105"/>
          <w:sz w:val="20"/>
          <w:u w:val="single"/>
        </w:rPr>
        <w:t>4.2  </w:t>
      </w:r>
      <w:r>
        <w:rPr>
          <w:w w:val="105"/>
          <w:sz w:val="20"/>
        </w:rPr>
        <w:t>to  Registration  Statement  on  Form  S-8  [File  No.</w:t>
      </w:r>
      <w:r>
        <w:rPr>
          <w:spacing w:val="15"/>
          <w:w w:val="105"/>
          <w:sz w:val="20"/>
        </w:rPr>
        <w:t> </w:t>
      </w:r>
      <w:r>
        <w:rPr>
          <w:w w:val="105"/>
          <w:sz w:val="20"/>
        </w:rPr>
        <w:t>333-100862]).</w:t>
      </w:r>
    </w:p>
    <w:p>
      <w:pPr>
        <w:pStyle w:val="BodyText"/>
        <w:spacing w:before="4"/>
        <w:rPr>
          <w:sz w:val="21"/>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05"/>
          <w:sz w:val="20"/>
        </w:rPr>
        <w:t>2002  Ramp,  Operations,  Provisioning,  and  Freight  Non-Qualified  Stock  Option    </w:t>
      </w:r>
      <w:r>
        <w:rPr>
          <w:spacing w:val="18"/>
          <w:w w:val="105"/>
          <w:sz w:val="20"/>
        </w:rPr>
        <w:t> </w:t>
      </w:r>
      <w:r>
        <w:rPr>
          <w:w w:val="105"/>
          <w:sz w:val="20"/>
        </w:rPr>
        <w:t>Plan.</w:t>
      </w:r>
    </w:p>
    <w:p>
      <w:pPr>
        <w:pStyle w:val="BodyText"/>
        <w:spacing w:before="6"/>
        <w:rPr>
          <w:sz w:val="22"/>
        </w:rPr>
      </w:pPr>
    </w:p>
    <w:p>
      <w:pPr>
        <w:pStyle w:val="ListParagraph"/>
        <w:numPr>
          <w:ilvl w:val="1"/>
          <w:numId w:val="15"/>
        </w:numPr>
        <w:tabs>
          <w:tab w:pos="1539" w:val="left" w:leader="none"/>
          <w:tab w:pos="1540" w:val="left" w:leader="none"/>
        </w:tabs>
        <w:spacing w:line="240" w:lineRule="auto" w:before="0" w:after="0"/>
        <w:ind w:left="1540" w:right="0" w:hanging="900"/>
        <w:jc w:val="left"/>
        <w:rPr>
          <w:sz w:val="20"/>
        </w:rPr>
      </w:pPr>
      <w:r>
        <w:rPr>
          <w:w w:val="110"/>
          <w:sz w:val="20"/>
        </w:rPr>
        <w:t>2002 Customer Service/Reservations Non-Qualified Stock Option    </w:t>
      </w:r>
      <w:r>
        <w:rPr>
          <w:spacing w:val="26"/>
          <w:w w:val="110"/>
          <w:sz w:val="20"/>
        </w:rPr>
        <w:t> </w:t>
      </w:r>
      <w:r>
        <w:rPr>
          <w:w w:val="110"/>
          <w:sz w:val="20"/>
        </w:rPr>
        <w:t>Plan.</w:t>
      </w:r>
    </w:p>
    <w:p>
      <w:pPr>
        <w:pStyle w:val="BodyText"/>
        <w:spacing w:before="6"/>
        <w:rPr>
          <w:sz w:val="22"/>
        </w:rPr>
      </w:pPr>
    </w:p>
    <w:p>
      <w:pPr>
        <w:pStyle w:val="ListParagraph"/>
        <w:numPr>
          <w:ilvl w:val="0"/>
          <w:numId w:val="16"/>
        </w:numPr>
        <w:tabs>
          <w:tab w:pos="1539" w:val="left" w:leader="none"/>
          <w:tab w:pos="1540" w:val="left" w:leader="none"/>
        </w:tabs>
        <w:spacing w:line="254" w:lineRule="auto" w:before="0" w:after="0"/>
        <w:ind w:left="1540" w:right="108" w:hanging="900"/>
        <w:jc w:val="left"/>
        <w:rPr>
          <w:sz w:val="20"/>
        </w:rPr>
      </w:pPr>
      <w:r>
        <w:rPr>
          <w:w w:val="105"/>
          <w:sz w:val="20"/>
        </w:rPr>
        <w:t>Subsidiaries of Southwest (incorporated by reference to </w:t>
      </w:r>
      <w:r>
        <w:rPr>
          <w:spacing w:val="2"/>
          <w:w w:val="105"/>
          <w:sz w:val="20"/>
          <w:u w:val="single"/>
        </w:rPr>
        <w:t>Exhibit </w:t>
      </w:r>
      <w:r>
        <w:rPr>
          <w:w w:val="105"/>
          <w:sz w:val="20"/>
          <w:u w:val="single"/>
        </w:rPr>
        <w:t>22 </w:t>
      </w:r>
      <w:r>
        <w:rPr>
          <w:w w:val="105"/>
          <w:sz w:val="20"/>
        </w:rPr>
        <w:t>to Southwest’s </w:t>
      </w:r>
      <w:r>
        <w:rPr>
          <w:spacing w:val="9"/>
          <w:w w:val="105"/>
          <w:sz w:val="20"/>
        </w:rPr>
        <w:t>Annual  </w:t>
      </w:r>
      <w:r>
        <w:rPr>
          <w:w w:val="105"/>
          <w:sz w:val="20"/>
        </w:rPr>
        <w:t>Report</w:t>
      </w:r>
      <w:r>
        <w:rPr>
          <w:spacing w:val="40"/>
          <w:w w:val="105"/>
          <w:sz w:val="20"/>
        </w:rPr>
        <w:t> </w:t>
      </w:r>
      <w:r>
        <w:rPr>
          <w:w w:val="105"/>
          <w:sz w:val="20"/>
        </w:rPr>
        <w:t>on</w:t>
      </w:r>
      <w:r>
        <w:rPr>
          <w:spacing w:val="40"/>
          <w:w w:val="105"/>
          <w:sz w:val="20"/>
        </w:rPr>
        <w:t> </w:t>
      </w:r>
      <w:r>
        <w:rPr>
          <w:w w:val="105"/>
          <w:sz w:val="20"/>
        </w:rPr>
        <w:t>Form</w:t>
      </w:r>
      <w:r>
        <w:rPr>
          <w:spacing w:val="40"/>
          <w:w w:val="105"/>
          <w:sz w:val="20"/>
        </w:rPr>
        <w:t> </w:t>
      </w:r>
      <w:r>
        <w:rPr>
          <w:w w:val="105"/>
          <w:sz w:val="20"/>
        </w:rPr>
        <w:t>10-K</w:t>
      </w:r>
      <w:r>
        <w:rPr>
          <w:spacing w:val="40"/>
          <w:w w:val="105"/>
          <w:sz w:val="20"/>
        </w:rPr>
        <w:t> </w:t>
      </w:r>
      <w:r>
        <w:rPr>
          <w:w w:val="105"/>
          <w:sz w:val="20"/>
        </w:rPr>
        <w:t>for</w:t>
      </w:r>
      <w:r>
        <w:rPr>
          <w:spacing w:val="40"/>
          <w:w w:val="105"/>
          <w:sz w:val="20"/>
        </w:rPr>
        <w:t> </w:t>
      </w:r>
      <w:r>
        <w:rPr>
          <w:w w:val="105"/>
          <w:sz w:val="20"/>
        </w:rPr>
        <w:t>the</w:t>
      </w:r>
      <w:r>
        <w:rPr>
          <w:spacing w:val="40"/>
          <w:w w:val="105"/>
          <w:sz w:val="20"/>
        </w:rPr>
        <w:t> </w:t>
      </w:r>
      <w:r>
        <w:rPr>
          <w:w w:val="105"/>
          <w:sz w:val="20"/>
        </w:rPr>
        <w:t>year</w:t>
      </w:r>
      <w:r>
        <w:rPr>
          <w:spacing w:val="40"/>
          <w:w w:val="105"/>
          <w:sz w:val="20"/>
        </w:rPr>
        <w:t> </w:t>
      </w:r>
      <w:r>
        <w:rPr>
          <w:w w:val="105"/>
          <w:sz w:val="20"/>
        </w:rPr>
        <w:t>ended</w:t>
      </w:r>
      <w:r>
        <w:rPr>
          <w:spacing w:val="40"/>
          <w:w w:val="105"/>
          <w:sz w:val="20"/>
        </w:rPr>
        <w:t> </w:t>
      </w:r>
      <w:r>
        <w:rPr>
          <w:w w:val="105"/>
          <w:sz w:val="20"/>
        </w:rPr>
        <w:t>December</w:t>
      </w:r>
      <w:r>
        <w:rPr>
          <w:spacing w:val="40"/>
          <w:w w:val="105"/>
          <w:sz w:val="20"/>
        </w:rPr>
        <w:t> </w:t>
      </w:r>
      <w:r>
        <w:rPr>
          <w:w w:val="105"/>
          <w:sz w:val="20"/>
        </w:rPr>
        <w:t>31,</w:t>
      </w:r>
      <w:r>
        <w:rPr>
          <w:spacing w:val="40"/>
          <w:w w:val="105"/>
          <w:sz w:val="20"/>
        </w:rPr>
        <w:t> </w:t>
      </w:r>
      <w:r>
        <w:rPr>
          <w:w w:val="105"/>
          <w:sz w:val="20"/>
        </w:rPr>
        <w:t>1997</w:t>
      </w:r>
      <w:r>
        <w:rPr>
          <w:spacing w:val="40"/>
          <w:w w:val="105"/>
          <w:sz w:val="20"/>
        </w:rPr>
        <w:t> </w:t>
      </w:r>
      <w:r>
        <w:rPr>
          <w:w w:val="105"/>
          <w:sz w:val="20"/>
        </w:rPr>
        <w:t>[File</w:t>
      </w:r>
      <w:r>
        <w:rPr>
          <w:spacing w:val="40"/>
          <w:w w:val="105"/>
          <w:sz w:val="20"/>
        </w:rPr>
        <w:t> </w:t>
      </w:r>
      <w:r>
        <w:rPr>
          <w:w w:val="105"/>
          <w:sz w:val="20"/>
        </w:rPr>
        <w:t>No.</w:t>
      </w:r>
      <w:r>
        <w:rPr>
          <w:spacing w:val="40"/>
          <w:w w:val="105"/>
          <w:sz w:val="20"/>
        </w:rPr>
        <w:t> </w:t>
      </w:r>
      <w:r>
        <w:rPr>
          <w:w w:val="105"/>
          <w:sz w:val="20"/>
        </w:rPr>
        <w:t>1-7259]).</w:t>
      </w:r>
    </w:p>
    <w:p>
      <w:pPr>
        <w:pStyle w:val="BodyText"/>
        <w:spacing w:before="4"/>
        <w:rPr>
          <w:sz w:val="21"/>
        </w:rPr>
      </w:pPr>
    </w:p>
    <w:p>
      <w:pPr>
        <w:pStyle w:val="ListParagraph"/>
        <w:numPr>
          <w:ilvl w:val="0"/>
          <w:numId w:val="16"/>
        </w:numPr>
        <w:tabs>
          <w:tab w:pos="1539" w:val="left" w:leader="none"/>
          <w:tab w:pos="1540" w:val="left" w:leader="none"/>
        </w:tabs>
        <w:spacing w:line="240" w:lineRule="auto" w:before="0" w:after="0"/>
        <w:ind w:left="1540" w:right="0" w:hanging="900"/>
        <w:jc w:val="left"/>
        <w:rPr>
          <w:sz w:val="20"/>
        </w:rPr>
      </w:pPr>
      <w:r>
        <w:rPr>
          <w:w w:val="105"/>
          <w:sz w:val="20"/>
        </w:rPr>
        <w:t>Consent  of  Ernst  &amp;  Young  LLP,  Independent  </w:t>
      </w:r>
      <w:r>
        <w:rPr>
          <w:spacing w:val="13"/>
          <w:w w:val="105"/>
          <w:sz w:val="20"/>
        </w:rPr>
        <w:t> </w:t>
      </w:r>
      <w:r>
        <w:rPr>
          <w:w w:val="105"/>
          <w:sz w:val="20"/>
        </w:rPr>
        <w:t>Auditors.</w:t>
      </w:r>
    </w:p>
    <w:p>
      <w:pPr>
        <w:pStyle w:val="BodyText"/>
        <w:spacing w:before="7"/>
        <w:rPr>
          <w:sz w:val="22"/>
        </w:rPr>
      </w:pPr>
    </w:p>
    <w:p>
      <w:pPr>
        <w:pStyle w:val="BodyText"/>
        <w:tabs>
          <w:tab w:pos="1539" w:val="left" w:leader="none"/>
        </w:tabs>
        <w:ind w:left="640"/>
      </w:pPr>
      <w:r>
        <w:rPr>
          <w:w w:val="105"/>
        </w:rPr>
        <w:t>99</w:t>
        <w:tab/>
        <w:t>Certifications  pursuant  to  Section  906  of  the  Sarbanes-Oxley  Act  of </w:t>
      </w:r>
      <w:r>
        <w:rPr>
          <w:spacing w:val="30"/>
          <w:w w:val="105"/>
        </w:rPr>
        <w:t> </w:t>
      </w:r>
      <w:r>
        <w:rPr>
          <w:w w:val="105"/>
        </w:rPr>
        <w:t>2002.</w:t>
      </w:r>
    </w:p>
    <w:sectPr>
      <w:headerReference w:type="default" r:id="rId182"/>
      <w:pgSz w:w="11520" w:h="14400"/>
      <w:pgMar w:header="0" w:footer="706" w:top="960" w:bottom="900" w:left="700" w:right="84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ourier New">
    <w:altName w:val="Courier New"/>
    <w:charset w:val="0"/>
    <w:family w:val="modern"/>
    <w:pitch w:val="fixed"/>
  </w:font>
  <w:font w:name="Franklin Gothic Medium">
    <w:altName w:val="Franklin Gothic Medium"/>
    <w:charset w:val="0"/>
    <w:family w:val="swiss"/>
    <w:pitch w:val="variable"/>
  </w:font>
  <w:font w:name="Calibri">
    <w:altName w:val="Calibri"/>
    <w:charset w:val="0"/>
    <w:family w:val="swiss"/>
    <w:pitch w:val="variable"/>
  </w:font>
  <w:font w:name="Symbol">
    <w:altName w:val="Symbol"/>
    <w:charset w:val="2"/>
    <w:family w:val="roman"/>
    <w:pitch w:val="variable"/>
  </w:font>
  <w:font w:name="Arial">
    <w:altName w:val="Arial"/>
    <w:charset w:val="0"/>
    <w:family w:val="swiss"/>
    <w:pitch w:val="variable"/>
  </w:font>
  <w:font w:name="Book Antiqua">
    <w:altName w:val="Book Antiqua"/>
    <w:charset w:val="0"/>
    <w:family w:val="roman"/>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218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96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10</w:t>
                </w:r>
                <w:r>
                  <w:rPr/>
                  <w:fldChar w:fldCharType="end"/>
                </w:r>
                <w:r>
                  <w:rPr>
                    <w:sz w:val="16"/>
                  </w:rPr>
                  <w:t>    </w:t>
                </w:r>
                <w:r>
                  <w:rPr>
                    <w:w w:val="95"/>
                    <w:sz w:val="16"/>
                  </w:rPr>
                  <w:t>|   </w:t>
                </w:r>
                <w:r>
                  <w:rPr>
                    <w:sz w:val="16"/>
                  </w:rPr>
                  <w:t>SOUTHWEST   AIRLINES   CO.   2002  10-K</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94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11</w:t>
                </w:r>
                <w:r>
                  <w:rPr/>
                  <w:fldChar w:fldCharType="end"/>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92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12</w:t>
                </w:r>
                <w:r>
                  <w:rPr/>
                  <w:fldChar w:fldCharType="end"/>
                </w:r>
                <w:r>
                  <w:rPr>
                    <w:sz w:val="16"/>
                  </w:rPr>
                  <w:t>    </w:t>
                </w:r>
                <w:r>
                  <w:rPr>
                    <w:w w:val="95"/>
                    <w:sz w:val="16"/>
                  </w:rPr>
                  <w:t>|   </w:t>
                </w:r>
                <w:r>
                  <w:rPr>
                    <w:sz w:val="16"/>
                  </w:rPr>
                  <w:t>SOUTHWEST   AIRLINES   CO.   2002  10-K</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9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13</w:t>
                </w:r>
                <w:r>
                  <w:rPr/>
                  <w:fldChar w:fldCharType="end"/>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87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14</w:t>
                </w:r>
                <w:r>
                  <w:rPr/>
                  <w:fldChar w:fldCharType="end"/>
                </w:r>
                <w:r>
                  <w:rPr>
                    <w:sz w:val="16"/>
                  </w:rPr>
                  <w:t>    </w:t>
                </w:r>
                <w:r>
                  <w:rPr>
                    <w:w w:val="95"/>
                    <w:sz w:val="16"/>
                  </w:rPr>
                  <w:t>|   </w:t>
                </w:r>
                <w:r>
                  <w:rPr>
                    <w:sz w:val="16"/>
                  </w:rPr>
                  <w:t>SOUTHWEST   AIRLINES   CO.   2002  10-K</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4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15</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82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16</w:t>
                </w:r>
                <w:r>
                  <w:rPr/>
                  <w:fldChar w:fldCharType="end"/>
                </w:r>
                <w:r>
                  <w:rPr>
                    <w:sz w:val="16"/>
                  </w:rPr>
                  <w:t>    </w:t>
                </w:r>
                <w:r>
                  <w:rPr>
                    <w:w w:val="95"/>
                    <w:sz w:val="16"/>
                  </w:rPr>
                  <w:t>|   </w:t>
                </w:r>
                <w:r>
                  <w:rPr>
                    <w:sz w:val="16"/>
                  </w:rPr>
                  <w:t>SOUTHWEST   AIRLINES   CO.   2002  10-K</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80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17</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77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18</w:t>
                </w:r>
                <w:r>
                  <w:rPr/>
                  <w:fldChar w:fldCharType="end"/>
                </w:r>
                <w:r>
                  <w:rPr>
                    <w:sz w:val="16"/>
                  </w:rPr>
                  <w:t>    </w:t>
                </w:r>
                <w:r>
                  <w:rPr>
                    <w:w w:val="95"/>
                    <w:sz w:val="16"/>
                  </w:rPr>
                  <w:t>|   </w:t>
                </w:r>
                <w:r>
                  <w:rPr>
                    <w:sz w:val="16"/>
                  </w:rPr>
                  <w:t>SOUTHWEST   AIRLINES   CO.   2002  10-K</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75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19</w:t>
                </w:r>
                <w:r>
                  <w:rPr/>
                  <w:fldChar w:fldCharType="end"/>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216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10</w:t>
                </w:r>
                <w:r>
                  <w:rPr/>
                  <w:fldChar w:fldCharType="end"/>
                </w:r>
                <w:r>
                  <w:rPr>
                    <w:sz w:val="16"/>
                  </w:rPr>
                  <w:t>    </w:t>
                </w:r>
                <w:r>
                  <w:rPr>
                    <w:w w:val="95"/>
                    <w:sz w:val="16"/>
                  </w:rPr>
                  <w:t>|   </w:t>
                </w:r>
                <w:r>
                  <w:rPr>
                    <w:sz w:val="16"/>
                  </w:rPr>
                  <w:t>SOUTHWEST   AIRLINES   CO.   2002  10-K</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72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20</w:t>
                </w:r>
                <w:r>
                  <w:rPr/>
                  <w:fldChar w:fldCharType="end"/>
                </w:r>
                <w:r>
                  <w:rPr>
                    <w:sz w:val="16"/>
                  </w:rPr>
                  <w:t>    </w:t>
                </w:r>
                <w:r>
                  <w:rPr>
                    <w:w w:val="95"/>
                    <w:sz w:val="16"/>
                  </w:rPr>
                  <w:t>|   </w:t>
                </w:r>
                <w:r>
                  <w:rPr>
                    <w:sz w:val="16"/>
                  </w:rPr>
                  <w:t>SOUTHWEST   AIRLINES   CO.   2002  10-K</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70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21</w:t>
                </w:r>
                <w:r>
                  <w:rPr/>
                  <w:fldChar w:fldCharType="end"/>
                </w:r>
              </w:p>
            </w:txbxContent>
          </v:textbox>
          <w10:wrap type="none"/>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68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22</w:t>
                </w:r>
                <w:r>
                  <w:rPr/>
                  <w:fldChar w:fldCharType="end"/>
                </w:r>
                <w:r>
                  <w:rPr>
                    <w:sz w:val="16"/>
                  </w:rPr>
                  <w:t>    </w:t>
                </w:r>
                <w:r>
                  <w:rPr>
                    <w:w w:val="95"/>
                    <w:sz w:val="16"/>
                  </w:rPr>
                  <w:t>|   </w:t>
                </w:r>
                <w:r>
                  <w:rPr>
                    <w:sz w:val="16"/>
                  </w:rPr>
                  <w:t>SOUTHWEST   AIRLINES   CO.   2002  10-K</w:t>
                </w:r>
              </w:p>
            </w:txbxContent>
          </v:textbox>
          <w10:wrap type="none"/>
        </v:shape>
      </w:pict>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65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23</w:t>
                </w:r>
                <w:r>
                  <w:rPr/>
                  <w:fldChar w:fldCharType="end"/>
                </w:r>
              </w:p>
            </w:txbxContent>
          </v:textbox>
          <w10:wrap type="none"/>
        </v:shape>
      </w:pict>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63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24</w:t>
                </w:r>
                <w:r>
                  <w:rPr/>
                  <w:fldChar w:fldCharType="end"/>
                </w:r>
                <w:r>
                  <w:rPr>
                    <w:sz w:val="16"/>
                  </w:rPr>
                  <w:t>    </w:t>
                </w:r>
                <w:r>
                  <w:rPr>
                    <w:w w:val="95"/>
                    <w:sz w:val="16"/>
                  </w:rPr>
                  <w:t>|   </w:t>
                </w:r>
                <w:r>
                  <w:rPr>
                    <w:sz w:val="16"/>
                  </w:rPr>
                  <w:t>SOUTHWEST   AIRLINES   CO.   2002  10-K</w:t>
                </w:r>
              </w:p>
            </w:txbxContent>
          </v:textbox>
          <w10:wrap type="none"/>
        </v:shape>
      </w:pict>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60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25</w:t>
                </w:r>
                <w:r>
                  <w:rPr/>
                  <w:fldChar w:fldCharType="end"/>
                </w:r>
              </w:p>
            </w:txbxContent>
          </v:textbox>
          <w10:wrap type="none"/>
        </v:shape>
      </w:pict>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58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26</w:t>
                </w:r>
                <w:r>
                  <w:rPr/>
                  <w:fldChar w:fldCharType="end"/>
                </w:r>
                <w:r>
                  <w:rPr>
                    <w:sz w:val="16"/>
                  </w:rPr>
                  <w:t>    </w:t>
                </w:r>
                <w:r>
                  <w:rPr>
                    <w:w w:val="95"/>
                    <w:sz w:val="16"/>
                  </w:rPr>
                  <w:t>|   </w:t>
                </w:r>
                <w:r>
                  <w:rPr>
                    <w:sz w:val="16"/>
                  </w:rPr>
                  <w:t>SOUTHWEST   AIRLINES   CO.   2002  10-K</w:t>
                </w:r>
              </w:p>
            </w:txbxContent>
          </v:textbox>
          <w10:wrap type="none"/>
        </v:shape>
      </w:pict>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56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27</w:t>
                </w:r>
                <w:r>
                  <w:rPr/>
                  <w:fldChar w:fldCharType="end"/>
                </w:r>
              </w:p>
            </w:txbxContent>
          </v:textbox>
          <w10:wrap type="none"/>
        </v:shape>
      </w:pict>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53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28</w:t>
                </w:r>
                <w:r>
                  <w:rPr/>
                  <w:fldChar w:fldCharType="end"/>
                </w:r>
                <w:r>
                  <w:rPr>
                    <w:sz w:val="16"/>
                  </w:rPr>
                  <w:t>    </w:t>
                </w:r>
                <w:r>
                  <w:rPr>
                    <w:w w:val="95"/>
                    <w:sz w:val="16"/>
                  </w:rPr>
                  <w:t>|   </w:t>
                </w:r>
                <w:r>
                  <w:rPr>
                    <w:sz w:val="16"/>
                  </w:rPr>
                  <w:t>SOUTHWEST   AIRLINES   CO.   2002  10-K</w:t>
                </w:r>
              </w:p>
            </w:txbxContent>
          </v:textbox>
          <w10:wrap type="none"/>
        </v:shape>
      </w:pict>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51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29</w:t>
                </w:r>
                <w:r>
                  <w:rPr/>
                  <w:fldChar w:fldCharType="end"/>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13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w:t>
                </w:r>
                <w:r>
                  <w:rPr/>
                  <w:fldChar w:fldCharType="end"/>
                </w:r>
              </w:p>
            </w:txbxContent>
          </v:textbox>
          <w10:wrap type="none"/>
        </v:shape>
      </w:pict>
    </w: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48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30</w:t>
                </w:r>
                <w:r>
                  <w:rPr/>
                  <w:fldChar w:fldCharType="end"/>
                </w:r>
                <w:r>
                  <w:rPr>
                    <w:sz w:val="16"/>
                  </w:rPr>
                  <w:t>    </w:t>
                </w:r>
                <w:r>
                  <w:rPr>
                    <w:w w:val="95"/>
                    <w:sz w:val="16"/>
                  </w:rPr>
                  <w:t>|   </w:t>
                </w:r>
                <w:r>
                  <w:rPr>
                    <w:sz w:val="16"/>
                  </w:rPr>
                  <w:t>SOUTHWEST   AIRLINES   CO.   2002  10-K</w:t>
                </w:r>
              </w:p>
            </w:txbxContent>
          </v:textbox>
          <w10:wrap type="none"/>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46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31</w:t>
                </w:r>
                <w:r>
                  <w:rPr/>
                  <w:fldChar w:fldCharType="end"/>
                </w:r>
              </w:p>
            </w:txbxContent>
          </v:textbox>
          <w10:wrap type="none"/>
        </v:shape>
      </w:pict>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44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32</w:t>
                </w:r>
                <w:r>
                  <w:rPr/>
                  <w:fldChar w:fldCharType="end"/>
                </w:r>
                <w:r>
                  <w:rPr>
                    <w:sz w:val="16"/>
                  </w:rPr>
                  <w:t>    </w:t>
                </w:r>
                <w:r>
                  <w:rPr>
                    <w:w w:val="95"/>
                    <w:sz w:val="16"/>
                  </w:rPr>
                  <w:t>|   </w:t>
                </w:r>
                <w:r>
                  <w:rPr>
                    <w:sz w:val="16"/>
                  </w:rPr>
                  <w:t>SOUTHWEST   AIRLINES   CO.   2002  10-K</w:t>
                </w:r>
              </w:p>
            </w:txbxContent>
          </v:textbox>
          <w10:wrap type="none"/>
        </v:shape>
      </w:pict>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41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33</w:t>
                </w:r>
                <w:r>
                  <w:rPr/>
                  <w:fldChar w:fldCharType="end"/>
                </w:r>
              </w:p>
            </w:txbxContent>
          </v:textbox>
          <w10:wrap type="none"/>
        </v:shape>
      </w:pict>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39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34</w:t>
                </w:r>
                <w:r>
                  <w:rPr/>
                  <w:fldChar w:fldCharType="end"/>
                </w:r>
                <w:r>
                  <w:rPr>
                    <w:sz w:val="16"/>
                  </w:rPr>
                  <w:t>    </w:t>
                </w:r>
                <w:r>
                  <w:rPr>
                    <w:w w:val="95"/>
                    <w:sz w:val="16"/>
                  </w:rPr>
                  <w:t>|   </w:t>
                </w:r>
                <w:r>
                  <w:rPr>
                    <w:sz w:val="16"/>
                  </w:rPr>
                  <w:t>SOUTHWEST   AIRLINES   CO.   2002  10-K</w:t>
                </w:r>
              </w:p>
            </w:txbxContent>
          </v:textbox>
          <w10:wrap type="none"/>
        </v:shape>
      </w:pict>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36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35</w:t>
                </w:r>
                <w:r>
                  <w:rPr/>
                  <w:fldChar w:fldCharType="end"/>
                </w:r>
              </w:p>
            </w:txbxContent>
          </v:textbox>
          <w10:wrap type="none"/>
        </v:shape>
      </w:pict>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34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36</w:t>
                </w:r>
                <w:r>
                  <w:rPr/>
                  <w:fldChar w:fldCharType="end"/>
                </w:r>
                <w:r>
                  <w:rPr>
                    <w:sz w:val="16"/>
                  </w:rPr>
                  <w:t>    </w:t>
                </w:r>
                <w:r>
                  <w:rPr>
                    <w:w w:val="95"/>
                    <w:sz w:val="16"/>
                  </w:rPr>
                  <w:t>|   </w:t>
                </w:r>
                <w:r>
                  <w:rPr>
                    <w:sz w:val="16"/>
                  </w:rPr>
                  <w:t>SOUTHWEST   AIRLINES   CO.   2002  10-K</w:t>
                </w:r>
              </w:p>
            </w:txbxContent>
          </v:textbox>
          <w10:wrap type="none"/>
        </v:shape>
      </w:pict>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32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37</w:t>
                </w:r>
                <w:r>
                  <w:rPr/>
                  <w:fldChar w:fldCharType="end"/>
                </w:r>
              </w:p>
            </w:txbxContent>
          </v:textbox>
          <w10:wrap type="none"/>
        </v:shape>
      </w:pict>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9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38</w:t>
                </w:r>
                <w:r>
                  <w:rPr/>
                  <w:fldChar w:fldCharType="end"/>
                </w:r>
                <w:r>
                  <w:rPr>
                    <w:sz w:val="16"/>
                  </w:rPr>
                  <w:t>    </w:t>
                </w:r>
                <w:r>
                  <w:rPr>
                    <w:w w:val="95"/>
                    <w:sz w:val="16"/>
                  </w:rPr>
                  <w:t>|   </w:t>
                </w:r>
                <w:r>
                  <w:rPr>
                    <w:sz w:val="16"/>
                  </w:rPr>
                  <w:t>SOUTHWEST   AIRLINES   CO.   2002  10-K</w:t>
                </w:r>
              </w:p>
            </w:txbxContent>
          </v:textbox>
          <w10:wrap type="none"/>
        </v:shape>
      </w:pict>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27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39</w:t>
                </w:r>
                <w:r>
                  <w:rPr/>
                  <w:fldChar w:fldCharType="end"/>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11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w:t>
                </w:r>
                <w:r>
                  <w:rPr/>
                  <w:fldChar w:fldCharType="end"/>
                </w:r>
                <w:r>
                  <w:rPr>
                    <w:sz w:val="16"/>
                  </w:rPr>
                  <w:t>   </w:t>
                </w:r>
                <w:r>
                  <w:rPr>
                    <w:w w:val="95"/>
                    <w:sz w:val="16"/>
                  </w:rPr>
                  <w:t>|   </w:t>
                </w:r>
                <w:r>
                  <w:rPr>
                    <w:sz w:val="16"/>
                  </w:rPr>
                  <w:t>SOUTHWEST   AIRLINES   CO.   2002  10-K</w:t>
                </w:r>
              </w:p>
            </w:txbxContent>
          </v:textbox>
          <w10:wrap type="none"/>
        </v:shape>
      </w:pict>
    </w: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4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40</w:t>
                </w:r>
                <w:r>
                  <w:rPr/>
                  <w:fldChar w:fldCharType="end"/>
                </w:r>
                <w:r>
                  <w:rPr>
                    <w:sz w:val="16"/>
                  </w:rPr>
                  <w:t>    </w:t>
                </w:r>
                <w:r>
                  <w:rPr>
                    <w:w w:val="95"/>
                    <w:sz w:val="16"/>
                  </w:rPr>
                  <w:t>|   </w:t>
                </w:r>
                <w:r>
                  <w:rPr>
                    <w:sz w:val="16"/>
                  </w:rPr>
                  <w:t>SOUTHWEST   AIRLINES   CO.   2002  10-K</w:t>
                </w:r>
              </w:p>
            </w:txbxContent>
          </v:textbox>
          <w10:wrap type="none"/>
        </v:shape>
      </w:pict>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22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41</w:t>
                </w:r>
                <w:r>
                  <w:rPr/>
                  <w:fldChar w:fldCharType="end"/>
                </w:r>
              </w:p>
            </w:txbxContent>
          </v:textbox>
          <w10:wrap type="none"/>
        </v:shape>
      </w:pict>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20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42</w:t>
                </w:r>
                <w:r>
                  <w:rPr/>
                  <w:fldChar w:fldCharType="end"/>
                </w:r>
                <w:r>
                  <w:rPr>
                    <w:sz w:val="16"/>
                  </w:rPr>
                  <w:t>    </w:t>
                </w:r>
                <w:r>
                  <w:rPr>
                    <w:w w:val="95"/>
                    <w:sz w:val="16"/>
                  </w:rPr>
                  <w:t>|   </w:t>
                </w:r>
                <w:r>
                  <w:rPr>
                    <w:sz w:val="16"/>
                  </w:rPr>
                  <w:t>SOUTHWEST   AIRLINES   CO.   2002  10-K</w:t>
                </w:r>
              </w:p>
            </w:txbxContent>
          </v:textbox>
          <w10:wrap type="none"/>
        </v:shape>
      </w:pict>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17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43</w:t>
                </w:r>
                <w:r>
                  <w:rPr/>
                  <w:fldChar w:fldCharType="end"/>
                </w:r>
              </w:p>
            </w:txbxContent>
          </v:textbox>
          <w10:wrap type="none"/>
        </v:shape>
      </w:pict>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15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44</w:t>
                </w:r>
                <w:r>
                  <w:rPr/>
                  <w:fldChar w:fldCharType="end"/>
                </w:r>
                <w:r>
                  <w:rPr>
                    <w:sz w:val="16"/>
                  </w:rPr>
                  <w:t>    </w:t>
                </w:r>
                <w:r>
                  <w:rPr>
                    <w:w w:val="95"/>
                    <w:sz w:val="16"/>
                  </w:rPr>
                  <w:t>|   </w:t>
                </w:r>
                <w:r>
                  <w:rPr>
                    <w:sz w:val="16"/>
                  </w:rPr>
                  <w:t>SOUTHWEST   AIRLINES   CO.   2002  10-K</w:t>
                </w:r>
              </w:p>
            </w:txbxContent>
          </v:textbox>
          <w10:wrap type="none"/>
        </v:shape>
      </w:pict>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12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45</w:t>
                </w:r>
                <w:r>
                  <w:rPr/>
                  <w:fldChar w:fldCharType="end"/>
                </w:r>
              </w:p>
            </w:txbxContent>
          </v:textbox>
          <w10:wrap type="none"/>
        </v:shape>
      </w:pict>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10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46</w:t>
                </w:r>
                <w:r>
                  <w:rPr/>
                  <w:fldChar w:fldCharType="end"/>
                </w:r>
                <w:r>
                  <w:rPr>
                    <w:sz w:val="16"/>
                  </w:rPr>
                  <w:t>    </w:t>
                </w:r>
                <w:r>
                  <w:rPr>
                    <w:w w:val="95"/>
                    <w:sz w:val="16"/>
                  </w:rPr>
                  <w:t>|   </w:t>
                </w:r>
                <w:r>
                  <w:rPr>
                    <w:sz w:val="16"/>
                  </w:rPr>
                  <w:t>SOUTHWEST   AIRLINES   CO.   2002  10-K</w:t>
                </w:r>
              </w:p>
            </w:txbxContent>
          </v:textbox>
          <w10:wrap type="none"/>
        </v:shape>
      </w:pict>
    </w: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08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47</w:t>
                </w:r>
                <w:r>
                  <w:rPr/>
                  <w:fldChar w:fldCharType="end"/>
                </w:r>
              </w:p>
            </w:txbxContent>
          </v:textbox>
          <w10:wrap type="none"/>
        </v:shape>
      </w:pict>
    </w: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05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48</w:t>
                </w:r>
                <w:r>
                  <w:rPr/>
                  <w:fldChar w:fldCharType="end"/>
                </w:r>
                <w:r>
                  <w:rPr>
                    <w:sz w:val="16"/>
                  </w:rPr>
                  <w:t>    </w:t>
                </w:r>
                <w:r>
                  <w:rPr>
                    <w:w w:val="95"/>
                    <w:sz w:val="16"/>
                  </w:rPr>
                  <w:t>|   </w:t>
                </w:r>
                <w:r>
                  <w:rPr>
                    <w:sz w:val="16"/>
                  </w:rPr>
                  <w:t>SOUTHWEST   AIRLINES   CO.   2002  10-K</w:t>
                </w:r>
              </w:p>
            </w:txbxContent>
          </v:textbox>
          <w10:wrap type="none"/>
        </v:shape>
      </w:pict>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103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49</w:t>
                </w:r>
                <w:r>
                  <w:rPr/>
                  <w:fldChar w:fldCharType="end"/>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08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w:t>
                </w:r>
                <w:r>
                  <w:rPr/>
                  <w:fldChar w:fldCharType="end"/>
                </w:r>
              </w:p>
            </w:txbxContent>
          </v:textbox>
          <w10:wrap type="none"/>
        </v:shape>
      </w:pict>
    </w: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100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50</w:t>
                </w:r>
                <w:r>
                  <w:rPr/>
                  <w:fldChar w:fldCharType="end"/>
                </w:r>
                <w:r>
                  <w:rPr>
                    <w:sz w:val="16"/>
                  </w:rPr>
                  <w:t>    </w:t>
                </w:r>
                <w:r>
                  <w:rPr>
                    <w:w w:val="95"/>
                    <w:sz w:val="16"/>
                  </w:rPr>
                  <w:t>|   </w:t>
                </w:r>
                <w:r>
                  <w:rPr>
                    <w:sz w:val="16"/>
                  </w:rPr>
                  <w:t>SOUTHWEST   AIRLINES   CO.   2002  10-K</w:t>
                </w:r>
              </w:p>
            </w:txbxContent>
          </v:textbox>
          <w10:wrap type="none"/>
        </v:shape>
      </w:pict>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98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51</w:t>
                </w:r>
                <w:r>
                  <w:rPr/>
                  <w:fldChar w:fldCharType="end"/>
                </w:r>
              </w:p>
            </w:txbxContent>
          </v:textbox>
          <w10:wrap type="none"/>
        </v:shape>
      </w:pict>
    </w: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96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52</w:t>
                </w:r>
                <w:r>
                  <w:rPr/>
                  <w:fldChar w:fldCharType="end"/>
                </w:r>
                <w:r>
                  <w:rPr>
                    <w:sz w:val="16"/>
                  </w:rPr>
                  <w:t>    </w:t>
                </w:r>
                <w:r>
                  <w:rPr>
                    <w:w w:val="95"/>
                    <w:sz w:val="16"/>
                  </w:rPr>
                  <w:t>|   </w:t>
                </w:r>
                <w:r>
                  <w:rPr>
                    <w:sz w:val="16"/>
                  </w:rPr>
                  <w:t>SOUTHWEST   AIRLINES   CO.   2002  10-K</w:t>
                </w:r>
              </w:p>
            </w:txbxContent>
          </v:textbox>
          <w10:wrap type="none"/>
        </v:shape>
      </w:pict>
    </w: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93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53</w:t>
                </w:r>
                <w:r>
                  <w:rPr/>
                  <w:fldChar w:fldCharType="end"/>
                </w:r>
              </w:p>
            </w:txbxContent>
          </v:textbox>
          <w10:wrap type="none"/>
        </v:shape>
      </w:pict>
    </w: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91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54</w:t>
                </w:r>
                <w:r>
                  <w:rPr/>
                  <w:fldChar w:fldCharType="end"/>
                </w:r>
                <w:r>
                  <w:rPr>
                    <w:sz w:val="16"/>
                  </w:rPr>
                  <w:t>    </w:t>
                </w:r>
                <w:r>
                  <w:rPr>
                    <w:w w:val="95"/>
                    <w:sz w:val="16"/>
                  </w:rPr>
                  <w:t>|   </w:t>
                </w:r>
                <w:r>
                  <w:rPr>
                    <w:sz w:val="16"/>
                  </w:rPr>
                  <w:t>SOUTHWEST   AIRLINES   CO.   2002  10-K</w:t>
                </w:r>
              </w:p>
            </w:txbxContent>
          </v:textbox>
          <w10:wrap type="none"/>
        </v:shape>
      </w:pict>
    </w: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88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55</w:t>
                </w:r>
                <w:r>
                  <w:rPr/>
                  <w:fldChar w:fldCharType="end"/>
                </w:r>
              </w:p>
            </w:txbxContent>
          </v:textbox>
          <w10:wrap type="none"/>
        </v:shape>
      </w:pict>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86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56</w:t>
                </w:r>
                <w:r>
                  <w:rPr/>
                  <w:fldChar w:fldCharType="end"/>
                </w:r>
                <w:r>
                  <w:rPr>
                    <w:sz w:val="16"/>
                  </w:rPr>
                  <w:t>    </w:t>
                </w:r>
                <w:r>
                  <w:rPr>
                    <w:w w:val="95"/>
                    <w:sz w:val="16"/>
                  </w:rPr>
                  <w:t>|   </w:t>
                </w:r>
                <w:r>
                  <w:rPr>
                    <w:sz w:val="16"/>
                  </w:rPr>
                  <w:t>SOUTHWEST   AIRLINES   CO.   2002  10-K</w:t>
                </w:r>
              </w:p>
            </w:txbxContent>
          </v:textbox>
          <w10:wrap type="none"/>
        </v:shape>
      </w:pict>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84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57</w:t>
                </w:r>
                <w:r>
                  <w:rPr/>
                  <w:fldChar w:fldCharType="end"/>
                </w:r>
              </w:p>
            </w:txbxContent>
          </v:textbox>
          <w10:wrap type="none"/>
        </v:shape>
      </w:pict>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81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58</w:t>
                </w:r>
                <w:r>
                  <w:rPr/>
                  <w:fldChar w:fldCharType="end"/>
                </w:r>
                <w:r>
                  <w:rPr>
                    <w:sz w:val="16"/>
                  </w:rPr>
                  <w:t>    </w:t>
                </w:r>
                <w:r>
                  <w:rPr>
                    <w:w w:val="95"/>
                    <w:sz w:val="16"/>
                  </w:rPr>
                  <w:t>|   </w:t>
                </w:r>
                <w:r>
                  <w:rPr>
                    <w:sz w:val="16"/>
                  </w:rPr>
                  <w:t>SOUTHWEST   AIRLINES   CO.   2002  10-K</w:t>
                </w:r>
              </w:p>
            </w:txbxContent>
          </v:textbox>
          <w10:wrap type="none"/>
        </v:shape>
      </w:pict>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79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59</w:t>
                </w:r>
                <w:r>
                  <w:rPr/>
                  <w:fldChar w:fldCharType="end"/>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06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w:t>
                </w:r>
                <w:r>
                  <w:rPr/>
                  <w:fldChar w:fldCharType="end"/>
                </w:r>
                <w:r>
                  <w:rPr>
                    <w:sz w:val="16"/>
                  </w:rPr>
                  <w:t>   </w:t>
                </w:r>
                <w:r>
                  <w:rPr>
                    <w:w w:val="95"/>
                    <w:sz w:val="16"/>
                  </w:rPr>
                  <w:t>|   </w:t>
                </w:r>
                <w:r>
                  <w:rPr>
                    <w:sz w:val="16"/>
                  </w:rPr>
                  <w:t>SOUTHWEST   AIRLINES   CO.   2002  10-K</w:t>
                </w:r>
              </w:p>
            </w:txbxContent>
          </v:textbox>
          <w10:wrap type="none"/>
        </v:shape>
      </w:pict>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768"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60</w:t>
                </w:r>
                <w:r>
                  <w:rPr/>
                  <w:fldChar w:fldCharType="end"/>
                </w:r>
                <w:r>
                  <w:rPr>
                    <w:sz w:val="16"/>
                  </w:rPr>
                  <w:t>    </w:t>
                </w:r>
                <w:r>
                  <w:rPr>
                    <w:w w:val="95"/>
                    <w:sz w:val="16"/>
                  </w:rPr>
                  <w:t>|   </w:t>
                </w:r>
                <w:r>
                  <w:rPr>
                    <w:sz w:val="16"/>
                  </w:rPr>
                  <w:t>SOUTHWEST   AIRLINES   CO.   2002  10-K</w:t>
                </w:r>
              </w:p>
            </w:txbxContent>
          </v:textbox>
          <w10:wrap type="none"/>
        </v:shape>
      </w:pict>
    </w: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744"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61</w:t>
                </w:r>
                <w:r>
                  <w:rPr/>
                  <w:fldChar w:fldCharType="end"/>
                </w:r>
              </w:p>
            </w:txbxContent>
          </v:textbox>
          <w10:wrap type="none"/>
        </v:shape>
      </w:pict>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720"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62</w:t>
                </w:r>
                <w:r>
                  <w:rPr/>
                  <w:fldChar w:fldCharType="end"/>
                </w:r>
                <w:r>
                  <w:rPr>
                    <w:sz w:val="16"/>
                  </w:rPr>
                  <w:t>    </w:t>
                </w:r>
                <w:r>
                  <w:rPr>
                    <w:w w:val="95"/>
                    <w:sz w:val="16"/>
                  </w:rPr>
                  <w:t>|   </w:t>
                </w:r>
                <w:r>
                  <w:rPr>
                    <w:sz w:val="16"/>
                  </w:rPr>
                  <w:t>SOUTHWEST   AIRLINES   CO.   2002  10-K</w:t>
                </w:r>
              </w:p>
            </w:txbxContent>
          </v:textbox>
          <w10:wrap type="none"/>
        </v:shape>
      </w:pict>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696"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63</w:t>
                </w:r>
                <w:r>
                  <w:rPr/>
                  <w:fldChar w:fldCharType="end"/>
                </w:r>
              </w:p>
            </w:txbxContent>
          </v:textbox>
          <w10:wrap type="none"/>
        </v:shape>
      </w:pict>
    </w:r>
  </w:p>
</w:ftr>
</file>

<file path=word/footer6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672"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64</w:t>
                </w:r>
                <w:r>
                  <w:rPr/>
                  <w:fldChar w:fldCharType="end"/>
                </w:r>
                <w:r>
                  <w:rPr>
                    <w:sz w:val="16"/>
                  </w:rPr>
                  <w:t>    </w:t>
                </w:r>
                <w:r>
                  <w:rPr>
                    <w:w w:val="95"/>
                    <w:sz w:val="16"/>
                  </w:rPr>
                  <w:t>|   </w:t>
                </w:r>
                <w:r>
                  <w:rPr>
                    <w:sz w:val="16"/>
                  </w:rPr>
                  <w:t>SOUTHWEST   AIRLINES   CO.   2002  10-K</w:t>
                </w:r>
              </w:p>
            </w:txbxContent>
          </v:textbox>
          <w10:wrap type="none"/>
        </v:shape>
      </w:pict>
    </w:r>
  </w:p>
</w:ftr>
</file>

<file path=word/footer6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68pt;margin-top:673.687927pt;width:160.15pt;height:11.35pt;mso-position-horizontal-relative:page;mso-position-vertical-relative:page;z-index:-280648"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65</w:t>
                </w:r>
                <w:r>
                  <w:rPr/>
                  <w:fldChar w:fldCharType="end"/>
                </w:r>
              </w:p>
            </w:txbxContent>
          </v:textbox>
          <w10:wrap type="none"/>
        </v:shape>
      </w:pict>
    </w:r>
  </w:p>
</w:ftr>
</file>

<file path=word/footer6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61.1pt;height:11.35pt;mso-position-horizontal-relative:page;mso-position-vertical-relative:page;z-index:-280624"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66</w:t>
                </w:r>
                <w:r>
                  <w:rPr/>
                  <w:fldChar w:fldCharType="end"/>
                </w:r>
                <w:r>
                  <w:rPr>
                    <w:sz w:val="16"/>
                  </w:rPr>
                  <w:t>    </w:t>
                </w:r>
                <w:r>
                  <w:rPr>
                    <w:w w:val="95"/>
                    <w:sz w:val="16"/>
                  </w:rPr>
                  <w:t>|   </w:t>
                </w:r>
                <w:r>
                  <w:rPr>
                    <w:sz w:val="16"/>
                  </w:rPr>
                  <w:t>SOUTHWEST   AIRLINES   CO.   2002  10-K</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2040"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7</w:t>
                </w:r>
                <w:r>
                  <w:rPr/>
                  <w:fldChar w:fldCharType="end"/>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8pt;margin-top:673.687927pt;width:156.1pt;height:11.35pt;mso-position-horizontal-relative:page;mso-position-vertical-relative:page;z-index:-282016" type="#_x0000_t202" filled="false" stroked="false">
          <v:textbox inset="0,0,0,0">
            <w:txbxContent>
              <w:p>
                <w:pPr>
                  <w:spacing w:before="14"/>
                  <w:ind w:left="40" w:right="0" w:firstLine="0"/>
                  <w:jc w:val="left"/>
                  <w:rPr>
                    <w:sz w:val="16"/>
                  </w:rPr>
                </w:pPr>
                <w:r>
                  <w:rPr/>
                  <w:fldChar w:fldCharType="begin"/>
                </w:r>
                <w:r>
                  <w:rPr>
                    <w:sz w:val="16"/>
                  </w:rPr>
                  <w:instrText> PAGE </w:instrText>
                </w:r>
                <w:r>
                  <w:rPr/>
                  <w:fldChar w:fldCharType="separate"/>
                </w:r>
                <w:r>
                  <w:rPr/>
                  <w:t>8</w:t>
                </w:r>
                <w:r>
                  <w:rPr/>
                  <w:fldChar w:fldCharType="end"/>
                </w:r>
                <w:r>
                  <w:rPr>
                    <w:sz w:val="16"/>
                  </w:rPr>
                  <w:t>   </w:t>
                </w:r>
                <w:r>
                  <w:rPr>
                    <w:w w:val="95"/>
                    <w:sz w:val="16"/>
                  </w:rPr>
                  <w:t>|   </w:t>
                </w:r>
                <w:r>
                  <w:rPr>
                    <w:sz w:val="16"/>
                  </w:rPr>
                  <w:t>SOUTHWEST   AIRLINES   CO.   2002  10-K</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373pt;margin-top:673.687927pt;width:155.050pt;height:11.35pt;mso-position-horizontal-relative:page;mso-position-vertical-relative:page;z-index:-281992" type="#_x0000_t202" filled="false" stroked="false">
          <v:textbox inset="0,0,0,0">
            <w:txbxContent>
              <w:p>
                <w:pPr>
                  <w:spacing w:before="14"/>
                  <w:ind w:left="20" w:right="0" w:firstLine="0"/>
                  <w:jc w:val="left"/>
                  <w:rPr>
                    <w:sz w:val="16"/>
                  </w:rPr>
                </w:pPr>
                <w:r>
                  <w:rPr>
                    <w:sz w:val="16"/>
                  </w:rPr>
                  <w:t>SOUTHWEST   AIRLINES   CO.   2002   10-K   </w:t>
                </w:r>
                <w:r>
                  <w:rPr>
                    <w:w w:val="95"/>
                    <w:sz w:val="16"/>
                  </w:rPr>
                  <w:t>|  </w:t>
                </w:r>
                <w:r>
                  <w:rPr/>
                  <w:fldChar w:fldCharType="begin"/>
                </w:r>
                <w:r>
                  <w:rPr>
                    <w:sz w:val="16"/>
                  </w:rPr>
                  <w:instrText> PAGE </w:instrText>
                </w:r>
                <w:r>
                  <w:rPr/>
                  <w:fldChar w:fldCharType="separate"/>
                </w:r>
                <w:r>
                  <w:rPr/>
                  <w:t>9</w:t>
                </w:r>
                <w:r>
                  <w:rPr/>
                  <w:fldChar w:fldCharType="end"/>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76" filled="true" fillcolor="#e2e3e3" stroked="false">
          <v:fill type="solid"/>
          <w10:wrap type="none"/>
        </v:rect>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04" filled="true" fillcolor="#e2e3e3" stroked="false">
          <v:fill type="solid"/>
          <w10:wrap type="none"/>
        </v:rect>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80" filled="true" fillcolor="#e2e3e3" stroked="false">
          <v:fill type="solid"/>
          <w10:wrap type="none"/>
        </v:rect>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180.06pt;mso-position-horizontal-relative:page;mso-position-vertical-relative:page;z-index:-282256" filled="true" fillcolor="#e2e3e3" stroked="false">
          <v:fill type="solid"/>
          <w10:wrap type="none"/>
        </v:rect>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32" filled="true" fillcolor="#e3e4e5" stroked="false">
          <v:fill type="solid"/>
          <w10:wrap type="none"/>
        </v:rect>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208" filled="true" fillcolor="#e2e3e3" stroked="false">
          <v:fill type="solid"/>
          <w10:wrap type="none"/>
        </v:rect>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52" filled="true" fillcolor="#e2e3e3" stroked="false">
          <v:fill type="solid"/>
          <w10:wrap type="none"/>
        </v:rect>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r>
      <w:rPr/>
      <w:pict>
        <v:rect style="position:absolute;margin-left:0pt;margin-top:-.06pt;width:612pt;height:792pt;mso-position-horizontal-relative:page;mso-position-vertical-relative:page;z-index:-282328" filled="true" fillcolor="#e2e3e3" stroked="false">
          <v:fill type="solid"/>
          <w10:wrap type="none"/>
        </v:rect>
      </w:pict>
    </w:r>
  </w:p>
</w:hdr>
</file>

<file path=word/header8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8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640" w:hanging="180"/>
      </w:pPr>
      <w:rPr>
        <w:rFonts w:hint="default" w:ascii="Symbol" w:hAnsi="Symbol" w:eastAsia="Symbol" w:cs="Symbol"/>
        <w:w w:val="100"/>
        <w:sz w:val="20"/>
        <w:szCs w:val="20"/>
      </w:rPr>
    </w:lvl>
    <w:lvl w:ilvl="1">
      <w:start w:val="0"/>
      <w:numFmt w:val="bullet"/>
      <w:lvlText w:val="•"/>
      <w:lvlJc w:val="left"/>
      <w:pPr>
        <w:ind w:left="1060" w:hanging="180"/>
      </w:pPr>
      <w:rPr>
        <w:rFonts w:hint="default"/>
      </w:rPr>
    </w:lvl>
    <w:lvl w:ilvl="2">
      <w:start w:val="0"/>
      <w:numFmt w:val="bullet"/>
      <w:lvlText w:val="•"/>
      <w:lvlJc w:val="left"/>
      <w:pPr>
        <w:ind w:left="1480" w:hanging="180"/>
      </w:pPr>
      <w:rPr>
        <w:rFonts w:hint="default"/>
      </w:rPr>
    </w:lvl>
    <w:lvl w:ilvl="3">
      <w:start w:val="0"/>
      <w:numFmt w:val="bullet"/>
      <w:lvlText w:val="•"/>
      <w:lvlJc w:val="left"/>
      <w:pPr>
        <w:ind w:left="1900" w:hanging="180"/>
      </w:pPr>
      <w:rPr>
        <w:rFonts w:hint="default"/>
      </w:rPr>
    </w:lvl>
    <w:lvl w:ilvl="4">
      <w:start w:val="0"/>
      <w:numFmt w:val="bullet"/>
      <w:lvlText w:val="•"/>
      <w:lvlJc w:val="left"/>
      <w:pPr>
        <w:ind w:left="2320" w:hanging="180"/>
      </w:pPr>
      <w:rPr>
        <w:rFonts w:hint="default"/>
      </w:rPr>
    </w:lvl>
    <w:lvl w:ilvl="5">
      <w:start w:val="0"/>
      <w:numFmt w:val="bullet"/>
      <w:lvlText w:val="•"/>
      <w:lvlJc w:val="left"/>
      <w:pPr>
        <w:ind w:left="2740" w:hanging="180"/>
      </w:pPr>
      <w:rPr>
        <w:rFonts w:hint="default"/>
      </w:rPr>
    </w:lvl>
    <w:lvl w:ilvl="6">
      <w:start w:val="0"/>
      <w:numFmt w:val="bullet"/>
      <w:lvlText w:val="•"/>
      <w:lvlJc w:val="left"/>
      <w:pPr>
        <w:ind w:left="3160" w:hanging="180"/>
      </w:pPr>
      <w:rPr>
        <w:rFonts w:hint="default"/>
      </w:rPr>
    </w:lvl>
    <w:lvl w:ilvl="7">
      <w:start w:val="0"/>
      <w:numFmt w:val="bullet"/>
      <w:lvlText w:val="•"/>
      <w:lvlJc w:val="left"/>
      <w:pPr>
        <w:ind w:left="3580" w:hanging="180"/>
      </w:pPr>
      <w:rPr>
        <w:rFonts w:hint="default"/>
      </w:rPr>
    </w:lvl>
    <w:lvl w:ilvl="8">
      <w:start w:val="0"/>
      <w:numFmt w:val="bullet"/>
      <w:lvlText w:val="•"/>
      <w:lvlJc w:val="left"/>
      <w:pPr>
        <w:ind w:left="4000" w:hanging="180"/>
      </w:pPr>
      <w:rPr>
        <w:rFonts w:hint="default"/>
      </w:rPr>
    </w:lvl>
  </w:abstractNum>
  <w:abstractNum w:abstractNumId="1">
    <w:multiLevelType w:val="hybridMultilevel"/>
    <w:lvl w:ilvl="0">
      <w:start w:val="1"/>
      <w:numFmt w:val="decimal"/>
      <w:lvlText w:val="(%1)"/>
      <w:lvlJc w:val="left"/>
      <w:pPr>
        <w:ind w:left="1002" w:hanging="270"/>
        <w:jc w:val="left"/>
      </w:pPr>
      <w:rPr>
        <w:rFonts w:hint="default" w:ascii="Calibri" w:hAnsi="Calibri" w:eastAsia="Calibri" w:cs="Calibri"/>
        <w:color w:val="292425"/>
        <w:spacing w:val="-1"/>
        <w:w w:val="107"/>
        <w:position w:val="2"/>
        <w:sz w:val="16"/>
        <w:szCs w:val="16"/>
      </w:rPr>
    </w:lvl>
    <w:lvl w:ilvl="1">
      <w:start w:val="0"/>
      <w:numFmt w:val="bullet"/>
      <w:lvlText w:val="•"/>
      <w:lvlJc w:val="left"/>
      <w:pPr>
        <w:ind w:left="2124" w:hanging="270"/>
      </w:pPr>
      <w:rPr>
        <w:rFonts w:hint="default"/>
      </w:rPr>
    </w:lvl>
    <w:lvl w:ilvl="2">
      <w:start w:val="0"/>
      <w:numFmt w:val="bullet"/>
      <w:lvlText w:val="•"/>
      <w:lvlJc w:val="left"/>
      <w:pPr>
        <w:ind w:left="3248" w:hanging="270"/>
      </w:pPr>
      <w:rPr>
        <w:rFonts w:hint="default"/>
      </w:rPr>
    </w:lvl>
    <w:lvl w:ilvl="3">
      <w:start w:val="0"/>
      <w:numFmt w:val="bullet"/>
      <w:lvlText w:val="•"/>
      <w:lvlJc w:val="left"/>
      <w:pPr>
        <w:ind w:left="4372" w:hanging="270"/>
      </w:pPr>
      <w:rPr>
        <w:rFonts w:hint="default"/>
      </w:rPr>
    </w:lvl>
    <w:lvl w:ilvl="4">
      <w:start w:val="0"/>
      <w:numFmt w:val="bullet"/>
      <w:lvlText w:val="•"/>
      <w:lvlJc w:val="left"/>
      <w:pPr>
        <w:ind w:left="5496" w:hanging="270"/>
      </w:pPr>
      <w:rPr>
        <w:rFonts w:hint="default"/>
      </w:rPr>
    </w:lvl>
    <w:lvl w:ilvl="5">
      <w:start w:val="0"/>
      <w:numFmt w:val="bullet"/>
      <w:lvlText w:val="•"/>
      <w:lvlJc w:val="left"/>
      <w:pPr>
        <w:ind w:left="6620" w:hanging="270"/>
      </w:pPr>
      <w:rPr>
        <w:rFonts w:hint="default"/>
      </w:rPr>
    </w:lvl>
    <w:lvl w:ilvl="6">
      <w:start w:val="0"/>
      <w:numFmt w:val="bullet"/>
      <w:lvlText w:val="•"/>
      <w:lvlJc w:val="left"/>
      <w:pPr>
        <w:ind w:left="7744" w:hanging="270"/>
      </w:pPr>
      <w:rPr>
        <w:rFonts w:hint="default"/>
      </w:rPr>
    </w:lvl>
    <w:lvl w:ilvl="7">
      <w:start w:val="0"/>
      <w:numFmt w:val="bullet"/>
      <w:lvlText w:val="•"/>
      <w:lvlJc w:val="left"/>
      <w:pPr>
        <w:ind w:left="8868" w:hanging="270"/>
      </w:pPr>
      <w:rPr>
        <w:rFonts w:hint="default"/>
      </w:rPr>
    </w:lvl>
    <w:lvl w:ilvl="8">
      <w:start w:val="0"/>
      <w:numFmt w:val="bullet"/>
      <w:lvlText w:val="•"/>
      <w:lvlJc w:val="left"/>
      <w:pPr>
        <w:ind w:left="9992" w:hanging="270"/>
      </w:pPr>
      <w:rPr>
        <w:rFonts w:hint="default"/>
      </w:rPr>
    </w:lvl>
  </w:abstractNum>
  <w:abstractNum w:abstractNumId="0">
    <w:multiLevelType w:val="hybridMultilevel"/>
    <w:lvl w:ilvl="0">
      <w:start w:val="1"/>
      <w:numFmt w:val="decimal"/>
      <w:lvlText w:val="%1."/>
      <w:lvlJc w:val="left"/>
      <w:pPr>
        <w:ind w:left="1291" w:hanging="180"/>
        <w:jc w:val="right"/>
      </w:pPr>
      <w:rPr>
        <w:rFonts w:hint="default"/>
        <w:i/>
        <w:w w:val="110"/>
      </w:rPr>
    </w:lvl>
    <w:lvl w:ilvl="1">
      <w:start w:val="0"/>
      <w:numFmt w:val="bullet"/>
      <w:lvlText w:val="•"/>
      <w:lvlJc w:val="left"/>
      <w:pPr>
        <w:ind w:left="2394" w:hanging="180"/>
      </w:pPr>
      <w:rPr>
        <w:rFonts w:hint="default"/>
      </w:rPr>
    </w:lvl>
    <w:lvl w:ilvl="2">
      <w:start w:val="0"/>
      <w:numFmt w:val="bullet"/>
      <w:lvlText w:val="•"/>
      <w:lvlJc w:val="left"/>
      <w:pPr>
        <w:ind w:left="3488" w:hanging="180"/>
      </w:pPr>
      <w:rPr>
        <w:rFonts w:hint="default"/>
      </w:rPr>
    </w:lvl>
    <w:lvl w:ilvl="3">
      <w:start w:val="0"/>
      <w:numFmt w:val="bullet"/>
      <w:lvlText w:val="•"/>
      <w:lvlJc w:val="left"/>
      <w:pPr>
        <w:ind w:left="4582" w:hanging="180"/>
      </w:pPr>
      <w:rPr>
        <w:rFonts w:hint="default"/>
      </w:rPr>
    </w:lvl>
    <w:lvl w:ilvl="4">
      <w:start w:val="0"/>
      <w:numFmt w:val="bullet"/>
      <w:lvlText w:val="•"/>
      <w:lvlJc w:val="left"/>
      <w:pPr>
        <w:ind w:left="5676" w:hanging="180"/>
      </w:pPr>
      <w:rPr>
        <w:rFonts w:hint="default"/>
      </w:rPr>
    </w:lvl>
    <w:lvl w:ilvl="5">
      <w:start w:val="0"/>
      <w:numFmt w:val="bullet"/>
      <w:lvlText w:val="•"/>
      <w:lvlJc w:val="left"/>
      <w:pPr>
        <w:ind w:left="6770" w:hanging="180"/>
      </w:pPr>
      <w:rPr>
        <w:rFonts w:hint="default"/>
      </w:rPr>
    </w:lvl>
    <w:lvl w:ilvl="6">
      <w:start w:val="0"/>
      <w:numFmt w:val="bullet"/>
      <w:lvlText w:val="•"/>
      <w:lvlJc w:val="left"/>
      <w:pPr>
        <w:ind w:left="7864" w:hanging="180"/>
      </w:pPr>
      <w:rPr>
        <w:rFonts w:hint="default"/>
      </w:rPr>
    </w:lvl>
    <w:lvl w:ilvl="7">
      <w:start w:val="0"/>
      <w:numFmt w:val="bullet"/>
      <w:lvlText w:val="•"/>
      <w:lvlJc w:val="left"/>
      <w:pPr>
        <w:ind w:left="8958" w:hanging="180"/>
      </w:pPr>
      <w:rPr>
        <w:rFonts w:hint="default"/>
      </w:rPr>
    </w:lvl>
    <w:lvl w:ilvl="8">
      <w:start w:val="0"/>
      <w:numFmt w:val="bullet"/>
      <w:lvlText w:val="•"/>
      <w:lvlJc w:val="left"/>
      <w:pPr>
        <w:ind w:left="10052" w:hanging="180"/>
      </w:pPr>
      <w:rPr>
        <w:rFonts w:hint="default"/>
      </w:rPr>
    </w:lvl>
  </w:abstractNum>
  <w:abstractNum w:abstractNumId="15">
    <w:multiLevelType w:val="hybridMultilevel"/>
    <w:lvl w:ilvl="0">
      <w:start w:val="22"/>
      <w:numFmt w:val="decimal"/>
      <w:lvlText w:val="%1"/>
      <w:lvlJc w:val="left"/>
      <w:pPr>
        <w:ind w:left="1540" w:hanging="900"/>
        <w:jc w:val="left"/>
      </w:pPr>
      <w:rPr>
        <w:rFonts w:hint="default" w:ascii="Calibri" w:hAnsi="Calibri" w:eastAsia="Calibri" w:cs="Calibri"/>
        <w:w w:val="118"/>
        <w:sz w:val="20"/>
        <w:szCs w:val="20"/>
      </w:rPr>
    </w:lvl>
    <w:lvl w:ilvl="1">
      <w:start w:val="0"/>
      <w:numFmt w:val="bullet"/>
      <w:lvlText w:val="•"/>
      <w:lvlJc w:val="left"/>
      <w:pPr>
        <w:ind w:left="2384" w:hanging="900"/>
      </w:pPr>
      <w:rPr>
        <w:rFonts w:hint="default"/>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4">
    <w:multiLevelType w:val="hybridMultilevel"/>
    <w:lvl w:ilvl="0">
      <w:start w:val="10"/>
      <w:numFmt w:val="decimal"/>
      <w:lvlText w:val="%1"/>
      <w:lvlJc w:val="left"/>
      <w:pPr>
        <w:ind w:left="1540" w:hanging="900"/>
        <w:jc w:val="left"/>
      </w:pPr>
      <w:rPr>
        <w:rFonts w:hint="default"/>
      </w:rPr>
    </w:lvl>
    <w:lvl w:ilvl="1">
      <w:start w:val="1"/>
      <w:numFmt w:val="decimal"/>
      <w:lvlText w:val="%1.%2"/>
      <w:lvlJc w:val="left"/>
      <w:pPr>
        <w:ind w:left="1540" w:hanging="900"/>
        <w:jc w:val="right"/>
      </w:pPr>
      <w:rPr>
        <w:rFonts w:hint="default" w:ascii="Calibri" w:hAnsi="Calibri" w:eastAsia="Calibri" w:cs="Calibri"/>
        <w:w w:val="118"/>
        <w:sz w:val="20"/>
        <w:szCs w:val="20"/>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3">
    <w:multiLevelType w:val="hybridMultilevel"/>
    <w:lvl w:ilvl="0">
      <w:start w:val="4"/>
      <w:numFmt w:val="decimal"/>
      <w:lvlText w:val="%1"/>
      <w:lvlJc w:val="left"/>
      <w:pPr>
        <w:ind w:left="1540" w:hanging="901"/>
        <w:jc w:val="left"/>
      </w:pPr>
      <w:rPr>
        <w:rFonts w:hint="default"/>
      </w:rPr>
    </w:lvl>
    <w:lvl w:ilvl="1">
      <w:start w:val="1"/>
      <w:numFmt w:val="decimal"/>
      <w:lvlText w:val="%1.%2"/>
      <w:lvlJc w:val="left"/>
      <w:pPr>
        <w:ind w:left="1540" w:hanging="901"/>
        <w:jc w:val="left"/>
      </w:pPr>
      <w:rPr>
        <w:rFonts w:hint="default" w:ascii="Calibri" w:hAnsi="Calibri" w:eastAsia="Calibri" w:cs="Calibri"/>
        <w:w w:val="118"/>
        <w:sz w:val="20"/>
        <w:szCs w:val="20"/>
      </w:rPr>
    </w:lvl>
    <w:lvl w:ilvl="2">
      <w:start w:val="0"/>
      <w:numFmt w:val="bullet"/>
      <w:lvlText w:val="•"/>
      <w:lvlJc w:val="left"/>
      <w:pPr>
        <w:ind w:left="3228" w:hanging="901"/>
      </w:pPr>
      <w:rPr>
        <w:rFonts w:hint="default"/>
      </w:rPr>
    </w:lvl>
    <w:lvl w:ilvl="3">
      <w:start w:val="0"/>
      <w:numFmt w:val="bullet"/>
      <w:lvlText w:val="•"/>
      <w:lvlJc w:val="left"/>
      <w:pPr>
        <w:ind w:left="4072" w:hanging="901"/>
      </w:pPr>
      <w:rPr>
        <w:rFonts w:hint="default"/>
      </w:rPr>
    </w:lvl>
    <w:lvl w:ilvl="4">
      <w:start w:val="0"/>
      <w:numFmt w:val="bullet"/>
      <w:lvlText w:val="•"/>
      <w:lvlJc w:val="left"/>
      <w:pPr>
        <w:ind w:left="4916" w:hanging="901"/>
      </w:pPr>
      <w:rPr>
        <w:rFonts w:hint="default"/>
      </w:rPr>
    </w:lvl>
    <w:lvl w:ilvl="5">
      <w:start w:val="0"/>
      <w:numFmt w:val="bullet"/>
      <w:lvlText w:val="•"/>
      <w:lvlJc w:val="left"/>
      <w:pPr>
        <w:ind w:left="5760" w:hanging="901"/>
      </w:pPr>
      <w:rPr>
        <w:rFonts w:hint="default"/>
      </w:rPr>
    </w:lvl>
    <w:lvl w:ilvl="6">
      <w:start w:val="0"/>
      <w:numFmt w:val="bullet"/>
      <w:lvlText w:val="•"/>
      <w:lvlJc w:val="left"/>
      <w:pPr>
        <w:ind w:left="6604" w:hanging="901"/>
      </w:pPr>
      <w:rPr>
        <w:rFonts w:hint="default"/>
      </w:rPr>
    </w:lvl>
    <w:lvl w:ilvl="7">
      <w:start w:val="0"/>
      <w:numFmt w:val="bullet"/>
      <w:lvlText w:val="•"/>
      <w:lvlJc w:val="left"/>
      <w:pPr>
        <w:ind w:left="7448" w:hanging="901"/>
      </w:pPr>
      <w:rPr>
        <w:rFonts w:hint="default"/>
      </w:rPr>
    </w:lvl>
    <w:lvl w:ilvl="8">
      <w:start w:val="0"/>
      <w:numFmt w:val="bullet"/>
      <w:lvlText w:val="•"/>
      <w:lvlJc w:val="left"/>
      <w:pPr>
        <w:ind w:left="8292" w:hanging="901"/>
      </w:pPr>
      <w:rPr>
        <w:rFonts w:hint="default"/>
      </w:rPr>
    </w:lvl>
  </w:abstractNum>
  <w:abstractNum w:abstractNumId="12">
    <w:multiLevelType w:val="hybridMultilevel"/>
    <w:lvl w:ilvl="0">
      <w:start w:val="3"/>
      <w:numFmt w:val="decimal"/>
      <w:lvlText w:val="%1"/>
      <w:lvlJc w:val="left"/>
      <w:pPr>
        <w:ind w:left="1540" w:hanging="900"/>
        <w:jc w:val="left"/>
      </w:pPr>
      <w:rPr>
        <w:rFonts w:hint="default"/>
      </w:rPr>
    </w:lvl>
    <w:lvl w:ilvl="1">
      <w:start w:val="1"/>
      <w:numFmt w:val="decimal"/>
      <w:lvlText w:val="%1.%2"/>
      <w:lvlJc w:val="left"/>
      <w:pPr>
        <w:ind w:left="1540" w:hanging="900"/>
        <w:jc w:val="left"/>
      </w:pPr>
      <w:rPr>
        <w:rFonts w:hint="default" w:ascii="Calibri" w:hAnsi="Calibri" w:eastAsia="Calibri" w:cs="Calibri"/>
        <w:w w:val="118"/>
        <w:sz w:val="20"/>
        <w:szCs w:val="20"/>
      </w:rPr>
    </w:lvl>
    <w:lvl w:ilvl="2">
      <w:start w:val="0"/>
      <w:numFmt w:val="bullet"/>
      <w:lvlText w:val="•"/>
      <w:lvlJc w:val="left"/>
      <w:pPr>
        <w:ind w:left="3228" w:hanging="900"/>
      </w:pPr>
      <w:rPr>
        <w:rFonts w:hint="default"/>
      </w:rPr>
    </w:lvl>
    <w:lvl w:ilvl="3">
      <w:start w:val="0"/>
      <w:numFmt w:val="bullet"/>
      <w:lvlText w:val="•"/>
      <w:lvlJc w:val="left"/>
      <w:pPr>
        <w:ind w:left="4072" w:hanging="900"/>
      </w:pPr>
      <w:rPr>
        <w:rFonts w:hint="default"/>
      </w:rPr>
    </w:lvl>
    <w:lvl w:ilvl="4">
      <w:start w:val="0"/>
      <w:numFmt w:val="bullet"/>
      <w:lvlText w:val="•"/>
      <w:lvlJc w:val="left"/>
      <w:pPr>
        <w:ind w:left="4916" w:hanging="900"/>
      </w:pPr>
      <w:rPr>
        <w:rFonts w:hint="default"/>
      </w:rPr>
    </w:lvl>
    <w:lvl w:ilvl="5">
      <w:start w:val="0"/>
      <w:numFmt w:val="bullet"/>
      <w:lvlText w:val="•"/>
      <w:lvlJc w:val="left"/>
      <w:pPr>
        <w:ind w:left="5760" w:hanging="900"/>
      </w:pPr>
      <w:rPr>
        <w:rFonts w:hint="default"/>
      </w:rPr>
    </w:lvl>
    <w:lvl w:ilvl="6">
      <w:start w:val="0"/>
      <w:numFmt w:val="bullet"/>
      <w:lvlText w:val="•"/>
      <w:lvlJc w:val="left"/>
      <w:pPr>
        <w:ind w:left="6604" w:hanging="900"/>
      </w:pPr>
      <w:rPr>
        <w:rFonts w:hint="default"/>
      </w:rPr>
    </w:lvl>
    <w:lvl w:ilvl="7">
      <w:start w:val="0"/>
      <w:numFmt w:val="bullet"/>
      <w:lvlText w:val="•"/>
      <w:lvlJc w:val="left"/>
      <w:pPr>
        <w:ind w:left="7448" w:hanging="900"/>
      </w:pPr>
      <w:rPr>
        <w:rFonts w:hint="default"/>
      </w:rPr>
    </w:lvl>
    <w:lvl w:ilvl="8">
      <w:start w:val="0"/>
      <w:numFmt w:val="bullet"/>
      <w:lvlText w:val="•"/>
      <w:lvlJc w:val="left"/>
      <w:pPr>
        <w:ind w:left="8292" w:hanging="900"/>
      </w:pPr>
      <w:rPr>
        <w:rFonts w:hint="default"/>
      </w:rPr>
    </w:lvl>
  </w:abstractNum>
  <w:abstractNum w:abstractNumId="11">
    <w:multiLevelType w:val="hybridMultilevel"/>
    <w:lvl w:ilvl="0">
      <w:start w:val="1"/>
      <w:numFmt w:val="decimal"/>
      <w:lvlText w:val="%1."/>
      <w:lvlJc w:val="left"/>
      <w:pPr>
        <w:ind w:left="1180" w:hanging="440"/>
        <w:jc w:val="left"/>
      </w:pPr>
      <w:rPr>
        <w:rFonts w:hint="default" w:ascii="Calibri" w:hAnsi="Calibri" w:eastAsia="Calibri" w:cs="Calibri"/>
        <w:w w:val="118"/>
        <w:sz w:val="20"/>
        <w:szCs w:val="20"/>
      </w:rPr>
    </w:lvl>
    <w:lvl w:ilvl="1">
      <w:start w:val="1"/>
      <w:numFmt w:val="lowerLetter"/>
      <w:lvlText w:val="%2)"/>
      <w:lvlJc w:val="left"/>
      <w:pPr>
        <w:ind w:left="1540" w:hanging="360"/>
        <w:jc w:val="left"/>
      </w:pPr>
      <w:rPr>
        <w:rFonts w:hint="default" w:ascii="Calibri" w:hAnsi="Calibri" w:eastAsia="Calibri" w:cs="Calibri"/>
        <w:spacing w:val="0"/>
        <w:w w:val="107"/>
        <w:sz w:val="18"/>
        <w:szCs w:val="18"/>
      </w:rPr>
    </w:lvl>
    <w:lvl w:ilvl="2">
      <w:start w:val="0"/>
      <w:numFmt w:val="bullet"/>
      <w:lvlText w:val="•"/>
      <w:lvlJc w:val="left"/>
      <w:pPr>
        <w:ind w:left="2480" w:hanging="360"/>
      </w:pPr>
      <w:rPr>
        <w:rFonts w:hint="default"/>
      </w:rPr>
    </w:lvl>
    <w:lvl w:ilvl="3">
      <w:start w:val="0"/>
      <w:numFmt w:val="bullet"/>
      <w:lvlText w:val="•"/>
      <w:lvlJc w:val="left"/>
      <w:pPr>
        <w:ind w:left="3420" w:hanging="360"/>
      </w:pPr>
      <w:rPr>
        <w:rFonts w:hint="default"/>
      </w:rPr>
    </w:lvl>
    <w:lvl w:ilvl="4">
      <w:start w:val="0"/>
      <w:numFmt w:val="bullet"/>
      <w:lvlText w:val="•"/>
      <w:lvlJc w:val="left"/>
      <w:pPr>
        <w:ind w:left="4360" w:hanging="360"/>
      </w:pPr>
      <w:rPr>
        <w:rFonts w:hint="default"/>
      </w:rPr>
    </w:lvl>
    <w:lvl w:ilvl="5">
      <w:start w:val="0"/>
      <w:numFmt w:val="bullet"/>
      <w:lvlText w:val="•"/>
      <w:lvlJc w:val="left"/>
      <w:pPr>
        <w:ind w:left="5300" w:hanging="360"/>
      </w:pPr>
      <w:rPr>
        <w:rFonts w:hint="default"/>
      </w:rPr>
    </w:lvl>
    <w:lvl w:ilvl="6">
      <w:start w:val="0"/>
      <w:numFmt w:val="bullet"/>
      <w:lvlText w:val="•"/>
      <w:lvlJc w:val="left"/>
      <w:pPr>
        <w:ind w:left="6240" w:hanging="360"/>
      </w:pPr>
      <w:rPr>
        <w:rFonts w:hint="default"/>
      </w:rPr>
    </w:lvl>
    <w:lvl w:ilvl="7">
      <w:start w:val="0"/>
      <w:numFmt w:val="bullet"/>
      <w:lvlText w:val="•"/>
      <w:lvlJc w:val="left"/>
      <w:pPr>
        <w:ind w:left="7180" w:hanging="360"/>
      </w:pPr>
      <w:rPr>
        <w:rFonts w:hint="default"/>
      </w:rPr>
    </w:lvl>
    <w:lvl w:ilvl="8">
      <w:start w:val="0"/>
      <w:numFmt w:val="bullet"/>
      <w:lvlText w:val="•"/>
      <w:lvlJc w:val="left"/>
      <w:pPr>
        <w:ind w:left="8120" w:hanging="360"/>
      </w:pPr>
      <w:rPr>
        <w:rFonts w:hint="default"/>
      </w:rPr>
    </w:lvl>
  </w:abstractNum>
  <w:abstractNum w:abstractNumId="10">
    <w:multiLevelType w:val="hybridMultilevel"/>
    <w:lvl w:ilvl="0">
      <w:start w:val="18"/>
      <w:numFmt w:val="upperLetter"/>
      <w:lvlText w:val="%1."/>
      <w:lvlJc w:val="left"/>
      <w:pPr>
        <w:ind w:left="718" w:hanging="259"/>
        <w:jc w:val="left"/>
      </w:pPr>
      <w:rPr>
        <w:rFonts w:hint="default" w:ascii="Calibri" w:hAnsi="Calibri" w:eastAsia="Calibri" w:cs="Calibri"/>
        <w:spacing w:val="0"/>
        <w:w w:val="115"/>
        <w:sz w:val="20"/>
        <w:szCs w:val="20"/>
      </w:rPr>
    </w:lvl>
    <w:lvl w:ilvl="1">
      <w:start w:val="1"/>
      <w:numFmt w:val="decimal"/>
      <w:lvlText w:val="%2."/>
      <w:lvlJc w:val="left"/>
      <w:pPr>
        <w:ind w:left="1180" w:hanging="300"/>
        <w:jc w:val="left"/>
      </w:pPr>
      <w:rPr>
        <w:rFonts w:hint="default" w:ascii="Calibri" w:hAnsi="Calibri" w:eastAsia="Calibri" w:cs="Calibri"/>
        <w:w w:val="118"/>
        <w:sz w:val="20"/>
        <w:szCs w:val="20"/>
      </w:rPr>
    </w:lvl>
    <w:lvl w:ilvl="2">
      <w:start w:val="1"/>
      <w:numFmt w:val="lowerLetter"/>
      <w:lvlText w:val="%3)"/>
      <w:lvlJc w:val="left"/>
      <w:pPr>
        <w:ind w:left="1540" w:hanging="360"/>
        <w:jc w:val="left"/>
      </w:pPr>
      <w:rPr>
        <w:rFonts w:hint="default" w:ascii="Calibri" w:hAnsi="Calibri" w:eastAsia="Calibri" w:cs="Calibri"/>
        <w:spacing w:val="0"/>
        <w:w w:val="107"/>
        <w:sz w:val="18"/>
        <w:szCs w:val="18"/>
      </w:rPr>
    </w:lvl>
    <w:lvl w:ilvl="3">
      <w:start w:val="0"/>
      <w:numFmt w:val="bullet"/>
      <w:lvlText w:val="•"/>
      <w:lvlJc w:val="left"/>
      <w:pPr>
        <w:ind w:left="2597" w:hanging="360"/>
      </w:pPr>
      <w:rPr>
        <w:rFonts w:hint="default"/>
      </w:rPr>
    </w:lvl>
    <w:lvl w:ilvl="4">
      <w:start w:val="0"/>
      <w:numFmt w:val="bullet"/>
      <w:lvlText w:val="•"/>
      <w:lvlJc w:val="left"/>
      <w:pPr>
        <w:ind w:left="3655" w:hanging="360"/>
      </w:pPr>
      <w:rPr>
        <w:rFonts w:hint="default"/>
      </w:rPr>
    </w:lvl>
    <w:lvl w:ilvl="5">
      <w:start w:val="0"/>
      <w:numFmt w:val="bullet"/>
      <w:lvlText w:val="•"/>
      <w:lvlJc w:val="left"/>
      <w:pPr>
        <w:ind w:left="4712" w:hanging="360"/>
      </w:pPr>
      <w:rPr>
        <w:rFonts w:hint="default"/>
      </w:rPr>
    </w:lvl>
    <w:lvl w:ilvl="6">
      <w:start w:val="0"/>
      <w:numFmt w:val="bullet"/>
      <w:lvlText w:val="•"/>
      <w:lvlJc w:val="left"/>
      <w:pPr>
        <w:ind w:left="5770" w:hanging="360"/>
      </w:pPr>
      <w:rPr>
        <w:rFonts w:hint="default"/>
      </w:rPr>
    </w:lvl>
    <w:lvl w:ilvl="7">
      <w:start w:val="0"/>
      <w:numFmt w:val="bullet"/>
      <w:lvlText w:val="•"/>
      <w:lvlJc w:val="left"/>
      <w:pPr>
        <w:ind w:left="6827" w:hanging="360"/>
      </w:pPr>
      <w:rPr>
        <w:rFonts w:hint="default"/>
      </w:rPr>
    </w:lvl>
    <w:lvl w:ilvl="8">
      <w:start w:val="0"/>
      <w:numFmt w:val="bullet"/>
      <w:lvlText w:val="•"/>
      <w:lvlJc w:val="left"/>
      <w:pPr>
        <w:ind w:left="7885" w:hanging="360"/>
      </w:pPr>
      <w:rPr>
        <w:rFonts w:hint="default"/>
      </w:rPr>
    </w:lvl>
  </w:abstractNum>
  <w:abstractNum w:abstractNumId="9">
    <w:multiLevelType w:val="hybridMultilevel"/>
    <w:lvl w:ilvl="0">
      <w:start w:val="22"/>
      <w:numFmt w:val="decimal"/>
      <w:lvlText w:val="%1"/>
      <w:lvlJc w:val="left"/>
      <w:pPr>
        <w:ind w:left="1540" w:hanging="900"/>
        <w:jc w:val="left"/>
      </w:pPr>
      <w:rPr>
        <w:rFonts w:hint="default" w:ascii="Calibri" w:hAnsi="Calibri" w:eastAsia="Calibri" w:cs="Calibri"/>
        <w:w w:val="118"/>
        <w:sz w:val="20"/>
        <w:szCs w:val="20"/>
      </w:rPr>
    </w:lvl>
    <w:lvl w:ilvl="1">
      <w:start w:val="0"/>
      <w:numFmt w:val="bullet"/>
      <w:lvlText w:val="•"/>
      <w:lvlJc w:val="left"/>
      <w:pPr>
        <w:ind w:left="2386" w:hanging="900"/>
      </w:pPr>
      <w:rPr>
        <w:rFonts w:hint="default"/>
      </w:rPr>
    </w:lvl>
    <w:lvl w:ilvl="2">
      <w:start w:val="0"/>
      <w:numFmt w:val="bullet"/>
      <w:lvlText w:val="•"/>
      <w:lvlJc w:val="left"/>
      <w:pPr>
        <w:ind w:left="3232" w:hanging="900"/>
      </w:pPr>
      <w:rPr>
        <w:rFonts w:hint="default"/>
      </w:rPr>
    </w:lvl>
    <w:lvl w:ilvl="3">
      <w:start w:val="0"/>
      <w:numFmt w:val="bullet"/>
      <w:lvlText w:val="•"/>
      <w:lvlJc w:val="left"/>
      <w:pPr>
        <w:ind w:left="4078" w:hanging="900"/>
      </w:pPr>
      <w:rPr>
        <w:rFonts w:hint="default"/>
      </w:rPr>
    </w:lvl>
    <w:lvl w:ilvl="4">
      <w:start w:val="0"/>
      <w:numFmt w:val="bullet"/>
      <w:lvlText w:val="•"/>
      <w:lvlJc w:val="left"/>
      <w:pPr>
        <w:ind w:left="4924" w:hanging="900"/>
      </w:pPr>
      <w:rPr>
        <w:rFonts w:hint="default"/>
      </w:rPr>
    </w:lvl>
    <w:lvl w:ilvl="5">
      <w:start w:val="0"/>
      <w:numFmt w:val="bullet"/>
      <w:lvlText w:val="•"/>
      <w:lvlJc w:val="left"/>
      <w:pPr>
        <w:ind w:left="5770" w:hanging="900"/>
      </w:pPr>
      <w:rPr>
        <w:rFonts w:hint="default"/>
      </w:rPr>
    </w:lvl>
    <w:lvl w:ilvl="6">
      <w:start w:val="0"/>
      <w:numFmt w:val="bullet"/>
      <w:lvlText w:val="•"/>
      <w:lvlJc w:val="left"/>
      <w:pPr>
        <w:ind w:left="6616" w:hanging="900"/>
      </w:pPr>
      <w:rPr>
        <w:rFonts w:hint="default"/>
      </w:rPr>
    </w:lvl>
    <w:lvl w:ilvl="7">
      <w:start w:val="0"/>
      <w:numFmt w:val="bullet"/>
      <w:lvlText w:val="•"/>
      <w:lvlJc w:val="left"/>
      <w:pPr>
        <w:ind w:left="7462" w:hanging="900"/>
      </w:pPr>
      <w:rPr>
        <w:rFonts w:hint="default"/>
      </w:rPr>
    </w:lvl>
    <w:lvl w:ilvl="8">
      <w:start w:val="0"/>
      <w:numFmt w:val="bullet"/>
      <w:lvlText w:val="•"/>
      <w:lvlJc w:val="left"/>
      <w:pPr>
        <w:ind w:left="8308" w:hanging="900"/>
      </w:pPr>
      <w:rPr>
        <w:rFonts w:hint="default"/>
      </w:rPr>
    </w:lvl>
  </w:abstractNum>
  <w:abstractNum w:abstractNumId="8">
    <w:multiLevelType w:val="hybridMultilevel"/>
    <w:lvl w:ilvl="0">
      <w:start w:val="10"/>
      <w:numFmt w:val="decimal"/>
      <w:lvlText w:val="%1"/>
      <w:lvlJc w:val="left"/>
      <w:pPr>
        <w:ind w:left="1020" w:hanging="900"/>
        <w:jc w:val="left"/>
      </w:pPr>
      <w:rPr>
        <w:rFonts w:hint="default"/>
      </w:rPr>
    </w:lvl>
    <w:lvl w:ilvl="1">
      <w:start w:val="1"/>
      <w:numFmt w:val="decimal"/>
      <w:lvlText w:val="%1.%2"/>
      <w:lvlJc w:val="left"/>
      <w:pPr>
        <w:ind w:left="1020" w:hanging="900"/>
        <w:jc w:val="right"/>
      </w:pPr>
      <w:rPr>
        <w:rFonts w:hint="default" w:ascii="Calibri" w:hAnsi="Calibri" w:eastAsia="Calibri" w:cs="Calibri"/>
        <w:w w:val="118"/>
        <w:sz w:val="20"/>
        <w:szCs w:val="20"/>
      </w:rPr>
    </w:lvl>
    <w:lvl w:ilvl="2">
      <w:start w:val="0"/>
      <w:numFmt w:val="bullet"/>
      <w:lvlText w:val="•"/>
      <w:lvlJc w:val="left"/>
      <w:pPr>
        <w:ind w:left="2708" w:hanging="900"/>
      </w:pPr>
      <w:rPr>
        <w:rFonts w:hint="default"/>
      </w:rPr>
    </w:lvl>
    <w:lvl w:ilvl="3">
      <w:start w:val="0"/>
      <w:numFmt w:val="bullet"/>
      <w:lvlText w:val="•"/>
      <w:lvlJc w:val="left"/>
      <w:pPr>
        <w:ind w:left="3552" w:hanging="900"/>
      </w:pPr>
      <w:rPr>
        <w:rFonts w:hint="default"/>
      </w:rPr>
    </w:lvl>
    <w:lvl w:ilvl="4">
      <w:start w:val="0"/>
      <w:numFmt w:val="bullet"/>
      <w:lvlText w:val="•"/>
      <w:lvlJc w:val="left"/>
      <w:pPr>
        <w:ind w:left="4396" w:hanging="900"/>
      </w:pPr>
      <w:rPr>
        <w:rFonts w:hint="default"/>
      </w:rPr>
    </w:lvl>
    <w:lvl w:ilvl="5">
      <w:start w:val="0"/>
      <w:numFmt w:val="bullet"/>
      <w:lvlText w:val="•"/>
      <w:lvlJc w:val="left"/>
      <w:pPr>
        <w:ind w:left="5240" w:hanging="900"/>
      </w:pPr>
      <w:rPr>
        <w:rFonts w:hint="default"/>
      </w:rPr>
    </w:lvl>
    <w:lvl w:ilvl="6">
      <w:start w:val="0"/>
      <w:numFmt w:val="bullet"/>
      <w:lvlText w:val="•"/>
      <w:lvlJc w:val="left"/>
      <w:pPr>
        <w:ind w:left="6084" w:hanging="900"/>
      </w:pPr>
      <w:rPr>
        <w:rFonts w:hint="default"/>
      </w:rPr>
    </w:lvl>
    <w:lvl w:ilvl="7">
      <w:start w:val="0"/>
      <w:numFmt w:val="bullet"/>
      <w:lvlText w:val="•"/>
      <w:lvlJc w:val="left"/>
      <w:pPr>
        <w:ind w:left="6928" w:hanging="900"/>
      </w:pPr>
      <w:rPr>
        <w:rFonts w:hint="default"/>
      </w:rPr>
    </w:lvl>
    <w:lvl w:ilvl="8">
      <w:start w:val="0"/>
      <w:numFmt w:val="bullet"/>
      <w:lvlText w:val="•"/>
      <w:lvlJc w:val="left"/>
      <w:pPr>
        <w:ind w:left="7772" w:hanging="900"/>
      </w:pPr>
      <w:rPr>
        <w:rFonts w:hint="default"/>
      </w:rPr>
    </w:lvl>
  </w:abstractNum>
  <w:abstractNum w:abstractNumId="7">
    <w:multiLevelType w:val="hybridMultilevel"/>
    <w:lvl w:ilvl="0">
      <w:start w:val="4"/>
      <w:numFmt w:val="decimal"/>
      <w:lvlText w:val="%1"/>
      <w:lvlJc w:val="left"/>
      <w:pPr>
        <w:ind w:left="1540" w:hanging="901"/>
        <w:jc w:val="left"/>
      </w:pPr>
      <w:rPr>
        <w:rFonts w:hint="default"/>
      </w:rPr>
    </w:lvl>
    <w:lvl w:ilvl="1">
      <w:start w:val="1"/>
      <w:numFmt w:val="decimal"/>
      <w:lvlText w:val="%1.%2"/>
      <w:lvlJc w:val="left"/>
      <w:pPr>
        <w:ind w:left="1540" w:hanging="901"/>
        <w:jc w:val="right"/>
      </w:pPr>
      <w:rPr>
        <w:rFonts w:hint="default" w:ascii="Calibri" w:hAnsi="Calibri" w:eastAsia="Calibri" w:cs="Calibri"/>
        <w:w w:val="118"/>
        <w:sz w:val="20"/>
        <w:szCs w:val="20"/>
      </w:rPr>
    </w:lvl>
    <w:lvl w:ilvl="2">
      <w:start w:val="0"/>
      <w:numFmt w:val="bullet"/>
      <w:lvlText w:val="•"/>
      <w:lvlJc w:val="left"/>
      <w:pPr>
        <w:ind w:left="3232" w:hanging="901"/>
      </w:pPr>
      <w:rPr>
        <w:rFonts w:hint="default"/>
      </w:rPr>
    </w:lvl>
    <w:lvl w:ilvl="3">
      <w:start w:val="0"/>
      <w:numFmt w:val="bullet"/>
      <w:lvlText w:val="•"/>
      <w:lvlJc w:val="left"/>
      <w:pPr>
        <w:ind w:left="4078" w:hanging="901"/>
      </w:pPr>
      <w:rPr>
        <w:rFonts w:hint="default"/>
      </w:rPr>
    </w:lvl>
    <w:lvl w:ilvl="4">
      <w:start w:val="0"/>
      <w:numFmt w:val="bullet"/>
      <w:lvlText w:val="•"/>
      <w:lvlJc w:val="left"/>
      <w:pPr>
        <w:ind w:left="4924" w:hanging="901"/>
      </w:pPr>
      <w:rPr>
        <w:rFonts w:hint="default"/>
      </w:rPr>
    </w:lvl>
    <w:lvl w:ilvl="5">
      <w:start w:val="0"/>
      <w:numFmt w:val="bullet"/>
      <w:lvlText w:val="•"/>
      <w:lvlJc w:val="left"/>
      <w:pPr>
        <w:ind w:left="5770" w:hanging="901"/>
      </w:pPr>
      <w:rPr>
        <w:rFonts w:hint="default"/>
      </w:rPr>
    </w:lvl>
    <w:lvl w:ilvl="6">
      <w:start w:val="0"/>
      <w:numFmt w:val="bullet"/>
      <w:lvlText w:val="•"/>
      <w:lvlJc w:val="left"/>
      <w:pPr>
        <w:ind w:left="6616" w:hanging="901"/>
      </w:pPr>
      <w:rPr>
        <w:rFonts w:hint="default"/>
      </w:rPr>
    </w:lvl>
    <w:lvl w:ilvl="7">
      <w:start w:val="0"/>
      <w:numFmt w:val="bullet"/>
      <w:lvlText w:val="•"/>
      <w:lvlJc w:val="left"/>
      <w:pPr>
        <w:ind w:left="7462" w:hanging="901"/>
      </w:pPr>
      <w:rPr>
        <w:rFonts w:hint="default"/>
      </w:rPr>
    </w:lvl>
    <w:lvl w:ilvl="8">
      <w:start w:val="0"/>
      <w:numFmt w:val="bullet"/>
      <w:lvlText w:val="•"/>
      <w:lvlJc w:val="left"/>
      <w:pPr>
        <w:ind w:left="8308" w:hanging="901"/>
      </w:pPr>
      <w:rPr>
        <w:rFonts w:hint="default"/>
      </w:rPr>
    </w:lvl>
  </w:abstractNum>
  <w:abstractNum w:abstractNumId="6">
    <w:multiLevelType w:val="hybridMultilevel"/>
    <w:lvl w:ilvl="0">
      <w:start w:val="2"/>
      <w:numFmt w:val="decimal"/>
      <w:lvlText w:val="%1."/>
      <w:lvlJc w:val="left"/>
      <w:pPr>
        <w:ind w:left="1540" w:hanging="900"/>
        <w:jc w:val="left"/>
      </w:pPr>
      <w:rPr>
        <w:rFonts w:hint="default" w:ascii="Calibri" w:hAnsi="Calibri" w:eastAsia="Calibri" w:cs="Calibri"/>
        <w:w w:val="118"/>
        <w:sz w:val="20"/>
        <w:szCs w:val="20"/>
      </w:rPr>
    </w:lvl>
    <w:lvl w:ilvl="1">
      <w:start w:val="1"/>
      <w:numFmt w:val="decimal"/>
      <w:lvlText w:val="%1.%2"/>
      <w:lvlJc w:val="left"/>
      <w:pPr>
        <w:ind w:left="1540" w:hanging="900"/>
        <w:jc w:val="left"/>
      </w:pPr>
      <w:rPr>
        <w:rFonts w:hint="default" w:ascii="Calibri" w:hAnsi="Calibri" w:eastAsia="Calibri" w:cs="Calibri"/>
        <w:w w:val="118"/>
        <w:sz w:val="20"/>
        <w:szCs w:val="20"/>
      </w:rPr>
    </w:lvl>
    <w:lvl w:ilvl="2">
      <w:start w:val="0"/>
      <w:numFmt w:val="bullet"/>
      <w:lvlText w:val="•"/>
      <w:lvlJc w:val="left"/>
      <w:pPr>
        <w:ind w:left="3232" w:hanging="900"/>
      </w:pPr>
      <w:rPr>
        <w:rFonts w:hint="default"/>
      </w:rPr>
    </w:lvl>
    <w:lvl w:ilvl="3">
      <w:start w:val="0"/>
      <w:numFmt w:val="bullet"/>
      <w:lvlText w:val="•"/>
      <w:lvlJc w:val="left"/>
      <w:pPr>
        <w:ind w:left="4078" w:hanging="900"/>
      </w:pPr>
      <w:rPr>
        <w:rFonts w:hint="default"/>
      </w:rPr>
    </w:lvl>
    <w:lvl w:ilvl="4">
      <w:start w:val="0"/>
      <w:numFmt w:val="bullet"/>
      <w:lvlText w:val="•"/>
      <w:lvlJc w:val="left"/>
      <w:pPr>
        <w:ind w:left="4924" w:hanging="900"/>
      </w:pPr>
      <w:rPr>
        <w:rFonts w:hint="default"/>
      </w:rPr>
    </w:lvl>
    <w:lvl w:ilvl="5">
      <w:start w:val="0"/>
      <w:numFmt w:val="bullet"/>
      <w:lvlText w:val="•"/>
      <w:lvlJc w:val="left"/>
      <w:pPr>
        <w:ind w:left="5770" w:hanging="900"/>
      </w:pPr>
      <w:rPr>
        <w:rFonts w:hint="default"/>
      </w:rPr>
    </w:lvl>
    <w:lvl w:ilvl="6">
      <w:start w:val="0"/>
      <w:numFmt w:val="bullet"/>
      <w:lvlText w:val="•"/>
      <w:lvlJc w:val="left"/>
      <w:pPr>
        <w:ind w:left="6616" w:hanging="900"/>
      </w:pPr>
      <w:rPr>
        <w:rFonts w:hint="default"/>
      </w:rPr>
    </w:lvl>
    <w:lvl w:ilvl="7">
      <w:start w:val="0"/>
      <w:numFmt w:val="bullet"/>
      <w:lvlText w:val="•"/>
      <w:lvlJc w:val="left"/>
      <w:pPr>
        <w:ind w:left="7462" w:hanging="900"/>
      </w:pPr>
      <w:rPr>
        <w:rFonts w:hint="default"/>
      </w:rPr>
    </w:lvl>
    <w:lvl w:ilvl="8">
      <w:start w:val="0"/>
      <w:numFmt w:val="bullet"/>
      <w:lvlText w:val="•"/>
      <w:lvlJc w:val="left"/>
      <w:pPr>
        <w:ind w:left="8308" w:hanging="900"/>
      </w:pPr>
      <w:rPr>
        <w:rFonts w:hint="default"/>
      </w:rPr>
    </w:lvl>
  </w:abstractNum>
  <w:abstractNum w:abstractNumId="5">
    <w:multiLevelType w:val="hybridMultilevel"/>
    <w:lvl w:ilvl="0">
      <w:start w:val="10"/>
      <w:numFmt w:val="decimal"/>
      <w:lvlText w:val="%1."/>
      <w:lvlJc w:val="left"/>
      <w:pPr>
        <w:ind w:left="459" w:hanging="360"/>
        <w:jc w:val="left"/>
      </w:pPr>
      <w:rPr>
        <w:rFonts w:hint="default" w:ascii="Franklin Gothic Medium" w:hAnsi="Franklin Gothic Medium" w:eastAsia="Franklin Gothic Medium" w:cs="Franklin Gothic Medium"/>
        <w:spacing w:val="0"/>
        <w:w w:val="100"/>
        <w:sz w:val="20"/>
        <w:szCs w:val="20"/>
      </w:rPr>
    </w:lvl>
    <w:lvl w:ilvl="1">
      <w:start w:val="1"/>
      <w:numFmt w:val="lowerLetter"/>
      <w:lvlText w:val="(%2)"/>
      <w:lvlJc w:val="left"/>
      <w:pPr>
        <w:ind w:left="639" w:hanging="360"/>
        <w:jc w:val="right"/>
      </w:pPr>
      <w:rPr>
        <w:rFonts w:hint="default" w:ascii="Calibri" w:hAnsi="Calibri" w:eastAsia="Calibri" w:cs="Calibri"/>
        <w:w w:val="105"/>
        <w:sz w:val="20"/>
        <w:szCs w:val="20"/>
      </w:rPr>
    </w:lvl>
    <w:lvl w:ilvl="2">
      <w:start w:val="0"/>
      <w:numFmt w:val="bullet"/>
      <w:lvlText w:val="•"/>
      <w:lvlJc w:val="left"/>
      <w:pPr>
        <w:ind w:left="1680" w:hanging="360"/>
      </w:pPr>
      <w:rPr>
        <w:rFonts w:hint="default"/>
      </w:rPr>
    </w:lvl>
    <w:lvl w:ilvl="3">
      <w:start w:val="0"/>
      <w:numFmt w:val="bullet"/>
      <w:lvlText w:val="•"/>
      <w:lvlJc w:val="left"/>
      <w:pPr>
        <w:ind w:left="2720" w:hanging="360"/>
      </w:pPr>
      <w:rPr>
        <w:rFonts w:hint="default"/>
      </w:rPr>
    </w:lvl>
    <w:lvl w:ilvl="4">
      <w:start w:val="0"/>
      <w:numFmt w:val="bullet"/>
      <w:lvlText w:val="•"/>
      <w:lvlJc w:val="left"/>
      <w:pPr>
        <w:ind w:left="3760" w:hanging="360"/>
      </w:pPr>
      <w:rPr>
        <w:rFonts w:hint="default"/>
      </w:rPr>
    </w:lvl>
    <w:lvl w:ilvl="5">
      <w:start w:val="0"/>
      <w:numFmt w:val="bullet"/>
      <w:lvlText w:val="•"/>
      <w:lvlJc w:val="left"/>
      <w:pPr>
        <w:ind w:left="4800" w:hanging="360"/>
      </w:pPr>
      <w:rPr>
        <w:rFonts w:hint="default"/>
      </w:rPr>
    </w:lvl>
    <w:lvl w:ilvl="6">
      <w:start w:val="0"/>
      <w:numFmt w:val="bullet"/>
      <w:lvlText w:val="•"/>
      <w:lvlJc w:val="left"/>
      <w:pPr>
        <w:ind w:left="5840" w:hanging="360"/>
      </w:pPr>
      <w:rPr>
        <w:rFonts w:hint="default"/>
      </w:rPr>
    </w:lvl>
    <w:lvl w:ilvl="7">
      <w:start w:val="0"/>
      <w:numFmt w:val="bullet"/>
      <w:lvlText w:val="•"/>
      <w:lvlJc w:val="left"/>
      <w:pPr>
        <w:ind w:left="6880" w:hanging="360"/>
      </w:pPr>
      <w:rPr>
        <w:rFonts w:hint="default"/>
      </w:rPr>
    </w:lvl>
    <w:lvl w:ilvl="8">
      <w:start w:val="0"/>
      <w:numFmt w:val="bullet"/>
      <w:lvlText w:val="•"/>
      <w:lvlJc w:val="left"/>
      <w:pPr>
        <w:ind w:left="7920" w:hanging="360"/>
      </w:pPr>
      <w:rPr>
        <w:rFonts w:hint="default"/>
      </w:rPr>
    </w:lvl>
  </w:abstractNum>
  <w:abstractNum w:abstractNumId="4">
    <w:multiLevelType w:val="hybridMultilevel"/>
    <w:lvl w:ilvl="0">
      <w:start w:val="2"/>
      <w:numFmt w:val="decimal"/>
      <w:lvlText w:val="%1."/>
      <w:lvlJc w:val="left"/>
      <w:pPr>
        <w:ind w:left="660" w:hanging="280"/>
        <w:jc w:val="right"/>
      </w:pPr>
      <w:rPr>
        <w:rFonts w:hint="default" w:ascii="Franklin Gothic Medium" w:hAnsi="Franklin Gothic Medium" w:eastAsia="Franklin Gothic Medium" w:cs="Franklin Gothic Medium"/>
        <w:spacing w:val="0"/>
        <w:w w:val="100"/>
        <w:sz w:val="20"/>
        <w:szCs w:val="20"/>
      </w:rPr>
    </w:lvl>
    <w:lvl w:ilvl="1">
      <w:start w:val="0"/>
      <w:numFmt w:val="bullet"/>
      <w:lvlText w:val="•"/>
      <w:lvlJc w:val="left"/>
      <w:pPr>
        <w:ind w:left="1080" w:hanging="280"/>
      </w:pPr>
      <w:rPr>
        <w:rFonts w:hint="default"/>
      </w:rPr>
    </w:lvl>
    <w:lvl w:ilvl="2">
      <w:start w:val="0"/>
      <w:numFmt w:val="bullet"/>
      <w:lvlText w:val="•"/>
      <w:lvlJc w:val="left"/>
      <w:pPr>
        <w:ind w:left="1500" w:hanging="280"/>
      </w:pPr>
      <w:rPr>
        <w:rFonts w:hint="default"/>
      </w:rPr>
    </w:lvl>
    <w:lvl w:ilvl="3">
      <w:start w:val="0"/>
      <w:numFmt w:val="bullet"/>
      <w:lvlText w:val="•"/>
      <w:lvlJc w:val="left"/>
      <w:pPr>
        <w:ind w:left="1920" w:hanging="280"/>
      </w:pPr>
      <w:rPr>
        <w:rFonts w:hint="default"/>
      </w:rPr>
    </w:lvl>
    <w:lvl w:ilvl="4">
      <w:start w:val="0"/>
      <w:numFmt w:val="bullet"/>
      <w:lvlText w:val="•"/>
      <w:lvlJc w:val="left"/>
      <w:pPr>
        <w:ind w:left="2340" w:hanging="280"/>
      </w:pPr>
      <w:rPr>
        <w:rFonts w:hint="default"/>
      </w:rPr>
    </w:lvl>
    <w:lvl w:ilvl="5">
      <w:start w:val="0"/>
      <w:numFmt w:val="bullet"/>
      <w:lvlText w:val="•"/>
      <w:lvlJc w:val="left"/>
      <w:pPr>
        <w:ind w:left="2760" w:hanging="280"/>
      </w:pPr>
      <w:rPr>
        <w:rFonts w:hint="default"/>
      </w:rPr>
    </w:lvl>
    <w:lvl w:ilvl="6">
      <w:start w:val="0"/>
      <w:numFmt w:val="bullet"/>
      <w:lvlText w:val="•"/>
      <w:lvlJc w:val="left"/>
      <w:pPr>
        <w:ind w:left="3180" w:hanging="280"/>
      </w:pPr>
      <w:rPr>
        <w:rFonts w:hint="default"/>
      </w:rPr>
    </w:lvl>
    <w:lvl w:ilvl="7">
      <w:start w:val="0"/>
      <w:numFmt w:val="bullet"/>
      <w:lvlText w:val="•"/>
      <w:lvlJc w:val="left"/>
      <w:pPr>
        <w:ind w:left="3600" w:hanging="280"/>
      </w:pPr>
      <w:rPr>
        <w:rFonts w:hint="default"/>
      </w:rPr>
    </w:lvl>
    <w:lvl w:ilvl="8">
      <w:start w:val="0"/>
      <w:numFmt w:val="bullet"/>
      <w:lvlText w:val="•"/>
      <w:lvlJc w:val="left"/>
      <w:pPr>
        <w:ind w:left="4020" w:hanging="280"/>
      </w:pPr>
      <w:rPr>
        <w:rFonts w:hint="default"/>
      </w:rPr>
    </w:lvl>
  </w:abstractNum>
  <w:abstractNum w:abstractNumId="2">
    <w:multiLevelType w:val="hybridMultilevel"/>
    <w:lvl w:ilvl="0">
      <w:start w:val="1"/>
      <w:numFmt w:val="decimal"/>
      <w:lvlText w:val="(%1)"/>
      <w:lvlJc w:val="left"/>
      <w:pPr>
        <w:ind w:left="375" w:hanging="236"/>
        <w:jc w:val="left"/>
      </w:pPr>
      <w:rPr>
        <w:rFonts w:hint="default" w:ascii="Calibri" w:hAnsi="Calibri" w:eastAsia="Calibri" w:cs="Calibri"/>
        <w:spacing w:val="-2"/>
        <w:w w:val="107"/>
        <w:sz w:val="16"/>
        <w:szCs w:val="16"/>
      </w:rPr>
    </w:lvl>
    <w:lvl w:ilvl="1">
      <w:start w:val="0"/>
      <w:numFmt w:val="bullet"/>
      <w:lvlText w:val="•"/>
      <w:lvlJc w:val="left"/>
      <w:pPr>
        <w:ind w:left="1360" w:hanging="236"/>
      </w:pPr>
      <w:rPr>
        <w:rFonts w:hint="default"/>
      </w:rPr>
    </w:lvl>
    <w:lvl w:ilvl="2">
      <w:start w:val="0"/>
      <w:numFmt w:val="bullet"/>
      <w:lvlText w:val="•"/>
      <w:lvlJc w:val="left"/>
      <w:pPr>
        <w:ind w:left="2340" w:hanging="236"/>
      </w:pPr>
      <w:rPr>
        <w:rFonts w:hint="default"/>
      </w:rPr>
    </w:lvl>
    <w:lvl w:ilvl="3">
      <w:start w:val="0"/>
      <w:numFmt w:val="bullet"/>
      <w:lvlText w:val="•"/>
      <w:lvlJc w:val="left"/>
      <w:pPr>
        <w:ind w:left="3320" w:hanging="236"/>
      </w:pPr>
      <w:rPr>
        <w:rFonts w:hint="default"/>
      </w:rPr>
    </w:lvl>
    <w:lvl w:ilvl="4">
      <w:start w:val="0"/>
      <w:numFmt w:val="bullet"/>
      <w:lvlText w:val="•"/>
      <w:lvlJc w:val="left"/>
      <w:pPr>
        <w:ind w:left="4300" w:hanging="236"/>
      </w:pPr>
      <w:rPr>
        <w:rFonts w:hint="default"/>
      </w:rPr>
    </w:lvl>
    <w:lvl w:ilvl="5">
      <w:start w:val="0"/>
      <w:numFmt w:val="bullet"/>
      <w:lvlText w:val="•"/>
      <w:lvlJc w:val="left"/>
      <w:pPr>
        <w:ind w:left="5280" w:hanging="236"/>
      </w:pPr>
      <w:rPr>
        <w:rFonts w:hint="default"/>
      </w:rPr>
    </w:lvl>
    <w:lvl w:ilvl="6">
      <w:start w:val="0"/>
      <w:numFmt w:val="bullet"/>
      <w:lvlText w:val="•"/>
      <w:lvlJc w:val="left"/>
      <w:pPr>
        <w:ind w:left="6260" w:hanging="236"/>
      </w:pPr>
      <w:rPr>
        <w:rFonts w:hint="default"/>
      </w:rPr>
    </w:lvl>
    <w:lvl w:ilvl="7">
      <w:start w:val="0"/>
      <w:numFmt w:val="bullet"/>
      <w:lvlText w:val="•"/>
      <w:lvlJc w:val="left"/>
      <w:pPr>
        <w:ind w:left="7240" w:hanging="236"/>
      </w:pPr>
      <w:rPr>
        <w:rFonts w:hint="default"/>
      </w:rPr>
    </w:lvl>
    <w:lvl w:ilvl="8">
      <w:start w:val="0"/>
      <w:numFmt w:val="bullet"/>
      <w:lvlText w:val="•"/>
      <w:lvlJc w:val="left"/>
      <w:pPr>
        <w:ind w:left="8220" w:hanging="236"/>
      </w:pPr>
      <w:rPr>
        <w:rFonts w:hint="default"/>
      </w:rPr>
    </w:lvl>
  </w:abstractNum>
  <w:num w:numId="4">
    <w:abstractNumId w:val="3"/>
  </w:num>
  <w:num w:numId="2">
    <w:abstractNumId w:val="1"/>
  </w:num>
  <w:num w:numId="1">
    <w:abstractNumId w:val="0"/>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rPr>
  </w:style>
  <w:style w:styleId="BodyText" w:type="paragraph">
    <w:name w:val="Body Text"/>
    <w:basedOn w:val="Normal"/>
    <w:uiPriority w:val="1"/>
    <w:qFormat/>
    <w:pPr/>
    <w:rPr>
      <w:rFonts w:ascii="Calibri" w:hAnsi="Calibri" w:eastAsia="Calibri" w:cs="Calibri"/>
      <w:sz w:val="20"/>
      <w:szCs w:val="20"/>
    </w:rPr>
  </w:style>
  <w:style w:styleId="Heading1" w:type="paragraph">
    <w:name w:val="Heading 1"/>
    <w:basedOn w:val="Normal"/>
    <w:uiPriority w:val="1"/>
    <w:qFormat/>
    <w:pPr>
      <w:spacing w:before="80"/>
      <w:ind w:left="100"/>
      <w:outlineLvl w:val="1"/>
    </w:pPr>
    <w:rPr>
      <w:rFonts w:ascii="Franklin Gothic Medium" w:hAnsi="Franklin Gothic Medium" w:eastAsia="Franklin Gothic Medium" w:cs="Franklin Gothic Medium"/>
      <w:sz w:val="24"/>
      <w:szCs w:val="24"/>
    </w:rPr>
  </w:style>
  <w:style w:styleId="Heading2" w:type="paragraph">
    <w:name w:val="Heading 2"/>
    <w:basedOn w:val="Normal"/>
    <w:uiPriority w:val="1"/>
    <w:qFormat/>
    <w:pPr>
      <w:spacing w:before="1"/>
      <w:ind w:left="326"/>
      <w:outlineLvl w:val="2"/>
    </w:pPr>
    <w:rPr>
      <w:rFonts w:ascii="Calibri" w:hAnsi="Calibri" w:eastAsia="Calibri" w:cs="Calibri"/>
      <w:sz w:val="22"/>
      <w:szCs w:val="22"/>
    </w:rPr>
  </w:style>
  <w:style w:styleId="ListParagraph" w:type="paragraph">
    <w:name w:val="List Paragraph"/>
    <w:basedOn w:val="Normal"/>
    <w:uiPriority w:val="1"/>
    <w:qFormat/>
    <w:pPr>
      <w:ind w:left="1540" w:hanging="900"/>
    </w:pPr>
    <w:rPr>
      <w:rFonts w:ascii="Calibri" w:hAnsi="Calibri" w:eastAsia="Calibri" w:cs="Calibri"/>
    </w:rPr>
  </w:style>
  <w:style w:styleId="TableParagraph" w:type="paragraph">
    <w:name w:val="Table Paragraph"/>
    <w:basedOn w:val="Normal"/>
    <w:uiPriority w:val="1"/>
    <w:qFormat/>
    <w:pPr/>
    <w:rPr>
      <w:rFonts w:ascii="Calibri" w:hAnsi="Calibri" w:eastAsia="Calibri" w:cs="Calibri"/>
    </w:rPr>
  </w:style>
</w:styles>
</file>

<file path=word/_rels/document.xml.rels><?xml version="1.0" encoding="UTF-8" standalone="yes"?>
<Relationships xmlns="http://schemas.openxmlformats.org/package/2006/relationships"><Relationship Id="rId117" Type="http://schemas.openxmlformats.org/officeDocument/2006/relationships/footer" Target="footer34.xml"/><Relationship Id="rId21" Type="http://schemas.openxmlformats.org/officeDocument/2006/relationships/header" Target="header7.xml"/><Relationship Id="rId42" Type="http://schemas.openxmlformats.org/officeDocument/2006/relationships/image" Target="media/image24.png"/><Relationship Id="rId63" Type="http://schemas.openxmlformats.org/officeDocument/2006/relationships/header" Target="header26.xml"/><Relationship Id="rId84" Type="http://schemas.openxmlformats.org/officeDocument/2006/relationships/footer" Target="footer17.xml"/><Relationship Id="rId138" Type="http://schemas.openxmlformats.org/officeDocument/2006/relationships/header" Target="header63.xml"/><Relationship Id="rId159" Type="http://schemas.openxmlformats.org/officeDocument/2006/relationships/header" Target="header74.xml"/><Relationship Id="rId170" Type="http://schemas.openxmlformats.org/officeDocument/2006/relationships/header" Target="header79.xml"/><Relationship Id="rId107" Type="http://schemas.openxmlformats.org/officeDocument/2006/relationships/header" Target="header48.xml"/><Relationship Id="rId11" Type="http://schemas.openxmlformats.org/officeDocument/2006/relationships/image" Target="media/image3.png"/><Relationship Id="rId32" Type="http://schemas.openxmlformats.org/officeDocument/2006/relationships/header" Target="header13.xml"/><Relationship Id="rId53" Type="http://schemas.openxmlformats.org/officeDocument/2006/relationships/footer" Target="footer2.xml"/><Relationship Id="rId74" Type="http://schemas.openxmlformats.org/officeDocument/2006/relationships/header" Target="header31.xml"/><Relationship Id="rId128" Type="http://schemas.openxmlformats.org/officeDocument/2006/relationships/footer" Target="footer39.xml"/><Relationship Id="rId149" Type="http://schemas.openxmlformats.org/officeDocument/2006/relationships/footer" Target="footer50.xml"/><Relationship Id="rId5" Type="http://schemas.openxmlformats.org/officeDocument/2006/relationships/header" Target="header1.xml"/><Relationship Id="rId95" Type="http://schemas.openxmlformats.org/officeDocument/2006/relationships/header" Target="header42.xml"/><Relationship Id="rId160" Type="http://schemas.openxmlformats.org/officeDocument/2006/relationships/footer" Target="footer55.xml"/><Relationship Id="rId181" Type="http://schemas.openxmlformats.org/officeDocument/2006/relationships/footer" Target="footer66.xml"/><Relationship Id="rId22" Type="http://schemas.openxmlformats.org/officeDocument/2006/relationships/image" Target="media/image11.png"/><Relationship Id="rId43" Type="http://schemas.openxmlformats.org/officeDocument/2006/relationships/image" Target="media/image25.png"/><Relationship Id="rId64" Type="http://schemas.openxmlformats.org/officeDocument/2006/relationships/footer" Target="footer7.xml"/><Relationship Id="rId118" Type="http://schemas.openxmlformats.org/officeDocument/2006/relationships/header" Target="header53.xml"/><Relationship Id="rId139" Type="http://schemas.openxmlformats.org/officeDocument/2006/relationships/header" Target="header64.xml"/><Relationship Id="rId85" Type="http://schemas.openxmlformats.org/officeDocument/2006/relationships/footer" Target="footer18.xml"/><Relationship Id="rId150" Type="http://schemas.openxmlformats.org/officeDocument/2006/relationships/header" Target="header69.xml"/><Relationship Id="rId171" Type="http://schemas.openxmlformats.org/officeDocument/2006/relationships/header" Target="header80.xml"/><Relationship Id="rId12" Type="http://schemas.openxmlformats.org/officeDocument/2006/relationships/image" Target="media/image4.png"/><Relationship Id="rId33" Type="http://schemas.openxmlformats.org/officeDocument/2006/relationships/image" Target="media/image16.png"/><Relationship Id="rId108" Type="http://schemas.openxmlformats.org/officeDocument/2006/relationships/footer" Target="footer29.xml"/><Relationship Id="rId129" Type="http://schemas.openxmlformats.org/officeDocument/2006/relationships/footer" Target="footer40.xml"/><Relationship Id="rId54" Type="http://schemas.openxmlformats.org/officeDocument/2006/relationships/header" Target="header21.xml"/><Relationship Id="rId75" Type="http://schemas.openxmlformats.org/officeDocument/2006/relationships/header" Target="header32.xml"/><Relationship Id="rId96" Type="http://schemas.openxmlformats.org/officeDocument/2006/relationships/footer" Target="footer23.xml"/><Relationship Id="rId140" Type="http://schemas.openxmlformats.org/officeDocument/2006/relationships/footer" Target="footer45.xml"/><Relationship Id="rId161" Type="http://schemas.openxmlformats.org/officeDocument/2006/relationships/footer" Target="footer56.xml"/><Relationship Id="rId182" Type="http://schemas.openxmlformats.org/officeDocument/2006/relationships/header" Target="header85.xml"/><Relationship Id="rId6" Type="http://schemas.openxmlformats.org/officeDocument/2006/relationships/header" Target="header2.xml"/><Relationship Id="rId23" Type="http://schemas.openxmlformats.org/officeDocument/2006/relationships/header" Target="header8.xml"/><Relationship Id="rId119" Type="http://schemas.openxmlformats.org/officeDocument/2006/relationships/header" Target="header54.xml"/><Relationship Id="rId44" Type="http://schemas.openxmlformats.org/officeDocument/2006/relationships/image" Target="media/image26.png"/><Relationship Id="rId65" Type="http://schemas.openxmlformats.org/officeDocument/2006/relationships/footer" Target="footer8.xml"/><Relationship Id="rId86" Type="http://schemas.openxmlformats.org/officeDocument/2006/relationships/header" Target="header37.xml"/><Relationship Id="rId130" Type="http://schemas.openxmlformats.org/officeDocument/2006/relationships/header" Target="header59.xml"/><Relationship Id="rId151" Type="http://schemas.openxmlformats.org/officeDocument/2006/relationships/header" Target="header70.xml"/><Relationship Id="rId172" Type="http://schemas.openxmlformats.org/officeDocument/2006/relationships/footer" Target="footer61.xml"/><Relationship Id="rId13" Type="http://schemas.openxmlformats.org/officeDocument/2006/relationships/image" Target="media/image5.png"/><Relationship Id="rId18" Type="http://schemas.openxmlformats.org/officeDocument/2006/relationships/header" Target="header6.xml"/><Relationship Id="rId39" Type="http://schemas.openxmlformats.org/officeDocument/2006/relationships/image" Target="media/image21.png"/><Relationship Id="rId109" Type="http://schemas.openxmlformats.org/officeDocument/2006/relationships/footer" Target="footer30.xml"/><Relationship Id="rId34" Type="http://schemas.openxmlformats.org/officeDocument/2006/relationships/header" Target="header14.xml"/><Relationship Id="rId50" Type="http://schemas.openxmlformats.org/officeDocument/2006/relationships/header" Target="header19.xml"/><Relationship Id="rId55" Type="http://schemas.openxmlformats.org/officeDocument/2006/relationships/header" Target="header22.xml"/><Relationship Id="rId76" Type="http://schemas.openxmlformats.org/officeDocument/2006/relationships/footer" Target="footer13.xml"/><Relationship Id="rId97" Type="http://schemas.openxmlformats.org/officeDocument/2006/relationships/footer" Target="footer24.xml"/><Relationship Id="rId104" Type="http://schemas.openxmlformats.org/officeDocument/2006/relationships/footer" Target="footer27.xml"/><Relationship Id="rId120" Type="http://schemas.openxmlformats.org/officeDocument/2006/relationships/footer" Target="footer35.xml"/><Relationship Id="rId125" Type="http://schemas.openxmlformats.org/officeDocument/2006/relationships/footer" Target="footer38.xml"/><Relationship Id="rId141" Type="http://schemas.openxmlformats.org/officeDocument/2006/relationships/footer" Target="footer46.xml"/><Relationship Id="rId146" Type="http://schemas.openxmlformats.org/officeDocument/2006/relationships/header" Target="header67.xml"/><Relationship Id="rId167" Type="http://schemas.openxmlformats.org/officeDocument/2006/relationships/header" Target="header78.xml"/><Relationship Id="rId7" Type="http://schemas.openxmlformats.org/officeDocument/2006/relationships/header" Target="header3.xml"/><Relationship Id="rId71" Type="http://schemas.openxmlformats.org/officeDocument/2006/relationships/header" Target="header30.xml"/><Relationship Id="rId92" Type="http://schemas.openxmlformats.org/officeDocument/2006/relationships/footer" Target="footer21.xml"/><Relationship Id="rId162" Type="http://schemas.openxmlformats.org/officeDocument/2006/relationships/header" Target="header75.xml"/><Relationship Id="rId183" Type="http://schemas.openxmlformats.org/officeDocument/2006/relationships/numbering" Target="numbering.xml"/><Relationship Id="rId2" Type="http://schemas.openxmlformats.org/officeDocument/2006/relationships/fontTable" Target="fontTable.xml"/><Relationship Id="rId29" Type="http://schemas.openxmlformats.org/officeDocument/2006/relationships/header" Target="header10.xml"/><Relationship Id="rId24" Type="http://schemas.openxmlformats.org/officeDocument/2006/relationships/image" Target="media/image12.png"/><Relationship Id="rId40" Type="http://schemas.openxmlformats.org/officeDocument/2006/relationships/image" Target="media/image22.png"/><Relationship Id="rId45" Type="http://schemas.openxmlformats.org/officeDocument/2006/relationships/header" Target="header15.xml"/><Relationship Id="rId66" Type="http://schemas.openxmlformats.org/officeDocument/2006/relationships/header" Target="header27.xml"/><Relationship Id="rId87" Type="http://schemas.openxmlformats.org/officeDocument/2006/relationships/header" Target="header38.xml"/><Relationship Id="rId110" Type="http://schemas.openxmlformats.org/officeDocument/2006/relationships/header" Target="header49.xml"/><Relationship Id="rId115" Type="http://schemas.openxmlformats.org/officeDocument/2006/relationships/header" Target="header52.xml"/><Relationship Id="rId131" Type="http://schemas.openxmlformats.org/officeDocument/2006/relationships/header" Target="header60.xml"/><Relationship Id="rId136" Type="http://schemas.openxmlformats.org/officeDocument/2006/relationships/footer" Target="footer43.xml"/><Relationship Id="rId157" Type="http://schemas.openxmlformats.org/officeDocument/2006/relationships/footer" Target="footer54.xml"/><Relationship Id="rId178" Type="http://schemas.openxmlformats.org/officeDocument/2006/relationships/header" Target="header83.xml"/><Relationship Id="rId61" Type="http://schemas.openxmlformats.org/officeDocument/2006/relationships/footer" Target="footer6.xml"/><Relationship Id="rId82" Type="http://schemas.openxmlformats.org/officeDocument/2006/relationships/header" Target="header35.xml"/><Relationship Id="rId152" Type="http://schemas.openxmlformats.org/officeDocument/2006/relationships/footer" Target="footer51.xml"/><Relationship Id="rId173" Type="http://schemas.openxmlformats.org/officeDocument/2006/relationships/footer" Target="footer62.xml"/><Relationship Id="rId19" Type="http://schemas.openxmlformats.org/officeDocument/2006/relationships/image" Target="media/image9.png"/><Relationship Id="rId14" Type="http://schemas.openxmlformats.org/officeDocument/2006/relationships/image" Target="media/image6.png"/><Relationship Id="rId30" Type="http://schemas.openxmlformats.org/officeDocument/2006/relationships/header" Target="header11.xml"/><Relationship Id="rId35" Type="http://schemas.openxmlformats.org/officeDocument/2006/relationships/image" Target="media/image17.png"/><Relationship Id="rId56" Type="http://schemas.openxmlformats.org/officeDocument/2006/relationships/footer" Target="footer3.xml"/><Relationship Id="rId77" Type="http://schemas.openxmlformats.org/officeDocument/2006/relationships/footer" Target="footer14.xml"/><Relationship Id="rId100" Type="http://schemas.openxmlformats.org/officeDocument/2006/relationships/footer" Target="footer25.xml"/><Relationship Id="rId105" Type="http://schemas.openxmlformats.org/officeDocument/2006/relationships/footer" Target="footer28.xml"/><Relationship Id="rId126" Type="http://schemas.openxmlformats.org/officeDocument/2006/relationships/header" Target="header57.xml"/><Relationship Id="rId147" Type="http://schemas.openxmlformats.org/officeDocument/2006/relationships/header" Target="header68.xml"/><Relationship Id="rId168" Type="http://schemas.openxmlformats.org/officeDocument/2006/relationships/footer" Target="footer59.xml"/><Relationship Id="rId8" Type="http://schemas.openxmlformats.org/officeDocument/2006/relationships/image" Target="media/image1.png"/><Relationship Id="rId51" Type="http://schemas.openxmlformats.org/officeDocument/2006/relationships/header" Target="header20.xml"/><Relationship Id="rId72" Type="http://schemas.openxmlformats.org/officeDocument/2006/relationships/footer" Target="footer11.xml"/><Relationship Id="rId93" Type="http://schemas.openxmlformats.org/officeDocument/2006/relationships/footer" Target="footer22.xml"/><Relationship Id="rId98" Type="http://schemas.openxmlformats.org/officeDocument/2006/relationships/header" Target="header43.xml"/><Relationship Id="rId121" Type="http://schemas.openxmlformats.org/officeDocument/2006/relationships/footer" Target="footer36.xml"/><Relationship Id="rId142" Type="http://schemas.openxmlformats.org/officeDocument/2006/relationships/header" Target="header65.xml"/><Relationship Id="rId163" Type="http://schemas.openxmlformats.org/officeDocument/2006/relationships/header" Target="header76.xml"/><Relationship Id="rId184" Type="http://schemas.openxmlformats.org/officeDocument/2006/relationships/customXml" Target="../customXml/item1.xml"/><Relationship Id="rId3" Type="http://schemas.openxmlformats.org/officeDocument/2006/relationships/theme" Target="theme/theme1.xml"/><Relationship Id="rId25" Type="http://schemas.openxmlformats.org/officeDocument/2006/relationships/image" Target="media/image13.png"/><Relationship Id="rId46" Type="http://schemas.openxmlformats.org/officeDocument/2006/relationships/header" Target="header16.xml"/><Relationship Id="rId67" Type="http://schemas.openxmlformats.org/officeDocument/2006/relationships/header" Target="header28.xml"/><Relationship Id="rId116" Type="http://schemas.openxmlformats.org/officeDocument/2006/relationships/footer" Target="footer33.xml"/><Relationship Id="rId137" Type="http://schemas.openxmlformats.org/officeDocument/2006/relationships/footer" Target="footer44.xml"/><Relationship Id="rId158" Type="http://schemas.openxmlformats.org/officeDocument/2006/relationships/header" Target="header73.xml"/><Relationship Id="rId20" Type="http://schemas.openxmlformats.org/officeDocument/2006/relationships/image" Target="media/image10.png"/><Relationship Id="rId41" Type="http://schemas.openxmlformats.org/officeDocument/2006/relationships/image" Target="media/image23.png"/><Relationship Id="rId62" Type="http://schemas.openxmlformats.org/officeDocument/2006/relationships/header" Target="header25.xml"/><Relationship Id="rId83" Type="http://schemas.openxmlformats.org/officeDocument/2006/relationships/header" Target="header36.xml"/><Relationship Id="rId88" Type="http://schemas.openxmlformats.org/officeDocument/2006/relationships/footer" Target="footer19.xml"/><Relationship Id="rId111" Type="http://schemas.openxmlformats.org/officeDocument/2006/relationships/header" Target="header50.xml"/><Relationship Id="rId132" Type="http://schemas.openxmlformats.org/officeDocument/2006/relationships/footer" Target="footer41.xml"/><Relationship Id="rId153" Type="http://schemas.openxmlformats.org/officeDocument/2006/relationships/footer" Target="footer52.xml"/><Relationship Id="rId174" Type="http://schemas.openxmlformats.org/officeDocument/2006/relationships/header" Target="header81.xml"/><Relationship Id="rId179" Type="http://schemas.openxmlformats.org/officeDocument/2006/relationships/header" Target="header84.xml"/><Relationship Id="rId15" Type="http://schemas.openxmlformats.org/officeDocument/2006/relationships/image" Target="media/image7.png"/><Relationship Id="rId36" Type="http://schemas.openxmlformats.org/officeDocument/2006/relationships/image" Target="media/image18.png"/><Relationship Id="rId57" Type="http://schemas.openxmlformats.org/officeDocument/2006/relationships/footer" Target="footer4.xml"/><Relationship Id="rId106" Type="http://schemas.openxmlformats.org/officeDocument/2006/relationships/header" Target="header47.xml"/><Relationship Id="rId127" Type="http://schemas.openxmlformats.org/officeDocument/2006/relationships/header" Target="header58.xml"/><Relationship Id="rId10" Type="http://schemas.openxmlformats.org/officeDocument/2006/relationships/image" Target="media/image2.png"/><Relationship Id="rId31" Type="http://schemas.openxmlformats.org/officeDocument/2006/relationships/header" Target="header12.xml"/><Relationship Id="rId52" Type="http://schemas.openxmlformats.org/officeDocument/2006/relationships/footer" Target="footer1.xml"/><Relationship Id="rId73" Type="http://schemas.openxmlformats.org/officeDocument/2006/relationships/footer" Target="footer12.xml"/><Relationship Id="rId78" Type="http://schemas.openxmlformats.org/officeDocument/2006/relationships/header" Target="header33.xml"/><Relationship Id="rId94" Type="http://schemas.openxmlformats.org/officeDocument/2006/relationships/header" Target="header41.xml"/><Relationship Id="rId99" Type="http://schemas.openxmlformats.org/officeDocument/2006/relationships/header" Target="header44.xml"/><Relationship Id="rId101" Type="http://schemas.openxmlformats.org/officeDocument/2006/relationships/footer" Target="footer26.xml"/><Relationship Id="rId122" Type="http://schemas.openxmlformats.org/officeDocument/2006/relationships/header" Target="header55.xml"/><Relationship Id="rId143" Type="http://schemas.openxmlformats.org/officeDocument/2006/relationships/header" Target="header66.xml"/><Relationship Id="rId148" Type="http://schemas.openxmlformats.org/officeDocument/2006/relationships/footer" Target="footer49.xml"/><Relationship Id="rId164" Type="http://schemas.openxmlformats.org/officeDocument/2006/relationships/footer" Target="footer57.xml"/><Relationship Id="rId169" Type="http://schemas.openxmlformats.org/officeDocument/2006/relationships/footer" Target="footer60.xml"/><Relationship Id="rId185" Type="http://schemas.openxmlformats.org/officeDocument/2006/relationships/customXml" Target="../customXml/item2.xml"/><Relationship Id="rId4" Type="http://schemas.openxmlformats.org/officeDocument/2006/relationships/settings" Target="settings.xml"/><Relationship Id="rId9" Type="http://schemas.openxmlformats.org/officeDocument/2006/relationships/header" Target="header4.xml"/><Relationship Id="rId180" Type="http://schemas.openxmlformats.org/officeDocument/2006/relationships/footer" Target="footer65.xml"/><Relationship Id="rId26" Type="http://schemas.openxmlformats.org/officeDocument/2006/relationships/image" Target="media/image14.png"/><Relationship Id="rId47" Type="http://schemas.openxmlformats.org/officeDocument/2006/relationships/header" Target="header17.xml"/><Relationship Id="rId68" Type="http://schemas.openxmlformats.org/officeDocument/2006/relationships/footer" Target="footer9.xml"/><Relationship Id="rId89" Type="http://schemas.openxmlformats.org/officeDocument/2006/relationships/footer" Target="footer20.xml"/><Relationship Id="rId112" Type="http://schemas.openxmlformats.org/officeDocument/2006/relationships/footer" Target="footer31.xml"/><Relationship Id="rId133" Type="http://schemas.openxmlformats.org/officeDocument/2006/relationships/footer" Target="footer42.xml"/><Relationship Id="rId154" Type="http://schemas.openxmlformats.org/officeDocument/2006/relationships/header" Target="header71.xml"/><Relationship Id="rId175" Type="http://schemas.openxmlformats.org/officeDocument/2006/relationships/header" Target="header82.xml"/><Relationship Id="rId16" Type="http://schemas.openxmlformats.org/officeDocument/2006/relationships/header" Target="header5.xml"/><Relationship Id="rId37" Type="http://schemas.openxmlformats.org/officeDocument/2006/relationships/image" Target="media/image19.png"/><Relationship Id="rId58" Type="http://schemas.openxmlformats.org/officeDocument/2006/relationships/header" Target="header23.xml"/><Relationship Id="rId79" Type="http://schemas.openxmlformats.org/officeDocument/2006/relationships/header" Target="header34.xml"/><Relationship Id="rId102" Type="http://schemas.openxmlformats.org/officeDocument/2006/relationships/header" Target="header45.xml"/><Relationship Id="rId123" Type="http://schemas.openxmlformats.org/officeDocument/2006/relationships/header" Target="header56.xml"/><Relationship Id="rId144" Type="http://schemas.openxmlformats.org/officeDocument/2006/relationships/footer" Target="footer47.xml"/><Relationship Id="rId90" Type="http://schemas.openxmlformats.org/officeDocument/2006/relationships/header" Target="header39.xml"/><Relationship Id="rId165" Type="http://schemas.openxmlformats.org/officeDocument/2006/relationships/footer" Target="footer58.xml"/><Relationship Id="rId186" Type="http://schemas.openxmlformats.org/officeDocument/2006/relationships/customXml" Target="../customXml/item3.xml"/><Relationship Id="rId27" Type="http://schemas.openxmlformats.org/officeDocument/2006/relationships/header" Target="header9.xml"/><Relationship Id="rId48" Type="http://schemas.openxmlformats.org/officeDocument/2006/relationships/header" Target="header18.xml"/><Relationship Id="rId69" Type="http://schemas.openxmlformats.org/officeDocument/2006/relationships/footer" Target="footer10.xml"/><Relationship Id="rId113" Type="http://schemas.openxmlformats.org/officeDocument/2006/relationships/footer" Target="footer32.xml"/><Relationship Id="rId134" Type="http://schemas.openxmlformats.org/officeDocument/2006/relationships/header" Target="header61.xml"/><Relationship Id="rId80" Type="http://schemas.openxmlformats.org/officeDocument/2006/relationships/footer" Target="footer15.xml"/><Relationship Id="rId155" Type="http://schemas.openxmlformats.org/officeDocument/2006/relationships/header" Target="header72.xml"/><Relationship Id="rId176" Type="http://schemas.openxmlformats.org/officeDocument/2006/relationships/footer" Target="footer63.xml"/><Relationship Id="rId17" Type="http://schemas.openxmlformats.org/officeDocument/2006/relationships/image" Target="media/image8.jpeg"/><Relationship Id="rId38" Type="http://schemas.openxmlformats.org/officeDocument/2006/relationships/image" Target="media/image20.png"/><Relationship Id="rId59" Type="http://schemas.openxmlformats.org/officeDocument/2006/relationships/header" Target="header24.xml"/><Relationship Id="rId103" Type="http://schemas.openxmlformats.org/officeDocument/2006/relationships/header" Target="header46.xml"/><Relationship Id="rId124" Type="http://schemas.openxmlformats.org/officeDocument/2006/relationships/footer" Target="footer37.xml"/><Relationship Id="rId70" Type="http://schemas.openxmlformats.org/officeDocument/2006/relationships/header" Target="header29.xml"/><Relationship Id="rId91" Type="http://schemas.openxmlformats.org/officeDocument/2006/relationships/header" Target="header40.xml"/><Relationship Id="rId145" Type="http://schemas.openxmlformats.org/officeDocument/2006/relationships/footer" Target="footer48.xml"/><Relationship Id="rId166" Type="http://schemas.openxmlformats.org/officeDocument/2006/relationships/header" Target="header77.xml"/><Relationship Id="rId1" Type="http://schemas.openxmlformats.org/officeDocument/2006/relationships/styles" Target="styles.xml"/><Relationship Id="rId28" Type="http://schemas.openxmlformats.org/officeDocument/2006/relationships/image" Target="media/image15.png"/><Relationship Id="rId49" Type="http://schemas.openxmlformats.org/officeDocument/2006/relationships/image" Target="media/image27.png"/><Relationship Id="rId114" Type="http://schemas.openxmlformats.org/officeDocument/2006/relationships/header" Target="header51.xml"/><Relationship Id="rId60" Type="http://schemas.openxmlformats.org/officeDocument/2006/relationships/footer" Target="footer5.xml"/><Relationship Id="rId81" Type="http://schemas.openxmlformats.org/officeDocument/2006/relationships/footer" Target="footer16.xml"/><Relationship Id="rId135" Type="http://schemas.openxmlformats.org/officeDocument/2006/relationships/header" Target="header62.xml"/><Relationship Id="rId156" Type="http://schemas.openxmlformats.org/officeDocument/2006/relationships/footer" Target="footer53.xml"/><Relationship Id="rId177" Type="http://schemas.openxmlformats.org/officeDocument/2006/relationships/footer" Target="footer6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1A24584C23FDF4BB8656E52E9AA5D01" ma:contentTypeVersion="11" ma:contentTypeDescription="Create a new document." ma:contentTypeScope="" ma:versionID="76de551bf221948fb2d3ed9559999afe">
  <xsd:schema xmlns:xsd="http://www.w3.org/2001/XMLSchema" xmlns:xs="http://www.w3.org/2001/XMLSchema" xmlns:p="http://schemas.microsoft.com/office/2006/metadata/properties" xmlns:ns2="bc35cd33-ac99-4bdf-afb1-5d174353cdd5" xmlns:ns3="2e9196fe-87c2-4263-8992-3ae1dbaa9fde" targetNamespace="http://schemas.microsoft.com/office/2006/metadata/properties" ma:root="true" ma:fieldsID="97a40b68771092e9fdddcc1dd8247e79" ns2:_="" ns3:_="">
    <xsd:import namespace="bc35cd33-ac99-4bdf-afb1-5d174353cdd5"/>
    <xsd:import namespace="2e9196fe-87c2-4263-8992-3ae1dbaa9fde"/>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35cd33-ac99-4bdf-afb1-5d174353cdd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e9196fe-87c2-4263-8992-3ae1dbaa9fde" elementFormDefault="qualified">
    <xsd:import namespace="http://schemas.microsoft.com/office/2006/documentManagement/types"/>
    <xsd:import namespace="http://schemas.microsoft.com/office/infopath/2007/PartnerControls"/>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679A245-1C06-4FBD-B57E-C888D0521441}"/>
</file>

<file path=customXml/itemProps2.xml><?xml version="1.0" encoding="utf-8"?>
<ds:datastoreItem xmlns:ds="http://schemas.openxmlformats.org/officeDocument/2006/customXml" ds:itemID="{05852952-99F5-4AF2-9D2B-06DD290387CD}"/>
</file>

<file path=customXml/itemProps3.xml><?xml version="1.0" encoding="utf-8"?>
<ds:datastoreItem xmlns:ds="http://schemas.openxmlformats.org/officeDocument/2006/customXml" ds:itemID="{B0B92C03-E0FB-4220-8428-D2CE15FA8060}"/>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SWA_10-K_2002.</dc:title>
  <dc:creator>amcclure</dc:creator>
  <dcterms:created xsi:type="dcterms:W3CDTF">2018-01-03T22:42:24Z</dcterms:created>
  <dcterms:modified xsi:type="dcterms:W3CDTF">2018-01-03T22:42:24Z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2003-03-20T00:00:00Z</vt:filetime>
  </property>
  <property fmtid="{D5CDD505-2E9C-101B-9397-08002B2CF9AE}" pid="3" name="Creator">
    <vt:lpwstr>Microsoft Word: AdobePS 8.8.0 (301)</vt:lpwstr>
  </property>
  <property fmtid="{D5CDD505-2E9C-101B-9397-08002B2CF9AE}" pid="4" name="LastSaved">
    <vt:filetime>2018-01-04T00:00:00Z</vt:filetime>
  </property>
  <property fmtid="{D5CDD505-2E9C-101B-9397-08002B2CF9AE}" pid="5" name="ContentTypeId">
    <vt:lpwstr>0x010100F1A24584C23FDF4BB8656E52E9AA5D01</vt:lpwstr>
  </property>
</Properties>
</file>