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62"/>
      </w:pPr>
      <w:r>
        <w:rPr>
          <w:color w:val="231F20"/>
        </w:rPr>
        <w:t>SOUTHWEST AIRLINES CO.</w:t>
      </w:r>
    </w:p>
    <w:p>
      <w:pPr>
        <w:pStyle w:val="BodyText"/>
        <w:spacing w:before="2"/>
        <w:rPr>
          <w:rFonts w:ascii="Arial"/>
          <w:b/>
          <w:sz w:val="17"/>
        </w:rPr>
      </w:pPr>
      <w:r>
        <w:rPr/>
        <w:drawing>
          <wp:anchor distT="0" distB="0" distL="0" distR="0" allowOverlap="1" layoutInCell="1" locked="0" behindDoc="0" simplePos="0" relativeHeight="0">
            <wp:simplePos x="0" y="0"/>
            <wp:positionH relativeFrom="page">
              <wp:posOffset>3086100</wp:posOffset>
            </wp:positionH>
            <wp:positionV relativeFrom="paragraph">
              <wp:posOffset>150506</wp:posOffset>
            </wp:positionV>
            <wp:extent cx="1348740" cy="57835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8740" cy="578357"/>
                    </a:xfrm>
                    <a:prstGeom prst="rect">
                      <a:avLst/>
                    </a:prstGeom>
                  </pic:spPr>
                </pic:pic>
              </a:graphicData>
            </a:graphic>
          </wp:anchor>
        </w:drawing>
      </w:r>
    </w:p>
    <w:p>
      <w:pPr>
        <w:pStyle w:val="BodyText"/>
        <w:spacing w:before="5"/>
        <w:rPr>
          <w:rFonts w:ascii="Arial"/>
          <w:b/>
          <w:sz w:val="38"/>
        </w:rPr>
      </w:pPr>
    </w:p>
    <w:p>
      <w:pPr>
        <w:spacing w:before="0"/>
        <w:ind w:left="100" w:right="59" w:firstLine="0"/>
        <w:jc w:val="center"/>
        <w:rPr>
          <w:rFonts w:ascii="Arial"/>
          <w:b/>
          <w:sz w:val="24"/>
        </w:rPr>
      </w:pPr>
      <w:r>
        <w:rPr>
          <w:rFonts w:ascii="Arial"/>
          <w:b/>
          <w:color w:val="231F20"/>
          <w:sz w:val="24"/>
        </w:rPr>
        <w:t>2012 ANNUAL REPORT TO SHAREHOLDERS</w:t>
      </w:r>
    </w:p>
    <w:p>
      <w:pPr>
        <w:pStyle w:val="BodyText"/>
        <w:spacing w:before="7"/>
        <w:rPr>
          <w:rFonts w:ascii="Arial"/>
          <w:b/>
          <w:sz w:val="38"/>
        </w:rPr>
      </w:pPr>
    </w:p>
    <w:p>
      <w:pPr>
        <w:spacing w:before="0"/>
        <w:ind w:left="119" w:right="0" w:firstLine="0"/>
        <w:jc w:val="left"/>
        <w:rPr>
          <w:rFonts w:ascii="Arial"/>
          <w:sz w:val="24"/>
        </w:rPr>
      </w:pPr>
      <w:r>
        <w:rPr>
          <w:rFonts w:ascii="Arial"/>
          <w:color w:val="231F20"/>
          <w:sz w:val="24"/>
        </w:rPr>
        <w:t>To our Shareholders:</w:t>
      </w:r>
    </w:p>
    <w:p>
      <w:pPr>
        <w:pStyle w:val="BodyText"/>
        <w:spacing w:before="9"/>
        <w:rPr>
          <w:rFonts w:ascii="Arial"/>
          <w:sz w:val="25"/>
        </w:rPr>
      </w:pPr>
    </w:p>
    <w:p>
      <w:pPr>
        <w:spacing w:line="242" w:lineRule="auto" w:before="1"/>
        <w:ind w:left="120" w:right="101" w:firstLine="480"/>
        <w:jc w:val="left"/>
        <w:rPr>
          <w:rFonts w:ascii="Arial" w:hAnsi="Arial"/>
          <w:sz w:val="24"/>
        </w:rPr>
      </w:pPr>
      <w:r>
        <w:rPr>
          <w:rFonts w:ascii="Arial" w:hAnsi="Arial"/>
          <w:color w:val="231F20"/>
          <w:sz w:val="24"/>
        </w:rPr>
        <w:t>The year 2012 represented our 40</w:t>
      </w:r>
      <w:r>
        <w:rPr>
          <w:rFonts w:ascii="Arial" w:hAnsi="Arial"/>
          <w:color w:val="231F20"/>
          <w:position w:val="6"/>
          <w:sz w:val="15"/>
        </w:rPr>
        <w:t>th </w:t>
      </w:r>
      <w:r>
        <w:rPr>
          <w:rFonts w:ascii="Arial" w:hAnsi="Arial"/>
          <w:color w:val="231F20"/>
          <w:sz w:val="24"/>
        </w:rPr>
        <w:t>consecutive year of profitability—a remarkable feat unmatched in the U.S. aviation industry. Our profits were boosted by an outstanding record revenue performance. Our critical strategic initiatives contributed significantly to the 52 percent surge in cash flow from operations in 2012. In 2012, we added Southwest Airlines service to two new states, Georgia and Iowa, and six new airports: Hartsfield-Jackson Atlanta International, Akron-Canton Regional, Dayton International, Des Moines International, Key West International,</w:t>
      </w:r>
      <w:r>
        <w:rPr>
          <w:rFonts w:ascii="Arial" w:hAnsi="Arial"/>
          <w:color w:val="231F20"/>
          <w:spacing w:val="-19"/>
          <w:sz w:val="24"/>
        </w:rPr>
        <w:t> </w:t>
      </w:r>
      <w:r>
        <w:rPr>
          <w:rFonts w:ascii="Arial" w:hAnsi="Arial"/>
          <w:color w:val="231F20"/>
          <w:sz w:val="24"/>
        </w:rPr>
        <w:t>and Ronald Reagan Washington National. Our 2012 operational performance was</w:t>
      </w:r>
      <w:r>
        <w:rPr>
          <w:rFonts w:ascii="Arial" w:hAnsi="Arial"/>
          <w:color w:val="231F20"/>
          <w:spacing w:val="-19"/>
          <w:sz w:val="24"/>
        </w:rPr>
        <w:t> </w:t>
      </w:r>
      <w:r>
        <w:rPr>
          <w:rFonts w:ascii="Arial" w:hAnsi="Arial"/>
          <w:color w:val="231F20"/>
          <w:sz w:val="24"/>
        </w:rPr>
        <w:t>superb, with Southwest achieving 83.1 percent ontime for the year and recording the best baggage handling in our</w:t>
      </w:r>
      <w:r>
        <w:rPr>
          <w:rFonts w:ascii="Arial" w:hAnsi="Arial"/>
          <w:color w:val="231F20"/>
          <w:spacing w:val="-9"/>
          <w:sz w:val="24"/>
        </w:rPr>
        <w:t> </w:t>
      </w:r>
      <w:r>
        <w:rPr>
          <w:rFonts w:ascii="Arial" w:hAnsi="Arial"/>
          <w:color w:val="231F20"/>
          <w:sz w:val="24"/>
        </w:rPr>
        <w:t>history.</w:t>
      </w:r>
    </w:p>
    <w:p>
      <w:pPr>
        <w:pStyle w:val="BodyText"/>
        <w:spacing w:before="8"/>
        <w:rPr>
          <w:rFonts w:ascii="Arial"/>
          <w:sz w:val="25"/>
        </w:rPr>
      </w:pPr>
    </w:p>
    <w:p>
      <w:pPr>
        <w:spacing w:line="242" w:lineRule="auto" w:before="0"/>
        <w:ind w:left="120" w:right="101" w:firstLine="480"/>
        <w:jc w:val="left"/>
        <w:rPr>
          <w:rFonts w:ascii="Arial" w:hAnsi="Arial"/>
          <w:sz w:val="24"/>
        </w:rPr>
      </w:pPr>
      <w:r>
        <w:rPr>
          <w:rFonts w:ascii="Arial" w:hAnsi="Arial"/>
          <w:color w:val="231F20"/>
          <w:sz w:val="24"/>
        </w:rPr>
        <w:t>Our 2012 net income was $421 million, or $.56 per diluted share, including special items (primarily noncash, mark-to-market, and other items required for a portion of the Company’s fuel hedge portfolio, as well as costs associated with the acquisition and integration of AirTran). Excluding special items, our 2012 profits increased 26 percent year-over-year to $417 million, or $.56 per diluted share.</w:t>
      </w:r>
    </w:p>
    <w:p>
      <w:pPr>
        <w:pStyle w:val="BodyText"/>
        <w:spacing w:before="7"/>
        <w:rPr>
          <w:rFonts w:ascii="Arial"/>
          <w:sz w:val="25"/>
        </w:rPr>
      </w:pPr>
    </w:p>
    <w:p>
      <w:pPr>
        <w:spacing w:line="242" w:lineRule="auto" w:before="1"/>
        <w:ind w:left="120" w:right="101" w:firstLine="480"/>
        <w:jc w:val="left"/>
        <w:rPr>
          <w:rFonts w:ascii="Arial"/>
          <w:sz w:val="24"/>
        </w:rPr>
      </w:pPr>
      <w:r>
        <w:rPr>
          <w:rFonts w:ascii="Arial"/>
          <w:color w:val="231F20"/>
          <w:sz w:val="24"/>
        </w:rPr>
        <w:t>We remain focused on preserving our financial strength and enhancing Shareholder value. In May 2012, our Board of Directors authorized an increase in our previous share repurchase authorization to $1 billion, and a 122 percent increase in our quarterly dividend. These actions, coupled with the generation of a healthy</w:t>
      </w:r>
    </w:p>
    <w:p>
      <w:pPr>
        <w:spacing w:line="242" w:lineRule="auto" w:before="1"/>
        <w:ind w:left="120" w:right="68" w:firstLine="0"/>
        <w:jc w:val="left"/>
        <w:rPr>
          <w:rFonts w:ascii="Arial" w:hAnsi="Arial"/>
          <w:sz w:val="24"/>
        </w:rPr>
      </w:pPr>
      <w:r>
        <w:rPr>
          <w:rFonts w:ascii="Arial" w:hAnsi="Arial"/>
          <w:color w:val="231F20"/>
          <w:sz w:val="24"/>
        </w:rPr>
        <w:t>$716 million in free cash flow</w:t>
      </w:r>
      <w:r>
        <w:rPr>
          <w:rFonts w:ascii="Arial" w:hAnsi="Arial"/>
          <w:color w:val="231F20"/>
          <w:position w:val="6"/>
          <w:sz w:val="15"/>
        </w:rPr>
        <w:t>1 </w:t>
      </w:r>
      <w:r>
        <w:rPr>
          <w:rFonts w:ascii="Arial" w:hAnsi="Arial"/>
          <w:color w:val="231F20"/>
          <w:sz w:val="24"/>
        </w:rPr>
        <w:t>during 2012, enabled us to return $422 million to Shareholders through stock repurchases ($400 million) and dividends ($22 million). In 2012, we repurchased approximately 46 million shares of common stock at an average price per share of $8.78, which compares favorably to yesterday’s closing price of $12.64. In addition, yesterday’s stock price represents an increase of over</w:t>
      </w:r>
    </w:p>
    <w:p>
      <w:pPr>
        <w:spacing w:line="242" w:lineRule="auto" w:before="1"/>
        <w:ind w:left="120" w:right="0" w:firstLine="0"/>
        <w:jc w:val="left"/>
        <w:rPr>
          <w:rFonts w:ascii="Arial"/>
          <w:sz w:val="24"/>
        </w:rPr>
      </w:pPr>
      <w:r>
        <w:rPr>
          <w:rFonts w:ascii="Arial"/>
          <w:color w:val="231F20"/>
          <w:sz w:val="24"/>
        </w:rPr>
        <w:t>50 percent from a year ago. We repaid $578 million in debt and capital lease obligations during 2012. As a result, our debt-to-total capital ratio (including aircraft leases) declined to approximately 41 percent at yearend. As of December 31, 2012, our cash and short-term investments were a strong $3 billion, with a fully-available</w:t>
      </w:r>
    </w:p>
    <w:p>
      <w:pPr>
        <w:spacing w:line="242" w:lineRule="auto" w:before="1"/>
        <w:ind w:left="120" w:right="0" w:firstLine="0"/>
        <w:jc w:val="left"/>
        <w:rPr>
          <w:rFonts w:ascii="Arial"/>
          <w:sz w:val="24"/>
        </w:rPr>
      </w:pPr>
      <w:r>
        <w:rPr/>
        <w:pict>
          <v:line style="position:absolute;mso-position-horizontal-relative:page;mso-position-vertical-relative:paragraph;z-index:1048;mso-wrap-distance-left:0;mso-wrap-distance-right:0" from="69pt,33.052265pt" to="189pt,33.052265pt" stroked="true" strokeweight=".5pt" strokecolor="#231f20">
            <v:stroke dashstyle="solid"/>
            <w10:wrap type="topAndBottom"/>
          </v:line>
        </w:pict>
      </w:r>
      <w:r>
        <w:rPr>
          <w:rFonts w:ascii="Arial"/>
          <w:color w:val="231F20"/>
          <w:sz w:val="24"/>
        </w:rPr>
        <w:t>$800 million bank line-of-credit. We remain the only investment grade-rated U.S. airline.</w:t>
      </w:r>
    </w:p>
    <w:p>
      <w:pPr>
        <w:spacing w:line="254" w:lineRule="auto" w:before="22"/>
        <w:ind w:left="119" w:right="0" w:firstLine="0"/>
        <w:jc w:val="left"/>
        <w:rPr>
          <w:rFonts w:ascii="Arial"/>
          <w:sz w:val="18"/>
        </w:rPr>
      </w:pPr>
      <w:r>
        <w:rPr>
          <w:rFonts w:ascii="Arial"/>
          <w:color w:val="231F20"/>
          <w:position w:val="4"/>
          <w:sz w:val="11"/>
        </w:rPr>
        <w:t>1 </w:t>
      </w:r>
      <w:r>
        <w:rPr>
          <w:rFonts w:ascii="Arial"/>
          <w:color w:val="231F20"/>
          <w:sz w:val="18"/>
        </w:rPr>
        <w:t>Free cash flow is calculated as operating cash flows of $2.064 billion less capital expenditures of $1.348 billion. Additional information regarding non-GAAP financial measures is included in the accompanying Form 10-K for the fiscal year ended December 31, 2012.</w:t>
      </w:r>
    </w:p>
    <w:p>
      <w:pPr>
        <w:spacing w:after="0" w:line="254" w:lineRule="auto"/>
        <w:jc w:val="left"/>
        <w:rPr>
          <w:rFonts w:ascii="Arial"/>
          <w:sz w:val="18"/>
        </w:rPr>
        <w:sectPr>
          <w:type w:val="continuous"/>
          <w:pgSz w:w="11880" w:h="15480"/>
          <w:pgMar w:top="1200" w:bottom="280" w:left="1260" w:right="1300"/>
        </w:sectPr>
      </w:pPr>
    </w:p>
    <w:p>
      <w:pPr>
        <w:spacing w:line="242" w:lineRule="auto" w:before="75"/>
        <w:ind w:left="100" w:right="100" w:firstLine="480"/>
        <w:jc w:val="left"/>
        <w:rPr>
          <w:rFonts w:ascii="Arial" w:hAnsi="Arial"/>
          <w:sz w:val="24"/>
        </w:rPr>
      </w:pPr>
      <w:r>
        <w:rPr>
          <w:rFonts w:ascii="Arial" w:hAnsi="Arial"/>
          <w:color w:val="231F20"/>
          <w:sz w:val="24"/>
        </w:rPr>
        <w:t>We are in the midst of a bold, five-year strategic plan that began in 2011. The plan is designed to retain our position as America’s most flown and most popular airline, and regain adequate returns on invested capital in today’s high fuel price environment. We believe in our strategic plan, and I am pleased to report on the tremendous progress made in 2012 on our critical strategic initiatives:</w:t>
      </w:r>
    </w:p>
    <w:p>
      <w:pPr>
        <w:pStyle w:val="BodyText"/>
        <w:spacing w:before="11"/>
        <w:rPr>
          <w:rFonts w:ascii="Arial"/>
        </w:rPr>
      </w:pPr>
    </w:p>
    <w:p>
      <w:pPr>
        <w:spacing w:line="242" w:lineRule="auto" w:before="0"/>
        <w:ind w:left="100" w:right="100" w:firstLine="0"/>
        <w:jc w:val="left"/>
        <w:rPr>
          <w:rFonts w:ascii="Arial"/>
          <w:sz w:val="24"/>
        </w:rPr>
      </w:pPr>
      <w:r>
        <w:rPr>
          <w:rFonts w:ascii="Arial"/>
          <w:b/>
          <w:color w:val="231F20"/>
          <w:sz w:val="24"/>
        </w:rPr>
        <w:t>AirTran integration: </w:t>
      </w:r>
      <w:r>
        <w:rPr>
          <w:rFonts w:ascii="Arial"/>
          <w:color w:val="231F20"/>
          <w:sz w:val="24"/>
        </w:rPr>
        <w:t>We are on track with our plan to fully integrate AirTran into Southwest Airlines by the end of 2014 and achieve $400 million in net, annualized, pre-tax synergies in 2013 (excluding acquisition and integration expenses). The first group of AirTran Employees officially joined the Southwest family in January 2012, and all Southwest and AirTran union workgroup seniority integration methodologies were resolved as of last year. We received a single operating certificate from the Federal Aviation Administration (FAA) in March 2012, just ten months after the close of the acquisition. We converted 11 AirTran 737-700 aircraft to the Southwest livery with our </w:t>
      </w:r>
      <w:r>
        <w:rPr>
          <w:rFonts w:ascii="Arial"/>
          <w:i/>
          <w:color w:val="231F20"/>
          <w:sz w:val="24"/>
        </w:rPr>
        <w:t>Evolve </w:t>
      </w:r>
      <w:r>
        <w:rPr>
          <w:rFonts w:ascii="Arial"/>
          <w:color w:val="231F20"/>
          <w:sz w:val="24"/>
        </w:rPr>
        <w:t>interior. We introduced Southwest service to existing AirTran operations in Atlanta, Akron-Canton, and Dayton, and we fully converted AirTran stations at Seattle, Washington Dulles, Des Moines, and Key West to Southwest operations. While AirTran discontinued service to 14 cities that proved unsustainable with high fuel prices, we launched AirTran service to Austin, Orange County, Mexico City, and Cabo San Lucas. As of April 2013, the 97 cities collectively served in the Southwest and AirTran networks will be fully connected, which we expect will provide incremental revenues and significant opportunities to optimize the combined network. We realized $142 million of net, annualized, pre-tax synergies during 2012 (excluding acquisition and integration expenses).</w:t>
      </w:r>
    </w:p>
    <w:p>
      <w:pPr>
        <w:pStyle w:val="BodyText"/>
        <w:spacing w:before="10"/>
        <w:rPr>
          <w:rFonts w:ascii="Arial"/>
        </w:rPr>
      </w:pPr>
    </w:p>
    <w:p>
      <w:pPr>
        <w:spacing w:line="242" w:lineRule="auto" w:before="1"/>
        <w:ind w:left="100" w:right="119" w:firstLine="0"/>
        <w:jc w:val="left"/>
        <w:rPr>
          <w:rFonts w:ascii="Arial" w:hAnsi="Arial"/>
          <w:sz w:val="24"/>
        </w:rPr>
      </w:pPr>
      <w:r>
        <w:rPr>
          <w:rFonts w:ascii="Arial" w:hAnsi="Arial"/>
          <w:b/>
          <w:color w:val="231F20"/>
          <w:sz w:val="24"/>
        </w:rPr>
        <w:t>All-New Rapid Rewards frequent flyer program: </w:t>
      </w:r>
      <w:r>
        <w:rPr>
          <w:rFonts w:ascii="Arial" w:hAnsi="Arial"/>
          <w:color w:val="231F20"/>
          <w:sz w:val="24"/>
        </w:rPr>
        <w:t>The first full calendar year of our revamped Rapid Rewards</w:t>
      </w:r>
      <w:r>
        <w:rPr>
          <w:rFonts w:ascii="Arial" w:hAnsi="Arial"/>
          <w:color w:val="231F20"/>
          <w:position w:val="6"/>
          <w:sz w:val="18"/>
        </w:rPr>
        <w:t>® </w:t>
      </w:r>
      <w:r>
        <w:rPr>
          <w:rFonts w:ascii="Arial" w:hAnsi="Arial"/>
          <w:color w:val="231F20"/>
          <w:sz w:val="24"/>
        </w:rPr>
        <w:t>program exceeded our expectations, with record activity from existing Members and record numbers of new Members and credit card applications. The new program provided $180 million in incremental revenues in 2012, as compared to 2011.</w:t>
      </w:r>
    </w:p>
    <w:p>
      <w:pPr>
        <w:pStyle w:val="BodyText"/>
        <w:spacing w:before="11"/>
        <w:rPr>
          <w:rFonts w:ascii="Arial"/>
        </w:rPr>
      </w:pPr>
    </w:p>
    <w:p>
      <w:pPr>
        <w:spacing w:line="242" w:lineRule="auto" w:before="0"/>
        <w:ind w:left="100" w:right="0" w:firstLine="0"/>
        <w:jc w:val="left"/>
        <w:rPr>
          <w:rFonts w:ascii="Arial" w:hAnsi="Arial"/>
          <w:sz w:val="24"/>
        </w:rPr>
      </w:pPr>
      <w:r>
        <w:rPr>
          <w:rFonts w:ascii="Arial" w:hAnsi="Arial"/>
          <w:b/>
          <w:color w:val="231F20"/>
          <w:sz w:val="24"/>
        </w:rPr>
        <w:t>Fleet modernization: </w:t>
      </w:r>
      <w:r>
        <w:rPr>
          <w:rFonts w:ascii="Arial" w:hAnsi="Arial"/>
          <w:color w:val="231F20"/>
          <w:sz w:val="24"/>
        </w:rPr>
        <w:t>In March 2012, we began retrofitting 737-700 aircraft with our new </w:t>
      </w:r>
      <w:r>
        <w:rPr>
          <w:rFonts w:ascii="Arial" w:hAnsi="Arial"/>
          <w:i/>
          <w:color w:val="231F20"/>
          <w:sz w:val="24"/>
        </w:rPr>
        <w:t>Evolve </w:t>
      </w:r>
      <w:r>
        <w:rPr>
          <w:rFonts w:ascii="Arial" w:hAnsi="Arial"/>
          <w:color w:val="231F20"/>
          <w:sz w:val="24"/>
        </w:rPr>
        <w:t>interior, which provides new Customer comfort features along with increased seating capacity from 137 to 143 seats. We expect to have all 372 of Southwest’s -700s retrofitted with </w:t>
      </w:r>
      <w:r>
        <w:rPr>
          <w:rFonts w:ascii="Arial" w:hAnsi="Arial"/>
          <w:i/>
          <w:color w:val="231F20"/>
          <w:sz w:val="24"/>
        </w:rPr>
        <w:t>Evolve </w:t>
      </w:r>
      <w:r>
        <w:rPr>
          <w:rFonts w:ascii="Arial" w:hAnsi="Arial"/>
          <w:color w:val="231F20"/>
          <w:sz w:val="24"/>
        </w:rPr>
        <w:t>by June 2013 and 78 of our 737-300 aircraft retrofitted by the end of 2013. We signed an agreement in 2012 to transition all 88 of AirTran’s 717-200 aircraft to Delta Air Lines, Inc., beginning August 2013. All Southwest 737-700 and 737-800 aircraft are now equipped with Row 44 technology enabling access to satellite-based WiFi, our recently upgraded television offering, and movies on demand. Our fleet modernization plan also includes our December 2011 order for 150 Boeing 737 MAX airplanes, with the first delivery expected in 2017. The 737 MAX is expected to have the lowest operating cost in the single-aisle segment, reducing fuel burn and CO2 emissions by an additional 10 to 11 percent compared to today’s most fuel-efficient single-aisle airplane.</w:t>
      </w:r>
    </w:p>
    <w:p>
      <w:pPr>
        <w:spacing w:after="0" w:line="242" w:lineRule="auto"/>
        <w:jc w:val="left"/>
        <w:rPr>
          <w:rFonts w:ascii="Arial" w:hAnsi="Arial"/>
          <w:sz w:val="24"/>
        </w:rPr>
        <w:sectPr>
          <w:pgSz w:w="11880" w:h="15480"/>
          <w:pgMar w:top="1240" w:bottom="280" w:left="1280" w:right="1320"/>
        </w:sectPr>
      </w:pPr>
    </w:p>
    <w:p>
      <w:pPr>
        <w:spacing w:line="242" w:lineRule="auto" w:before="75"/>
        <w:ind w:left="119" w:right="119" w:firstLine="0"/>
        <w:jc w:val="left"/>
        <w:rPr>
          <w:rFonts w:ascii="Arial"/>
          <w:sz w:val="24"/>
        </w:rPr>
      </w:pPr>
      <w:r>
        <w:rPr>
          <w:rFonts w:ascii="Arial"/>
          <w:b/>
          <w:color w:val="231F20"/>
          <w:sz w:val="24"/>
        </w:rPr>
        <w:t>Boeing 737-800s: </w:t>
      </w:r>
      <w:r>
        <w:rPr>
          <w:rFonts w:ascii="Arial"/>
          <w:color w:val="231F20"/>
          <w:sz w:val="24"/>
        </w:rPr>
        <w:t>In our efforts to modernize our fleet, we began 737-800 flying in March 2012 and ended the year with 34 -800s in our fleet. We are very excited about the benefits this new aircraft type brings to Southwest with more than 20 percent additional seat capacity per aircraft than on a 737-700. We can operate the -800 at a lower unit cost than the -700, which lends itself well to longhaul and capacity- constrained, high-demand markets, as well as potential new longhaul markets like Hawaii, Alaska, Canada, Mexico, and the Caribbean.</w:t>
      </w:r>
    </w:p>
    <w:p>
      <w:pPr>
        <w:pStyle w:val="BodyText"/>
        <w:spacing w:before="9"/>
        <w:rPr>
          <w:rFonts w:ascii="Arial"/>
          <w:sz w:val="24"/>
        </w:rPr>
      </w:pPr>
    </w:p>
    <w:p>
      <w:pPr>
        <w:spacing w:line="242" w:lineRule="auto" w:before="0"/>
        <w:ind w:left="120" w:right="119" w:firstLine="0"/>
        <w:jc w:val="left"/>
        <w:rPr>
          <w:rFonts w:ascii="Arial" w:hAnsi="Arial"/>
          <w:sz w:val="24"/>
        </w:rPr>
      </w:pPr>
      <w:r>
        <w:rPr>
          <w:rFonts w:ascii="Arial" w:hAnsi="Arial"/>
          <w:b/>
          <w:color w:val="231F20"/>
          <w:sz w:val="24"/>
        </w:rPr>
        <w:t>New reservation system and international capabilities: </w:t>
      </w:r>
      <w:r>
        <w:rPr>
          <w:rFonts w:ascii="Arial" w:hAnsi="Arial"/>
          <w:color w:val="231F20"/>
          <w:sz w:val="24"/>
        </w:rPr>
        <w:t>We intend to replace our existing reservation system with a comprehensive system that would provide the ability for Southwest to serve international destinations and allow for other Customer Service, revenue management, and schedule production capabilities. In 2012, we selected Amadeus to implement the reservation solution to support international service on Southwest in 2014. We plan to complete the full deployment of a new reservation system beyond 2014. We received FAA approval to conduct operations, under certain circumstances, outside the continental United States and announced service to San Juan, Puerto Rico, beginning in April 2013. We also received Houston City Council approval to design and build a five-gate international terminal with a U.S. customs facility at Houston’s William P. Hobby Airport.</w:t>
      </w:r>
    </w:p>
    <w:p>
      <w:pPr>
        <w:pStyle w:val="BodyText"/>
        <w:spacing w:before="8"/>
        <w:rPr>
          <w:rFonts w:ascii="Arial"/>
          <w:sz w:val="24"/>
        </w:rPr>
      </w:pPr>
    </w:p>
    <w:p>
      <w:pPr>
        <w:spacing w:line="242" w:lineRule="auto" w:before="1"/>
        <w:ind w:left="120" w:right="0" w:firstLine="480"/>
        <w:jc w:val="left"/>
        <w:rPr>
          <w:rFonts w:ascii="Arial"/>
          <w:sz w:val="24"/>
        </w:rPr>
      </w:pPr>
      <w:r>
        <w:rPr>
          <w:rFonts w:ascii="Arial"/>
          <w:color w:val="231F20"/>
          <w:sz w:val="24"/>
        </w:rPr>
        <w:t>In December 2012, we announced new 2013 revenue streams, including the first phase of a new origin and destination revenue management system, more aggressive network optimization, and new ancillary offerings. These offerings include increases in existing service charges, selling open A1 through A15 premium boarding positions at the gate, and a new policy associated with restricted tickets that are not canceled</w:t>
      </w:r>
    </w:p>
    <w:p>
      <w:pPr>
        <w:spacing w:before="1"/>
        <w:ind w:left="120" w:right="0" w:firstLine="0"/>
        <w:jc w:val="left"/>
        <w:rPr>
          <w:rFonts w:ascii="Arial"/>
          <w:sz w:val="24"/>
        </w:rPr>
      </w:pPr>
      <w:r>
        <w:rPr>
          <w:rFonts w:ascii="Arial"/>
          <w:color w:val="231F20"/>
          <w:sz w:val="24"/>
        </w:rPr>
        <w:t>(or changed) prior to departure.</w:t>
      </w:r>
    </w:p>
    <w:p>
      <w:pPr>
        <w:pStyle w:val="BodyText"/>
        <w:rPr>
          <w:rFonts w:ascii="Arial"/>
          <w:sz w:val="25"/>
        </w:rPr>
      </w:pPr>
    </w:p>
    <w:p>
      <w:pPr>
        <w:spacing w:line="242" w:lineRule="auto" w:before="0"/>
        <w:ind w:left="120" w:right="119" w:firstLine="480"/>
        <w:jc w:val="left"/>
        <w:rPr>
          <w:rFonts w:ascii="Arial"/>
          <w:sz w:val="24"/>
        </w:rPr>
      </w:pPr>
      <w:r>
        <w:rPr>
          <w:rFonts w:ascii="Arial"/>
          <w:color w:val="231F20"/>
          <w:sz w:val="24"/>
        </w:rPr>
        <w:t>Collectively, we expect our strategic initiatives and new revenue streams to contribute the majority of the planned $1.1 billion year-over-year revenue increase in 2013. In addition, we intend to aggressively manage our invested capital base. While the fleet modernization plans provide significant growth potential, we do not plan to grow the fleet until earnings are expected to generate sufficient returns on capital. All told, our 2013 goal remains a 15 percent pre-tax return on invested capital.</w:t>
      </w:r>
    </w:p>
    <w:p>
      <w:pPr>
        <w:pStyle w:val="BodyText"/>
        <w:spacing w:before="9"/>
        <w:rPr>
          <w:rFonts w:ascii="Arial"/>
          <w:sz w:val="24"/>
        </w:rPr>
      </w:pPr>
    </w:p>
    <w:p>
      <w:pPr>
        <w:spacing w:line="242" w:lineRule="auto" w:before="0"/>
        <w:ind w:left="120" w:right="0" w:firstLine="480"/>
        <w:jc w:val="left"/>
        <w:rPr>
          <w:rFonts w:ascii="Arial" w:hAnsi="Arial"/>
          <w:sz w:val="24"/>
        </w:rPr>
      </w:pPr>
      <w:r>
        <w:rPr>
          <w:rFonts w:ascii="Arial" w:hAnsi="Arial"/>
          <w:color w:val="231F20"/>
          <w:sz w:val="24"/>
        </w:rPr>
        <w:t>Southwest Airlines is the nation’s largest airline in terms of domestic passengers boarded</w:t>
      </w:r>
      <w:r>
        <w:rPr>
          <w:rFonts w:ascii="Arial" w:hAnsi="Arial"/>
          <w:color w:val="231F20"/>
          <w:position w:val="6"/>
          <w:sz w:val="15"/>
        </w:rPr>
        <w:t>2</w:t>
      </w:r>
      <w:r>
        <w:rPr>
          <w:rFonts w:ascii="Arial" w:hAnsi="Arial"/>
          <w:color w:val="231F20"/>
          <w:sz w:val="24"/>
        </w:rPr>
        <w:t>, and, including AirTran, we operate the largest fleet of Boeing aircraft in the world. Thanks to our Employees who deliver world-class Customer Service every day, we once again led the domestic airline industry in Customer Satisfaction in 2012</w:t>
      </w:r>
      <w:r>
        <w:rPr>
          <w:rFonts w:ascii="Arial" w:hAnsi="Arial"/>
          <w:color w:val="231F20"/>
          <w:position w:val="6"/>
          <w:sz w:val="15"/>
        </w:rPr>
        <w:t>3</w:t>
      </w:r>
      <w:r>
        <w:rPr>
          <w:rFonts w:ascii="Arial" w:hAnsi="Arial"/>
          <w:color w:val="231F20"/>
          <w:sz w:val="24"/>
        </w:rPr>
        <w:t>.</w:t>
      </w:r>
    </w:p>
    <w:p>
      <w:pPr>
        <w:spacing w:line="242" w:lineRule="auto" w:before="1"/>
        <w:ind w:left="119" w:right="119" w:firstLine="0"/>
        <w:jc w:val="left"/>
        <w:rPr>
          <w:rFonts w:ascii="Arial" w:hAnsi="Arial"/>
          <w:sz w:val="24"/>
        </w:rPr>
      </w:pPr>
      <w:r>
        <w:rPr/>
        <w:pict>
          <v:line style="position:absolute;mso-position-horizontal-relative:page;mso-position-vertical-relative:paragraph;z-index:1072;mso-wrap-distance-left:0;mso-wrap-distance-right:0" from="69pt,61.055565pt" to="189pt,61.055565pt" stroked="true" strokeweight=".5pt" strokecolor="#231f20">
            <v:stroke dashstyle="solid"/>
            <w10:wrap type="topAndBottom"/>
          </v:line>
        </w:pict>
      </w:r>
      <w:r>
        <w:rPr>
          <w:rFonts w:ascii="Arial" w:hAnsi="Arial"/>
          <w:color w:val="231F20"/>
          <w:sz w:val="24"/>
        </w:rPr>
        <w:t>Southwest has ranked on </w:t>
      </w:r>
      <w:r>
        <w:rPr>
          <w:rFonts w:ascii="Arial" w:hAnsi="Arial"/>
          <w:i/>
          <w:color w:val="231F20"/>
          <w:sz w:val="24"/>
        </w:rPr>
        <w:t>FORTUNE </w:t>
      </w:r>
      <w:r>
        <w:rPr>
          <w:rFonts w:ascii="Arial" w:hAnsi="Arial"/>
          <w:color w:val="231F20"/>
          <w:sz w:val="24"/>
        </w:rPr>
        <w:t>magazine’s Most Admired list every year since 1994, and we were thrilled to uphold that record with our recent recognition as the Seventh Most Admired Company in the World! We were the highest ranking airline and the only commercial airline to make the Top Ten.</w:t>
      </w:r>
    </w:p>
    <w:p>
      <w:pPr>
        <w:spacing w:before="22"/>
        <w:ind w:left="120" w:right="0" w:firstLine="0"/>
        <w:jc w:val="left"/>
        <w:rPr>
          <w:rFonts w:ascii="Arial"/>
          <w:sz w:val="18"/>
        </w:rPr>
      </w:pPr>
      <w:r>
        <w:rPr>
          <w:rFonts w:ascii="Arial"/>
          <w:color w:val="231F20"/>
          <w:position w:val="4"/>
          <w:sz w:val="11"/>
        </w:rPr>
        <w:t>2 </w:t>
      </w:r>
      <w:r>
        <w:rPr>
          <w:rFonts w:ascii="Arial"/>
          <w:color w:val="231F20"/>
          <w:sz w:val="18"/>
        </w:rPr>
        <w:t>As measured by the number of originating domestic passengers boarded and based on data available from the</w:t>
      </w:r>
    </w:p>
    <w:p>
      <w:pPr>
        <w:spacing w:before="13"/>
        <w:ind w:left="119" w:right="0" w:firstLine="0"/>
        <w:jc w:val="left"/>
        <w:rPr>
          <w:rFonts w:ascii="Arial"/>
          <w:sz w:val="18"/>
        </w:rPr>
      </w:pPr>
      <w:r>
        <w:rPr>
          <w:rFonts w:ascii="Arial"/>
          <w:color w:val="231F20"/>
          <w:sz w:val="18"/>
        </w:rPr>
        <w:t>U.S. Department of Transportation (DOT), as of Sept. 30, 2012.</w:t>
      </w:r>
    </w:p>
    <w:p>
      <w:pPr>
        <w:spacing w:line="254" w:lineRule="auto" w:before="155"/>
        <w:ind w:left="119" w:right="119" w:firstLine="0"/>
        <w:jc w:val="left"/>
        <w:rPr>
          <w:rFonts w:ascii="Arial"/>
          <w:sz w:val="18"/>
        </w:rPr>
      </w:pPr>
      <w:r>
        <w:rPr>
          <w:rFonts w:ascii="Arial"/>
          <w:color w:val="231F20"/>
          <w:position w:val="4"/>
          <w:sz w:val="11"/>
        </w:rPr>
        <w:t>3 </w:t>
      </w:r>
      <w:r>
        <w:rPr>
          <w:rFonts w:ascii="Arial"/>
          <w:color w:val="231F20"/>
          <w:sz w:val="18"/>
        </w:rPr>
        <w:t>From the 2012 yearend DOT Air Travel Consumer Report issued February 2013. Top ranking is for Southwest Airlines only.</w:t>
      </w:r>
    </w:p>
    <w:p>
      <w:pPr>
        <w:spacing w:after="0" w:line="254" w:lineRule="auto"/>
        <w:jc w:val="left"/>
        <w:rPr>
          <w:rFonts w:ascii="Arial"/>
          <w:sz w:val="18"/>
        </w:rPr>
        <w:sectPr>
          <w:pgSz w:w="11880" w:h="15480"/>
          <w:pgMar w:top="1240" w:bottom="280" w:left="1260" w:right="1280"/>
        </w:sectPr>
      </w:pPr>
    </w:p>
    <w:p>
      <w:pPr>
        <w:spacing w:line="242" w:lineRule="auto" w:before="75"/>
        <w:ind w:left="100" w:right="0" w:firstLine="480"/>
        <w:jc w:val="left"/>
        <w:rPr>
          <w:rFonts w:ascii="Arial"/>
          <w:sz w:val="24"/>
        </w:rPr>
      </w:pPr>
      <w:r>
        <w:rPr>
          <w:rFonts w:ascii="Arial"/>
          <w:color w:val="231F20"/>
          <w:sz w:val="24"/>
        </w:rPr>
        <w:t>As we look to our future, our priority is to maintain the excellence we have built over the past four decades with our Brand, Culture, Customer Service, Operational Excellence, and consecutive annual profits. We remain one of the lowest cost producers among major airlines, and, unlike many of our competitors, we have maintained a strong Balance Sheet while returning significant value to our Shareholders.</w:t>
      </w:r>
    </w:p>
    <w:p>
      <w:pPr>
        <w:pStyle w:val="BodyText"/>
        <w:spacing w:before="11"/>
        <w:rPr>
          <w:rFonts w:ascii="Arial"/>
        </w:rPr>
      </w:pPr>
    </w:p>
    <w:p>
      <w:pPr>
        <w:spacing w:line="242" w:lineRule="auto" w:before="0"/>
        <w:ind w:left="100" w:right="0" w:firstLine="480"/>
        <w:jc w:val="left"/>
        <w:rPr>
          <w:rFonts w:ascii="Arial" w:hAnsi="Arial"/>
          <w:sz w:val="24"/>
        </w:rPr>
      </w:pPr>
      <w:r>
        <w:rPr>
          <w:rFonts w:ascii="Arial" w:hAnsi="Arial"/>
          <w:color w:val="231F20"/>
          <w:sz w:val="24"/>
        </w:rPr>
        <w:t>I am incredibly proud of our past four decades and, in particular, all our accomplishments in 2012. I am enthusiastic about our 2013 plan and believe our transformation efforts will make us better, stronger, and more competitive. And, the outstanding efforts, commitment, and dedication of our People give me confidence in our ability to successfully execute our plan. We are committed to our Purpose – to connect people to what’s important in their lives with safe, friendly, reliable, low cost air travel. It is that Purpose that will guide us forward on our journey in pursuit of our Vision to become the World’s Most Loved, Most Flown, and Most Profitable Airline.</w:t>
      </w:r>
    </w:p>
    <w:p>
      <w:pPr>
        <w:pStyle w:val="BodyText"/>
        <w:rPr>
          <w:rFonts w:ascii="Arial"/>
        </w:rPr>
      </w:pPr>
    </w:p>
    <w:p>
      <w:pPr>
        <w:pStyle w:val="BodyText"/>
        <w:spacing w:before="10"/>
        <w:rPr>
          <w:rFonts w:ascii="Arial"/>
          <w:sz w:val="12"/>
        </w:rPr>
      </w:pPr>
      <w:r>
        <w:rPr/>
        <w:drawing>
          <wp:anchor distT="0" distB="0" distL="0" distR="0" allowOverlap="1" layoutInCell="1" locked="0" behindDoc="0" simplePos="0" relativeHeight="1096">
            <wp:simplePos x="0" y="0"/>
            <wp:positionH relativeFrom="page">
              <wp:posOffset>1181099</wp:posOffset>
            </wp:positionH>
            <wp:positionV relativeFrom="paragraph">
              <wp:posOffset>119309</wp:posOffset>
            </wp:positionV>
            <wp:extent cx="2069591" cy="5638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9591" cy="563879"/>
                    </a:xfrm>
                    <a:prstGeom prst="rect">
                      <a:avLst/>
                    </a:prstGeom>
                  </pic:spPr>
                </pic:pic>
              </a:graphicData>
            </a:graphic>
          </wp:anchor>
        </w:drawing>
      </w:r>
    </w:p>
    <w:p>
      <w:pPr>
        <w:spacing w:before="26"/>
        <w:ind w:left="580" w:right="0" w:firstLine="0"/>
        <w:jc w:val="left"/>
        <w:rPr>
          <w:rFonts w:ascii="Arial"/>
          <w:sz w:val="24"/>
        </w:rPr>
      </w:pPr>
      <w:r>
        <w:rPr>
          <w:rFonts w:ascii="Arial"/>
          <w:color w:val="231F20"/>
          <w:sz w:val="24"/>
        </w:rPr>
        <w:t>Gary C. Kelly</w:t>
      </w:r>
    </w:p>
    <w:p>
      <w:pPr>
        <w:spacing w:line="451" w:lineRule="auto" w:before="4"/>
        <w:ind w:left="580" w:right="1349" w:firstLine="0"/>
        <w:jc w:val="left"/>
        <w:rPr>
          <w:rFonts w:ascii="Arial"/>
          <w:sz w:val="24"/>
        </w:rPr>
      </w:pPr>
      <w:r>
        <w:rPr>
          <w:rFonts w:ascii="Arial"/>
          <w:color w:val="231F20"/>
          <w:sz w:val="24"/>
        </w:rPr>
        <w:t>Chairman of the Board, President, and Chief Executive Officer March 20, 2013</w:t>
      </w:r>
    </w:p>
    <w:p>
      <w:pPr>
        <w:spacing w:after="0" w:line="451" w:lineRule="auto"/>
        <w:jc w:val="left"/>
        <w:rPr>
          <w:rFonts w:ascii="Arial"/>
          <w:sz w:val="24"/>
        </w:rPr>
        <w:sectPr>
          <w:pgSz w:w="11880" w:h="15480"/>
          <w:pgMar w:top="1240" w:bottom="280" w:left="1280" w:right="142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3"/>
        <w:spacing w:line="215" w:lineRule="exact" w:before="93"/>
        <w:ind w:left="99" w:right="98"/>
        <w:jc w:val="center"/>
      </w:pPr>
      <w:r>
        <w:rPr>
          <w:color w:val="231F20"/>
        </w:rPr>
        <w:t>UNITED STATES</w:t>
      </w:r>
    </w:p>
    <w:p>
      <w:pPr>
        <w:spacing w:line="200" w:lineRule="exact" w:before="0"/>
        <w:ind w:left="97" w:right="98" w:firstLine="0"/>
        <w:jc w:val="center"/>
        <w:rPr>
          <w:b/>
          <w:sz w:val="20"/>
        </w:rPr>
      </w:pPr>
      <w:r>
        <w:rPr>
          <w:b/>
          <w:color w:val="231F20"/>
          <w:sz w:val="20"/>
        </w:rPr>
        <w:t>SECURITIES AND EXCHANGE COMMISSION</w:t>
      </w:r>
    </w:p>
    <w:p>
      <w:pPr>
        <w:spacing w:line="215" w:lineRule="exact" w:before="0"/>
        <w:ind w:left="98" w:right="98" w:firstLine="0"/>
        <w:jc w:val="center"/>
        <w:rPr>
          <w:b/>
          <w:sz w:val="20"/>
        </w:rPr>
      </w:pPr>
      <w:r>
        <w:rPr/>
        <w:pict>
          <v:line style="position:absolute;mso-position-horizontal-relative:page;mso-position-vertical-relative:paragraph;z-index:1144;mso-wrap-distance-left:0;mso-wrap-distance-right:0" from="283.5pt,16.636425pt" to="310.5pt,16.636425pt" stroked="true" strokeweight="1pt" strokecolor="#231f20">
            <v:stroke dashstyle="solid"/>
            <w10:wrap type="topAndBottom"/>
          </v:line>
        </w:pict>
      </w:r>
      <w:r>
        <w:rPr>
          <w:b/>
          <w:color w:val="231F20"/>
          <w:sz w:val="20"/>
        </w:rPr>
        <w:t>Washington, D.C. 20549</w:t>
      </w:r>
    </w:p>
    <w:p>
      <w:pPr>
        <w:spacing w:before="75" w:after="107"/>
        <w:ind w:left="98" w:right="98" w:firstLine="0"/>
        <w:jc w:val="center"/>
        <w:rPr>
          <w:b/>
          <w:sz w:val="20"/>
        </w:rPr>
      </w:pPr>
      <w:r>
        <w:rPr>
          <w:b/>
          <w:color w:val="231F20"/>
          <w:sz w:val="20"/>
        </w:rPr>
        <w:t>FORM 10-K</w:t>
      </w:r>
    </w:p>
    <w:p>
      <w:pPr>
        <w:pStyle w:val="BodyText"/>
        <w:spacing w:line="20" w:lineRule="exact"/>
        <w:ind w:left="4400"/>
        <w:rPr>
          <w:sz w:val="2"/>
        </w:rPr>
      </w:pPr>
      <w:r>
        <w:rPr>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z w:val="2"/>
        </w:rPr>
      </w:r>
    </w:p>
    <w:p>
      <w:pPr>
        <w:spacing w:before="104"/>
        <w:ind w:left="120" w:right="0" w:firstLine="0"/>
        <w:jc w:val="left"/>
        <w:rPr>
          <w:b/>
          <w:sz w:val="20"/>
        </w:rPr>
      </w:pPr>
      <w:r>
        <w:rPr>
          <w:b/>
          <w:color w:val="231F20"/>
          <w:sz w:val="20"/>
        </w:rPr>
        <w:t>(Mark One)</w:t>
      </w:r>
    </w:p>
    <w:p>
      <w:pPr>
        <w:spacing w:line="249" w:lineRule="auto" w:before="39"/>
        <w:ind w:left="610" w:right="0"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52"/>
        <w:ind w:left="610" w:right="0" w:firstLine="0"/>
        <w:jc w:val="left"/>
        <w:rPr>
          <w:b/>
          <w:sz w:val="20"/>
        </w:rPr>
      </w:pPr>
      <w:r>
        <w:rPr>
          <w:b/>
          <w:color w:val="231F20"/>
          <w:sz w:val="20"/>
        </w:rPr>
        <w:t>For the fiscal year ended December 31, 2012</w:t>
      </w:r>
    </w:p>
    <w:p>
      <w:pPr>
        <w:spacing w:before="61"/>
        <w:ind w:left="97" w:right="98" w:firstLine="0"/>
        <w:jc w:val="center"/>
        <w:rPr>
          <w:b/>
          <w:sz w:val="20"/>
        </w:rPr>
      </w:pPr>
      <w:r>
        <w:rPr>
          <w:b/>
          <w:color w:val="231F20"/>
          <w:sz w:val="20"/>
        </w:rPr>
        <w:t>or</w:t>
      </w:r>
    </w:p>
    <w:p>
      <w:pPr>
        <w:spacing w:line="249" w:lineRule="auto" w:before="65"/>
        <w:ind w:left="610" w:right="0"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801" w:val="left" w:leader="none"/>
        </w:tabs>
        <w:spacing w:before="77"/>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47"/>
        <w:ind w:left="97" w:right="98" w:firstLine="0"/>
        <w:jc w:val="center"/>
        <w:rPr>
          <w:b/>
          <w:sz w:val="20"/>
        </w:rPr>
      </w:pPr>
      <w:r>
        <w:rPr/>
        <w:pict>
          <v:line style="position:absolute;mso-position-horizontal-relative:page;mso-position-vertical-relative:paragraph;z-index:1192;mso-wrap-distance-left:0;mso-wrap-distance-right:0" from="283.5pt,19.735926pt" to="310.5pt,19.735926pt" stroked="true" strokeweight="1pt" strokecolor="#231f20">
            <v:stroke dashstyle="solid"/>
            <w10:wrap type="topAndBottom"/>
          </v:line>
        </w:pict>
      </w:r>
      <w:r>
        <w:rPr>
          <w:b/>
          <w:color w:val="231F20"/>
          <w:sz w:val="20"/>
        </w:rPr>
        <w:t>Commission File No. 1-7259</w:t>
      </w:r>
    </w:p>
    <w:p>
      <w:pPr>
        <w:spacing w:line="525" w:lineRule="exact" w:before="54"/>
        <w:ind w:left="97" w:right="98" w:firstLine="0"/>
        <w:jc w:val="center"/>
        <w:rPr>
          <w:b/>
          <w:sz w:val="48"/>
        </w:rPr>
      </w:pPr>
      <w:r>
        <w:rPr>
          <w:b/>
          <w:color w:val="231F20"/>
          <w:sz w:val="48"/>
        </w:rPr>
        <w:t>Southwest Airlines Co.</w:t>
      </w:r>
    </w:p>
    <w:p>
      <w:pPr>
        <w:spacing w:line="157" w:lineRule="exact" w:before="0"/>
        <w:ind w:left="98" w:right="98" w:firstLine="0"/>
        <w:jc w:val="center"/>
        <w:rPr>
          <w:b/>
          <w:sz w:val="16"/>
        </w:rPr>
      </w:pPr>
      <w:r>
        <w:rPr/>
        <w:pict>
          <v:line style="position:absolute;mso-position-horizontal-relative:page;mso-position-vertical-relative:paragraph;z-index:1216;mso-wrap-distance-left:0;mso-wrap-distance-right:0" from="283.5pt,14.188684pt" to="310.5pt,14.188684pt" stroked="true" strokeweight="1pt" strokecolor="#231f20">
            <v:stroke dashstyle="solid"/>
            <w10:wrap type="topAndBottom"/>
          </v:line>
        </w:pict>
      </w:r>
      <w:r>
        <w:rPr>
          <w:b/>
          <w:color w:val="231F20"/>
          <w:sz w:val="16"/>
        </w:rPr>
        <w:t>(Exact name of registrant as specified in its charter)</w:t>
      </w:r>
    </w:p>
    <w:p>
      <w:pPr>
        <w:pStyle w:val="Heading3"/>
        <w:tabs>
          <w:tab w:pos="6475" w:val="left" w:leader="none"/>
        </w:tabs>
        <w:spacing w:before="75"/>
        <w:ind w:left="2100"/>
      </w:pPr>
      <w:r>
        <w:rPr>
          <w:color w:val="231F20"/>
        </w:rPr>
        <w:t>Texas</w:t>
        <w:tab/>
        <w:t>74-1563240</w:t>
      </w:r>
    </w:p>
    <w:p>
      <w:pPr>
        <w:spacing w:after="0"/>
        <w:sectPr>
          <w:pgSz w:w="11880" w:h="15480"/>
          <w:pgMar w:top="1140" w:bottom="280" w:left="1260" w:right="126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3"/>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260" w:right="1260"/>
          <w:cols w:num="2" w:equalWidth="0">
            <w:col w:w="3395" w:space="1632"/>
            <w:col w:w="4333"/>
          </w:cols>
        </w:sectPr>
      </w:pPr>
    </w:p>
    <w:p>
      <w:pPr>
        <w:pStyle w:val="Heading3"/>
        <w:tabs>
          <w:tab w:pos="6475" w:val="left" w:leader="none"/>
        </w:tabs>
        <w:spacing w:before="9"/>
        <w:ind w:left="1782"/>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3"/>
        <w:spacing w:before="69"/>
        <w:ind w:left="1788"/>
      </w:pPr>
      <w:r>
        <w:rPr/>
        <w:pict>
          <v:line style="position:absolute;mso-position-horizontal-relative:page;mso-position-vertical-relative:paragraph;z-index:1240;mso-wrap-distance-left:0;mso-wrap-distance-right:0" from="283.5pt,20.835926pt" to="310.5pt,20.835926pt" stroked="true" strokeweight="1pt" strokecolor="#231f20">
            <v:stroke dashstyle="solid"/>
            <w10:wrap type="topAndBottom"/>
          </v:line>
        </w:pict>
      </w:r>
      <w:r>
        <w:rPr>
          <w:color w:val="231F20"/>
        </w:rPr>
        <w:t>Registrant’s telephone number, including area code: (214) 792-4000</w:t>
      </w:r>
    </w:p>
    <w:p>
      <w:pPr>
        <w:spacing w:before="75"/>
        <w:ind w:left="98" w:right="98" w:firstLine="0"/>
        <w:jc w:val="center"/>
        <w:rPr>
          <w:b/>
          <w:sz w:val="20"/>
        </w:rPr>
      </w:pPr>
      <w:r>
        <w:rPr>
          <w:b/>
          <w:color w:val="231F20"/>
          <w:sz w:val="20"/>
        </w:rPr>
        <w:t>Securities registered pursuant to Section 12(b) of the Act:</w:t>
      </w:r>
    </w:p>
    <w:p>
      <w:pPr>
        <w:tabs>
          <w:tab w:pos="1425" w:val="left" w:leader="none"/>
          <w:tab w:pos="4459" w:val="left" w:leader="none"/>
          <w:tab w:pos="9019" w:val="left" w:leader="none"/>
        </w:tabs>
        <w:spacing w:before="60"/>
        <w:ind w:left="0" w:right="98" w:firstLine="0"/>
        <w:jc w:val="center"/>
        <w:rPr>
          <w:b/>
          <w:sz w:val="20"/>
        </w:rPr>
      </w:pPr>
      <w:r>
        <w:rPr>
          <w:b/>
          <w:color w:val="231F20"/>
          <w:sz w:val="20"/>
          <w:u w:val="single" w:color="231F20"/>
        </w:rPr>
        <w:t> </w:t>
        <w:tab/>
        <w:t>Title of</w:t>
      </w:r>
      <w:r>
        <w:rPr>
          <w:b/>
          <w:color w:val="231F20"/>
          <w:spacing w:val="1"/>
          <w:sz w:val="20"/>
          <w:u w:val="single" w:color="231F20"/>
        </w:rPr>
        <w:t> </w:t>
      </w:r>
      <w:r>
        <w:rPr>
          <w:b/>
          <w:color w:val="231F20"/>
          <w:sz w:val="20"/>
          <w:u w:val="single" w:color="231F20"/>
        </w:rPr>
        <w:t>Each</w:t>
      </w:r>
      <w:r>
        <w:rPr>
          <w:b/>
          <w:color w:val="231F20"/>
          <w:spacing w:val="-1"/>
          <w:sz w:val="20"/>
          <w:u w:val="single" w:color="231F20"/>
        </w:rPr>
        <w:t> </w:t>
      </w:r>
      <w:r>
        <w:rPr>
          <w:b/>
          <w:color w:val="231F20"/>
          <w:sz w:val="20"/>
          <w:u w:val="single" w:color="231F20"/>
        </w:rPr>
        <w:t>Class</w:t>
        <w:tab/>
        <w:t>Name of Each Exchange on Which</w:t>
      </w:r>
      <w:r>
        <w:rPr>
          <w:b/>
          <w:color w:val="231F20"/>
          <w:spacing w:val="-3"/>
          <w:sz w:val="20"/>
          <w:u w:val="single" w:color="231F20"/>
        </w:rPr>
        <w:t> </w:t>
      </w:r>
      <w:r>
        <w:rPr>
          <w:b/>
          <w:color w:val="231F20"/>
          <w:sz w:val="20"/>
          <w:u w:val="single" w:color="231F20"/>
        </w:rPr>
        <w:t>Registered</w:t>
        <w:tab/>
      </w:r>
    </w:p>
    <w:p>
      <w:pPr>
        <w:pStyle w:val="BodyText"/>
        <w:tabs>
          <w:tab w:pos="4855" w:val="left" w:leader="none"/>
        </w:tabs>
        <w:spacing w:before="69"/>
        <w:ind w:right="295"/>
        <w:jc w:val="center"/>
      </w:pPr>
      <w:r>
        <w:rPr>
          <w:color w:val="231F20"/>
        </w:rPr>
        <w:t>Common Stock ($1.00 par value)</w:t>
        <w:tab/>
        <w:t>New York Stock</w:t>
      </w:r>
      <w:r>
        <w:rPr>
          <w:color w:val="231F20"/>
          <w:spacing w:val="-1"/>
        </w:rPr>
        <w:t> </w:t>
      </w:r>
      <w:r>
        <w:rPr>
          <w:color w:val="231F20"/>
        </w:rPr>
        <w:t>Exchange</w:t>
      </w:r>
    </w:p>
    <w:p>
      <w:pPr>
        <w:pStyle w:val="Heading3"/>
        <w:spacing w:line="249" w:lineRule="auto" w:before="60"/>
        <w:ind w:left="2210" w:right="2209"/>
        <w:jc w:val="center"/>
      </w:pPr>
      <w:r>
        <w:rPr>
          <w:color w:val="231F20"/>
        </w:rPr>
        <w:t>Securities registered pursuant to Section 12(g) of the Act: None</w:t>
      </w:r>
    </w:p>
    <w:p>
      <w:pPr>
        <w:spacing w:line="283" w:lineRule="auto" w:before="6"/>
        <w:ind w:left="486" w:right="222" w:firstLine="0"/>
        <w:jc w:val="left"/>
        <w:rPr>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 </w:t>
      </w: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 </w:t>
      </w:r>
      <w:r>
        <w:rPr>
          <w:color w:val="231F20"/>
          <w:sz w:val="15"/>
        </w:rPr>
        <w:t>Indicate by check mark whether the registrant (1) has filed all reports required to be filed by Section 13 or 15(d) of the Securities Exchange Act</w:t>
      </w:r>
    </w:p>
    <w:p>
      <w:pPr>
        <w:spacing w:line="160" w:lineRule="exact" w:before="0"/>
        <w:ind w:left="119" w:right="0" w:firstLine="0"/>
        <w:jc w:val="left"/>
        <w:rPr>
          <w:sz w:val="15"/>
        </w:rPr>
      </w:pPr>
      <w:r>
        <w:rPr>
          <w:color w:val="231F20"/>
          <w:sz w:val="15"/>
        </w:rPr>
        <w:t>of 1934 during the preceding 12 months (or for such shorter period that the registrant was required to file such reports), and (2) has been subject to</w:t>
      </w:r>
    </w:p>
    <w:p>
      <w:pPr>
        <w:spacing w:before="1"/>
        <w:ind w:left="119" w:right="0" w:firstLine="0"/>
        <w:jc w:val="left"/>
        <w:rPr>
          <w:rFonts w:ascii="39251" w:hAnsi="39251"/>
          <w:sz w:val="15"/>
        </w:rPr>
      </w:pPr>
      <w:r>
        <w:rPr>
          <w:color w:val="231F20"/>
          <w:sz w:val="15"/>
        </w:rPr>
        <w:t>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42"/>
        <w:ind w:left="119" w:right="115" w:firstLine="367"/>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33"/>
        <w:ind w:left="119" w:right="222" w:firstLine="367"/>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line="264" w:lineRule="auto" w:before="33"/>
        <w:ind w:left="119" w:right="0" w:firstLine="367"/>
        <w:jc w:val="left"/>
        <w:rPr>
          <w:sz w:val="15"/>
        </w:rPr>
      </w:pPr>
      <w:r>
        <w:rPr>
          <w:color w:val="231F20"/>
          <w:sz w:val="15"/>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9"/>
        <w:ind w:left="281" w:right="98"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w:t>
      </w:r>
      <w:r>
        <w:rPr>
          <w:rFonts w:ascii="39251" w:hAnsi="39251"/>
          <w:color w:val="231F20"/>
          <w:spacing w:val="-105"/>
          <w:sz w:val="15"/>
        </w:rPr>
        <w:t> </w:t>
      </w:r>
      <w:r>
        <w:rPr>
          <w:color w:val="231F20"/>
          <w:sz w:val="15"/>
        </w:rPr>
        <w:t>Smaller reporting company   </w:t>
      </w:r>
      <w:r>
        <w:rPr>
          <w:rFonts w:ascii="39251" w:hAnsi="39251"/>
          <w:color w:val="231F20"/>
          <w:sz w:val="15"/>
        </w:rPr>
        <w:t>‘</w:t>
      </w:r>
    </w:p>
    <w:p>
      <w:pPr>
        <w:spacing w:before="26"/>
        <w:ind w:left="486"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68"/>
        <w:ind w:left="119" w:right="222" w:firstLine="367"/>
        <w:jc w:val="left"/>
        <w:rPr>
          <w:sz w:val="15"/>
        </w:rPr>
      </w:pPr>
      <w:r>
        <w:rPr>
          <w:color w:val="231F20"/>
          <w:sz w:val="15"/>
        </w:rPr>
        <w:t>The aggregate market value of the common stock held by non-affiliates of the registrant was approximately $6,841,926,245 computed by reference to the closing sale price of the common stock on the New York Stock Exchange on June 29, 2012, the last trading day of the registrant’s most recently completed second fiscal quarter.</w:t>
      </w:r>
    </w:p>
    <w:p>
      <w:pPr>
        <w:spacing w:before="51"/>
        <w:ind w:left="486" w:right="0" w:firstLine="0"/>
        <w:jc w:val="left"/>
        <w:rPr>
          <w:sz w:val="15"/>
        </w:rPr>
      </w:pPr>
      <w:r>
        <w:rPr>
          <w:color w:val="231F20"/>
          <w:sz w:val="15"/>
        </w:rPr>
        <w:t>Number of shares of common stock outstanding as of the close of business on February 4, 2013: 728,096,579 shares</w:t>
      </w:r>
    </w:p>
    <w:p>
      <w:pPr>
        <w:pStyle w:val="BodyText"/>
        <w:spacing w:before="10"/>
        <w:rPr>
          <w:sz w:val="14"/>
        </w:rPr>
      </w:pPr>
    </w:p>
    <w:p>
      <w:pPr>
        <w:spacing w:before="0"/>
        <w:ind w:left="99" w:right="98" w:firstLine="0"/>
        <w:jc w:val="center"/>
        <w:rPr>
          <w:b/>
          <w:sz w:val="15"/>
        </w:rPr>
      </w:pPr>
      <w:r>
        <w:rPr>
          <w:b/>
          <w:color w:val="231F20"/>
          <w:sz w:val="15"/>
        </w:rPr>
        <w:t>DOCUMENTS INCORPORATED BY REFERENCE</w:t>
      </w:r>
    </w:p>
    <w:p>
      <w:pPr>
        <w:spacing w:line="264" w:lineRule="auto" w:before="68"/>
        <w:ind w:left="119" w:right="222" w:firstLine="367"/>
        <w:jc w:val="left"/>
        <w:rPr>
          <w:sz w:val="15"/>
        </w:rPr>
      </w:pPr>
      <w:r>
        <w:rPr>
          <w:color w:val="231F20"/>
          <w:sz w:val="15"/>
        </w:rPr>
        <w:t>Portions of the Definitive Proxy Statement for the Company’s Annual Meeting of Shareholders to be held May 15, 2013, are incorporated into Part III of this Annual Report on Form 10-K.</w:t>
      </w:r>
    </w:p>
    <w:p>
      <w:pPr>
        <w:pStyle w:val="BodyText"/>
        <w:spacing w:line="70" w:lineRule="exact"/>
        <w:ind w:left="115"/>
        <w:rPr>
          <w:sz w:val="7"/>
        </w:rPr>
      </w:pPr>
      <w:r>
        <w:rPr>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position w:val="0"/>
          <w:sz w:val="7"/>
        </w:rPr>
      </w:r>
    </w:p>
    <w:p>
      <w:pPr>
        <w:spacing w:after="0" w:line="70" w:lineRule="exact"/>
        <w:rPr>
          <w:sz w:val="7"/>
        </w:rPr>
        <w:sectPr>
          <w:type w:val="continuous"/>
          <w:pgSz w:w="11880" w:h="15480"/>
          <w:pgMar w:top="1200" w:bottom="280" w:left="1260" w:right="1260"/>
        </w:sectPr>
      </w:pPr>
    </w:p>
    <w:p>
      <w:pPr>
        <w:pStyle w:val="BodyText"/>
        <w:spacing w:before="4"/>
        <w:rPr>
          <w:sz w:val="17"/>
        </w:rPr>
      </w:pPr>
    </w:p>
    <w:p>
      <w:pPr>
        <w:spacing w:after="0"/>
        <w:rPr>
          <w:sz w:val="17"/>
        </w:rPr>
        <w:sectPr>
          <w:pgSz w:w="11880" w:h="15480"/>
          <w:pgMar w:top="1460" w:bottom="280" w:left="1680" w:right="1680"/>
        </w:sectPr>
      </w:pPr>
    </w:p>
    <w:p>
      <w:pPr>
        <w:pStyle w:val="Heading3"/>
        <w:spacing w:before="73"/>
        <w:ind w:left="1311" w:right="1326"/>
        <w:jc w:val="center"/>
      </w:pPr>
      <w:bookmarkStart w:name="TABLE OF CONTENTS" w:id="1"/>
      <w:bookmarkEnd w:id="1"/>
      <w:r>
        <w:rPr>
          <w:b w:val="0"/>
        </w:rPr>
      </w:r>
      <w:r>
        <w:rPr>
          <w:color w:val="231F20"/>
        </w:rPr>
        <w:t>TABLE OF CONTENTS</w:t>
      </w:r>
    </w:p>
    <w:p>
      <w:pPr>
        <w:pStyle w:val="BodyText"/>
        <w:spacing w:before="8"/>
        <w:rPr>
          <w:b/>
          <w:sz w:val="21"/>
        </w:rPr>
      </w:pPr>
    </w:p>
    <w:p>
      <w:pPr>
        <w:spacing w:before="0"/>
        <w:ind w:left="1311" w:right="921"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49"/>
          </w:pPr>
          <w:r>
            <w:rPr>
              <w:color w:val="231F20"/>
            </w:rPr>
            <w:t>Item</w:t>
          </w:r>
          <w:r>
            <w:rPr>
              <w:color w:val="231F20"/>
              <w:spacing w:val="1"/>
            </w:rPr>
            <w:t> </w:t>
          </w:r>
          <w:r>
            <w:rPr>
              <w:color w:val="231F20"/>
            </w:rPr>
            <w:t>1.</w:t>
            <w:tab/>
            <w:t>Business</w:t>
            <w:tab/>
            <w:t>1</w:t>
          </w:r>
        </w:p>
        <w:p>
          <w:pPr>
            <w:pStyle w:val="TOC1"/>
            <w:tabs>
              <w:tab w:pos="9219" w:val="right" w:leader="dot"/>
            </w:tabs>
            <w:spacing w:before="49"/>
          </w:pPr>
          <w:r>
            <w:rPr>
              <w:color w:val="231F20"/>
            </w:rPr>
            <w:t>Item 1A.    Risk Factors</w:t>
            <w:tab/>
            <w:t>24</w:t>
          </w:r>
        </w:p>
        <w:p>
          <w:pPr>
            <w:pStyle w:val="TOC1"/>
            <w:tabs>
              <w:tab w:pos="1011" w:val="left" w:leader="none"/>
              <w:tab w:pos="9219" w:val="right" w:leader="dot"/>
            </w:tabs>
            <w:spacing w:before="49"/>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2.</w:t>
            <w:tab/>
            <w:t>Properties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3.</w:t>
            <w:tab/>
            <w:t>Legal Proceedings</w:t>
            <w:tab/>
            <w:t>36</w:t>
          </w:r>
        </w:p>
        <w:p>
          <w:pPr>
            <w:pStyle w:val="TOC1"/>
            <w:tabs>
              <w:tab w:pos="1011" w:val="left" w:leader="none"/>
              <w:tab w:pos="9219" w:val="right" w:leader="dot"/>
            </w:tabs>
            <w:spacing w:before="49"/>
          </w:pPr>
          <w:r>
            <w:rPr>
              <w:color w:val="231F20"/>
            </w:rPr>
            <w:t>Item</w:t>
          </w:r>
          <w:r>
            <w:rPr>
              <w:color w:val="231F20"/>
              <w:spacing w:val="1"/>
            </w:rPr>
            <w:t> </w:t>
          </w:r>
          <w:r>
            <w:rPr>
              <w:color w:val="231F20"/>
            </w:rPr>
            <w:t>4.</w:t>
            <w:tab/>
            <w:t>Mine Safety</w:t>
          </w:r>
          <w:r>
            <w:rPr>
              <w:color w:val="231F20"/>
              <w:spacing w:val="1"/>
            </w:rPr>
            <w:t> </w:t>
          </w:r>
          <w:r>
            <w:rPr>
              <w:color w:val="231F20"/>
            </w:rPr>
            <w:t>Disclosures</w:t>
            <w:tab/>
            <w:t>37</w:t>
          </w:r>
        </w:p>
        <w:p>
          <w:pPr>
            <w:pStyle w:val="TOC3"/>
            <w:spacing w:before="129"/>
          </w:pPr>
          <w:hyperlink w:history="true" w:anchor="_TOC_250015">
            <w:r>
              <w:rPr>
                <w:color w:val="231F20"/>
              </w:rPr>
              <w:t>PART II</w:t>
            </w:r>
          </w:hyperlink>
        </w:p>
        <w:p>
          <w:pPr>
            <w:pStyle w:val="TOC1"/>
            <w:tabs>
              <w:tab w:pos="1011" w:val="left" w:leader="none"/>
              <w:tab w:pos="9219" w:val="right" w:leader="dot"/>
            </w:tabs>
            <w:spacing w:line="249" w:lineRule="auto" w:before="49"/>
            <w:ind w:left="1012" w:right="119" w:hanging="912"/>
          </w:pPr>
          <w:hyperlink w:history="true" w:anchor="_TOC_250014">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pPr>
          <w:hyperlink w:history="true" w:anchor="_TOC_250013">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2"/>
            <w:tabs>
              <w:tab w:pos="9219" w:val="right" w:leader="dot"/>
            </w:tabs>
          </w:pPr>
          <w:hyperlink w:history="true" w:anchor="_TOC_250012">
            <w:r>
              <w:rPr>
                <w:color w:val="231F20"/>
              </w:rPr>
              <w:t>Liquidity and</w:t>
            </w:r>
            <w:r>
              <w:rPr>
                <w:color w:val="231F20"/>
                <w:spacing w:val="1"/>
              </w:rPr>
              <w:t> </w:t>
            </w:r>
            <w:r>
              <w:rPr>
                <w:color w:val="231F20"/>
              </w:rPr>
              <w:t>Capital</w:t>
            </w:r>
            <w:r>
              <w:rPr>
                <w:color w:val="231F20"/>
                <w:spacing w:val="1"/>
              </w:rPr>
              <w:t> </w:t>
            </w:r>
            <w:r>
              <w:rPr>
                <w:color w:val="231F20"/>
              </w:rPr>
              <w:t>Resources</w:t>
              <w:tab/>
              <w:t>60</w:t>
            </w:r>
          </w:hyperlink>
        </w:p>
        <w:p>
          <w:pPr>
            <w:pStyle w:val="TOC2"/>
            <w:tabs>
              <w:tab w:pos="9219" w:val="right" w:leader="dot"/>
            </w:tabs>
            <w:spacing w:line="249" w:lineRule="auto"/>
            <w:ind w:right="119"/>
          </w:pPr>
          <w:hyperlink w:history="true" w:anchor="_TOC_250011">
            <w:r>
              <w:rPr>
                <w:color w:val="231F20"/>
              </w:rPr>
              <w:t>Off-Balance Sheet Arrangements, Contractual Obligations, and Contingent Liabilities and Commitments</w:t>
              <w:tab/>
              <w:t>61</w:t>
            </w:r>
          </w:hyperlink>
        </w:p>
        <w:p>
          <w:pPr>
            <w:pStyle w:val="TOC2"/>
            <w:tabs>
              <w:tab w:pos="9219" w:val="right" w:leader="dot"/>
            </w:tabs>
            <w:spacing w:before="41"/>
          </w:pPr>
          <w:hyperlink w:history="true" w:anchor="_TOC_250010">
            <w:r>
              <w:rPr>
                <w:color w:val="231F20"/>
              </w:rPr>
              <w:t>Critical Accounting Policies</w:t>
            </w:r>
            <w:r>
              <w:rPr>
                <w:color w:val="231F20"/>
                <w:spacing w:val="3"/>
              </w:rPr>
              <w:t> </w:t>
            </w:r>
            <w:r>
              <w:rPr>
                <w:color w:val="231F20"/>
              </w:rPr>
              <w:t>and Estimates</w:t>
              <w:tab/>
              <w:t>63</w:t>
            </w:r>
          </w:hyperlink>
        </w:p>
        <w:p>
          <w:pPr>
            <w:pStyle w:val="TOC1"/>
            <w:tabs>
              <w:tab w:pos="9219" w:val="right" w:leader="dot"/>
            </w:tabs>
          </w:pPr>
          <w:hyperlink w:history="true" w:anchor="_TOC_250009">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71</w:t>
            </w:r>
          </w:hyperlink>
        </w:p>
        <w:p>
          <w:pPr>
            <w:pStyle w:val="TOC1"/>
            <w:tabs>
              <w:tab w:pos="1011" w:val="left" w:leader="none"/>
              <w:tab w:pos="9219" w:val="right" w:leader="dot"/>
            </w:tabs>
          </w:pPr>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75</w:t>
          </w:r>
        </w:p>
        <w:p>
          <w:pPr>
            <w:pStyle w:val="TOC2"/>
            <w:tabs>
              <w:tab w:pos="9219" w:val="right" w:leader="dot"/>
            </w:tabs>
          </w:pPr>
          <w:r>
            <w:rPr>
              <w:color w:val="231F20"/>
            </w:rPr>
            <w:t>Southwest Airlines Co. Consolidated</w:t>
          </w:r>
          <w:r>
            <w:rPr>
              <w:color w:val="231F20"/>
              <w:spacing w:val="1"/>
            </w:rPr>
            <w:t> </w:t>
          </w:r>
          <w:r>
            <w:rPr>
              <w:color w:val="231F20"/>
            </w:rPr>
            <w:t>Balance Sheet</w:t>
            <w:tab/>
            <w:t>75</w:t>
          </w:r>
        </w:p>
        <w:p>
          <w:pPr>
            <w:pStyle w:val="TOC2"/>
            <w:tabs>
              <w:tab w:pos="9219" w:val="right" w:leader="dot"/>
            </w:tabs>
          </w:pPr>
          <w:r>
            <w:rPr>
              <w:color w:val="231F20"/>
            </w:rPr>
            <w:t>Southwest Airlines Co. Consolidated Statement</w:t>
          </w:r>
          <w:r>
            <w:rPr>
              <w:color w:val="231F20"/>
              <w:spacing w:val="3"/>
            </w:rPr>
            <w:t> </w:t>
          </w:r>
          <w:r>
            <w:rPr>
              <w:color w:val="231F20"/>
            </w:rPr>
            <w:t>of Income</w:t>
            <w:tab/>
            <w:t>76</w:t>
          </w:r>
        </w:p>
        <w:p>
          <w:pPr>
            <w:pStyle w:val="TOC2"/>
            <w:tabs>
              <w:tab w:pos="9219" w:val="right" w:leader="dot"/>
            </w:tabs>
          </w:pPr>
          <w:hyperlink w:history="true" w:anchor="_TOC_250008">
            <w:r>
              <w:rPr>
                <w:color w:val="231F20"/>
              </w:rPr>
              <w:t>Southwest Airlines Co. Consolidated Statement of</w:t>
            </w:r>
            <w:r>
              <w:rPr>
                <w:color w:val="231F20"/>
                <w:spacing w:val="3"/>
              </w:rPr>
              <w:t> </w:t>
            </w:r>
            <w:r>
              <w:rPr>
                <w:color w:val="231F20"/>
              </w:rPr>
              <w:t>Comprehensive</w:t>
            </w:r>
            <w:r>
              <w:rPr>
                <w:color w:val="231F20"/>
                <w:spacing w:val="1"/>
              </w:rPr>
              <w:t> </w:t>
            </w:r>
            <w:r>
              <w:rPr>
                <w:color w:val="231F20"/>
              </w:rPr>
              <w:t>Income</w:t>
              <w:tab/>
              <w:t>77</w:t>
            </w:r>
          </w:hyperlink>
        </w:p>
        <w:p>
          <w:pPr>
            <w:pStyle w:val="TOC2"/>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78</w:t>
          </w:r>
        </w:p>
        <w:p>
          <w:pPr>
            <w:pStyle w:val="TOC2"/>
            <w:tabs>
              <w:tab w:pos="9219" w:val="right" w:leader="dot"/>
            </w:tabs>
          </w:pPr>
          <w:r>
            <w:rPr>
              <w:color w:val="231F20"/>
            </w:rPr>
            <w:t>Southwest Airlines Co. Consolidated Statement of</w:t>
          </w:r>
          <w:r>
            <w:rPr>
              <w:color w:val="231F20"/>
              <w:spacing w:val="3"/>
            </w:rPr>
            <w:t> </w:t>
          </w:r>
          <w:r>
            <w:rPr>
              <w:color w:val="231F20"/>
            </w:rPr>
            <w:t>Cash Flows</w:t>
            <w:tab/>
            <w:t>79</w:t>
          </w:r>
        </w:p>
        <w:p>
          <w:pPr>
            <w:pStyle w:val="TOC2"/>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80</w:t>
          </w:r>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121</w:t>
            </w:r>
          </w:hyperlink>
        </w:p>
        <w:p>
          <w:pPr>
            <w:pStyle w:val="TOC1"/>
            <w:tabs>
              <w:tab w:pos="9219" w:val="right" w:leader="dot"/>
            </w:tabs>
          </w:pPr>
          <w:r>
            <w:rPr>
              <w:color w:val="231F20"/>
            </w:rPr>
            <w:t>Item 9A.    Controls</w:t>
          </w:r>
          <w:r>
            <w:rPr>
              <w:color w:val="231F20"/>
              <w:spacing w:val="1"/>
            </w:rPr>
            <w:t> </w:t>
          </w:r>
          <w:r>
            <w:rPr>
              <w:color w:val="231F20"/>
            </w:rPr>
            <w:t>and Procedures</w:t>
            <w:tab/>
            <w:t>121</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121</w:t>
          </w:r>
        </w:p>
        <w:p>
          <w:pPr>
            <w:pStyle w:val="TOC3"/>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123</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123</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2"/>
            <w:tabs>
              <w:tab w:pos="9219" w:val="right" w:leader="dot"/>
            </w:tabs>
            <w:spacing w:before="10"/>
          </w:pPr>
          <w:r>
            <w:rPr>
              <w:color w:val="231F20"/>
            </w:rPr>
            <w:t>Matters</w:t>
            <w:tab/>
            <w:t>123</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124</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124</w:t>
            </w:r>
          </w:hyperlink>
        </w:p>
        <w:p>
          <w:pPr>
            <w:pStyle w:val="TOC3"/>
            <w:ind w:right="920"/>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125</w:t>
            </w:r>
          </w:hyperlink>
        </w:p>
        <w:p>
          <w:pPr>
            <w:pStyle w:val="TOC1"/>
            <w:tabs>
              <w:tab w:pos="9219" w:val="right" w:leader="dot"/>
            </w:tabs>
          </w:pPr>
          <w:hyperlink w:history="true" w:anchor="_TOC_250000">
            <w:r>
              <w:rPr>
                <w:color w:val="231F20"/>
              </w:rPr>
              <w:t>Signatures</w:t>
              <w:tab/>
              <w:t>130</w:t>
            </w:r>
          </w:hyperlink>
        </w:p>
      </w:sdtContent>
    </w:sdt>
    <w:p>
      <w:pPr>
        <w:spacing w:after="0"/>
        <w:sectPr>
          <w:pgSz w:w="11880" w:h="15480"/>
          <w:pgMar w:top="1240" w:bottom="280" w:left="1280" w:right="1260"/>
        </w:sectPr>
      </w:pPr>
    </w:p>
    <w:p>
      <w:pPr>
        <w:pStyle w:val="BodyText"/>
        <w:spacing w:before="4"/>
        <w:rPr>
          <w:sz w:val="17"/>
        </w:rPr>
      </w:pPr>
    </w:p>
    <w:p>
      <w:pPr>
        <w:spacing w:after="0"/>
        <w:rPr>
          <w:sz w:val="17"/>
        </w:rPr>
        <w:sectPr>
          <w:pgSz w:w="11880" w:h="15480"/>
          <w:pgMar w:top="1460" w:bottom="280" w:left="1680" w:right="1680"/>
        </w:sectPr>
      </w:pPr>
    </w:p>
    <w:p>
      <w:pPr>
        <w:spacing w:before="73"/>
        <w:ind w:left="2021" w:right="1943" w:firstLine="0"/>
        <w:jc w:val="center"/>
        <w:rPr>
          <w:b/>
          <w:sz w:val="20"/>
        </w:rPr>
      </w:pPr>
      <w:bookmarkStart w:name="PART I" w:id="2"/>
      <w:bookmarkEnd w:id="2"/>
      <w:r>
        <w:rPr/>
      </w:r>
      <w:r>
        <w:rPr>
          <w:b/>
          <w:color w:val="231F20"/>
          <w:sz w:val="20"/>
        </w:rPr>
        <w:t>PART I</w:t>
      </w:r>
    </w:p>
    <w:p>
      <w:pPr>
        <w:tabs>
          <w:tab w:pos="1199" w:val="left" w:leader="none"/>
        </w:tabs>
        <w:spacing w:before="189"/>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3"/>
        <w:spacing w:before="189"/>
        <w:ind w:left="119"/>
      </w:pPr>
      <w:r>
        <w:rPr>
          <w:color w:val="231F20"/>
        </w:rPr>
        <w:t>Company Overview</w:t>
      </w:r>
    </w:p>
    <w:p>
      <w:pPr>
        <w:pStyle w:val="BodyText"/>
        <w:spacing w:before="8"/>
        <w:rPr>
          <w:b/>
          <w:sz w:val="8"/>
        </w:rPr>
      </w:pPr>
    </w:p>
    <w:p>
      <w:pPr>
        <w:pStyle w:val="BodyText"/>
        <w:spacing w:line="249" w:lineRule="auto" w:before="89"/>
        <w:ind w:left="119" w:right="108" w:firstLine="490"/>
      </w:pPr>
      <w:r>
        <w:rPr>
          <w:color w:val="231F20"/>
        </w:rPr>
        <w:t>Southwest Airlines Co. (the “Company”) operates Southwest Airlines (“Southwest”) and AirTran Airways (“AirTran”), major passenger airlines that provide scheduled air transportation in the United States and near- international markets. For the 40</w:t>
      </w:r>
      <w:r>
        <w:rPr>
          <w:color w:val="231F20"/>
          <w:position w:val="5"/>
          <w:sz w:val="13"/>
        </w:rPr>
        <w:t>th </w:t>
      </w:r>
      <w:r>
        <w:rPr>
          <w:color w:val="231F20"/>
        </w:rPr>
        <w:t>consecutive year, the Company was profitable, earning $421 million in net income.</w:t>
      </w:r>
    </w:p>
    <w:p>
      <w:pPr>
        <w:pStyle w:val="BodyText"/>
        <w:spacing w:line="249" w:lineRule="auto" w:before="180"/>
        <w:ind w:left="120" w:right="119" w:firstLine="490"/>
      </w:pPr>
      <w:r>
        <w:rPr>
          <w:color w:val="231F20"/>
        </w:rPr>
        <w:t>Southwest commenced service on June 18, 1971, with three Boeing 737 aircraft serving three Texas cities: Dallas, Houston, and San Antonio. Including the operations of both Southwest and AirTran, the Company ended 2012 serving 97 destinations in 41 states, the District of Columbia, the Commonwealth of Puerto Rico, and six near-international countries including Mexico (Cancun, Mexico City, and Cabo San Lucas), Jamaica (Montego Bay), The Bahamas (Nassau), Aruba (Oranjestad), Dominican Republic (Punta Cana), and Bermuda. At December 31, 2012, the total fleet operated by Southwest and AirTran combined consisted of 694 aircraft, including 606 Boeing 737s and 88 Boeing 717s.</w:t>
      </w:r>
    </w:p>
    <w:p>
      <w:pPr>
        <w:pStyle w:val="BodyText"/>
        <w:spacing w:line="249" w:lineRule="auto" w:before="180"/>
        <w:ind w:left="120" w:right="318" w:firstLine="490"/>
      </w:pPr>
      <w:r>
        <w:rPr>
          <w:color w:val="231F20"/>
        </w:rPr>
        <w:t>In 2012 Southwest added service to two new states (Georgia and Iowa) and six new airports: Hartsfield- Jackson Atlanta International Airport; Akron-Canton Regional Airport; Dayton International Airport;</w:t>
      </w:r>
    </w:p>
    <w:p>
      <w:pPr>
        <w:pStyle w:val="BodyText"/>
        <w:spacing w:line="249" w:lineRule="auto"/>
        <w:ind w:left="120" w:right="147"/>
      </w:pPr>
      <w:r>
        <w:rPr>
          <w:color w:val="231F20"/>
        </w:rPr>
        <w:t>Des Moines International Airport; Key West International Airport; and Ronald Reagan Washington National Airport. During 2012, AirTran added new destinations, Mexico City and Cabo San Lucas, and new international service from Denver, Colorado; Chicago, Illinois; Austin, Texas; San Antonio, Texas; and Orange County, California.</w:t>
      </w:r>
    </w:p>
    <w:p>
      <w:pPr>
        <w:pStyle w:val="BodyText"/>
        <w:spacing w:line="249" w:lineRule="auto" w:before="180"/>
        <w:ind w:left="120" w:right="263" w:firstLine="490"/>
      </w:pPr>
      <w:r>
        <w:rPr>
          <w:color w:val="231F20"/>
        </w:rPr>
        <w:t>The Company has also announced its plans to expand Southwest service to two new states (Maine and Kansas) and seven new U.S. cities in 2013, including Branson, Missouri; Charlotte, North Carolina; Flint, Michigan; Rochester, New York; Portland, Maine; Wichita, Kansas; and Grand Rapids, Michigan. In addition, Southwest has announced plans to commence service in April 2013 to San Juan, Puerto Rico, Southwest’s first service outside of the continental United States. Based on the most recent data available from the</w:t>
      </w:r>
    </w:p>
    <w:p>
      <w:pPr>
        <w:pStyle w:val="BodyText"/>
        <w:spacing w:line="249" w:lineRule="auto"/>
        <w:ind w:left="120" w:right="225"/>
      </w:pPr>
      <w:r>
        <w:rPr>
          <w:color w:val="231F20"/>
        </w:rPr>
        <w:t>U.S. Department of Transportation, as of September 30, 2012, Southwest was the largest domestic air carrier in the United States, as measured by the number of domestic originating passengers boarded.</w:t>
      </w:r>
    </w:p>
    <w:p>
      <w:pPr>
        <w:pStyle w:val="BodyText"/>
        <w:spacing w:line="249" w:lineRule="auto" w:before="180"/>
        <w:ind w:left="120" w:right="112" w:firstLine="40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 AirTran principally provides hub-and- spoke, rather than point-to-point, service, with approximately half of AirTran’s flights currently originating or terminating at its largest base of operation in Atlanta, Georgia. AirTran also serves a number of markets with non-stop service from smaller bases of operation in Baltimore, Maryland; Milwaukee, Wisconsin; and Orlando, Florida. Hub-and-spoke service is discussed in more detail below under “Company Operations — Route Structure.”</w:t>
      </w:r>
    </w:p>
    <w:p>
      <w:pPr>
        <w:pStyle w:val="Heading3"/>
        <w:spacing w:before="180"/>
        <w:ind w:left="120"/>
      </w:pPr>
      <w:r>
        <w:rPr>
          <w:color w:val="231F20"/>
        </w:rPr>
        <w:t>Industry</w:t>
      </w:r>
    </w:p>
    <w:p>
      <w:pPr>
        <w:pStyle w:val="BodyText"/>
        <w:spacing w:line="249" w:lineRule="auto" w:before="189"/>
        <w:ind w:left="120" w:right="119" w:firstLine="490"/>
      </w:pPr>
      <w:r>
        <w:rPr>
          <w:color w:val="231F20"/>
        </w:rPr>
        <w:t>The airline industry is extremely volatile and is subject to various challenges. Among other things, it is cyclical, energy intensive, labor intensive, capital intensive, technology intensive, highly regulated, heavily taxed, and extremely competitive. The airline industry is also particularly susceptible to detrimental events such as acts of terrorism, poor weather, and natural disasters. From 2001 through 2011 total financial losses for the</w:t>
      </w:r>
    </w:p>
    <w:p>
      <w:pPr>
        <w:pStyle w:val="BodyText"/>
        <w:spacing w:line="249" w:lineRule="auto"/>
        <w:ind w:left="120" w:right="147"/>
      </w:pPr>
      <w:r>
        <w:rPr>
          <w:color w:val="231F20"/>
        </w:rPr>
        <w:t>U.S. airline industry exceeded $50 billion. These losses were driven by factors such as 9/11, the worst economic recession in aviation history, and a worldwide credit crisis. In addition, in recent years the industry has been particularly negatively affected by an uncertain economy and high and volatile fuel prices. These factors have</w:t>
      </w:r>
    </w:p>
    <w:p>
      <w:pPr>
        <w:spacing w:after="0" w:line="249" w:lineRule="auto"/>
        <w:sectPr>
          <w:pgSz w:w="11880" w:h="15480"/>
          <w:pgMar w:top="1240" w:bottom="280" w:left="1260" w:right="1340"/>
        </w:sectPr>
      </w:pPr>
    </w:p>
    <w:p>
      <w:pPr>
        <w:pStyle w:val="BodyText"/>
        <w:spacing w:line="249" w:lineRule="auto" w:before="73"/>
        <w:ind w:left="100" w:right="101"/>
      </w:pPr>
      <w:r>
        <w:rPr>
          <w:color w:val="231F20"/>
        </w:rPr>
        <w:t>contributed to volatile and unpredictable demand for air travel and related cost and pricing challenges. Passenger demand in the airline industry’s shorthaul markets, in particular, has been negatively affected by higher fares associated with high fuel prices. Fuel costs alone have risen over 400 percent from 2002 levels. As a result, several U.S. airlines have ceased operations or reorganized through bankruptcy.</w:t>
      </w:r>
    </w:p>
    <w:p>
      <w:pPr>
        <w:pStyle w:val="BodyText"/>
        <w:spacing w:line="249" w:lineRule="auto" w:before="181"/>
        <w:ind w:left="100" w:right="126" w:firstLine="490"/>
      </w:pPr>
      <w:r>
        <w:rPr>
          <w:color w:val="231F20"/>
        </w:rPr>
        <w:t>Although the U.S. economy has experienced a moderate recovery since emerging from recession in 2009, and the U.S. airline industry showed moderate improvement during 2012, economic uncertainty continued to impact the airline industry in 2012, which resulted in continued industry restraint with respect to overall capacity (number of available seats). Although some U.S. air carriers experienced year-over-year increases in capacity during 2012, most large major U.S. air carriers experienced relatively flat or slightly reduced capacity in 2012 compared to 2011. In addition, overall domestic airline industry capacity in 2012 was relatively flat compared to 2011 and remained below pre-recession levels. The leaner flight schedules over the past several years, along with continued industry consolidation, have led to improvements in industry load factors (percentage of seats filled by fare-paying passengers) and yields (revenue production per passenger mile).</w:t>
      </w:r>
    </w:p>
    <w:p>
      <w:pPr>
        <w:pStyle w:val="Heading3"/>
        <w:spacing w:line="439" w:lineRule="auto" w:before="181"/>
        <w:ind w:right="7379"/>
        <w:jc w:val="center"/>
      </w:pPr>
      <w:r>
        <w:rPr>
          <w:color w:val="231F20"/>
        </w:rPr>
        <w:t>Company Operations Route Structure</w:t>
      </w:r>
    </w:p>
    <w:p>
      <w:pPr>
        <w:pStyle w:val="Heading4"/>
        <w:spacing w:before="6"/>
        <w:ind w:left="590"/>
        <w:rPr>
          <w:i/>
        </w:rPr>
      </w:pPr>
      <w:r>
        <w:rPr>
          <w:i/>
          <w:color w:val="231F20"/>
        </w:rPr>
        <w:t>General</w:t>
      </w:r>
    </w:p>
    <w:p>
      <w:pPr>
        <w:pStyle w:val="BodyText"/>
        <w:spacing w:line="249" w:lineRule="auto" w:before="190"/>
        <w:ind w:left="100" w:right="146" w:firstLine="490"/>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Southwest’s point-to-point route structure has allowed for more direct non-stop routing than hub-and-spoke service. For 2012, approximately 72 percent of Southwest’s Customers flew non-stop, and Southwest’s average aircraft trip stage length was 678 miles with an average duration of approximately 1.9 hours. For 2011, approximately 71 percent of Southwest’s Customers flew non-stop, and Southwest’s average aircraft trip stage length was 664 miles with an average duration of approximately 1.8</w:t>
      </w:r>
      <w:r>
        <w:rPr>
          <w:color w:val="231F20"/>
          <w:spacing w:val="6"/>
        </w:rPr>
        <w:t> </w:t>
      </w:r>
      <w:r>
        <w:rPr>
          <w:color w:val="231F20"/>
        </w:rPr>
        <w:t>hours.</w:t>
      </w:r>
    </w:p>
    <w:p>
      <w:pPr>
        <w:pStyle w:val="BodyText"/>
        <w:spacing w:line="249" w:lineRule="auto" w:before="181"/>
        <w:ind w:left="100" w:right="252"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13 weekday roundtrips from Phoenix to Las Vegas, 14 weekday roundtrips from Burbank to Oakland, and 12 weekday roundtrips from Los Angeles International to Oakland. Southwest complements these high-frequency shorthaul routes with longhaul non-stop service between markets such as Los Angeles and Nashville, Las Vegas and Orlando, San Diego and Baltimore, and Houston and Newark. As of December 31, 2012, Southwest served 497 non-stop city pairs.</w:t>
      </w:r>
    </w:p>
    <w:p>
      <w:pPr>
        <w:pStyle w:val="BodyText"/>
        <w:spacing w:line="249" w:lineRule="auto" w:before="181"/>
        <w:ind w:left="100" w:right="101" w:firstLine="490"/>
      </w:pPr>
      <w:r>
        <w:rPr>
          <w:color w:val="231F20"/>
        </w:rPr>
        <w:t>Unlike Southwest, AirTran currently operates largely through a hub-and-spoke network system, with approximately half of its flights originating or terminating at its largest base of operation at Hartsfield-Jackson Atlanta International Airport. AirTran also serves a number of markets with non-stop service from smaller bases of operation in Baltimore, Maryland; Milwaukee, Wisconsin; and Orlando, Florida.</w:t>
      </w:r>
    </w:p>
    <w:p>
      <w:pPr>
        <w:pStyle w:val="Heading4"/>
        <w:spacing w:before="181"/>
        <w:ind w:left="590"/>
        <w:rPr>
          <w:i/>
        </w:rPr>
      </w:pPr>
      <w:r>
        <w:rPr>
          <w:i/>
          <w:color w:val="231F20"/>
        </w:rPr>
        <w:t>International Service</w:t>
      </w:r>
    </w:p>
    <w:p>
      <w:pPr>
        <w:pStyle w:val="BodyText"/>
        <w:spacing w:line="249" w:lineRule="auto" w:before="190"/>
        <w:ind w:left="100" w:right="106" w:firstLine="490"/>
      </w:pPr>
      <w:r>
        <w:rPr>
          <w:color w:val="231F20"/>
        </w:rPr>
        <w:t>Southwest does not currently provide international service; however, the Company will begin converting AirTran flying into Southwest service in April 2013 to San Juan, Puerto Rico, Southwest’s first service outside of the continental United States. In connection with launching this service, Southwest has obtained the necessary Federal Aviation Administration (“FAA”) approvals to conduct operations, under certain circumstances, outside of the continental United States.</w:t>
      </w:r>
    </w:p>
    <w:p>
      <w:pPr>
        <w:spacing w:after="0" w:line="249" w:lineRule="auto"/>
        <w:sectPr>
          <w:footerReference w:type="default" r:id="rId7"/>
          <w:pgSz w:w="11880" w:h="15480"/>
          <w:pgMar w:footer="1253" w:header="0" w:top="1240" w:bottom="1440" w:left="1280" w:right="1280"/>
          <w:pgNumType w:start="2"/>
        </w:sectPr>
      </w:pPr>
    </w:p>
    <w:p>
      <w:pPr>
        <w:pStyle w:val="BodyText"/>
        <w:spacing w:line="249" w:lineRule="auto" w:before="73"/>
        <w:ind w:left="100" w:right="312" w:firstLine="490"/>
      </w:pPr>
      <w:r>
        <w:rPr>
          <w:color w:val="231F20"/>
        </w:rPr>
        <w:t>In addition to service to San Juan, Puerto Rico, AirTran also provides service to eight destinations in six near-international countries including Mexico (Cancun, Mexico City, and Cabo San Lucas), Jamaica (Montego Bay), The Bahamas (Nassau), Aruba (Oranjestad), Dominican Republic (Punta Cana), and Bermuda.</w:t>
      </w:r>
    </w:p>
    <w:p>
      <w:pPr>
        <w:pStyle w:val="BodyText"/>
        <w:spacing w:line="249" w:lineRule="auto" w:before="181"/>
        <w:ind w:left="100" w:right="185" w:firstLine="490"/>
      </w:pPr>
      <w:r>
        <w:rPr>
          <w:color w:val="231F20"/>
        </w:rPr>
        <w:t>During second quarter 2012, the City of Houston, Texas, approved an expansion plan to allow the Company to design and construct five additional gates and a U.S. customs facility at Houston’s William P. Hobby Airport, which would allow Southwest to provide international service from that airport. The facility is expected to be complete and available for operation sometime in 2015. Although a formal agreement has not yet been completed by the City of Houston and the Company, the Company has agreed to fund the design and construction of this project, which is currently estimated, by the City of Houston, to cost $156 million.</w:t>
      </w:r>
    </w:p>
    <w:p>
      <w:pPr>
        <w:pStyle w:val="BodyText"/>
        <w:spacing w:line="249" w:lineRule="auto" w:before="181"/>
        <w:ind w:left="100" w:right="100" w:firstLine="490"/>
      </w:pPr>
      <w:r>
        <w:rPr>
          <w:color w:val="231F20"/>
        </w:rPr>
        <w:t>The Company’s 2012 operating revenues attributable to foreign operations (all of which were attributable to AirTran) were approximately $159 million. The remainder of the Company’s 2012 operating revenues, approximately $16.9 billion, were attributable to domestic operations. The Company’s 2011 operating revenues attributable to foreign operations (all of which were attributable to AirTran) were approximately $74 million. The remainder of the Company’s 2011 operating revenues, approximately $15.6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operations may be adversely affected by its expansion into non-U.S. jurisdictions and the related increase in laws to which it is</w:t>
      </w:r>
      <w:r>
        <w:rPr>
          <w:color w:val="231F20"/>
          <w:spacing w:val="6"/>
        </w:rPr>
        <w:t> </w:t>
      </w:r>
      <w:r>
        <w:rPr>
          <w:color w:val="231F20"/>
        </w:rPr>
        <w:t>subject.”</w:t>
      </w:r>
    </w:p>
    <w:p>
      <w:pPr>
        <w:pStyle w:val="Heading3"/>
        <w:spacing w:before="181"/>
        <w:ind w:left="21" w:right="7379"/>
        <w:jc w:val="center"/>
      </w:pPr>
      <w:r>
        <w:rPr>
          <w:color w:val="231F20"/>
        </w:rPr>
        <w:t>Cost Structure</w:t>
      </w:r>
    </w:p>
    <w:p>
      <w:pPr>
        <w:pStyle w:val="Heading4"/>
        <w:spacing w:before="190"/>
        <w:ind w:left="590"/>
        <w:rPr>
          <w:i/>
        </w:rPr>
      </w:pPr>
      <w:r>
        <w:rPr>
          <w:i/>
          <w:color w:val="231F20"/>
        </w:rPr>
        <w:t>General</w:t>
      </w:r>
    </w:p>
    <w:p>
      <w:pPr>
        <w:pStyle w:val="BodyText"/>
        <w:spacing w:line="249" w:lineRule="auto" w:before="130"/>
        <w:ind w:left="100" w:right="185" w:firstLine="490"/>
      </w:pPr>
      <w:r>
        <w:rPr>
          <w:color w:val="231F20"/>
        </w:rPr>
        <w:t>A key component of the Company’s business strategy has historically been its low-cost structure, which was designed to allow Southwest to profitably charge low fares. Adjusted for stage length, Southwest and AirTran have lower unit costs, on average, than virtually all major domestic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t>
      </w:r>
    </w:p>
    <w:p>
      <w:pPr>
        <w:pStyle w:val="BodyText"/>
        <w:spacing w:line="249" w:lineRule="auto" w:before="181"/>
        <w:ind w:left="100" w:right="213" w:firstLine="490"/>
      </w:pPr>
      <w:r>
        <w:rPr>
          <w:color w:val="231F20"/>
        </w:rPr>
        <w:t>The Company believes that its fleet modernization initiatives, as well as the addition of the larger Boeing 737-800 to the Southwest fleet, will have a favorable impact on the Company’s unit costs. These strategic initiatives are discussed in more detail below under “Operating Strategies and Initiatives – Fleet Modernization” and “Operating Strategies and Initiatives – Incorporation of the Larger Boeing 737-800 into the Southwest Fleet.”</w:t>
      </w:r>
    </w:p>
    <w:p>
      <w:pPr>
        <w:spacing w:after="0" w:line="249" w:lineRule="auto"/>
        <w:sectPr>
          <w:pgSz w:w="11880" w:h="15480"/>
          <w:pgMar w:header="0" w:footer="1253" w:top="1240" w:bottom="1440" w:left="1280" w:right="1280"/>
        </w:sectPr>
      </w:pPr>
    </w:p>
    <w:p>
      <w:pPr>
        <w:pStyle w:val="Heading4"/>
        <w:spacing w:before="73"/>
        <w:ind w:left="650"/>
        <w:rPr>
          <w:i/>
        </w:rPr>
      </w:pPr>
      <w:r>
        <w:rPr>
          <w:i/>
          <w:color w:val="231F20"/>
        </w:rPr>
        <w:t>Impact of Fuel Costs on the Company’s Low-Cost Structure</w:t>
      </w:r>
    </w:p>
    <w:p>
      <w:pPr>
        <w:pStyle w:val="BodyText"/>
        <w:spacing w:line="249" w:lineRule="auto" w:before="189"/>
        <w:ind w:left="160" w:right="279" w:firstLine="490"/>
      </w:pPr>
      <w:r>
        <w:rPr>
          <w:color w:val="231F20"/>
        </w:rPr>
        <w:t>In 2012, the Company again experienced significant Fuel and oil expense as fuel prices remained volatile and at historically high levels. In addition, for the eighth consecutive year Fuel and oil expense represented the Company’s largest or second largest cost and was the Company’s largest cost for the second consecutive year. The table below shows the Company’s average cost of jet fuel and oil over the past ten years and during each quarter of 2012.</w:t>
      </w:r>
    </w:p>
    <w:p>
      <w:pPr>
        <w:spacing w:after="0" w:line="249" w:lineRule="auto"/>
        <w:sectPr>
          <w:pgSz w:w="11880" w:h="15480"/>
          <w:pgMar w:header="0" w:footer="1253" w:top="1240" w:bottom="1440" w:left="1220" w:right="1280"/>
        </w:sectPr>
      </w:pPr>
    </w:p>
    <w:p>
      <w:pPr>
        <w:pStyle w:val="BodyText"/>
        <w:spacing w:before="6"/>
        <w:rPr>
          <w:sz w:val="29"/>
        </w:rPr>
      </w:pPr>
    </w:p>
    <w:p>
      <w:pPr>
        <w:pStyle w:val="Heading3"/>
        <w:spacing w:before="1"/>
        <w:ind w:left="0"/>
        <w:jc w:val="right"/>
      </w:pPr>
      <w:r>
        <w:rPr>
          <w:color w:val="231F20"/>
          <w:w w:val="95"/>
        </w:rPr>
        <w:t>Cost</w:t>
      </w:r>
    </w:p>
    <w:p>
      <w:pPr>
        <w:spacing w:line="200" w:lineRule="exact" w:before="167"/>
        <w:ind w:left="856" w:right="-19" w:firstLine="14"/>
        <w:jc w:val="left"/>
        <w:rPr>
          <w:b/>
          <w:sz w:val="20"/>
        </w:rPr>
      </w:pPr>
      <w:r>
        <w:rPr/>
        <w:br w:type="column"/>
      </w:r>
      <w:r>
        <w:rPr>
          <w:b/>
          <w:color w:val="231F20"/>
          <w:sz w:val="20"/>
        </w:rPr>
        <w:t>Average Cost Per</w:t>
      </w:r>
    </w:p>
    <w:p>
      <w:pPr>
        <w:spacing w:line="200" w:lineRule="exact" w:before="167"/>
        <w:ind w:left="598" w:right="277" w:firstLine="3"/>
        <w:jc w:val="left"/>
        <w:rPr>
          <w:b/>
          <w:sz w:val="20"/>
        </w:rPr>
      </w:pPr>
      <w:r>
        <w:rPr/>
        <w:br w:type="column"/>
      </w:r>
      <w:r>
        <w:rPr>
          <w:b/>
          <w:color w:val="231F20"/>
          <w:sz w:val="20"/>
        </w:rPr>
        <w:t>Percent of Operating</w:t>
      </w:r>
    </w:p>
    <w:p>
      <w:pPr>
        <w:spacing w:after="0" w:line="200" w:lineRule="exact"/>
        <w:jc w:val="left"/>
        <w:rPr>
          <w:sz w:val="20"/>
        </w:rPr>
        <w:sectPr>
          <w:type w:val="continuous"/>
          <w:pgSz w:w="11880" w:h="15480"/>
          <w:pgMar w:top="1200" w:bottom="280" w:left="1220" w:right="1280"/>
          <w:cols w:num="3" w:equalWidth="0">
            <w:col w:w="5931" w:space="40"/>
            <w:col w:w="1596" w:space="40"/>
            <w:col w:w="1773"/>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5"/>
        </w:rPr>
      </w:pPr>
    </w:p>
    <w:p>
      <w:pPr>
        <w:pStyle w:val="ListParagraph"/>
        <w:numPr>
          <w:ilvl w:val="0"/>
          <w:numId w:val="1"/>
        </w:numPr>
        <w:tabs>
          <w:tab w:pos="559" w:val="left" w:leader="none"/>
          <w:tab w:pos="560" w:val="left" w:leader="none"/>
        </w:tabs>
        <w:spacing w:line="249" w:lineRule="auto" w:before="89" w:after="0"/>
        <w:ind w:left="560" w:right="284" w:hanging="400"/>
        <w:jc w:val="left"/>
        <w:rPr>
          <w:sz w:val="20"/>
        </w:rPr>
      </w:pPr>
      <w:r>
        <w:rPr/>
        <w:pict>
          <v:shape style="position:absolute;margin-left:66.5pt;margin-top:-188.104065pt;width:458.5pt;height:183.05pt;mso-position-horizontal-relative:page;mso-position-vertical-relative:paragraph;z-index:1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0"/>
                    <w:gridCol w:w="4348"/>
                    <w:gridCol w:w="110"/>
                    <w:gridCol w:w="1300"/>
                    <w:gridCol w:w="160"/>
                    <w:gridCol w:w="1300"/>
                    <w:gridCol w:w="160"/>
                    <w:gridCol w:w="1273"/>
                  </w:tblGrid>
                  <w:tr>
                    <w:trPr>
                      <w:trHeight w:val="248" w:hRule="exact"/>
                    </w:trPr>
                    <w:tc>
                      <w:tcPr>
                        <w:tcW w:w="520" w:type="dxa"/>
                        <w:tcBorders>
                          <w:bottom w:val="single" w:sz="8" w:space="0" w:color="231F20"/>
                        </w:tcBorders>
                      </w:tcPr>
                      <w:p>
                        <w:pPr>
                          <w:pStyle w:val="TableParagraph"/>
                          <w:spacing w:line="221" w:lineRule="exact"/>
                          <w:ind w:left="29" w:right="27"/>
                          <w:jc w:val="center"/>
                          <w:rPr>
                            <w:b/>
                            <w:sz w:val="20"/>
                          </w:rPr>
                        </w:pPr>
                        <w:r>
                          <w:rPr>
                            <w:b/>
                            <w:color w:val="231F20"/>
                            <w:sz w:val="20"/>
                          </w:rPr>
                          <w:t>Year</w:t>
                        </w:r>
                      </w:p>
                    </w:tc>
                    <w:tc>
                      <w:tcPr>
                        <w:tcW w:w="4348" w:type="dxa"/>
                        <w:tcBorders>
                          <w:bottom w:val="single" w:sz="8" w:space="0" w:color="231F20"/>
                        </w:tcBorders>
                      </w:tcPr>
                      <w:p>
                        <w:pPr/>
                      </w:p>
                    </w:tc>
                    <w:tc>
                      <w:tcPr>
                        <w:tcW w:w="110" w:type="dxa"/>
                      </w:tcPr>
                      <w:p>
                        <w:pPr/>
                      </w:p>
                    </w:tc>
                    <w:tc>
                      <w:tcPr>
                        <w:tcW w:w="1300" w:type="dxa"/>
                        <w:tcBorders>
                          <w:bottom w:val="single" w:sz="8" w:space="0" w:color="231F20"/>
                        </w:tcBorders>
                      </w:tcPr>
                      <w:p>
                        <w:pPr>
                          <w:pStyle w:val="TableParagraph"/>
                          <w:spacing w:line="221" w:lineRule="exact"/>
                          <w:ind w:right="182"/>
                          <w:rPr>
                            <w:b/>
                            <w:sz w:val="20"/>
                          </w:rPr>
                        </w:pPr>
                        <w:r>
                          <w:rPr>
                            <w:b/>
                            <w:color w:val="231F20"/>
                            <w:sz w:val="20"/>
                          </w:rPr>
                          <w:t>(Millions)*</w:t>
                        </w:r>
                      </w:p>
                    </w:tc>
                    <w:tc>
                      <w:tcPr>
                        <w:tcW w:w="160" w:type="dxa"/>
                      </w:tcPr>
                      <w:p>
                        <w:pPr/>
                      </w:p>
                    </w:tc>
                    <w:tc>
                      <w:tcPr>
                        <w:tcW w:w="1300" w:type="dxa"/>
                        <w:tcBorders>
                          <w:bottom w:val="single" w:sz="8" w:space="0" w:color="231F20"/>
                        </w:tcBorders>
                      </w:tcPr>
                      <w:p>
                        <w:pPr>
                          <w:pStyle w:val="TableParagraph"/>
                          <w:spacing w:line="221" w:lineRule="exact"/>
                          <w:ind w:left="310"/>
                          <w:jc w:val="left"/>
                          <w:rPr>
                            <w:b/>
                            <w:sz w:val="20"/>
                          </w:rPr>
                        </w:pPr>
                        <w:r>
                          <w:rPr>
                            <w:b/>
                            <w:color w:val="231F20"/>
                            <w:sz w:val="20"/>
                          </w:rPr>
                          <w:t>Gallon*</w:t>
                        </w:r>
                      </w:p>
                    </w:tc>
                    <w:tc>
                      <w:tcPr>
                        <w:tcW w:w="160" w:type="dxa"/>
                      </w:tcPr>
                      <w:p>
                        <w:pPr/>
                      </w:p>
                    </w:tc>
                    <w:tc>
                      <w:tcPr>
                        <w:tcW w:w="1273" w:type="dxa"/>
                        <w:tcBorders>
                          <w:bottom w:val="single" w:sz="8" w:space="0" w:color="231F20"/>
                        </w:tcBorders>
                      </w:tcPr>
                      <w:p>
                        <w:pPr>
                          <w:pStyle w:val="TableParagraph"/>
                          <w:spacing w:line="221" w:lineRule="exact"/>
                          <w:ind w:left="192"/>
                          <w:jc w:val="left"/>
                          <w:rPr>
                            <w:b/>
                            <w:sz w:val="20"/>
                          </w:rPr>
                        </w:pPr>
                        <w:r>
                          <w:rPr>
                            <w:b/>
                            <w:color w:val="231F20"/>
                            <w:sz w:val="20"/>
                          </w:rPr>
                          <w:t>Expenses*</w:t>
                        </w:r>
                      </w:p>
                    </w:tc>
                  </w:tr>
                  <w:tr>
                    <w:trPr>
                      <w:trHeight w:val="304" w:hRule="exact"/>
                    </w:trPr>
                    <w:tc>
                      <w:tcPr>
                        <w:tcW w:w="520" w:type="dxa"/>
                        <w:tcBorders>
                          <w:top w:val="single" w:sz="8" w:space="0" w:color="231F20"/>
                        </w:tcBorders>
                      </w:tcPr>
                      <w:p>
                        <w:pPr>
                          <w:pStyle w:val="TableParagraph"/>
                          <w:spacing w:before="53"/>
                          <w:ind w:left="10" w:right="27"/>
                          <w:jc w:val="center"/>
                          <w:rPr>
                            <w:sz w:val="20"/>
                          </w:rPr>
                        </w:pPr>
                        <w:r>
                          <w:rPr>
                            <w:color w:val="231F20"/>
                            <w:sz w:val="20"/>
                          </w:rPr>
                          <w:t>2003</w:t>
                        </w:r>
                      </w:p>
                    </w:tc>
                    <w:tc>
                      <w:tcPr>
                        <w:tcW w:w="4348" w:type="dxa"/>
                        <w:tcBorders>
                          <w:top w:val="single" w:sz="8" w:space="0" w:color="231F20"/>
                        </w:tcBorders>
                      </w:tcPr>
                      <w:p>
                        <w:pPr>
                          <w:pStyle w:val="TableParagraph"/>
                          <w:spacing w:before="53"/>
                          <w:ind w:left="52" w:right="5"/>
                          <w:jc w:val="center"/>
                          <w:rPr>
                            <w:sz w:val="20"/>
                          </w:rPr>
                        </w:pPr>
                        <w:r>
                          <w:rPr>
                            <w:color w:val="231F20"/>
                            <w:sz w:val="20"/>
                          </w:rPr>
                          <w:t>. . . . . . . . . . . . . . . . . . . . . . . . . . . . . . . . . . . . . . . . . . . </w:t>
                        </w:r>
                      </w:p>
                    </w:tc>
                    <w:tc>
                      <w:tcPr>
                        <w:tcW w:w="110" w:type="dxa"/>
                      </w:tcPr>
                      <w:p>
                        <w:pPr/>
                      </w:p>
                    </w:tc>
                    <w:tc>
                      <w:tcPr>
                        <w:tcW w:w="1300" w:type="dxa"/>
                        <w:tcBorders>
                          <w:top w:val="single" w:sz="8" w:space="0" w:color="231F20"/>
                        </w:tcBorders>
                      </w:tcPr>
                      <w:p>
                        <w:pPr>
                          <w:pStyle w:val="TableParagraph"/>
                          <w:tabs>
                            <w:tab w:pos="759" w:val="left" w:leader="none"/>
                          </w:tabs>
                          <w:spacing w:before="53"/>
                          <w:ind w:right="239"/>
                          <w:rPr>
                            <w:sz w:val="20"/>
                          </w:rPr>
                        </w:pPr>
                        <w:r>
                          <w:rPr>
                            <w:color w:val="231F20"/>
                            <w:sz w:val="20"/>
                          </w:rPr>
                          <w:t>$</w:t>
                          <w:tab/>
                          <w:t>920</w:t>
                        </w:r>
                      </w:p>
                    </w:tc>
                    <w:tc>
                      <w:tcPr>
                        <w:tcW w:w="160" w:type="dxa"/>
                      </w:tcPr>
                      <w:p>
                        <w:pPr/>
                      </w:p>
                    </w:tc>
                    <w:tc>
                      <w:tcPr>
                        <w:tcW w:w="1300" w:type="dxa"/>
                        <w:tcBorders>
                          <w:top w:val="single" w:sz="8" w:space="0" w:color="231F20"/>
                        </w:tcBorders>
                      </w:tcPr>
                      <w:p>
                        <w:pPr>
                          <w:pStyle w:val="TableParagraph"/>
                          <w:tabs>
                            <w:tab w:pos="709" w:val="left" w:leader="none"/>
                          </w:tabs>
                          <w:spacing w:before="53"/>
                          <w:jc w:val="left"/>
                          <w:rPr>
                            <w:sz w:val="20"/>
                          </w:rPr>
                        </w:pPr>
                        <w:r>
                          <w:rPr>
                            <w:color w:val="231F20"/>
                            <w:sz w:val="20"/>
                          </w:rPr>
                          <w:t>$</w:t>
                          <w:tab/>
                          <w:t>0.80</w:t>
                        </w:r>
                      </w:p>
                    </w:tc>
                    <w:tc>
                      <w:tcPr>
                        <w:tcW w:w="160" w:type="dxa"/>
                      </w:tcPr>
                      <w:p>
                        <w:pPr/>
                      </w:p>
                    </w:tc>
                    <w:tc>
                      <w:tcPr>
                        <w:tcW w:w="1273" w:type="dxa"/>
                        <w:tcBorders>
                          <w:top w:val="single" w:sz="8" w:space="0" w:color="231F20"/>
                        </w:tcBorders>
                      </w:tcPr>
                      <w:p>
                        <w:pPr>
                          <w:pStyle w:val="TableParagraph"/>
                          <w:spacing w:before="53"/>
                          <w:ind w:right="58"/>
                          <w:rPr>
                            <w:sz w:val="20"/>
                          </w:rPr>
                        </w:pPr>
                        <w:r>
                          <w:rPr>
                            <w:color w:val="231F20"/>
                            <w:sz w:val="20"/>
                          </w:rPr>
                          <w:t>16.5%</w:t>
                        </w:r>
                      </w:p>
                    </w:tc>
                  </w:tr>
                  <w:tr>
                    <w:trPr>
                      <w:trHeight w:val="240" w:hRule="exact"/>
                    </w:trPr>
                    <w:tc>
                      <w:tcPr>
                        <w:tcW w:w="520" w:type="dxa"/>
                      </w:tcPr>
                      <w:p>
                        <w:pPr>
                          <w:pStyle w:val="TableParagraph"/>
                          <w:spacing w:line="229" w:lineRule="exact"/>
                          <w:ind w:left="10" w:right="27"/>
                          <w:jc w:val="center"/>
                          <w:rPr>
                            <w:sz w:val="20"/>
                          </w:rPr>
                        </w:pPr>
                        <w:r>
                          <w:rPr>
                            <w:color w:val="231F20"/>
                            <w:sz w:val="20"/>
                          </w:rPr>
                          <w:t>2004</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1,106</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0.92</w:t>
                        </w:r>
                      </w:p>
                    </w:tc>
                    <w:tc>
                      <w:tcPr>
                        <w:tcW w:w="160" w:type="dxa"/>
                      </w:tcPr>
                      <w:p>
                        <w:pPr/>
                      </w:p>
                    </w:tc>
                    <w:tc>
                      <w:tcPr>
                        <w:tcW w:w="1273" w:type="dxa"/>
                      </w:tcPr>
                      <w:p>
                        <w:pPr>
                          <w:pStyle w:val="TableParagraph"/>
                          <w:spacing w:line="229" w:lineRule="exact"/>
                          <w:ind w:right="58"/>
                          <w:rPr>
                            <w:sz w:val="20"/>
                          </w:rPr>
                        </w:pPr>
                        <w:r>
                          <w:rPr>
                            <w:color w:val="231F20"/>
                            <w:sz w:val="20"/>
                          </w:rPr>
                          <w:t>18.1%</w:t>
                        </w:r>
                      </w:p>
                    </w:tc>
                  </w:tr>
                  <w:tr>
                    <w:trPr>
                      <w:trHeight w:val="240" w:hRule="exact"/>
                    </w:trPr>
                    <w:tc>
                      <w:tcPr>
                        <w:tcW w:w="520" w:type="dxa"/>
                      </w:tcPr>
                      <w:p>
                        <w:pPr>
                          <w:pStyle w:val="TableParagraph"/>
                          <w:spacing w:line="229" w:lineRule="exact"/>
                          <w:ind w:left="10" w:right="27"/>
                          <w:jc w:val="center"/>
                          <w:rPr>
                            <w:sz w:val="20"/>
                          </w:rPr>
                        </w:pPr>
                        <w:r>
                          <w:rPr>
                            <w:color w:val="231F20"/>
                            <w:sz w:val="20"/>
                          </w:rPr>
                          <w:t>2005</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1,470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1.13</w:t>
                        </w:r>
                      </w:p>
                    </w:tc>
                    <w:tc>
                      <w:tcPr>
                        <w:tcW w:w="160" w:type="dxa"/>
                      </w:tcPr>
                      <w:p>
                        <w:pPr/>
                      </w:p>
                    </w:tc>
                    <w:tc>
                      <w:tcPr>
                        <w:tcW w:w="1273" w:type="dxa"/>
                      </w:tcPr>
                      <w:p>
                        <w:pPr>
                          <w:pStyle w:val="TableParagraph"/>
                          <w:spacing w:line="229" w:lineRule="exact"/>
                          <w:ind w:right="58"/>
                          <w:rPr>
                            <w:sz w:val="20"/>
                          </w:rPr>
                        </w:pPr>
                        <w:r>
                          <w:rPr>
                            <w:color w:val="231F20"/>
                            <w:sz w:val="20"/>
                          </w:rPr>
                          <w:t>21.4%</w:t>
                        </w:r>
                      </w:p>
                    </w:tc>
                  </w:tr>
                  <w:tr>
                    <w:trPr>
                      <w:trHeight w:val="240" w:hRule="exact"/>
                    </w:trPr>
                    <w:tc>
                      <w:tcPr>
                        <w:tcW w:w="520" w:type="dxa"/>
                      </w:tcPr>
                      <w:p>
                        <w:pPr>
                          <w:pStyle w:val="TableParagraph"/>
                          <w:spacing w:line="229" w:lineRule="exact"/>
                          <w:ind w:left="10" w:right="27"/>
                          <w:jc w:val="center"/>
                          <w:rPr>
                            <w:sz w:val="20"/>
                          </w:rPr>
                        </w:pPr>
                        <w:r>
                          <w:rPr>
                            <w:color w:val="231F20"/>
                            <w:sz w:val="20"/>
                          </w:rPr>
                          <w:t>2006</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2,284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1.64</w:t>
                        </w:r>
                      </w:p>
                    </w:tc>
                    <w:tc>
                      <w:tcPr>
                        <w:tcW w:w="160" w:type="dxa"/>
                      </w:tcPr>
                      <w:p>
                        <w:pPr/>
                      </w:p>
                    </w:tc>
                    <w:tc>
                      <w:tcPr>
                        <w:tcW w:w="1273" w:type="dxa"/>
                      </w:tcPr>
                      <w:p>
                        <w:pPr>
                          <w:pStyle w:val="TableParagraph"/>
                          <w:spacing w:line="229" w:lineRule="exact"/>
                          <w:ind w:right="58"/>
                          <w:rPr>
                            <w:sz w:val="20"/>
                          </w:rPr>
                        </w:pPr>
                        <w:r>
                          <w:rPr>
                            <w:color w:val="231F20"/>
                            <w:sz w:val="20"/>
                          </w:rPr>
                          <w:t>28.0%</w:t>
                        </w:r>
                      </w:p>
                    </w:tc>
                  </w:tr>
                  <w:tr>
                    <w:trPr>
                      <w:trHeight w:val="240" w:hRule="exact"/>
                    </w:trPr>
                    <w:tc>
                      <w:tcPr>
                        <w:tcW w:w="520" w:type="dxa"/>
                      </w:tcPr>
                      <w:p>
                        <w:pPr>
                          <w:pStyle w:val="TableParagraph"/>
                          <w:spacing w:line="229" w:lineRule="exact"/>
                          <w:ind w:left="10" w:right="27"/>
                          <w:jc w:val="center"/>
                          <w:rPr>
                            <w:sz w:val="20"/>
                          </w:rPr>
                        </w:pPr>
                        <w:r>
                          <w:rPr>
                            <w:color w:val="231F20"/>
                            <w:sz w:val="20"/>
                          </w:rPr>
                          <w:t>2007</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2,690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1.80</w:t>
                        </w:r>
                      </w:p>
                    </w:tc>
                    <w:tc>
                      <w:tcPr>
                        <w:tcW w:w="160" w:type="dxa"/>
                      </w:tcPr>
                      <w:p>
                        <w:pPr/>
                      </w:p>
                    </w:tc>
                    <w:tc>
                      <w:tcPr>
                        <w:tcW w:w="1273" w:type="dxa"/>
                      </w:tcPr>
                      <w:p>
                        <w:pPr>
                          <w:pStyle w:val="TableParagraph"/>
                          <w:spacing w:line="229" w:lineRule="exact"/>
                          <w:ind w:right="58"/>
                          <w:rPr>
                            <w:sz w:val="20"/>
                          </w:rPr>
                        </w:pPr>
                        <w:r>
                          <w:rPr>
                            <w:color w:val="231F20"/>
                            <w:sz w:val="20"/>
                          </w:rPr>
                          <w:t>29.7%</w:t>
                        </w:r>
                      </w:p>
                    </w:tc>
                  </w:tr>
                  <w:tr>
                    <w:trPr>
                      <w:trHeight w:val="240" w:hRule="exact"/>
                    </w:trPr>
                    <w:tc>
                      <w:tcPr>
                        <w:tcW w:w="520" w:type="dxa"/>
                      </w:tcPr>
                      <w:p>
                        <w:pPr>
                          <w:pStyle w:val="TableParagraph"/>
                          <w:spacing w:line="229" w:lineRule="exact"/>
                          <w:ind w:left="10" w:right="27"/>
                          <w:jc w:val="center"/>
                          <w:rPr>
                            <w:sz w:val="20"/>
                          </w:rPr>
                        </w:pPr>
                        <w:r>
                          <w:rPr>
                            <w:color w:val="231F20"/>
                            <w:sz w:val="20"/>
                          </w:rPr>
                          <w:t>2008</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3,713</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2.44</w:t>
                        </w:r>
                      </w:p>
                    </w:tc>
                    <w:tc>
                      <w:tcPr>
                        <w:tcW w:w="160" w:type="dxa"/>
                      </w:tcPr>
                      <w:p>
                        <w:pPr/>
                      </w:p>
                    </w:tc>
                    <w:tc>
                      <w:tcPr>
                        <w:tcW w:w="1273" w:type="dxa"/>
                      </w:tcPr>
                      <w:p>
                        <w:pPr>
                          <w:pStyle w:val="TableParagraph"/>
                          <w:spacing w:line="229" w:lineRule="exact"/>
                          <w:ind w:right="58"/>
                          <w:rPr>
                            <w:sz w:val="20"/>
                          </w:rPr>
                        </w:pPr>
                        <w:r>
                          <w:rPr>
                            <w:color w:val="231F20"/>
                            <w:sz w:val="20"/>
                          </w:rPr>
                          <w:t>35.1%</w:t>
                        </w:r>
                      </w:p>
                    </w:tc>
                  </w:tr>
                  <w:tr>
                    <w:trPr>
                      <w:trHeight w:val="240" w:hRule="exact"/>
                    </w:trPr>
                    <w:tc>
                      <w:tcPr>
                        <w:tcW w:w="520" w:type="dxa"/>
                      </w:tcPr>
                      <w:p>
                        <w:pPr>
                          <w:pStyle w:val="TableParagraph"/>
                          <w:spacing w:line="229" w:lineRule="exact"/>
                          <w:ind w:left="10" w:right="27"/>
                          <w:jc w:val="center"/>
                          <w:rPr>
                            <w:sz w:val="20"/>
                          </w:rPr>
                        </w:pPr>
                        <w:r>
                          <w:rPr>
                            <w:color w:val="231F20"/>
                            <w:sz w:val="20"/>
                          </w:rPr>
                          <w:t>2009</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3,044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2.12</w:t>
                        </w:r>
                      </w:p>
                    </w:tc>
                    <w:tc>
                      <w:tcPr>
                        <w:tcW w:w="160" w:type="dxa"/>
                      </w:tcPr>
                      <w:p>
                        <w:pPr/>
                      </w:p>
                    </w:tc>
                    <w:tc>
                      <w:tcPr>
                        <w:tcW w:w="1273" w:type="dxa"/>
                      </w:tcPr>
                      <w:p>
                        <w:pPr>
                          <w:pStyle w:val="TableParagraph"/>
                          <w:spacing w:line="229" w:lineRule="exact"/>
                          <w:ind w:right="58"/>
                          <w:rPr>
                            <w:sz w:val="20"/>
                          </w:rPr>
                        </w:pPr>
                        <w:r>
                          <w:rPr>
                            <w:color w:val="231F20"/>
                            <w:sz w:val="20"/>
                          </w:rPr>
                          <w:t>30.2%</w:t>
                        </w:r>
                      </w:p>
                    </w:tc>
                  </w:tr>
                  <w:tr>
                    <w:trPr>
                      <w:trHeight w:val="240" w:hRule="exact"/>
                    </w:trPr>
                    <w:tc>
                      <w:tcPr>
                        <w:tcW w:w="520" w:type="dxa"/>
                      </w:tcPr>
                      <w:p>
                        <w:pPr>
                          <w:pStyle w:val="TableParagraph"/>
                          <w:spacing w:line="229" w:lineRule="exact"/>
                          <w:ind w:left="10" w:right="27"/>
                          <w:jc w:val="center"/>
                          <w:rPr>
                            <w:sz w:val="20"/>
                          </w:rPr>
                        </w:pPr>
                        <w:r>
                          <w:rPr>
                            <w:color w:val="231F20"/>
                            <w:sz w:val="20"/>
                          </w:rPr>
                          <w:t>2010</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3,620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2.51</w:t>
                        </w:r>
                      </w:p>
                    </w:tc>
                    <w:tc>
                      <w:tcPr>
                        <w:tcW w:w="160" w:type="dxa"/>
                      </w:tcPr>
                      <w:p>
                        <w:pPr/>
                      </w:p>
                    </w:tc>
                    <w:tc>
                      <w:tcPr>
                        <w:tcW w:w="1273" w:type="dxa"/>
                      </w:tcPr>
                      <w:p>
                        <w:pPr>
                          <w:pStyle w:val="TableParagraph"/>
                          <w:spacing w:line="229" w:lineRule="exact"/>
                          <w:ind w:right="58"/>
                          <w:rPr>
                            <w:sz w:val="20"/>
                          </w:rPr>
                        </w:pPr>
                        <w:r>
                          <w:rPr>
                            <w:color w:val="231F20"/>
                            <w:sz w:val="20"/>
                          </w:rPr>
                          <w:t>32.6%</w:t>
                        </w:r>
                      </w:p>
                    </w:tc>
                  </w:tr>
                  <w:tr>
                    <w:trPr>
                      <w:trHeight w:val="240" w:hRule="exact"/>
                    </w:trPr>
                    <w:tc>
                      <w:tcPr>
                        <w:tcW w:w="520" w:type="dxa"/>
                      </w:tcPr>
                      <w:p>
                        <w:pPr>
                          <w:pStyle w:val="TableParagraph"/>
                          <w:spacing w:line="229" w:lineRule="exact"/>
                          <w:ind w:left="10" w:right="27"/>
                          <w:jc w:val="center"/>
                          <w:rPr>
                            <w:sz w:val="20"/>
                          </w:rPr>
                        </w:pPr>
                        <w:r>
                          <w:rPr>
                            <w:color w:val="231F20"/>
                            <w:sz w:val="20"/>
                          </w:rPr>
                          <w:t>2011</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5,644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3.19</w:t>
                        </w:r>
                      </w:p>
                    </w:tc>
                    <w:tc>
                      <w:tcPr>
                        <w:tcW w:w="160" w:type="dxa"/>
                      </w:tcPr>
                      <w:p>
                        <w:pPr/>
                      </w:p>
                    </w:tc>
                    <w:tc>
                      <w:tcPr>
                        <w:tcW w:w="1273" w:type="dxa"/>
                      </w:tcPr>
                      <w:p>
                        <w:pPr>
                          <w:pStyle w:val="TableParagraph"/>
                          <w:spacing w:line="229" w:lineRule="exact"/>
                          <w:ind w:right="58"/>
                          <w:rPr>
                            <w:sz w:val="20"/>
                          </w:rPr>
                        </w:pPr>
                        <w:r>
                          <w:rPr>
                            <w:color w:val="231F20"/>
                            <w:sz w:val="20"/>
                          </w:rPr>
                          <w:t>37.7%</w:t>
                        </w:r>
                      </w:p>
                    </w:tc>
                  </w:tr>
                  <w:tr>
                    <w:trPr>
                      <w:trHeight w:val="240" w:hRule="exact"/>
                    </w:trPr>
                    <w:tc>
                      <w:tcPr>
                        <w:tcW w:w="520" w:type="dxa"/>
                      </w:tcPr>
                      <w:p>
                        <w:pPr>
                          <w:pStyle w:val="TableParagraph"/>
                          <w:spacing w:line="229" w:lineRule="exact"/>
                          <w:ind w:left="10" w:right="27"/>
                          <w:jc w:val="center"/>
                          <w:rPr>
                            <w:sz w:val="20"/>
                          </w:rPr>
                        </w:pPr>
                        <w:r>
                          <w:rPr>
                            <w:color w:val="231F20"/>
                            <w:sz w:val="20"/>
                          </w:rPr>
                          <w:t>2012</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6,120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3.30</w:t>
                        </w:r>
                      </w:p>
                    </w:tc>
                    <w:tc>
                      <w:tcPr>
                        <w:tcW w:w="160" w:type="dxa"/>
                      </w:tcPr>
                      <w:p>
                        <w:pPr/>
                      </w:p>
                    </w:tc>
                    <w:tc>
                      <w:tcPr>
                        <w:tcW w:w="1273" w:type="dxa"/>
                      </w:tcPr>
                      <w:p>
                        <w:pPr>
                          <w:pStyle w:val="TableParagraph"/>
                          <w:spacing w:line="229" w:lineRule="exact"/>
                          <w:ind w:right="58"/>
                          <w:rPr>
                            <w:sz w:val="20"/>
                          </w:rPr>
                        </w:pPr>
                        <w:r>
                          <w:rPr>
                            <w:color w:val="231F20"/>
                            <w:sz w:val="20"/>
                          </w:rPr>
                          <w:t>37.2%</w:t>
                        </w:r>
                      </w:p>
                    </w:tc>
                  </w:tr>
                  <w:tr>
                    <w:trPr>
                      <w:trHeight w:val="240" w:hRule="exact"/>
                    </w:trPr>
                    <w:tc>
                      <w:tcPr>
                        <w:tcW w:w="4867" w:type="dxa"/>
                        <w:gridSpan w:val="2"/>
                      </w:tcPr>
                      <w:p>
                        <w:pPr>
                          <w:pStyle w:val="TableParagraph"/>
                          <w:spacing w:line="219" w:lineRule="exact"/>
                          <w:ind w:left="50"/>
                          <w:jc w:val="left"/>
                          <w:rPr>
                            <w:sz w:val="20"/>
                          </w:rPr>
                        </w:pPr>
                        <w:r>
                          <w:rPr>
                            <w:color w:val="231F20"/>
                            <w:sz w:val="20"/>
                          </w:rPr>
                          <w:t>First Quarter 2012   . . . . . . . . . . . . . . . . . . . . . . . . . . . . . . . . </w:t>
                        </w:r>
                      </w:p>
                    </w:tc>
                    <w:tc>
                      <w:tcPr>
                        <w:tcW w:w="1410" w:type="dxa"/>
                        <w:gridSpan w:val="2"/>
                      </w:tcPr>
                      <w:p>
                        <w:pPr>
                          <w:pStyle w:val="TableParagraph"/>
                          <w:tabs>
                            <w:tab w:pos="719" w:val="left" w:leader="none"/>
                          </w:tabs>
                          <w:spacing w:line="219" w:lineRule="exact"/>
                          <w:ind w:left="109"/>
                          <w:jc w:val="left"/>
                          <w:rPr>
                            <w:sz w:val="20"/>
                          </w:rPr>
                        </w:pPr>
                        <w:r>
                          <w:rPr>
                            <w:color w:val="231F20"/>
                            <w:sz w:val="20"/>
                          </w:rPr>
                          <w:t>$</w:t>
                          <w:tab/>
                          <w:t>1,510</w:t>
                        </w:r>
                      </w:p>
                    </w:tc>
                    <w:tc>
                      <w:tcPr>
                        <w:tcW w:w="1460" w:type="dxa"/>
                        <w:gridSpan w:val="2"/>
                      </w:tcPr>
                      <w:p>
                        <w:pPr>
                          <w:pStyle w:val="TableParagraph"/>
                          <w:tabs>
                            <w:tab w:pos="869" w:val="left" w:leader="none"/>
                          </w:tabs>
                          <w:spacing w:line="219" w:lineRule="exact"/>
                          <w:ind w:left="160"/>
                          <w:jc w:val="left"/>
                          <w:rPr>
                            <w:sz w:val="20"/>
                          </w:rPr>
                        </w:pPr>
                        <w:r>
                          <w:rPr>
                            <w:color w:val="231F20"/>
                            <w:sz w:val="20"/>
                          </w:rPr>
                          <w:t>$</w:t>
                          <w:tab/>
                          <w:t>3.39</w:t>
                        </w:r>
                      </w:p>
                    </w:tc>
                    <w:tc>
                      <w:tcPr>
                        <w:tcW w:w="1433" w:type="dxa"/>
                        <w:gridSpan w:val="2"/>
                      </w:tcPr>
                      <w:p>
                        <w:pPr>
                          <w:pStyle w:val="TableParagraph"/>
                          <w:spacing w:line="219" w:lineRule="exact"/>
                          <w:ind w:left="856"/>
                          <w:jc w:val="left"/>
                          <w:rPr>
                            <w:sz w:val="20"/>
                          </w:rPr>
                        </w:pPr>
                        <w:r>
                          <w:rPr>
                            <w:color w:val="231F20"/>
                            <w:sz w:val="20"/>
                          </w:rPr>
                          <w:t>38.0%</w:t>
                        </w:r>
                      </w:p>
                    </w:tc>
                  </w:tr>
                  <w:tr>
                    <w:trPr>
                      <w:trHeight w:val="240" w:hRule="exact"/>
                    </w:trPr>
                    <w:tc>
                      <w:tcPr>
                        <w:tcW w:w="4867" w:type="dxa"/>
                        <w:gridSpan w:val="2"/>
                      </w:tcPr>
                      <w:p>
                        <w:pPr>
                          <w:pStyle w:val="TableParagraph"/>
                          <w:spacing w:line="229" w:lineRule="exact"/>
                          <w:ind w:left="50"/>
                          <w:jc w:val="left"/>
                          <w:rPr>
                            <w:sz w:val="20"/>
                          </w:rPr>
                        </w:pPr>
                        <w:r>
                          <w:rPr>
                            <w:color w:val="231F20"/>
                            <w:sz w:val="20"/>
                          </w:rPr>
                          <w:t>Second Quarter 2012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1,577</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3.25</w:t>
                        </w:r>
                      </w:p>
                    </w:tc>
                    <w:tc>
                      <w:tcPr>
                        <w:tcW w:w="1433" w:type="dxa"/>
                        <w:gridSpan w:val="2"/>
                      </w:tcPr>
                      <w:p>
                        <w:pPr>
                          <w:pStyle w:val="TableParagraph"/>
                          <w:spacing w:line="229" w:lineRule="exact"/>
                          <w:ind w:left="856"/>
                          <w:jc w:val="left"/>
                          <w:rPr>
                            <w:sz w:val="20"/>
                          </w:rPr>
                        </w:pPr>
                        <w:r>
                          <w:rPr>
                            <w:color w:val="231F20"/>
                            <w:sz w:val="20"/>
                          </w:rPr>
                          <w:t>37.9%</w:t>
                        </w:r>
                      </w:p>
                    </w:tc>
                  </w:tr>
                  <w:tr>
                    <w:trPr>
                      <w:trHeight w:val="240" w:hRule="exact"/>
                    </w:trPr>
                    <w:tc>
                      <w:tcPr>
                        <w:tcW w:w="4867" w:type="dxa"/>
                        <w:gridSpan w:val="2"/>
                      </w:tcPr>
                      <w:p>
                        <w:pPr>
                          <w:pStyle w:val="TableParagraph"/>
                          <w:spacing w:line="229" w:lineRule="exact"/>
                          <w:ind w:left="50"/>
                          <w:jc w:val="left"/>
                          <w:rPr>
                            <w:sz w:val="20"/>
                          </w:rPr>
                        </w:pPr>
                        <w:r>
                          <w:rPr>
                            <w:color w:val="231F20"/>
                            <w:sz w:val="20"/>
                          </w:rPr>
                          <w:t>Third Quarter 2012 . .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1,528</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3.19</w:t>
                        </w:r>
                      </w:p>
                    </w:tc>
                    <w:tc>
                      <w:tcPr>
                        <w:tcW w:w="1433" w:type="dxa"/>
                        <w:gridSpan w:val="2"/>
                      </w:tcPr>
                      <w:p>
                        <w:pPr>
                          <w:pStyle w:val="TableParagraph"/>
                          <w:spacing w:line="229" w:lineRule="exact"/>
                          <w:ind w:left="856"/>
                          <w:jc w:val="left"/>
                          <w:rPr>
                            <w:sz w:val="20"/>
                          </w:rPr>
                        </w:pPr>
                        <w:r>
                          <w:rPr>
                            <w:color w:val="231F20"/>
                            <w:sz w:val="20"/>
                          </w:rPr>
                          <w:t>35.9%</w:t>
                        </w:r>
                      </w:p>
                    </w:tc>
                  </w:tr>
                  <w:tr>
                    <w:trPr>
                      <w:trHeight w:val="229" w:hRule="exact"/>
                    </w:trPr>
                    <w:tc>
                      <w:tcPr>
                        <w:tcW w:w="4867" w:type="dxa"/>
                        <w:gridSpan w:val="2"/>
                      </w:tcPr>
                      <w:p>
                        <w:pPr>
                          <w:pStyle w:val="TableParagraph"/>
                          <w:spacing w:line="229" w:lineRule="exact"/>
                          <w:ind w:left="50"/>
                          <w:jc w:val="left"/>
                          <w:rPr>
                            <w:sz w:val="20"/>
                          </w:rPr>
                        </w:pPr>
                        <w:r>
                          <w:rPr>
                            <w:color w:val="231F20"/>
                            <w:sz w:val="20"/>
                          </w:rPr>
                          <w:t>Fourth Quarter 2012 .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1,505</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3.38</w:t>
                        </w:r>
                      </w:p>
                    </w:tc>
                    <w:tc>
                      <w:tcPr>
                        <w:tcW w:w="1433" w:type="dxa"/>
                        <w:gridSpan w:val="2"/>
                      </w:tcPr>
                      <w:p>
                        <w:pPr>
                          <w:pStyle w:val="TableParagraph"/>
                          <w:spacing w:line="229" w:lineRule="exact"/>
                          <w:ind w:left="856"/>
                          <w:jc w:val="left"/>
                          <w:rPr>
                            <w:sz w:val="20"/>
                          </w:rPr>
                        </w:pPr>
                        <w:r>
                          <w:rPr>
                            <w:color w:val="231F20"/>
                            <w:sz w:val="20"/>
                          </w:rPr>
                          <w:t>36.9%</w:t>
                        </w:r>
                      </w:p>
                    </w:tc>
                  </w:tr>
                </w:tbl>
                <w:p>
                  <w:pPr>
                    <w:pStyle w:val="BodyText"/>
                  </w:pPr>
                </w:p>
              </w:txbxContent>
            </v:textbox>
            <w10:wrap type="none"/>
          </v:shape>
        </w:pict>
      </w:r>
      <w:r>
        <w:rPr>
          <w:color w:val="231F20"/>
          <w:sz w:val="20"/>
        </w:rPr>
        <w:t>The Company has previously reclassified fuel sales and excise taxes for the years 2003 through 2007 from “Other operating expenses” to “Fuel and oil expense” in order to conform to the presentation for 2008 through 2012. Average fuel cost per gallon figures, as well as the percent of operating expenses, have also been recalculated based on the reclassified</w:t>
      </w:r>
      <w:r>
        <w:rPr>
          <w:color w:val="231F20"/>
          <w:spacing w:val="5"/>
          <w:sz w:val="20"/>
        </w:rPr>
        <w:t> </w:t>
      </w:r>
      <w:r>
        <w:rPr>
          <w:color w:val="231F20"/>
          <w:sz w:val="20"/>
        </w:rPr>
        <w:t>information.</w:t>
      </w:r>
    </w:p>
    <w:p>
      <w:pPr>
        <w:pStyle w:val="BodyText"/>
        <w:spacing w:line="249" w:lineRule="auto" w:before="181"/>
        <w:ind w:left="160" w:right="161" w:firstLine="490"/>
      </w:pP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Although jet fuel prices were slightly less volatile in 2012 than in some previous years, they remain at historically high levels and continue to be subject to extreme volatility based on a variety of factors. In addition, the cost of hedging has increased with current sustained high jet fuel prices and the potential for volatility in the fuel market. The Company’s fuel hedging activities are discussed in more detail below under “Risk Factors,” “Management’s Discussion and Analysis of Financial Condition and Results of Operations,” and Note 10 to the Consolidated Financial Statements.</w:t>
      </w:r>
    </w:p>
    <w:p>
      <w:pPr>
        <w:pStyle w:val="Heading3"/>
        <w:spacing w:before="181"/>
        <w:ind w:left="390" w:right="7677"/>
        <w:jc w:val="center"/>
      </w:pPr>
      <w:r>
        <w:rPr>
          <w:color w:val="231F20"/>
        </w:rPr>
        <w:t>Fare Structure</w:t>
      </w:r>
    </w:p>
    <w:p>
      <w:pPr>
        <w:pStyle w:val="Heading4"/>
        <w:spacing w:before="190"/>
        <w:ind w:left="650"/>
        <w:rPr>
          <w:i/>
        </w:rPr>
      </w:pPr>
      <w:r>
        <w:rPr>
          <w:i/>
          <w:color w:val="231F20"/>
        </w:rPr>
        <w:t>Southwest</w:t>
      </w:r>
    </w:p>
    <w:p>
      <w:pPr>
        <w:pStyle w:val="BodyText"/>
        <w:spacing w:line="249" w:lineRule="auto" w:before="190"/>
        <w:ind w:left="159" w:right="324" w:firstLine="490"/>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1"/>
          <w:numId w:val="1"/>
        </w:numPr>
        <w:tabs>
          <w:tab w:pos="1137" w:val="left" w:leader="none"/>
          <w:tab w:pos="1138" w:val="left" w:leader="none"/>
        </w:tabs>
        <w:spacing w:line="249" w:lineRule="auto" w:before="121" w:after="0"/>
        <w:ind w:left="1138" w:right="300" w:hanging="366"/>
        <w:jc w:val="left"/>
        <w:rPr>
          <w:sz w:val="20"/>
        </w:rPr>
      </w:pPr>
      <w:r>
        <w:rPr>
          <w:color w:val="231F20"/>
          <w:sz w:val="20"/>
        </w:rPr>
        <w:t>“Wanna Get Away” fares are generally the lowest fares and are subject to advance purchase requirements. They are nonrefundable, but funds may be applied to future travel on Southwest. As discussed below under “Operating Strategies and Initiatives – Ancillary Services and Fees,”</w:t>
      </w:r>
      <w:r>
        <w:rPr>
          <w:color w:val="231F20"/>
          <w:spacing w:val="9"/>
          <w:sz w:val="20"/>
        </w:rPr>
        <w:t> </w:t>
      </w:r>
      <w:r>
        <w:rPr>
          <w:color w:val="231F20"/>
          <w:sz w:val="20"/>
        </w:rPr>
        <w:t>during</w:t>
      </w:r>
    </w:p>
    <w:p>
      <w:pPr>
        <w:spacing w:after="0" w:line="249" w:lineRule="auto"/>
        <w:jc w:val="left"/>
        <w:rPr>
          <w:sz w:val="20"/>
        </w:rPr>
        <w:sectPr>
          <w:type w:val="continuous"/>
          <w:pgSz w:w="11880" w:h="15480"/>
          <w:pgMar w:top="1200" w:bottom="280" w:left="1220" w:right="1280"/>
        </w:sectPr>
      </w:pPr>
    </w:p>
    <w:p>
      <w:pPr>
        <w:pStyle w:val="BodyText"/>
        <w:spacing w:line="249" w:lineRule="auto" w:before="73"/>
        <w:ind w:left="1078" w:right="113"/>
      </w:pPr>
      <w:r>
        <w:rPr>
          <w:color w:val="231F20"/>
        </w:rPr>
        <w:t>2013, Southwest intends to implement a service charge for reuse of funds associated with Wanna Get Away tickets that are not canceled or changed prior to departure.</w:t>
      </w:r>
    </w:p>
    <w:p>
      <w:pPr>
        <w:pStyle w:val="ListParagraph"/>
        <w:numPr>
          <w:ilvl w:val="1"/>
          <w:numId w:val="1"/>
        </w:numPr>
        <w:tabs>
          <w:tab w:pos="1077" w:val="left" w:leader="none"/>
          <w:tab w:pos="1078" w:val="left" w:leader="none"/>
        </w:tabs>
        <w:spacing w:line="249" w:lineRule="auto" w:before="121" w:after="0"/>
        <w:ind w:left="1078" w:right="257" w:hanging="366"/>
        <w:jc w:val="left"/>
        <w:rPr>
          <w:sz w:val="20"/>
        </w:rPr>
      </w:pPr>
      <w:r>
        <w:rPr>
          <w:color w:val="231F20"/>
          <w:sz w:val="20"/>
        </w:rPr>
        <w:t>“Anytime” fares are refundable and changeable, and funds may also be applied toward future travel on Southwest.</w:t>
      </w:r>
    </w:p>
    <w:p>
      <w:pPr>
        <w:pStyle w:val="ListParagraph"/>
        <w:numPr>
          <w:ilvl w:val="1"/>
          <w:numId w:val="1"/>
        </w:numPr>
        <w:tabs>
          <w:tab w:pos="1077" w:val="left" w:leader="none"/>
          <w:tab w:pos="1078" w:val="left" w:leader="none"/>
        </w:tabs>
        <w:spacing w:line="249" w:lineRule="auto" w:before="121" w:after="0"/>
        <w:ind w:left="1078" w:right="224"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 a higher frequent flyer point multiplier than other Southwest fares, priority security and ticket counter access in select airports, and one complimentary adult beverage coupon for the day of travel (for Customers of legal drinking</w:t>
      </w:r>
      <w:r>
        <w:rPr>
          <w:color w:val="231F20"/>
          <w:spacing w:val="3"/>
          <w:sz w:val="20"/>
        </w:rPr>
        <w:t> </w:t>
      </w:r>
      <w:r>
        <w:rPr>
          <w:color w:val="231F20"/>
          <w:sz w:val="20"/>
        </w:rPr>
        <w:t>age).</w:t>
      </w:r>
    </w:p>
    <w:p>
      <w:pPr>
        <w:pStyle w:val="Heading4"/>
        <w:spacing w:before="181"/>
        <w:ind w:left="590"/>
        <w:rPr>
          <w:i/>
        </w:rPr>
      </w:pPr>
      <w:r>
        <w:rPr>
          <w:i/>
          <w:color w:val="231F20"/>
        </w:rPr>
        <w:t>AirTran</w:t>
      </w:r>
    </w:p>
    <w:p>
      <w:pPr>
        <w:pStyle w:val="BodyText"/>
        <w:spacing w:line="249" w:lineRule="auto" w:before="190"/>
        <w:ind w:left="100" w:right="128" w:firstLine="490"/>
      </w:pPr>
      <w:r>
        <w:rPr>
          <w:color w:val="231F20"/>
        </w:rPr>
        <w:t>AirTran also offers a user-friendly fare structure that features a variety of competitive fares and products. Unlike Southwest,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w:t>
      </w:r>
      <w:r>
        <w:rPr>
          <w:color w:val="231F20"/>
          <w:spacing w:val="2"/>
        </w:rPr>
        <w:t> </w:t>
      </w:r>
      <w:r>
        <w:rPr>
          <w:color w:val="231F20"/>
        </w:rPr>
        <w:t>travel.</w:t>
      </w:r>
    </w:p>
    <w:p>
      <w:pPr>
        <w:pStyle w:val="Heading3"/>
        <w:spacing w:before="181"/>
        <w:ind w:left="350"/>
      </w:pPr>
      <w:r>
        <w:rPr>
          <w:color w:val="231F20"/>
        </w:rPr>
        <w:t>Websites</w:t>
      </w:r>
    </w:p>
    <w:p>
      <w:pPr>
        <w:pStyle w:val="Heading4"/>
        <w:spacing w:before="190"/>
        <w:ind w:left="590"/>
        <w:rPr>
          <w:i/>
        </w:rPr>
      </w:pPr>
      <w:r>
        <w:rPr>
          <w:i/>
          <w:color w:val="231F20"/>
        </w:rPr>
        <w:t>Southwest.com</w:t>
      </w:r>
    </w:p>
    <w:p>
      <w:pPr>
        <w:pStyle w:val="BodyText"/>
        <w:spacing w:line="249" w:lineRule="auto" w:before="186"/>
        <w:ind w:left="100" w:right="104" w:firstLine="490"/>
      </w:pPr>
      <w:r>
        <w:rPr>
          <w:color w:val="231F20"/>
        </w:rPr>
        <w:t>The Company’s Internet website, southwest.com</w:t>
      </w:r>
      <w:r>
        <w:rPr>
          <w:color w:val="231F20"/>
          <w:position w:val="5"/>
          <w:sz w:val="15"/>
        </w:rPr>
        <w:t>®</w:t>
      </w:r>
      <w:r>
        <w:rPr>
          <w:color w:val="231F20"/>
        </w:rPr>
        <w:t>, is the only avenue for Southwest Customers to purchase and manage travel online. Any part of a Customer’s trip can be planned directly from the southwest.com home page. Southwest.com can recognize nearby airports for a Customer and provide offers relevant to the Customer. Southwest.com can remember a Customer’s most recent searches to make it easier for the Customer to shop for flights, cars, and hotels, and includes a shopping cart functionality that allows a Customer to purchase air, hotel, and car all at once. Customers can book unaccompanied minor travel online. Southwest.com highlights points of differentiation between Southwest and other air carriers, as well as the fact that southwest.com is the only place where Customers can purchase Southwest fares online. During 2012, the Company enhanced southwest.com and swabiz.com (the Company’s business travel reservation web page) for its Spanish speaking Customers by translating both websites into Spanish. This enhancement provides an easier booking tool to Customers who prefer to transact in Spanish. During 2012, southwest.com accounted for approximately 85 percent of all Southwest bookings. In addition, for the year ended December 31, 2012, approximately 84 percent of Southwest’s Passenger revenues came through its website (including revenues from</w:t>
      </w:r>
      <w:r>
        <w:rPr>
          <w:color w:val="231F20"/>
          <w:spacing w:val="8"/>
        </w:rPr>
        <w:t> </w:t>
      </w:r>
      <w:r>
        <w:rPr>
          <w:color w:val="231F20"/>
        </w:rPr>
        <w:t>SWABIZ</w:t>
      </w:r>
      <w:r>
        <w:rPr>
          <w:color w:val="231F20"/>
          <w:position w:val="5"/>
          <w:sz w:val="15"/>
        </w:rPr>
        <w:t>®</w:t>
      </w:r>
      <w:r>
        <w:rPr>
          <w:color w:val="231F20"/>
        </w:rPr>
        <w:t>).</w:t>
      </w:r>
    </w:p>
    <w:p>
      <w:pPr>
        <w:pStyle w:val="Heading4"/>
        <w:spacing w:before="180"/>
        <w:ind w:left="590"/>
        <w:rPr>
          <w:i/>
        </w:rPr>
      </w:pPr>
      <w:r>
        <w:rPr>
          <w:i/>
          <w:color w:val="231F20"/>
        </w:rPr>
        <w:t>AirTran.com</w:t>
      </w:r>
    </w:p>
    <w:p>
      <w:pPr>
        <w:pStyle w:val="BodyText"/>
        <w:spacing w:line="249" w:lineRule="auto" w:before="189"/>
        <w:ind w:left="100" w:right="140" w:firstLine="490"/>
      </w:pPr>
      <w:r>
        <w:rPr>
          <w:color w:val="231F20"/>
        </w:rPr>
        <w:t>The Internet is also an integral part of AirTran’s distribution network. Sales booked directly on airtran.com represent AirTran’s largest and most cost-effective form of distribution. In addition to being user-friendly and simple, AirTran’s website is designed to sell tickets efficiently. AirTran.com allows Customers to easily book and manage their travel, including the ability to retrieve and change future flight reservations, make seat selections, and check in online. Sales through airtran.com produced approximately 54 percent of AirTran’s revenues during 2012 and approximately 58 percent of AirTran’s total bookings in 2012.</w:t>
      </w:r>
    </w:p>
    <w:p>
      <w:pPr>
        <w:pStyle w:val="Heading3"/>
        <w:spacing w:before="180"/>
      </w:pPr>
      <w:r>
        <w:rPr>
          <w:color w:val="231F20"/>
        </w:rPr>
        <w:t>Operating Strategies and Initiatives</w:t>
      </w:r>
    </w:p>
    <w:p>
      <w:pPr>
        <w:pStyle w:val="BodyText"/>
        <w:spacing w:line="249" w:lineRule="auto" w:before="129"/>
        <w:ind w:left="100" w:right="256" w:firstLine="490"/>
      </w:pPr>
      <w:r>
        <w:rPr>
          <w:color w:val="231F20"/>
        </w:rPr>
        <w:t>During 2012, the Company continued to address economic uncertainty and high jet fuel prices through its strategic initiatives. The Company focused on five major strategic initiatives: (i) integration of AirTran,</w:t>
      </w:r>
    </w:p>
    <w:p>
      <w:pPr>
        <w:pStyle w:val="ListParagraph"/>
        <w:numPr>
          <w:ilvl w:val="0"/>
          <w:numId w:val="2"/>
        </w:numPr>
        <w:tabs>
          <w:tab w:pos="396" w:val="left" w:leader="none"/>
        </w:tabs>
        <w:spacing w:line="249" w:lineRule="auto" w:before="0" w:after="0"/>
        <w:ind w:left="100" w:right="171" w:firstLine="0"/>
        <w:jc w:val="left"/>
        <w:rPr>
          <w:sz w:val="20"/>
        </w:rPr>
      </w:pPr>
      <w:r>
        <w:rPr>
          <w:color w:val="231F20"/>
          <w:sz w:val="20"/>
        </w:rPr>
        <w:t>Southwest’s All-New Rapid Rewards</w:t>
      </w:r>
      <w:r>
        <w:rPr>
          <w:color w:val="231F20"/>
          <w:position w:val="5"/>
          <w:sz w:val="15"/>
        </w:rPr>
        <w:t>® </w:t>
      </w:r>
      <w:r>
        <w:rPr>
          <w:color w:val="231F20"/>
          <w:sz w:val="20"/>
        </w:rPr>
        <w:t>frequent flyer program, (iii) fleet modernization, (iv) incorporation of the larger Boeing 737-800 aircraft into the Southwest fleet, and (v) new reservation system and</w:t>
      </w:r>
      <w:r>
        <w:rPr>
          <w:color w:val="231F20"/>
          <w:spacing w:val="7"/>
          <w:sz w:val="20"/>
        </w:rPr>
        <w:t> </w:t>
      </w:r>
      <w:r>
        <w:rPr>
          <w:color w:val="231F20"/>
          <w:sz w:val="20"/>
        </w:rPr>
        <w:t>international</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0" w:right="101"/>
      </w:pPr>
      <w:r>
        <w:rPr>
          <w:color w:val="231F20"/>
        </w:rPr>
        <w:t>capabilities. In addition to the Company’s five major strategic initiatives, the Company has continued to design, implement, and manage other strategic initiatives to increase revenues, improve cost controls, and attract and retain Customers. All of these initiatives are designed to contribute to the Company’s achievement of its pre-tax return on invested capital target of 15 percent.</w:t>
      </w:r>
    </w:p>
    <w:p>
      <w:pPr>
        <w:pStyle w:val="Heading3"/>
        <w:spacing w:before="181"/>
        <w:ind w:right="6449"/>
        <w:jc w:val="center"/>
      </w:pPr>
      <w:r>
        <w:rPr>
          <w:color w:val="231F20"/>
        </w:rPr>
        <w:t>Major Strategic Initiatives</w:t>
      </w:r>
    </w:p>
    <w:p>
      <w:pPr>
        <w:pStyle w:val="Heading4"/>
        <w:spacing w:before="190"/>
        <w:ind w:left="590"/>
        <w:rPr>
          <w:i/>
        </w:rPr>
      </w:pPr>
      <w:r>
        <w:rPr>
          <w:i/>
          <w:color w:val="231F20"/>
        </w:rPr>
        <w:t>Integration of AirTran</w:t>
      </w:r>
    </w:p>
    <w:p>
      <w:pPr>
        <w:pStyle w:val="BodyText"/>
        <w:spacing w:line="249" w:lineRule="auto" w:before="190"/>
        <w:ind w:left="100" w:right="1089" w:firstLine="490"/>
      </w:pPr>
      <w:r>
        <w:rPr>
          <w:color w:val="231F20"/>
        </w:rPr>
        <w:t>During 2012, the Company continued the process of integrating AirTran into its operations and accomplished the following key integration milestones:</w:t>
      </w:r>
    </w:p>
    <w:p>
      <w:pPr>
        <w:pStyle w:val="ListParagraph"/>
        <w:numPr>
          <w:ilvl w:val="1"/>
          <w:numId w:val="2"/>
        </w:numPr>
        <w:tabs>
          <w:tab w:pos="1077" w:val="left" w:leader="none"/>
          <w:tab w:pos="1078" w:val="left" w:leader="none"/>
        </w:tabs>
        <w:spacing w:line="249" w:lineRule="auto" w:before="181" w:after="0"/>
        <w:ind w:left="1078" w:right="258" w:hanging="366"/>
        <w:jc w:val="left"/>
        <w:rPr>
          <w:sz w:val="20"/>
        </w:rPr>
      </w:pPr>
      <w:r>
        <w:rPr>
          <w:color w:val="231F20"/>
          <w:sz w:val="20"/>
        </w:rPr>
        <w:t>The Company received a single operating certificate from the FAA, which allowed the Company to begin the operational integration of Southwest and</w:t>
      </w:r>
      <w:r>
        <w:rPr>
          <w:color w:val="231F20"/>
          <w:spacing w:val="4"/>
          <w:sz w:val="20"/>
        </w:rPr>
        <w:t> </w:t>
      </w:r>
      <w:r>
        <w:rPr>
          <w:color w:val="231F20"/>
          <w:sz w:val="20"/>
        </w:rPr>
        <w:t>AirTran.</w:t>
      </w:r>
    </w:p>
    <w:p>
      <w:pPr>
        <w:pStyle w:val="ListParagraph"/>
        <w:numPr>
          <w:ilvl w:val="1"/>
          <w:numId w:val="2"/>
        </w:numPr>
        <w:tabs>
          <w:tab w:pos="1077" w:val="left" w:leader="none"/>
          <w:tab w:pos="1078" w:val="left" w:leader="none"/>
        </w:tabs>
        <w:spacing w:line="249" w:lineRule="auto" w:before="181" w:after="0"/>
        <w:ind w:left="1078" w:right="323" w:hanging="366"/>
        <w:jc w:val="left"/>
        <w:rPr>
          <w:sz w:val="20"/>
        </w:rPr>
      </w:pPr>
      <w:r>
        <w:rPr>
          <w:color w:val="231F20"/>
          <w:sz w:val="20"/>
        </w:rPr>
        <w:t>The Company finished moving all of AirTran’s headquarters functions to Dallas, integrated the Finance and Human Resources systems, and transferred over 2,100 AirTran Employees to Southwest, including all remaining headquarters Employees and most Maintenance &amp; Engineering Employees.</w:t>
      </w:r>
    </w:p>
    <w:p>
      <w:pPr>
        <w:pStyle w:val="ListParagraph"/>
        <w:numPr>
          <w:ilvl w:val="1"/>
          <w:numId w:val="2"/>
        </w:numPr>
        <w:tabs>
          <w:tab w:pos="1077" w:val="left" w:leader="none"/>
          <w:tab w:pos="1078" w:val="left" w:leader="none"/>
        </w:tabs>
        <w:spacing w:line="249" w:lineRule="auto" w:before="181" w:after="0"/>
        <w:ind w:left="1078" w:right="124" w:hanging="366"/>
        <w:jc w:val="left"/>
        <w:rPr>
          <w:sz w:val="20"/>
        </w:rPr>
      </w:pPr>
      <w:r>
        <w:rPr>
          <w:color w:val="231F20"/>
          <w:sz w:val="20"/>
        </w:rPr>
        <w:t>The Company continued to further optimize AirTran’s route network by, among other things, closing 14 airports that proved unsustainable and redeploying AirTran aircraft in other markets. During 2012, AirTran added Mexico City and Cabo San Lucas to its route network and added new international service from Denver, Colorado; Chicago, Illinois; Austin, Texas; San Antonio, Texas; and Orange County, California.</w:t>
      </w:r>
    </w:p>
    <w:p>
      <w:pPr>
        <w:pStyle w:val="ListParagraph"/>
        <w:numPr>
          <w:ilvl w:val="1"/>
          <w:numId w:val="2"/>
        </w:numPr>
        <w:tabs>
          <w:tab w:pos="1077" w:val="left" w:leader="none"/>
          <w:tab w:pos="1078" w:val="left" w:leader="none"/>
        </w:tabs>
        <w:spacing w:line="249" w:lineRule="auto" w:before="181" w:after="0"/>
        <w:ind w:left="1078" w:right="342" w:hanging="366"/>
        <w:jc w:val="left"/>
        <w:rPr>
          <w:sz w:val="20"/>
        </w:rPr>
      </w:pPr>
      <w:r>
        <w:rPr>
          <w:color w:val="231F20"/>
          <w:sz w:val="20"/>
        </w:rPr>
        <w:t>The Company began converting AirTran 737-700 aircraft to the Southwest livery. As of December 31, 2012, 11 out of a total of 52 AirTran 737-700 aircraft had completed the conversion process and re-entered service as Southwest aircraft. The Company expects to transition an additional eight AirTran 737-700 aircraft into conversion during 2013. The Company expects to convert the majority of the remaining AirTran 737-700 aircraft in</w:t>
      </w:r>
      <w:r>
        <w:rPr>
          <w:color w:val="231F20"/>
          <w:spacing w:val="7"/>
          <w:sz w:val="20"/>
        </w:rPr>
        <w:t> </w:t>
      </w:r>
      <w:r>
        <w:rPr>
          <w:color w:val="231F20"/>
          <w:sz w:val="20"/>
        </w:rPr>
        <w:t>2014.</w:t>
      </w:r>
    </w:p>
    <w:p>
      <w:pPr>
        <w:pStyle w:val="ListParagraph"/>
        <w:numPr>
          <w:ilvl w:val="1"/>
          <w:numId w:val="2"/>
        </w:numPr>
        <w:tabs>
          <w:tab w:pos="1077" w:val="left" w:leader="none"/>
          <w:tab w:pos="1078" w:val="left" w:leader="none"/>
        </w:tabs>
        <w:spacing w:line="249" w:lineRule="auto" w:before="181" w:after="0"/>
        <w:ind w:left="1078" w:right="102" w:hanging="366"/>
        <w:jc w:val="left"/>
        <w:rPr>
          <w:sz w:val="20"/>
        </w:rPr>
      </w:pPr>
      <w:r>
        <w:rPr>
          <w:color w:val="231F20"/>
          <w:sz w:val="20"/>
        </w:rPr>
        <w:t>The Company further coordinated Southwest and AirTran flight schedules, launched booking tools to allow Customers of both airlines to book flights on either carrier via southwest.com or airtran.com, and made significant progress towards implementing connecting capabilities between the Southwest and AirTran reservations systems to allow Customers of Southwest and AirTran to book connecting itineraries between the two carriers. Full deployment of connecting capabilities is expected to occur in early</w:t>
      </w:r>
      <w:r>
        <w:rPr>
          <w:color w:val="231F20"/>
          <w:spacing w:val="1"/>
          <w:sz w:val="20"/>
        </w:rPr>
        <w:t> </w:t>
      </w:r>
      <w:r>
        <w:rPr>
          <w:color w:val="231F20"/>
          <w:sz w:val="20"/>
        </w:rPr>
        <w:t>2013.</w:t>
      </w:r>
    </w:p>
    <w:p>
      <w:pPr>
        <w:pStyle w:val="ListParagraph"/>
        <w:numPr>
          <w:ilvl w:val="1"/>
          <w:numId w:val="2"/>
        </w:numPr>
        <w:tabs>
          <w:tab w:pos="1077" w:val="left" w:leader="none"/>
          <w:tab w:pos="1078" w:val="left" w:leader="none"/>
        </w:tabs>
        <w:spacing w:line="249" w:lineRule="auto" w:before="181" w:after="0"/>
        <w:ind w:left="1078" w:right="190" w:hanging="366"/>
        <w:jc w:val="left"/>
        <w:rPr>
          <w:sz w:val="20"/>
        </w:rPr>
      </w:pPr>
      <w:r>
        <w:rPr>
          <w:color w:val="231F20"/>
          <w:sz w:val="20"/>
        </w:rPr>
        <w:t>The Company took further steps towards integrating the frequent flyer programs of Southwest and AirTran by enabling Customers to transfer their loyalty rewards between the Southwest and AirTran frequent flyer</w:t>
      </w:r>
      <w:r>
        <w:rPr>
          <w:color w:val="231F20"/>
          <w:spacing w:val="2"/>
          <w:sz w:val="20"/>
        </w:rPr>
        <w:t> </w:t>
      </w:r>
      <w:r>
        <w:rPr>
          <w:color w:val="231F20"/>
          <w:sz w:val="20"/>
        </w:rPr>
        <w:t>programs.</w:t>
      </w:r>
    </w:p>
    <w:p>
      <w:pPr>
        <w:pStyle w:val="ListParagraph"/>
        <w:numPr>
          <w:ilvl w:val="1"/>
          <w:numId w:val="2"/>
        </w:numPr>
        <w:tabs>
          <w:tab w:pos="1077" w:val="left" w:leader="none"/>
          <w:tab w:pos="1078" w:val="left" w:leader="none"/>
        </w:tabs>
        <w:spacing w:line="249" w:lineRule="auto" w:before="181" w:after="0"/>
        <w:ind w:left="1078" w:right="153" w:hanging="366"/>
        <w:jc w:val="left"/>
        <w:rPr>
          <w:sz w:val="20"/>
        </w:rPr>
      </w:pPr>
      <w:r>
        <w:rPr>
          <w:color w:val="231F20"/>
          <w:sz w:val="20"/>
        </w:rPr>
        <w:t>The Company significantly grew the Southwest network by converting AirTran service to Southwest service in several new markets, including full conversions of Washington Dulles in second quarter 2012, Seattle, Washington and Des Moines, Iowa in third quarter 2012, and Key West, Florida in fourth quarter 2012. In January 2013, the Company fully converted its AirTran operations in Phoenix, Arizona to Southwest.</w:t>
      </w:r>
    </w:p>
    <w:p>
      <w:pPr>
        <w:pStyle w:val="ListParagraph"/>
        <w:numPr>
          <w:ilvl w:val="1"/>
          <w:numId w:val="2"/>
        </w:numPr>
        <w:tabs>
          <w:tab w:pos="1077" w:val="left" w:leader="none"/>
          <w:tab w:pos="1078" w:val="left" w:leader="none"/>
        </w:tabs>
        <w:spacing w:line="249" w:lineRule="auto" w:before="181" w:after="0"/>
        <w:ind w:left="1078" w:right="442" w:hanging="366"/>
        <w:jc w:val="left"/>
        <w:rPr>
          <w:sz w:val="20"/>
        </w:rPr>
      </w:pPr>
      <w:r>
        <w:rPr>
          <w:color w:val="231F20"/>
          <w:sz w:val="20"/>
        </w:rPr>
        <w:t>The Company completed all of its AirTran airport facility transitions, where the two airlines both operate, by moving certain facilities in shared locations from one carrier to the other wherever possible.</w:t>
      </w:r>
    </w:p>
    <w:p>
      <w:pPr>
        <w:pStyle w:val="ListParagraph"/>
        <w:numPr>
          <w:ilvl w:val="1"/>
          <w:numId w:val="2"/>
        </w:numPr>
        <w:tabs>
          <w:tab w:pos="1077" w:val="left" w:leader="none"/>
          <w:tab w:pos="1078" w:val="left" w:leader="none"/>
        </w:tabs>
        <w:spacing w:line="249" w:lineRule="auto" w:before="181" w:after="0"/>
        <w:ind w:left="1078" w:right="642" w:hanging="366"/>
        <w:jc w:val="left"/>
        <w:rPr>
          <w:sz w:val="20"/>
        </w:rPr>
      </w:pPr>
      <w:r>
        <w:rPr>
          <w:color w:val="231F20"/>
          <w:sz w:val="20"/>
        </w:rPr>
        <w:t>The Company continued its progress towards integrating Southwest’s and AirTran’s unionized workforce. Southwest’s Aircraft Mechanics, represented by the Aircraft Mechanics</w:t>
      </w:r>
      <w:r>
        <w:rPr>
          <w:color w:val="231F20"/>
          <w:spacing w:val="10"/>
          <w:sz w:val="20"/>
        </w:rPr>
        <w:t> </w:t>
      </w:r>
      <w:r>
        <w:rPr>
          <w:color w:val="231F20"/>
          <w:sz w:val="20"/>
        </w:rPr>
        <w:t>Fraternal</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78" w:right="100"/>
      </w:pPr>
      <w:r>
        <w:rPr>
          <w:color w:val="231F20"/>
        </w:rPr>
        <w:t>Association (“AMFA”), and the Aircraft Mechanics and Inspectors at AirTran, represented by the International Brotherhood of Teamsters, Local 528 (“IBT 528”), voted to ratify their Seniority Integration Agreement, which integrates the two groups’ seniority lists. Further, the International Association of Machinists and Aerospace Workers, AFL-CIO (“IAM 142”), which represents the Customer Service Agents and Customer Representatives at both Southwest and AirTran, reached a decision regarding the methodology for integrating the seniority lists of the two workgroups. The decision by IAM 142 was not subject to a vote by the respective workgroups. In addition, a settlement agreement was reached for integrating the seniority lists of Material Specialists at Southwest and AirTran. As a result of these agreements, all Southwest and AirTran union workgroup seniority integration methodologies have now been resolved. The Company’s Pilots, Flight Attendants, Flight Instructors, Dispatchers, and Ramp, Operations, Provisioning, and Freight Agents have also successfully completed the seniority integration negotiation</w:t>
      </w:r>
      <w:r>
        <w:rPr>
          <w:color w:val="231F20"/>
          <w:spacing w:val="9"/>
        </w:rPr>
        <w:t> </w:t>
      </w:r>
      <w:r>
        <w:rPr>
          <w:color w:val="231F20"/>
        </w:rPr>
        <w:t>process.</w:t>
      </w:r>
    </w:p>
    <w:p>
      <w:pPr>
        <w:pStyle w:val="BodyText"/>
        <w:spacing w:before="181"/>
        <w:ind w:left="590"/>
      </w:pPr>
      <w:r>
        <w:rPr>
          <w:color w:val="231F20"/>
        </w:rPr>
        <w:t>During 2013, the Company expects to:</w:t>
      </w:r>
    </w:p>
    <w:p>
      <w:pPr>
        <w:pStyle w:val="ListParagraph"/>
        <w:numPr>
          <w:ilvl w:val="1"/>
          <w:numId w:val="2"/>
        </w:numPr>
        <w:tabs>
          <w:tab w:pos="1077" w:val="left" w:leader="none"/>
          <w:tab w:pos="1078" w:val="left" w:leader="none"/>
        </w:tabs>
        <w:spacing w:line="249" w:lineRule="auto" w:before="190" w:after="0"/>
        <w:ind w:left="1078" w:right="525" w:hanging="366"/>
        <w:jc w:val="left"/>
        <w:rPr>
          <w:sz w:val="20"/>
        </w:rPr>
      </w:pPr>
      <w:r>
        <w:rPr>
          <w:color w:val="231F20"/>
          <w:sz w:val="20"/>
        </w:rPr>
        <w:t>continue to produce significant Southwest network growth through the multi-year conversion of AirTran’s 737-700 fleet, products, gates, and services to Southwest’s</w:t>
      </w:r>
      <w:r>
        <w:rPr>
          <w:color w:val="231F20"/>
          <w:spacing w:val="6"/>
          <w:sz w:val="20"/>
        </w:rPr>
        <w:t> </w:t>
      </w:r>
      <w:r>
        <w:rPr>
          <w:color w:val="231F20"/>
          <w:sz w:val="20"/>
        </w:rPr>
        <w:t>look;</w:t>
      </w:r>
    </w:p>
    <w:p>
      <w:pPr>
        <w:pStyle w:val="ListParagraph"/>
        <w:numPr>
          <w:ilvl w:val="1"/>
          <w:numId w:val="2"/>
        </w:numPr>
        <w:tabs>
          <w:tab w:pos="1077" w:val="left" w:leader="none"/>
          <w:tab w:pos="1078" w:val="left" w:leader="none"/>
        </w:tabs>
        <w:spacing w:line="249" w:lineRule="auto" w:before="181" w:after="0"/>
        <w:ind w:left="1078" w:right="213" w:hanging="366"/>
        <w:jc w:val="left"/>
        <w:rPr>
          <w:sz w:val="20"/>
        </w:rPr>
      </w:pPr>
      <w:r>
        <w:rPr>
          <w:color w:val="231F20"/>
          <w:sz w:val="20"/>
        </w:rPr>
        <w:t>continue to transfer AirTran Employees to Southwest, including the complete transfer of all remaining departments, with the exception of Flight Crews, whose transition is aligned with aircraft conversion;</w:t>
      </w:r>
    </w:p>
    <w:p>
      <w:pPr>
        <w:pStyle w:val="ListParagraph"/>
        <w:numPr>
          <w:ilvl w:val="1"/>
          <w:numId w:val="2"/>
        </w:numPr>
        <w:tabs>
          <w:tab w:pos="1077" w:val="left" w:leader="none"/>
          <w:tab w:pos="1078" w:val="left" w:leader="none"/>
        </w:tabs>
        <w:spacing w:line="249" w:lineRule="auto" w:before="181" w:after="0"/>
        <w:ind w:left="1078" w:right="243" w:hanging="366"/>
        <w:jc w:val="left"/>
        <w:rPr>
          <w:sz w:val="20"/>
        </w:rPr>
      </w:pPr>
      <w:r>
        <w:rPr>
          <w:color w:val="231F20"/>
          <w:sz w:val="20"/>
        </w:rPr>
        <w:t>deploy connecting capabilities between the Southwest and AirTran networks to allow Customers of both Southwest and AirTran to book connecting itineraries between the two carriers;</w:t>
      </w:r>
      <w:r>
        <w:rPr>
          <w:color w:val="231F20"/>
          <w:spacing w:val="6"/>
          <w:sz w:val="20"/>
        </w:rPr>
        <w:t> </w:t>
      </w:r>
      <w:r>
        <w:rPr>
          <w:color w:val="231F20"/>
          <w:sz w:val="20"/>
        </w:rPr>
        <w:t>and</w:t>
      </w:r>
    </w:p>
    <w:p>
      <w:pPr>
        <w:pStyle w:val="ListParagraph"/>
        <w:numPr>
          <w:ilvl w:val="1"/>
          <w:numId w:val="2"/>
        </w:numPr>
        <w:tabs>
          <w:tab w:pos="1077" w:val="left" w:leader="none"/>
          <w:tab w:pos="1078" w:val="left" w:leader="none"/>
        </w:tabs>
        <w:spacing w:line="249" w:lineRule="auto" w:before="181" w:after="0"/>
        <w:ind w:left="1078" w:right="209" w:hanging="366"/>
        <w:jc w:val="left"/>
        <w:rPr>
          <w:sz w:val="20"/>
        </w:rPr>
      </w:pPr>
      <w:r>
        <w:rPr>
          <w:color w:val="231F20"/>
          <w:sz w:val="20"/>
        </w:rPr>
        <w:t>continue to further optimize and align the Southwest and AirTran networks, which is expected to be a multi-year</w:t>
      </w:r>
      <w:r>
        <w:rPr>
          <w:color w:val="231F20"/>
          <w:spacing w:val="2"/>
          <w:sz w:val="20"/>
        </w:rPr>
        <w:t> </w:t>
      </w:r>
      <w:r>
        <w:rPr>
          <w:color w:val="231F20"/>
          <w:sz w:val="20"/>
        </w:rPr>
        <w:t>undertaking.</w:t>
      </w:r>
    </w:p>
    <w:p>
      <w:pPr>
        <w:pStyle w:val="BodyText"/>
        <w:spacing w:line="249" w:lineRule="auto" w:before="181"/>
        <w:ind w:left="100" w:right="292" w:firstLine="490"/>
      </w:pPr>
      <w:r>
        <w:rPr>
          <w:color w:val="231F20"/>
        </w:rPr>
        <w:t>The Company believes the acquisition of AirTran has positioned it to better respond to the economic and competitive challenges of the industry because:</w:t>
      </w:r>
    </w:p>
    <w:p>
      <w:pPr>
        <w:pStyle w:val="ListParagraph"/>
        <w:numPr>
          <w:ilvl w:val="1"/>
          <w:numId w:val="2"/>
        </w:numPr>
        <w:tabs>
          <w:tab w:pos="1077" w:val="left" w:leader="none"/>
          <w:tab w:pos="1078" w:val="left" w:leader="none"/>
        </w:tabs>
        <w:spacing w:line="249" w:lineRule="auto" w:before="181" w:after="0"/>
        <w:ind w:left="1078" w:right="104" w:hanging="366"/>
        <w:jc w:val="left"/>
        <w:rPr>
          <w:sz w:val="20"/>
        </w:rPr>
      </w:pPr>
      <w:r>
        <w:rPr>
          <w:color w:val="231F20"/>
          <w:sz w:val="20"/>
        </w:rPr>
        <w:t>it grows the Company’s presence in key markets, many of which Southwest did not previously serve, and represents a significant step toward positioning the Company for future</w:t>
      </w:r>
      <w:r>
        <w:rPr>
          <w:color w:val="231F20"/>
          <w:spacing w:val="6"/>
          <w:sz w:val="20"/>
        </w:rPr>
        <w:t> </w:t>
      </w:r>
      <w:r>
        <w:rPr>
          <w:color w:val="231F20"/>
          <w:sz w:val="20"/>
        </w:rPr>
        <w:t>growth;</w:t>
      </w:r>
    </w:p>
    <w:p>
      <w:pPr>
        <w:pStyle w:val="ListParagraph"/>
        <w:numPr>
          <w:ilvl w:val="1"/>
          <w:numId w:val="2"/>
        </w:numPr>
        <w:tabs>
          <w:tab w:pos="1077" w:val="left" w:leader="none"/>
          <w:tab w:pos="1078" w:val="left" w:leader="none"/>
        </w:tabs>
        <w:spacing w:line="249" w:lineRule="auto" w:before="181" w:after="0"/>
        <w:ind w:left="1078" w:right="290" w:hanging="366"/>
        <w:jc w:val="left"/>
        <w:rPr>
          <w:sz w:val="20"/>
        </w:rPr>
      </w:pPr>
      <w:r>
        <w:rPr>
          <w:color w:val="231F20"/>
          <w:sz w:val="20"/>
        </w:rPr>
        <w:t>it allows the Company to offer 25 more destinations by extending its network and diversifying into new markets, including significant opportunities to and from Atlanta, the largest domestic market Southwest previously did not</w:t>
      </w:r>
      <w:r>
        <w:rPr>
          <w:color w:val="231F20"/>
          <w:spacing w:val="1"/>
          <w:sz w:val="20"/>
        </w:rPr>
        <w:t> </w:t>
      </w:r>
      <w:r>
        <w:rPr>
          <w:color w:val="231F20"/>
          <w:sz w:val="20"/>
        </w:rPr>
        <w:t>serve;</w:t>
      </w:r>
    </w:p>
    <w:p>
      <w:pPr>
        <w:pStyle w:val="ListParagraph"/>
        <w:numPr>
          <w:ilvl w:val="1"/>
          <w:numId w:val="2"/>
        </w:numPr>
        <w:tabs>
          <w:tab w:pos="1077" w:val="left" w:leader="none"/>
          <w:tab w:pos="1078" w:val="left" w:leader="none"/>
        </w:tabs>
        <w:spacing w:line="249" w:lineRule="auto" w:before="181" w:after="0"/>
        <w:ind w:left="1078" w:right="197" w:hanging="366"/>
        <w:jc w:val="left"/>
        <w:rPr>
          <w:sz w:val="20"/>
        </w:rPr>
      </w:pPr>
      <w:r>
        <w:rPr>
          <w:color w:val="231F20"/>
          <w:sz w:val="20"/>
        </w:rPr>
        <w:t>it expands the Company’s presence in slot-controlled markets where Southwest previously had little (New York LaGuardia) or no (Ronald Reagan Washington National Airport)</w:t>
      </w:r>
      <w:r>
        <w:rPr>
          <w:color w:val="231F20"/>
          <w:spacing w:val="3"/>
          <w:sz w:val="20"/>
        </w:rPr>
        <w:t> </w:t>
      </w:r>
      <w:r>
        <w:rPr>
          <w:color w:val="231F20"/>
          <w:sz w:val="20"/>
        </w:rPr>
        <w:t>service;</w:t>
      </w:r>
    </w:p>
    <w:p>
      <w:pPr>
        <w:pStyle w:val="ListParagraph"/>
        <w:numPr>
          <w:ilvl w:val="1"/>
          <w:numId w:val="2"/>
        </w:numPr>
        <w:tabs>
          <w:tab w:pos="1077" w:val="left" w:leader="none"/>
          <w:tab w:pos="1078" w:val="left" w:leader="none"/>
        </w:tabs>
        <w:spacing w:line="249" w:lineRule="auto" w:before="181" w:after="0"/>
        <w:ind w:left="1078" w:right="291" w:hanging="366"/>
        <w:jc w:val="left"/>
        <w:rPr>
          <w:sz w:val="20"/>
        </w:rPr>
      </w:pPr>
      <w:r>
        <w:rPr>
          <w:color w:val="231F20"/>
          <w:sz w:val="20"/>
        </w:rPr>
        <w:t>it expands the Company’s service in other key domestic markets, including Baltimore, Milwaukee, and Orlando and adds destinations to its route</w:t>
      </w:r>
      <w:r>
        <w:rPr>
          <w:color w:val="231F20"/>
          <w:spacing w:val="4"/>
          <w:sz w:val="20"/>
        </w:rPr>
        <w:t> </w:t>
      </w:r>
      <w:r>
        <w:rPr>
          <w:color w:val="231F20"/>
          <w:sz w:val="20"/>
        </w:rPr>
        <w:t>system;</w:t>
      </w:r>
    </w:p>
    <w:p>
      <w:pPr>
        <w:pStyle w:val="ListParagraph"/>
        <w:numPr>
          <w:ilvl w:val="1"/>
          <w:numId w:val="2"/>
        </w:numPr>
        <w:tabs>
          <w:tab w:pos="1077" w:val="left" w:leader="none"/>
          <w:tab w:pos="1078" w:val="left" w:leader="none"/>
        </w:tabs>
        <w:spacing w:line="249" w:lineRule="auto" w:before="181" w:after="0"/>
        <w:ind w:left="1078" w:right="405" w:hanging="366"/>
        <w:jc w:val="left"/>
        <w:rPr>
          <w:sz w:val="20"/>
        </w:rPr>
      </w:pPr>
      <w:r>
        <w:rPr>
          <w:color w:val="231F20"/>
          <w:sz w:val="20"/>
        </w:rPr>
        <w:t>it increases the Company’s share of current domestic market share (as measured by available seat miles or passengers);</w:t>
      </w:r>
      <w:r>
        <w:rPr>
          <w:color w:val="231F20"/>
          <w:spacing w:val="3"/>
          <w:sz w:val="20"/>
        </w:rPr>
        <w:t> </w:t>
      </w:r>
      <w:r>
        <w:rPr>
          <w:color w:val="231F20"/>
          <w:sz w:val="20"/>
        </w:rPr>
        <w:t>and</w:t>
      </w:r>
    </w:p>
    <w:p>
      <w:pPr>
        <w:pStyle w:val="ListParagraph"/>
        <w:numPr>
          <w:ilvl w:val="1"/>
          <w:numId w:val="2"/>
        </w:numPr>
        <w:tabs>
          <w:tab w:pos="1077" w:val="left" w:leader="none"/>
          <w:tab w:pos="1078" w:val="left" w:leader="none"/>
        </w:tabs>
        <w:spacing w:line="249" w:lineRule="auto" w:before="181" w:after="0"/>
        <w:ind w:left="1078" w:right="140" w:hanging="366"/>
        <w:jc w:val="left"/>
        <w:rPr>
          <w:sz w:val="20"/>
        </w:rPr>
      </w:pPr>
      <w:r>
        <w:rPr>
          <w:color w:val="231F20"/>
          <w:sz w:val="20"/>
        </w:rPr>
        <w:t>it provides access to near-international leisure markets in the Caribbean and Mexico, as well as smaller cities, and provides firsthand and meaningful insight into these new expansion</w:t>
      </w:r>
      <w:r>
        <w:rPr>
          <w:color w:val="231F20"/>
          <w:spacing w:val="10"/>
          <w:sz w:val="20"/>
        </w:rPr>
        <w:t> </w:t>
      </w:r>
      <w:r>
        <w:rPr>
          <w:color w:val="231F20"/>
          <w:sz w:val="20"/>
        </w:rPr>
        <w:t>opportunities.</w:t>
      </w:r>
    </w:p>
    <w:p>
      <w:pPr>
        <w:pStyle w:val="Heading4"/>
        <w:spacing w:before="181"/>
        <w:ind w:left="590"/>
        <w:rPr>
          <w:i/>
        </w:rPr>
      </w:pPr>
      <w:r>
        <w:rPr>
          <w:i/>
          <w:color w:val="231F20"/>
        </w:rPr>
        <w:t>Southwest’s All-New Rapid Rewards Frequent Flyer Program</w:t>
      </w:r>
    </w:p>
    <w:p>
      <w:pPr>
        <w:pStyle w:val="BodyText"/>
        <w:spacing w:line="249" w:lineRule="auto" w:before="190"/>
        <w:ind w:left="100" w:right="148" w:firstLine="490"/>
      </w:pPr>
      <w:r>
        <w:rPr>
          <w:color w:val="231F20"/>
        </w:rPr>
        <w:t>In March 2011, Southwest launched its All-New Rapid Rewards frequent flyer program. Under the current program, members earn points for every dollar spent, whereas, under the prior program members earned credits for flight segments flown. The amount of points earned under the current program is based on the fare and fare</w:t>
      </w:r>
    </w:p>
    <w:p>
      <w:pPr>
        <w:spacing w:after="0" w:line="249" w:lineRule="auto"/>
        <w:sectPr>
          <w:pgSz w:w="11880" w:h="15480"/>
          <w:pgMar w:header="0" w:footer="1253" w:top="1240" w:bottom="1440" w:left="1280" w:right="1300"/>
        </w:sectPr>
      </w:pPr>
    </w:p>
    <w:p>
      <w:pPr>
        <w:pStyle w:val="BodyText"/>
        <w:spacing w:line="249" w:lineRule="auto" w:before="73"/>
        <w:ind w:left="119" w:right="119"/>
      </w:pPr>
      <w:r>
        <w:rPr>
          <w:color w:val="231F20"/>
        </w:rPr>
        <w:t>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current program (i) members are able to redeem their points for every available seat, every day, on every flight, with no blackout dates; and (ii) points do not expire so long as the Rapid Rewards Member has points-earning activity during a 24-month time period.</w:t>
      </w:r>
    </w:p>
    <w:p>
      <w:pPr>
        <w:pStyle w:val="BodyText"/>
        <w:spacing w:line="249" w:lineRule="auto" w:before="181"/>
        <w:ind w:left="120" w:right="110" w:firstLine="490"/>
      </w:pPr>
      <w:r>
        <w:rPr>
          <w:color w:val="231F20"/>
        </w:rPr>
        <w:t>Under the current program, flight awards are not automatically issued when a member’s account reaches a certain threshold. Instead, members continue to accumulate points until the time they decide to redeem them. As a result, the new program provides members more flexibility and options for earning and redeeming rewards than did the prior program. For example, members can earn more points (and/or achieve tiered status such as A-List and Companion Pass faster) by purchasing higher fare tickets. Members also have more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w:t>
      </w:r>
      <w:r>
        <w:rPr>
          <w:color w:val="231F20"/>
          <w:spacing w:val="3"/>
        </w:rPr>
        <w:t> </w:t>
      </w:r>
      <w:r>
        <w:rPr>
          <w:color w:val="231F20"/>
        </w:rPr>
        <w:t>points.</w:t>
      </w:r>
    </w:p>
    <w:p>
      <w:pPr>
        <w:pStyle w:val="BodyText"/>
        <w:spacing w:line="249" w:lineRule="auto" w:before="181"/>
        <w:ind w:left="119" w:right="217" w:firstLine="490"/>
      </w:pPr>
      <w:r>
        <w:rPr>
          <w:color w:val="231F20"/>
        </w:rPr>
        <w:t>The All-New Rapid Rewards frequent flyer program also features enhanced A-List and Companion Pass programs for the most active members and includes “A-List Preferred” status.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for A-List and 100% for A-List Preferred). In addition, A-List Preferred Members enjoy free inflight WiFi on equipped</w:t>
      </w:r>
    </w:p>
    <w:p>
      <w:pPr>
        <w:pStyle w:val="BodyText"/>
        <w:spacing w:line="249" w:lineRule="auto" w:before="1"/>
        <w:ind w:left="119" w:right="132"/>
      </w:pPr>
      <w:r>
        <w:rPr>
          <w:color w:val="231F20"/>
        </w:rPr>
        <w:t>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w:t>
      </w:r>
      <w:r>
        <w:rPr>
          <w:color w:val="231F20"/>
          <w:spacing w:val="6"/>
        </w:rPr>
        <w:t> </w:t>
      </w:r>
      <w:r>
        <w:rPr>
          <w:color w:val="231F20"/>
        </w:rPr>
        <w:t>flight.</w:t>
      </w:r>
    </w:p>
    <w:p>
      <w:pPr>
        <w:pStyle w:val="BodyText"/>
        <w:spacing w:before="181"/>
        <w:ind w:left="609"/>
      </w:pPr>
      <w:r>
        <w:rPr>
          <w:color w:val="231F20"/>
        </w:rPr>
        <w:t>The All-New Rapid Rewards frequent flyer program has been designed to drive more revenue by</w:t>
      </w:r>
    </w:p>
    <w:p>
      <w:pPr>
        <w:pStyle w:val="ListParagraph"/>
        <w:numPr>
          <w:ilvl w:val="0"/>
          <w:numId w:val="3"/>
        </w:numPr>
        <w:tabs>
          <w:tab w:pos="360" w:val="left" w:leader="none"/>
        </w:tabs>
        <w:spacing w:line="249" w:lineRule="auto" w:before="9" w:after="0"/>
        <w:ind w:left="120" w:right="114"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new program has exceeded the Company’s expectations with respect to the number of frequent flyer members added, the number of Southwest’s co-branded Chase Visa credit card holders added, the number of flights taken by members, incremental revenues associated with members booking flights, partner revenue, and the number of frequent flyer points purchased by program</w:t>
      </w:r>
      <w:r>
        <w:rPr>
          <w:color w:val="231F20"/>
          <w:spacing w:val="3"/>
          <w:sz w:val="20"/>
        </w:rPr>
        <w:t> </w:t>
      </w:r>
      <w:r>
        <w:rPr>
          <w:color w:val="231F20"/>
          <w:sz w:val="20"/>
        </w:rPr>
        <w:t>members.</w:t>
      </w:r>
    </w:p>
    <w:p>
      <w:pPr>
        <w:pStyle w:val="BodyText"/>
        <w:spacing w:line="249" w:lineRule="auto" w:before="180"/>
        <w:ind w:left="119" w:right="385" w:firstLine="490"/>
      </w:pPr>
      <w:r>
        <w:rPr>
          <w:color w:val="231F20"/>
        </w:rPr>
        <w:t>The Company began the process of integrating the frequent flyer programs of Southwest and AirTran in 2011 by offering top-tier status members of both airlines’ frequent flyer programs some limited reciprocal benefits. For example, AirTran A+ Rewards</w:t>
      </w:r>
      <w:r>
        <w:rPr>
          <w:color w:val="231F20"/>
          <w:position w:val="5"/>
          <w:sz w:val="15"/>
        </w:rPr>
        <w:t>® </w:t>
      </w:r>
      <w:r>
        <w:rPr>
          <w:color w:val="231F20"/>
        </w:rPr>
        <w:t>members who book on Southwest are eligible for reciprocal</w:t>
      </w:r>
    </w:p>
    <w:p>
      <w:pPr>
        <w:pStyle w:val="BodyText"/>
        <w:spacing w:line="249" w:lineRule="auto"/>
        <w:ind w:left="120" w:right="195"/>
      </w:pPr>
      <w:r>
        <w:rPr>
          <w:color w:val="231F20"/>
        </w:rPr>
        <w:t>“A-List” benefits on Southwest flights. In addition, Southwest “A-List” and “A-List Preferred” Rapid Rewards Members booking on AirTran are eligible for reciprocal A+ Elite status, including free Business Class upgrades, no baggage fees, and all other benefits that AirTran’s A+ Rewards members enjoy. During 2012, the Company took further steps towards integrating the frequent flyer programs of Southwest and AirTran by enabling</w:t>
      </w:r>
    </w:p>
    <w:p>
      <w:pPr>
        <w:spacing w:after="0" w:line="249" w:lineRule="auto"/>
        <w:sectPr>
          <w:pgSz w:w="11880" w:h="15480"/>
          <w:pgMar w:header="0" w:footer="1253" w:top="1240" w:bottom="1440" w:left="1260" w:right="1280"/>
        </w:sectPr>
      </w:pPr>
    </w:p>
    <w:p>
      <w:pPr>
        <w:pStyle w:val="BodyText"/>
        <w:spacing w:line="249" w:lineRule="auto" w:before="73"/>
        <w:ind w:left="120" w:right="145"/>
      </w:pPr>
      <w:r>
        <w:rPr>
          <w:color w:val="231F20"/>
        </w:rPr>
        <w:t>Customers to transfer their loyalty rewards between the Southwest and AirTran frequent flyer programs. As a result, members have the benefit of the entire combined network for redemption. Under the rewards conversion, AirTran A+ Rewards credits may be converted to Southwest Rapid Rewards credits at a 1:1 ratio, and vice versa. Rapid Rewards points may be converted to AirTran credits at a 1,200:1 ratio. AirTran A+ Rewards credits may not be converted to Rapid Rewards points.</w:t>
      </w:r>
    </w:p>
    <w:p>
      <w:pPr>
        <w:pStyle w:val="BodyText"/>
        <w:spacing w:line="249" w:lineRule="auto" w:before="181"/>
        <w:ind w:left="120" w:right="150" w:firstLine="490"/>
      </w:pPr>
      <w:r>
        <w:rPr>
          <w:color w:val="231F20"/>
        </w:rPr>
        <w:t>AirTran’s A+ Rewards frequent flyer program offers a number of ways to earn free travel, including bonus earnings for Business Class travel. AirTran Customers may earn either free travel or Business Class upgrades or, under certain circumstances, free travel on other airlines. A+ Rewards members can earn a credit for each one- way trip flown or 1.5 credits for one-way Business Class travel.</w:t>
      </w:r>
    </w:p>
    <w:p>
      <w:pPr>
        <w:pStyle w:val="BodyText"/>
        <w:spacing w:line="249" w:lineRule="auto" w:before="181"/>
        <w:ind w:left="120" w:right="269" w:firstLine="490"/>
      </w:pPr>
      <w:r>
        <w:rPr>
          <w:color w:val="231F20"/>
        </w:rPr>
        <w:t>A+ Rewards credits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may purchase A+ Rewards credits, extend the expiration of A+ credits, or give A+ credits to another member to help earn a free flight faster. A+ Rewards credits earned by AirTran’s elite A+ Rewards members have a two-year expiration date, as opposed to a one-year expiration date for general members.</w:t>
      </w:r>
    </w:p>
    <w:p>
      <w:pPr>
        <w:pStyle w:val="BodyText"/>
        <w:spacing w:line="249" w:lineRule="auto" w:before="181"/>
        <w:ind w:left="120" w:right="330" w:firstLine="490"/>
      </w:pPr>
      <w:r>
        <w:rPr>
          <w:color w:val="231F20"/>
        </w:rPr>
        <w:t>For the Company’s 2012 consolidated results, Customers of Southwest and AirTran redeemed approximately 4.5 million flight awards, accounting for approximately 9.0 percent of revenue passenger miles flown. For the Company’s 2011 consolidated results, which include AirTran results from May 2, 2011 through December 31, 2011, Customers of Southwest and AirTran redeemed approximately 3.7 million flight awards, accounting for approximately 8.6 percent of revenue passenger miles flown. Southwest Customers redeemed approximately 3.2 million flight awards during 2010, accounting for approximately 7.9 percent of Southwest revenue passenger miles flown. The Company’s accounting policies with respect to its frequent flyer programs are discussed in more detail in Note 1 to the Consolidated Financial Statements.</w:t>
      </w:r>
    </w:p>
    <w:p>
      <w:pPr>
        <w:pStyle w:val="Heading4"/>
        <w:spacing w:before="181"/>
        <w:ind w:left="610"/>
        <w:rPr>
          <w:i/>
        </w:rPr>
      </w:pPr>
      <w:r>
        <w:rPr>
          <w:i/>
          <w:color w:val="231F20"/>
        </w:rPr>
        <w:t>Fleet Modernization</w:t>
      </w:r>
    </w:p>
    <w:p>
      <w:pPr>
        <w:pStyle w:val="BodyText"/>
        <w:spacing w:line="249" w:lineRule="auto" w:before="189"/>
        <w:ind w:left="120" w:right="119" w:firstLine="490"/>
      </w:pPr>
      <w:r>
        <w:rPr>
          <w:color w:val="231F20"/>
        </w:rPr>
        <w:t>As discussed below, the Company has multiple efforts underway to replace its older aircraft with newer aircraft that are less maintenance intensive and more fuel efficient and that also have a greater range. The Company expects its longterm, fuel efficient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80"/>
        <w:ind w:left="120" w:right="152" w:firstLine="490"/>
      </w:pPr>
      <w:r>
        <w:rPr>
          <w:i/>
          <w:color w:val="231F20"/>
          <w:u w:val="single" w:color="231F20"/>
        </w:rPr>
        <w:t>The Boeing 737 MAX</w:t>
      </w:r>
      <w:r>
        <w:rPr>
          <w:i/>
          <w:color w:val="231F20"/>
        </w:rPr>
        <w:t>. </w:t>
      </w:r>
      <w:r>
        <w:rPr>
          <w:color w:val="231F20"/>
        </w:rPr>
        <w:t>The Company has entered into an agreement to be the launch customer for the new Boeing 737 MAX aircraft. The Company has placed a firm order for 150 of the Boeing 737 MAX aircraft and expects to begin to take delivery in 2017. The Company also has options to purchase an additional 150 Boeing 737 MAX aircraft. The Boeing 737 MAX is designed to be more fuel efficient and environmentally friendly, and the Company believes the 737 MAX will (i) have the lowest operating costs in the single-aisle segment and</w:t>
      </w:r>
    </w:p>
    <w:p>
      <w:pPr>
        <w:pStyle w:val="ListParagraph"/>
        <w:numPr>
          <w:ilvl w:val="0"/>
          <w:numId w:val="3"/>
        </w:numPr>
        <w:tabs>
          <w:tab w:pos="416" w:val="left" w:leader="none"/>
        </w:tabs>
        <w:spacing w:line="249" w:lineRule="auto" w:before="0" w:after="0"/>
        <w:ind w:left="120" w:right="413" w:firstLine="0"/>
        <w:jc w:val="left"/>
        <w:rPr>
          <w:sz w:val="20"/>
        </w:rPr>
      </w:pPr>
      <w:r>
        <w:rPr>
          <w:color w:val="231F20"/>
          <w:sz w:val="20"/>
        </w:rPr>
        <w:t>benefit the Company with an engine/airframe combination that is uniquely designed to optimize operating performance of the Company’s fleet. In addition, the 737 MAX will enable the Company to replace certain Boeing aircraft currently in the Company’s</w:t>
      </w:r>
      <w:r>
        <w:rPr>
          <w:color w:val="231F20"/>
          <w:spacing w:val="4"/>
          <w:sz w:val="20"/>
        </w:rPr>
        <w:t> </w:t>
      </w:r>
      <w:r>
        <w:rPr>
          <w:color w:val="231F20"/>
          <w:sz w:val="20"/>
        </w:rPr>
        <w:t>fleet.</w:t>
      </w:r>
    </w:p>
    <w:p>
      <w:pPr>
        <w:pStyle w:val="BodyText"/>
        <w:spacing w:line="249" w:lineRule="auto" w:before="180"/>
        <w:ind w:left="120" w:right="99" w:firstLine="490"/>
      </w:pPr>
      <w:r>
        <w:rPr>
          <w:i/>
          <w:color w:val="231F20"/>
          <w:u w:val="single" w:color="231F20"/>
        </w:rPr>
        <w:t>The Boeing Next-Generation 737</w:t>
      </w:r>
      <w:r>
        <w:rPr>
          <w:i/>
          <w:color w:val="231F20"/>
        </w:rPr>
        <w:t>. </w:t>
      </w:r>
      <w:r>
        <w:rPr>
          <w:color w:val="231F20"/>
        </w:rPr>
        <w:t>The Company also entered into an agreement in December 2011 to expand its orders for the Boeing Next-Generation 737 aircraft. During 2012, the Company purchased 29 Boeing Next-Generation 737-800 aircraft and, including the 737 MAX firm orders described above, has overall total firm orders with Boeing of 321 aircraft for 2013 through 2024. During 2012, the Company also leased five Boeing Next-Generation 737-800 aircraft from a third party. The orders and leases are intended to predominately serve  as replacement aircraft in the Company’s fleet as it retires older 737-300 and 737-500 aircraft, and the 717 fleet. The Company also has options to purchase an additional 92 Boeing 737 Next-Generation</w:t>
      </w:r>
      <w:r>
        <w:rPr>
          <w:color w:val="231F20"/>
          <w:spacing w:val="6"/>
        </w:rPr>
        <w:t> </w:t>
      </w:r>
      <w:r>
        <w:rPr>
          <w:color w:val="231F20"/>
        </w:rPr>
        <w:t>aircraft.</w:t>
      </w:r>
    </w:p>
    <w:p>
      <w:pPr>
        <w:spacing w:line="249" w:lineRule="auto" w:before="180"/>
        <w:ind w:left="119" w:right="131" w:firstLine="490"/>
        <w:jc w:val="left"/>
        <w:rPr>
          <w:sz w:val="20"/>
        </w:rPr>
      </w:pPr>
      <w:r>
        <w:rPr>
          <w:i/>
          <w:color w:val="231F20"/>
          <w:sz w:val="20"/>
          <w:u w:val="single" w:color="231F20"/>
        </w:rPr>
        <w:t>Southwest Cabin Refresh</w:t>
      </w:r>
      <w:r>
        <w:rPr>
          <w:i/>
          <w:color w:val="231F20"/>
          <w:sz w:val="20"/>
        </w:rPr>
        <w:t>. </w:t>
      </w:r>
      <w:r>
        <w:rPr>
          <w:color w:val="231F20"/>
          <w:sz w:val="20"/>
        </w:rPr>
        <w:t>In January 2012, the Company announced its plans to retrofit its 737-700 fleet with an updated cabin interior. </w:t>
      </w:r>
      <w:r>
        <w:rPr>
          <w:i/>
          <w:color w:val="231F20"/>
          <w:sz w:val="20"/>
        </w:rPr>
        <w:t>Evolve: The New Southwest Experience </w:t>
      </w:r>
      <w:r>
        <w:rPr>
          <w:color w:val="231F20"/>
          <w:sz w:val="20"/>
        </w:rPr>
        <w:t>is intended to enhance Customer comfort,</w:t>
      </w:r>
    </w:p>
    <w:p>
      <w:pPr>
        <w:spacing w:after="0" w:line="249" w:lineRule="auto"/>
        <w:jc w:val="left"/>
        <w:rPr>
          <w:sz w:val="20"/>
        </w:rPr>
        <w:sectPr>
          <w:pgSz w:w="11880" w:h="15480"/>
          <w:pgMar w:header="0" w:footer="1253" w:top="1240" w:bottom="1440" w:left="1260" w:right="1280"/>
        </w:sectPr>
      </w:pPr>
    </w:p>
    <w:p>
      <w:pPr>
        <w:pStyle w:val="BodyText"/>
        <w:spacing w:line="249" w:lineRule="auto" w:before="73"/>
        <w:ind w:left="119" w:right="119"/>
      </w:pPr>
      <w:r>
        <w:rPr>
          <w:color w:val="231F20"/>
        </w:rPr>
        <w:t>personal space, and the overall travel experience, while improving fleet efficiency and being environmentally responsible. The cabin refresh features recyclable carpet, a brighter color-scheme, and more durable, eco- friendly, and comfortable seats that weigh less than the prior seats. By maximizing the space inside the plane, </w:t>
      </w:r>
      <w:r>
        <w:rPr>
          <w:i/>
          <w:color w:val="231F20"/>
        </w:rPr>
        <w:t>Evolve </w:t>
      </w:r>
      <w:r>
        <w:rPr>
          <w:color w:val="231F20"/>
        </w:rPr>
        <w:t>allows for the added benefit of six additional seats on each retrofitted aircraft, along with more climate- friendly and cost-effective materials. These retrofits for Southwest 737-700 aircraft began in first quarter 2012 and are expected to be completed in 2013. As of January 22, 2013, 270 of the Company’s 737-700 aircraft had been converted to the </w:t>
      </w:r>
      <w:r>
        <w:rPr>
          <w:i/>
          <w:color w:val="231F20"/>
        </w:rPr>
        <w:t>Evolve </w:t>
      </w:r>
      <w:r>
        <w:rPr>
          <w:color w:val="231F20"/>
        </w:rPr>
        <w:t>interior, including 11 transitioned AirTran aircraft. The remaining AirTran aircraft that are transitioned to the Southwest fleet are also expected to receive the new </w:t>
      </w:r>
      <w:r>
        <w:rPr>
          <w:i/>
          <w:color w:val="231F20"/>
        </w:rPr>
        <w:t>Evolve </w:t>
      </w:r>
      <w:r>
        <w:rPr>
          <w:color w:val="231F20"/>
        </w:rPr>
        <w:t>interior at the time of transition. In addition to the 737-700 retrofits, the 737-800 aircraft entering the Company’s fleet also feature the </w:t>
      </w:r>
      <w:r>
        <w:rPr>
          <w:i/>
          <w:color w:val="231F20"/>
        </w:rPr>
        <w:t>Evolve </w:t>
      </w:r>
      <w:r>
        <w:rPr>
          <w:color w:val="231F20"/>
        </w:rPr>
        <w:t>interior, and the Company currently expects to retrofit 78 of its 737-300s with </w:t>
      </w:r>
      <w:r>
        <w:rPr>
          <w:i/>
          <w:color w:val="231F20"/>
        </w:rPr>
        <w:t>Evolve </w:t>
      </w:r>
      <w:r>
        <w:rPr>
          <w:color w:val="231F20"/>
        </w:rPr>
        <w:t>in 2013.</w:t>
      </w:r>
    </w:p>
    <w:p>
      <w:pPr>
        <w:pStyle w:val="BodyText"/>
        <w:spacing w:line="249" w:lineRule="auto" w:before="181"/>
        <w:ind w:left="120" w:right="213" w:firstLine="490"/>
      </w:pPr>
      <w:r>
        <w:rPr>
          <w:i/>
          <w:color w:val="231F20"/>
          <w:u w:val="single" w:color="231F20"/>
        </w:rPr>
        <w:t>Transition of Boeing 717 Aircraft</w:t>
      </w:r>
      <w:r>
        <w:rPr>
          <w:color w:val="231F20"/>
        </w:rPr>
        <w:t>. The Company has entered into an agreement with Delta Air Lines, Inc. and Boeing Capital Corp. to lease or sublease all 88 of AirTran’s Boeing 717-200 aircraft to Delta. Deliveries to Delta are expected to begin in August 2013 at the rate of approximately three aircraft per month. From a fleet management perspective, this transition allows the Company to minimize the impact of this transaction on operations, as the Boeing 717 capacity lost is expected to be replaced through the capacity gained as a result of</w:t>
      </w:r>
    </w:p>
    <w:p>
      <w:pPr>
        <w:pStyle w:val="ListParagraph"/>
        <w:numPr>
          <w:ilvl w:val="0"/>
          <w:numId w:val="4"/>
        </w:numPr>
        <w:tabs>
          <w:tab w:pos="360" w:val="left" w:leader="none"/>
        </w:tabs>
        <w:spacing w:line="240" w:lineRule="auto" w:before="1" w:after="0"/>
        <w:ind w:left="120" w:right="0" w:firstLine="0"/>
        <w:jc w:val="left"/>
        <w:rPr>
          <w:sz w:val="20"/>
        </w:rPr>
      </w:pPr>
      <w:r>
        <w:rPr>
          <w:color w:val="231F20"/>
          <w:sz w:val="20"/>
        </w:rPr>
        <w:t>the Company’s extension of the retirement dates for a portion of its 737-300 and 737-500 aircraft</w:t>
      </w:r>
      <w:r>
        <w:rPr>
          <w:color w:val="231F20"/>
          <w:spacing w:val="9"/>
          <w:sz w:val="20"/>
        </w:rPr>
        <w:t> </w:t>
      </w:r>
      <w:r>
        <w:rPr>
          <w:color w:val="231F20"/>
          <w:sz w:val="20"/>
        </w:rPr>
        <w:t>and</w:t>
      </w:r>
    </w:p>
    <w:p>
      <w:pPr>
        <w:pStyle w:val="ListParagraph"/>
        <w:numPr>
          <w:ilvl w:val="0"/>
          <w:numId w:val="4"/>
        </w:numPr>
        <w:tabs>
          <w:tab w:pos="416" w:val="left" w:leader="none"/>
        </w:tabs>
        <w:spacing w:line="249" w:lineRule="auto" w:before="9" w:after="0"/>
        <w:ind w:left="120" w:right="102" w:firstLine="0"/>
        <w:jc w:val="left"/>
        <w:rPr>
          <w:sz w:val="20"/>
        </w:rPr>
      </w:pPr>
      <w:r>
        <w:rPr>
          <w:color w:val="231F20"/>
          <w:sz w:val="20"/>
        </w:rPr>
        <w:t>deliveries from Boeing of new 737 aircraft or deliveries of used 737 aircraft from other sources. Transitioning the Boeing 717 fleet to Delta avoids the added complexity to the Company’s operations, as the Company has historically operated an all-Boeing 737 fleet. Replacement of the Boeing 717 aircraft capacity with</w:t>
      </w:r>
      <w:r>
        <w:rPr>
          <w:color w:val="231F20"/>
          <w:spacing w:val="11"/>
          <w:sz w:val="20"/>
        </w:rPr>
        <w:t> </w:t>
      </w:r>
      <w:r>
        <w:rPr>
          <w:color w:val="231F20"/>
          <w:sz w:val="20"/>
        </w:rPr>
        <w:t>Boeing</w:t>
      </w:r>
    </w:p>
    <w:p>
      <w:pPr>
        <w:pStyle w:val="BodyText"/>
        <w:spacing w:line="249" w:lineRule="auto"/>
        <w:ind w:left="120" w:right="119"/>
      </w:pPr>
      <w:r>
        <w:rPr>
          <w:color w:val="231F20"/>
        </w:rPr>
        <w:t>737 capacity provides revenue opportunities with more seats per aircraft, while costing approximately the same amount to fly on a per-trip basis as the larger Boeing 737 aircraft.</w:t>
      </w:r>
    </w:p>
    <w:p>
      <w:pPr>
        <w:pStyle w:val="Heading4"/>
        <w:spacing w:before="180"/>
        <w:ind w:left="610"/>
        <w:rPr>
          <w:i/>
        </w:rPr>
      </w:pPr>
      <w:r>
        <w:rPr>
          <w:i/>
          <w:color w:val="231F20"/>
        </w:rPr>
        <w:t>Incorporation of the Larger Boeing 737-800 into the Southwest Fleet</w:t>
      </w:r>
    </w:p>
    <w:p>
      <w:pPr>
        <w:pStyle w:val="BodyText"/>
        <w:spacing w:line="249" w:lineRule="auto" w:before="189"/>
        <w:ind w:left="120" w:right="134" w:firstLine="490"/>
      </w:pPr>
      <w:r>
        <w:rPr>
          <w:color w:val="231F20"/>
        </w:rPr>
        <w:t>To further support its fleet modernization efforts, the Company introduced the Boeing 737-800 into the Southwest fleet in the first quarter of 2012.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 “slot” is the right of an air carrier, pursuant to regulations of the FAA, to operate a takeoff or landing at a specific time at certain airports); and (iii) boost fuel efficiency to reduce overall unit costs.</w:t>
      </w:r>
    </w:p>
    <w:p>
      <w:pPr>
        <w:pStyle w:val="BodyText"/>
        <w:spacing w:line="249" w:lineRule="auto" w:before="1"/>
        <w:ind w:left="120" w:right="185"/>
      </w:pPr>
      <w:r>
        <w:rPr>
          <w:color w:val="231F20"/>
        </w:rPr>
        <w:t>Additionally, the Company expects the 737-800 will enable Southwest to profitably expand to new destinations, including extended routes over water, and potentially fly to more distant markets such as Hawaii, Alaska, Canada, Mexico, and the Caribbean. The Company took delivery of 34 Boeing 737-800 aircraft during 2012 and currently expects to take delivery of an additional 20 and 24 Boeing 737-800s during 2013 and 2014, respectively. The Company’s fleet composition and delivery schedule is discussed in more detail below under “Properties – Aircraft.”</w:t>
      </w:r>
    </w:p>
    <w:p>
      <w:pPr>
        <w:pStyle w:val="Heading4"/>
        <w:spacing w:before="181"/>
        <w:ind w:left="610"/>
        <w:rPr>
          <w:i/>
        </w:rPr>
      </w:pPr>
      <w:r>
        <w:rPr>
          <w:i/>
          <w:color w:val="231F20"/>
        </w:rPr>
        <w:t>New Reservation System and International Capabilities</w:t>
      </w:r>
    </w:p>
    <w:p>
      <w:pPr>
        <w:pStyle w:val="BodyText"/>
        <w:spacing w:line="249" w:lineRule="auto" w:before="189"/>
        <w:ind w:left="120" w:right="103" w:firstLine="490"/>
      </w:pPr>
      <w:r>
        <w:rPr>
          <w:color w:val="231F20"/>
        </w:rPr>
        <w:t>The Company intends to replace Southwest’s existing reservation system with a comprehensive system  that would provide the ability for Southwest to serve international destinations and that would allow for other Customer Service, revenue management, and schedule production capabilities. During second quarter 2012, the Company entered into a contract with Amadeus IT Group to implement Amadeus’ Altea reservations solution to support the Company’s international service. The new international reservation system construction is well underway, and the Company expects to make significant additional construction progress in 2013. The Company expects the new international reservation system to be substantially complete in 2014, when Southwest expects to launch international</w:t>
      </w:r>
      <w:r>
        <w:rPr>
          <w:color w:val="231F20"/>
          <w:spacing w:val="3"/>
        </w:rPr>
        <w:t> </w:t>
      </w:r>
      <w:r>
        <w:rPr>
          <w:color w:val="231F20"/>
        </w:rPr>
        <w:t>service.</w:t>
      </w:r>
    </w:p>
    <w:p>
      <w:pPr>
        <w:spacing w:after="0" w:line="249" w:lineRule="auto"/>
        <w:sectPr>
          <w:pgSz w:w="11880" w:h="15480"/>
          <w:pgMar w:header="0" w:footer="1253" w:top="1240" w:bottom="1440" w:left="1260" w:right="1280"/>
        </w:sectPr>
      </w:pPr>
    </w:p>
    <w:p>
      <w:pPr>
        <w:pStyle w:val="BodyText"/>
        <w:spacing w:line="249" w:lineRule="auto" w:before="73"/>
        <w:ind w:left="100" w:right="100" w:firstLine="490"/>
      </w:pPr>
      <w:r>
        <w:rPr>
          <w:color w:val="231F20"/>
        </w:rPr>
        <w:t>Once the Altea implementation is complete, the Company intends to begin a multi-year project to replace Southwest’s existing domestic reservation system with a comprehensive system that would incorporate the new Altea solution. The combined system would provide the ability to serve both domestic and international destinations and allow for other Customer Service, revenue management, and schedule production capabilities. The Amadeus contract provides the option for Southwest to migrate its domestic business to a combined Amadeus solution if it so chooses.</w:t>
      </w:r>
    </w:p>
    <w:p>
      <w:pPr>
        <w:pStyle w:val="Heading3"/>
        <w:spacing w:before="153"/>
        <w:ind w:left="350"/>
      </w:pPr>
      <w:r>
        <w:rPr>
          <w:color w:val="231F20"/>
        </w:rPr>
        <w:t>Other Strategic Initiatives</w:t>
      </w:r>
    </w:p>
    <w:p>
      <w:pPr>
        <w:pStyle w:val="Heading4"/>
        <w:spacing w:before="162"/>
        <w:ind w:left="590"/>
        <w:rPr>
          <w:i/>
        </w:rPr>
      </w:pPr>
      <w:r>
        <w:rPr>
          <w:i/>
          <w:color w:val="231F20"/>
        </w:rPr>
        <w:t>Network Optimization and Revenue Management</w:t>
      </w:r>
    </w:p>
    <w:p>
      <w:pPr>
        <w:pStyle w:val="BodyText"/>
        <w:spacing w:line="249" w:lineRule="auto" w:before="162"/>
        <w:ind w:left="100" w:right="134" w:firstLine="490"/>
      </w:pPr>
      <w:r>
        <w:rPr>
          <w:color w:val="231F20"/>
        </w:rPr>
        <w:t>During 2012, the Company continued to use profitability management tools to aggressively manage capacity and route expansion through optimization of its flight schedule to better match demand in certain markets. These efforts contributed to higher yields, strong load factors, and improved revenues during 2012. The Company also set the stage for longterm growth by further coordinating the Southwest and AirTran flight schedules and making significant progress towards implementing connecting capabilities between the Southwest and AirTran reservations systems. These enhancements will allow Customers to book flights on either carrier through a single source and to book connecting itineraries between the two carriers. Full deployment of such connecting capabilities is expected to occur in early 2013 and is expected to enable significant network optimization.</w:t>
      </w:r>
    </w:p>
    <w:p>
      <w:pPr>
        <w:pStyle w:val="BodyText"/>
        <w:spacing w:line="249" w:lineRule="auto" w:before="153"/>
        <w:ind w:left="100" w:right="100" w:firstLine="490"/>
      </w:pPr>
      <w:r>
        <w:rPr>
          <w:color w:val="231F20"/>
        </w:rPr>
        <w:t>The Company’s network is continually changing through the addition of new markets, the adjustment of frequencies in existing markets, and the exiting of certain markets. In response to high fuel prices, the Company has discontinued service in 15 AirTran destinations, eliminated certain routes that proved unsustainable, and redeployed aircraft to other markets. Passenger demand in the Company’s shorthaul markets, in particular, has been negatively affected by higher fares associated with high fuel prices.</w:t>
      </w:r>
    </w:p>
    <w:p>
      <w:pPr>
        <w:pStyle w:val="BodyText"/>
        <w:spacing w:line="249" w:lineRule="auto" w:before="153"/>
        <w:ind w:left="100" w:right="149" w:firstLine="490"/>
      </w:pPr>
      <w:r>
        <w:rPr>
          <w:color w:val="231F20"/>
        </w:rPr>
        <w:t>As part of the Company’s network optimization efforts, during 2013 the Company also intends to improve its operational network efficiency by tightening its scheduled aircraft flying hours per day and turn times. These changes are designed to better utilize available aircraft time during the peak flying hours of each day and are expected to lead to increased revenue production and less aircraft ground time.</w:t>
      </w:r>
    </w:p>
    <w:p>
      <w:pPr>
        <w:pStyle w:val="BodyText"/>
        <w:spacing w:line="249" w:lineRule="auto" w:before="153"/>
        <w:ind w:left="100" w:right="106" w:firstLine="490"/>
      </w:pPr>
      <w:r>
        <w:rPr>
          <w:color w:val="231F20"/>
        </w:rPr>
        <w:t>The Company expects the optimization and alignment of the Southwest and AirTran schedules and networks to be a multi-year undertaking, but believes these efforts can yield significant synergies and financial benefits. The Company intends to continue its network optimization efforts with the goal of profitably expanding the depth and reach of its overall network.</w:t>
      </w:r>
    </w:p>
    <w:p>
      <w:pPr>
        <w:pStyle w:val="BodyText"/>
        <w:spacing w:line="249" w:lineRule="auto" w:before="153"/>
        <w:ind w:left="100" w:right="101" w:firstLine="490"/>
      </w:pPr>
      <w:r>
        <w:rPr>
          <w:color w:val="231F20"/>
        </w:rPr>
        <w:t>During the first half of 2013, the Company also plans to introduce the first phase of a new revenue management system with added revenue management capabilities designed to drive further revenue growth. The new revenue management system will be an origin and destination based revenue management system, which will replace a segment based system. The new system is designed to allow for a more precise management of Customer demand and inventory and to allow the Company to manage demand in terms of where the Company’s Customers want to fly, regardless of how they route or connect. The Company expects to implement additional revenue management tools over the next several years.</w:t>
      </w:r>
    </w:p>
    <w:p>
      <w:pPr>
        <w:pStyle w:val="Heading4"/>
        <w:spacing w:before="153"/>
        <w:ind w:left="590"/>
        <w:rPr>
          <w:i/>
        </w:rPr>
      </w:pPr>
      <w:r>
        <w:rPr>
          <w:i/>
          <w:color w:val="231F20"/>
        </w:rPr>
        <w:t>Cost Containment</w:t>
      </w:r>
    </w:p>
    <w:p>
      <w:pPr>
        <w:pStyle w:val="BodyText"/>
        <w:spacing w:line="249" w:lineRule="auto" w:before="161"/>
        <w:ind w:left="100" w:right="100" w:firstLine="400"/>
      </w:pPr>
      <w:r>
        <w:rPr>
          <w:color w:val="231F20"/>
        </w:rPr>
        <w:t>Over the last several years, the Company has undertaken a number of cost-containment projects for the purpose of preserving Southwest’s low-cost advantage and low-fare brand. These have included the network optimization and fleet modernization strategies discussed above. In addition, these have included various fuel conservation and carbon emission reduction initiatives such as the following:</w:t>
      </w:r>
    </w:p>
    <w:p>
      <w:pPr>
        <w:pStyle w:val="ListParagraph"/>
        <w:numPr>
          <w:ilvl w:val="0"/>
          <w:numId w:val="5"/>
        </w:numPr>
        <w:tabs>
          <w:tab w:pos="1077" w:val="left" w:leader="none"/>
          <w:tab w:pos="1078" w:val="left" w:leader="none"/>
        </w:tabs>
        <w:spacing w:line="240" w:lineRule="auto" w:before="152" w:after="0"/>
        <w:ind w:left="1078" w:right="0" w:hanging="366"/>
        <w:jc w:val="left"/>
        <w:rPr>
          <w:sz w:val="20"/>
        </w:rPr>
      </w:pPr>
      <w:r>
        <w:rPr>
          <w:color w:val="231F20"/>
          <w:sz w:val="20"/>
        </w:rPr>
        <w:t>installation of blended winglets, which reduce drag and increase fuel efficiency, on all</w:t>
      </w:r>
      <w:r>
        <w:rPr>
          <w:color w:val="231F20"/>
          <w:spacing w:val="10"/>
          <w:sz w:val="20"/>
        </w:rPr>
        <w:t> </w:t>
      </w:r>
      <w:r>
        <w:rPr>
          <w:color w:val="231F20"/>
          <w:sz w:val="20"/>
        </w:rPr>
        <w:t>Boeing</w:t>
      </w:r>
    </w:p>
    <w:p>
      <w:pPr>
        <w:pStyle w:val="BodyText"/>
        <w:spacing w:before="9"/>
        <w:ind w:left="1078"/>
      </w:pPr>
      <w:r>
        <w:rPr>
          <w:color w:val="231F20"/>
        </w:rPr>
        <w:t>737-700 and 737-800 aircraft in Southwest’s fleet and on a majority of Southwest’s 737-300 aircraft;</w:t>
      </w:r>
    </w:p>
    <w:p>
      <w:pPr>
        <w:pStyle w:val="ListParagraph"/>
        <w:numPr>
          <w:ilvl w:val="0"/>
          <w:numId w:val="5"/>
        </w:numPr>
        <w:tabs>
          <w:tab w:pos="1077" w:val="left" w:leader="none"/>
          <w:tab w:pos="1078" w:val="left" w:leader="none"/>
        </w:tabs>
        <w:spacing w:line="240" w:lineRule="auto" w:before="161" w:after="0"/>
        <w:ind w:left="1078" w:right="0" w:hanging="366"/>
        <w:jc w:val="left"/>
        <w:rPr>
          <w:sz w:val="20"/>
        </w:rPr>
      </w:pPr>
      <w:r>
        <w:rPr>
          <w:color w:val="231F20"/>
          <w:sz w:val="20"/>
        </w:rPr>
        <w:t>periodic engine</w:t>
      </w:r>
      <w:r>
        <w:rPr>
          <w:color w:val="231F20"/>
          <w:spacing w:val="1"/>
          <w:sz w:val="20"/>
        </w:rPr>
        <w:t> </w:t>
      </w:r>
      <w:r>
        <w:rPr>
          <w:color w:val="231F20"/>
          <w:sz w:val="20"/>
        </w:rPr>
        <w:t>washes;</w:t>
      </w:r>
    </w:p>
    <w:p>
      <w:pPr>
        <w:spacing w:after="0" w:line="240" w:lineRule="auto"/>
        <w:jc w:val="left"/>
        <w:rPr>
          <w:sz w:val="20"/>
        </w:rPr>
        <w:sectPr>
          <w:pgSz w:w="11880" w:h="15480"/>
          <w:pgMar w:header="0" w:footer="1253" w:top="1240" w:bottom="1440" w:left="1280" w:right="1320"/>
        </w:sectPr>
      </w:pPr>
    </w:p>
    <w:p>
      <w:pPr>
        <w:pStyle w:val="ListParagraph"/>
        <w:numPr>
          <w:ilvl w:val="0"/>
          <w:numId w:val="5"/>
        </w:numPr>
        <w:tabs>
          <w:tab w:pos="1077" w:val="left" w:leader="none"/>
          <w:tab w:pos="1078" w:val="left" w:leader="none"/>
        </w:tabs>
        <w:spacing w:line="240" w:lineRule="auto" w:before="73" w:after="0"/>
        <w:ind w:left="1078" w:right="0" w:hanging="366"/>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0"/>
          <w:numId w:val="5"/>
        </w:numPr>
        <w:tabs>
          <w:tab w:pos="1077" w:val="left" w:leader="none"/>
          <w:tab w:pos="1078" w:val="left" w:leader="none"/>
        </w:tabs>
        <w:spacing w:line="240" w:lineRule="auto" w:before="195" w:after="0"/>
        <w:ind w:left="1078" w:right="0" w:hanging="366"/>
        <w:jc w:val="left"/>
        <w:rPr>
          <w:sz w:val="20"/>
        </w:rPr>
      </w:pPr>
      <w:r>
        <w:rPr>
          <w:color w:val="231F20"/>
          <w:sz w:val="20"/>
        </w:rPr>
        <w:t>deployment of auto-throttle and vertical navigation to maintain optimum cruising</w:t>
      </w:r>
      <w:r>
        <w:rPr>
          <w:color w:val="231F20"/>
          <w:spacing w:val="12"/>
          <w:sz w:val="20"/>
        </w:rPr>
        <w:t> </w:t>
      </w:r>
      <w:r>
        <w:rPr>
          <w:color w:val="231F20"/>
          <w:sz w:val="20"/>
        </w:rPr>
        <w:t>speeds;</w:t>
      </w:r>
    </w:p>
    <w:p>
      <w:pPr>
        <w:pStyle w:val="ListParagraph"/>
        <w:numPr>
          <w:ilvl w:val="0"/>
          <w:numId w:val="5"/>
        </w:numPr>
        <w:tabs>
          <w:tab w:pos="1077" w:val="left" w:leader="none"/>
          <w:tab w:pos="1078" w:val="left" w:leader="none"/>
        </w:tabs>
        <w:spacing w:line="249" w:lineRule="auto" w:before="195" w:after="0"/>
        <w:ind w:left="1078" w:right="226" w:hanging="366"/>
        <w:jc w:val="left"/>
        <w:rPr>
          <w:sz w:val="20"/>
        </w:rPr>
      </w:pPr>
      <w:r>
        <w:rPr>
          <w:color w:val="231F20"/>
          <w:sz w:val="20"/>
        </w:rPr>
        <w:t>implementation of new engine start procedures to support the introduction of new single engine taxi procedures;</w:t>
      </w:r>
    </w:p>
    <w:p>
      <w:pPr>
        <w:pStyle w:val="ListParagraph"/>
        <w:numPr>
          <w:ilvl w:val="0"/>
          <w:numId w:val="5"/>
        </w:numPr>
        <w:tabs>
          <w:tab w:pos="1077" w:val="left" w:leader="none"/>
          <w:tab w:pos="1078" w:val="left" w:leader="none"/>
        </w:tabs>
        <w:spacing w:line="249" w:lineRule="auto" w:before="187" w:after="0"/>
        <w:ind w:left="1078" w:right="613" w:hanging="366"/>
        <w:jc w:val="left"/>
        <w:rPr>
          <w:sz w:val="20"/>
        </w:rPr>
      </w:pPr>
      <w:r>
        <w:rPr>
          <w:color w:val="231F20"/>
          <w:sz w:val="20"/>
        </w:rPr>
        <w:t>adjustment of the timing of auxiliary power unit starts on originating flights to reduce auxiliary power unit usage;</w:t>
      </w:r>
      <w:r>
        <w:rPr>
          <w:color w:val="231F20"/>
          <w:spacing w:val="1"/>
          <w:sz w:val="20"/>
        </w:rPr>
        <w:t> </w:t>
      </w:r>
      <w:r>
        <w:rPr>
          <w:color w:val="231F20"/>
          <w:sz w:val="20"/>
        </w:rPr>
        <w:t>and</w:t>
      </w:r>
    </w:p>
    <w:p>
      <w:pPr>
        <w:pStyle w:val="ListParagraph"/>
        <w:numPr>
          <w:ilvl w:val="0"/>
          <w:numId w:val="5"/>
        </w:numPr>
        <w:tabs>
          <w:tab w:pos="1077" w:val="left" w:leader="none"/>
          <w:tab w:pos="1078" w:val="left" w:leader="none"/>
        </w:tabs>
        <w:spacing w:line="426" w:lineRule="exact" w:before="33" w:after="0"/>
        <w:ind w:left="590" w:right="835" w:firstLine="122"/>
        <w:jc w:val="left"/>
        <w:rPr>
          <w:sz w:val="20"/>
        </w:rPr>
      </w:pPr>
      <w:r>
        <w:rPr>
          <w:color w:val="231F20"/>
          <w:sz w:val="20"/>
        </w:rPr>
        <w:t>reduced aircraft engine idle speed while on the ground, which also increases engine life.  The Company has also taken significant steps towards Required Navigation Performance</w:t>
      </w:r>
      <w:r>
        <w:rPr>
          <w:color w:val="231F20"/>
          <w:spacing w:val="6"/>
          <w:sz w:val="20"/>
        </w:rPr>
        <w:t> </w:t>
      </w:r>
      <w:r>
        <w:rPr>
          <w:color w:val="231F20"/>
          <w:sz w:val="20"/>
        </w:rPr>
        <w:t>(“RNP”)</w:t>
      </w:r>
    </w:p>
    <w:p>
      <w:pPr>
        <w:pStyle w:val="BodyText"/>
        <w:spacing w:line="198" w:lineRule="exact"/>
        <w:ind w:left="100"/>
      </w:pPr>
      <w:r>
        <w:rPr>
          <w:color w:val="231F20"/>
        </w:rPr>
        <w:t>operations. RNP is part of the FAA’s strategy to modernize the U.S. Air Traffic Control System by addressing</w:t>
      </w:r>
    </w:p>
    <w:p>
      <w:pPr>
        <w:pStyle w:val="BodyText"/>
        <w:spacing w:line="249" w:lineRule="auto" w:before="10"/>
        <w:ind w:left="100" w:right="98"/>
      </w:pPr>
      <w:r>
        <w:rPr>
          <w:color w:val="231F20"/>
        </w:rPr>
        <w:t>limitations on air transportation capacity and making more efficient use of airspace. RNP combines the capabilities of advanced aircraft avionics, GPS (Global Positioning System)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Southwest began conducting GPS approach procedures during the first quarter of 2010, completed RNP training of nearly 6,000 pilots in November 2010, and commenced RNP procedures in revenue service in January 2011. In the first twenty days of RNP activation, Southwest performed 1,400 RNP approaches, and, by the end of 2011, Southwest had conducted 6,790 RNP approaches; however, for reasons out of its control, by the end of 2011 Southwest’s total number of RNP approaches had slowed to fewer than 400 per month. Southwest performed 2,870 RNP approaches during 2012, including 956 in the fourth quarter as RNP approaches became available at several additional airports. Southwest must rely on RNP approaches published by the FAA, and the rate of introduction of RNP approaches has been slower than expected, with fuel efficient RNP approaches currently available at only 29 airports. In addition, even at airports with approved RNP approaches, the clearance required from air traffic controllers to perform RNP approaches is often not granted. As a result of the FAA’s recent lack of emphasis on continuing to implement this technology and the Company’s continued retirement of its older Classic (737-300/500) aircraft, the Company has decided not to equip its Classic aircraft with RNP</w:t>
      </w:r>
      <w:r>
        <w:rPr>
          <w:color w:val="231F20"/>
          <w:spacing w:val="-1"/>
        </w:rPr>
        <w:t> </w:t>
      </w:r>
      <w:r>
        <w:rPr>
          <w:color w:val="231F20"/>
        </w:rPr>
        <w:t>capabilities.</w:t>
      </w:r>
    </w:p>
    <w:p>
      <w:pPr>
        <w:pStyle w:val="Heading4"/>
        <w:spacing w:before="187"/>
        <w:ind w:left="590"/>
        <w:rPr>
          <w:i/>
        </w:rPr>
      </w:pPr>
      <w:r>
        <w:rPr>
          <w:i/>
          <w:color w:val="231F20"/>
        </w:rPr>
        <w:t>Aggressive Promotion of the Company’s Points of Differentiation from its Competitors</w:t>
      </w:r>
    </w:p>
    <w:p>
      <w:pPr>
        <w:pStyle w:val="BodyText"/>
        <w:spacing w:line="249" w:lineRule="auto" w:before="196"/>
        <w:ind w:left="100" w:right="101" w:firstLine="490"/>
      </w:pPr>
      <w:r>
        <w:rPr>
          <w:color w:val="231F20"/>
        </w:rPr>
        <w:t>During 2012, the Company continued to benefit from, and aggressively market, Southwest’s points of differentiation from its competitors. For example, Southwest continues to be the only major U.S. airline that does not impose additional fees for first and second checked bags. Through its “Bags Fly Free</w:t>
      </w:r>
      <w:r>
        <w:rPr>
          <w:color w:val="231F20"/>
          <w:position w:val="5"/>
          <w:sz w:val="15"/>
        </w:rPr>
        <w:t>®</w:t>
      </w:r>
      <w:r>
        <w:rPr>
          <w:color w:val="231F20"/>
        </w:rPr>
        <w:t>” marketing campaign, Southwest has continued to aggressively promote this point of differentiation from its competitors.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9" w:lineRule="auto" w:before="187"/>
        <w:ind w:left="100" w:right="224" w:firstLine="490"/>
      </w:pPr>
      <w:r>
        <w:rPr>
          <w:color w:val="231F20"/>
        </w:rPr>
        <w:t>Southwest is also the only major U.S. airline that does not impose a fee on any of its fares for a </w:t>
      </w:r>
      <w:r>
        <w:rPr>
          <w:color w:val="231F20"/>
          <w:spacing w:val="-3"/>
        </w:rPr>
        <w:t>Customer </w:t>
      </w:r>
      <w:r>
        <w:rPr>
          <w:color w:val="231F20"/>
        </w:rPr>
        <w:t>change</w:t>
      </w:r>
      <w:r>
        <w:rPr>
          <w:color w:val="231F20"/>
          <w:spacing w:val="-13"/>
        </w:rPr>
        <w:t> </w:t>
      </w:r>
      <w:r>
        <w:rPr>
          <w:color w:val="231F20"/>
        </w:rPr>
        <w:t>in</w:t>
      </w:r>
      <w:r>
        <w:rPr>
          <w:color w:val="231F20"/>
          <w:spacing w:val="-13"/>
        </w:rPr>
        <w:t> </w:t>
      </w:r>
      <w:r>
        <w:rPr>
          <w:color w:val="231F20"/>
        </w:rPr>
        <w:t>flight</w:t>
      </w:r>
      <w:r>
        <w:rPr>
          <w:color w:val="231F20"/>
          <w:spacing w:val="-13"/>
        </w:rPr>
        <w:t> </w:t>
      </w:r>
      <w:r>
        <w:rPr>
          <w:color w:val="231F20"/>
        </w:rPr>
        <w:t>plans.</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continued</w:t>
      </w:r>
      <w:r>
        <w:rPr>
          <w:color w:val="231F20"/>
          <w:spacing w:val="-13"/>
        </w:rPr>
        <w:t> </w:t>
      </w:r>
      <w:r>
        <w:rPr>
          <w:color w:val="231F20"/>
        </w:rPr>
        <w:t>to</w:t>
      </w:r>
      <w:r>
        <w:rPr>
          <w:color w:val="231F20"/>
          <w:spacing w:val="-13"/>
        </w:rPr>
        <w:t> </w:t>
      </w:r>
      <w:r>
        <w:rPr>
          <w:color w:val="231F20"/>
        </w:rPr>
        <w:t>incorporate</w:t>
      </w:r>
      <w:r>
        <w:rPr>
          <w:color w:val="231F20"/>
          <w:spacing w:val="-13"/>
        </w:rPr>
        <w:t> </w:t>
      </w:r>
      <w:r>
        <w:rPr>
          <w:color w:val="231F20"/>
        </w:rPr>
        <w:t>this</w:t>
      </w:r>
      <w:r>
        <w:rPr>
          <w:color w:val="231F20"/>
          <w:spacing w:val="-13"/>
        </w:rPr>
        <w:t> </w:t>
      </w:r>
      <w:r>
        <w:rPr>
          <w:color w:val="231F20"/>
        </w:rPr>
        <w:t>key</w:t>
      </w:r>
      <w:r>
        <w:rPr>
          <w:color w:val="231F20"/>
          <w:spacing w:val="-13"/>
        </w:rPr>
        <w:t> </w:t>
      </w:r>
      <w:r>
        <w:rPr>
          <w:color w:val="231F20"/>
        </w:rPr>
        <w:t>point</w:t>
      </w:r>
      <w:r>
        <w:rPr>
          <w:color w:val="231F20"/>
          <w:spacing w:val="-13"/>
        </w:rPr>
        <w:t> </w:t>
      </w:r>
      <w:r>
        <w:rPr>
          <w:color w:val="231F20"/>
        </w:rPr>
        <w:t>of</w:t>
      </w:r>
      <w:r>
        <w:rPr>
          <w:color w:val="231F20"/>
          <w:spacing w:val="-13"/>
        </w:rPr>
        <w:t> </w:t>
      </w:r>
      <w:r>
        <w:rPr>
          <w:color w:val="231F20"/>
        </w:rPr>
        <w:t>differentiation</w:t>
      </w:r>
      <w:r>
        <w:rPr>
          <w:color w:val="231F20"/>
          <w:spacing w:val="-13"/>
        </w:rPr>
        <w:t> </w:t>
      </w:r>
      <w:r>
        <w:rPr>
          <w:color w:val="231F20"/>
        </w:rPr>
        <w:t>in</w:t>
      </w:r>
      <w:r>
        <w:rPr>
          <w:color w:val="231F20"/>
          <w:spacing w:val="-13"/>
        </w:rPr>
        <w:t> </w:t>
      </w:r>
      <w:r>
        <w:rPr>
          <w:color w:val="231F20"/>
        </w:rPr>
        <w:t>its</w:t>
      </w:r>
      <w:r>
        <w:rPr>
          <w:color w:val="231F20"/>
          <w:spacing w:val="-13"/>
        </w:rPr>
        <w:t> </w:t>
      </w:r>
      <w:r>
        <w:rPr>
          <w:color w:val="231F20"/>
        </w:rPr>
        <w:t>marketing campaigns.</w:t>
      </w:r>
      <w:r>
        <w:rPr>
          <w:color w:val="231F20"/>
          <w:spacing w:val="-14"/>
        </w:rPr>
        <w:t> </w:t>
      </w:r>
      <w:r>
        <w:rPr>
          <w:color w:val="231F20"/>
        </w:rPr>
        <w:t>The</w:t>
      </w:r>
      <w:r>
        <w:rPr>
          <w:color w:val="231F20"/>
          <w:spacing w:val="-14"/>
        </w:rPr>
        <w:t> </w:t>
      </w:r>
      <w:r>
        <w:rPr>
          <w:color w:val="231F20"/>
        </w:rPr>
        <w:t>campaigns</w:t>
      </w:r>
      <w:r>
        <w:rPr>
          <w:color w:val="231F20"/>
          <w:spacing w:val="-14"/>
        </w:rPr>
        <w:t> </w:t>
      </w:r>
      <w:r>
        <w:rPr>
          <w:color w:val="231F20"/>
        </w:rPr>
        <w:t>highlight</w:t>
      </w:r>
      <w:r>
        <w:rPr>
          <w:color w:val="231F20"/>
          <w:spacing w:val="-14"/>
        </w:rPr>
        <w:t> </w:t>
      </w:r>
      <w:r>
        <w:rPr>
          <w:color w:val="231F20"/>
        </w:rPr>
        <w:t>the</w:t>
      </w:r>
      <w:r>
        <w:rPr>
          <w:color w:val="231F20"/>
          <w:spacing w:val="-14"/>
        </w:rPr>
        <w:t> </w:t>
      </w:r>
      <w:r>
        <w:rPr>
          <w:color w:val="231F20"/>
        </w:rPr>
        <w:t>importance</w:t>
      </w:r>
      <w:r>
        <w:rPr>
          <w:color w:val="231F20"/>
          <w:spacing w:val="-14"/>
        </w:rPr>
        <w:t> </w:t>
      </w:r>
      <w:r>
        <w:rPr>
          <w:color w:val="231F20"/>
        </w:rPr>
        <w:t>to</w:t>
      </w:r>
      <w:r>
        <w:rPr>
          <w:color w:val="231F20"/>
          <w:spacing w:val="-14"/>
        </w:rPr>
        <w:t> </w:t>
      </w:r>
      <w:r>
        <w:rPr>
          <w:color w:val="231F20"/>
        </w:rPr>
        <w:t>Southwest</w:t>
      </w:r>
      <w:r>
        <w:rPr>
          <w:color w:val="231F20"/>
          <w:spacing w:val="-14"/>
        </w:rPr>
        <w:t> </w:t>
      </w:r>
      <w:r>
        <w:rPr>
          <w:color w:val="231F20"/>
        </w:rPr>
        <w:t>of</w:t>
      </w:r>
      <w:r>
        <w:rPr>
          <w:color w:val="231F20"/>
          <w:spacing w:val="-14"/>
        </w:rPr>
        <w:t> </w:t>
      </w:r>
      <w:r>
        <w:rPr>
          <w:color w:val="231F20"/>
        </w:rPr>
        <w:t>Customer</w:t>
      </w:r>
      <w:r>
        <w:rPr>
          <w:color w:val="231F20"/>
          <w:spacing w:val="-14"/>
        </w:rPr>
        <w:t> </w:t>
      </w:r>
      <w:r>
        <w:rPr>
          <w:color w:val="231F20"/>
        </w:rPr>
        <w:t>Service</w:t>
      </w:r>
      <w:r>
        <w:rPr>
          <w:color w:val="231F20"/>
          <w:spacing w:val="-14"/>
        </w:rPr>
        <w:t> </w:t>
      </w:r>
      <w:r>
        <w:rPr>
          <w:color w:val="231F20"/>
        </w:rPr>
        <w:t>by</w:t>
      </w:r>
      <w:r>
        <w:rPr>
          <w:color w:val="231F20"/>
          <w:spacing w:val="-14"/>
        </w:rPr>
        <w:t> </w:t>
      </w:r>
      <w:r>
        <w:rPr>
          <w:color w:val="231F20"/>
        </w:rPr>
        <w:t>showing</w:t>
      </w:r>
      <w:r>
        <w:rPr>
          <w:color w:val="231F20"/>
          <w:spacing w:val="-14"/>
        </w:rPr>
        <w:t> </w:t>
      </w:r>
      <w:r>
        <w:rPr>
          <w:color w:val="231F20"/>
        </w:rPr>
        <w:t>that</w:t>
      </w:r>
      <w:r>
        <w:rPr>
          <w:color w:val="231F20"/>
          <w:spacing w:val="-14"/>
        </w:rPr>
        <w:t> </w:t>
      </w:r>
      <w:r>
        <w:rPr>
          <w:color w:val="231F20"/>
          <w:spacing w:val="-3"/>
        </w:rPr>
        <w:t>Southwest </w:t>
      </w:r>
      <w:r>
        <w:rPr>
          <w:color w:val="231F20"/>
        </w:rPr>
        <w:t>understands</w:t>
      </w:r>
      <w:r>
        <w:rPr>
          <w:color w:val="231F20"/>
          <w:spacing w:val="-12"/>
        </w:rPr>
        <w:t> </w:t>
      </w:r>
      <w:r>
        <w:rPr>
          <w:color w:val="231F20"/>
        </w:rPr>
        <w:t>plans</w:t>
      </w:r>
      <w:r>
        <w:rPr>
          <w:color w:val="231F20"/>
          <w:spacing w:val="-12"/>
        </w:rPr>
        <w:t> </w:t>
      </w:r>
      <w:r>
        <w:rPr>
          <w:color w:val="231F20"/>
        </w:rPr>
        <w:t>can</w:t>
      </w:r>
      <w:r>
        <w:rPr>
          <w:color w:val="231F20"/>
          <w:spacing w:val="-12"/>
        </w:rPr>
        <w:t> </w:t>
      </w:r>
      <w:r>
        <w:rPr>
          <w:color w:val="231F20"/>
        </w:rPr>
        <w:t>change</w:t>
      </w:r>
      <w:r>
        <w:rPr>
          <w:color w:val="231F20"/>
          <w:spacing w:val="-12"/>
        </w:rPr>
        <w:t> </w:t>
      </w:r>
      <w:r>
        <w:rPr>
          <w:color w:val="231F20"/>
        </w:rPr>
        <w:t>and</w:t>
      </w:r>
      <w:r>
        <w:rPr>
          <w:color w:val="231F20"/>
          <w:spacing w:val="-12"/>
        </w:rPr>
        <w:t> </w:t>
      </w:r>
      <w:r>
        <w:rPr>
          <w:color w:val="231F20"/>
        </w:rPr>
        <w:t>therefore</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charge</w:t>
      </w:r>
      <w:r>
        <w:rPr>
          <w:color w:val="231F20"/>
          <w:spacing w:val="-12"/>
        </w:rPr>
        <w:t> </w:t>
      </w:r>
      <w:r>
        <w:rPr>
          <w:color w:val="231F20"/>
        </w:rPr>
        <w:t>a</w:t>
      </w:r>
      <w:r>
        <w:rPr>
          <w:color w:val="231F20"/>
          <w:spacing w:val="-12"/>
        </w:rPr>
        <w:t> </w:t>
      </w:r>
      <w:r>
        <w:rPr>
          <w:color w:val="231F20"/>
        </w:rPr>
        <w:t>change</w:t>
      </w:r>
      <w:r>
        <w:rPr>
          <w:color w:val="231F20"/>
          <w:spacing w:val="-12"/>
        </w:rPr>
        <w:t> </w:t>
      </w:r>
      <w:r>
        <w:rPr>
          <w:color w:val="231F20"/>
        </w:rPr>
        <w:t>fee.</w:t>
      </w:r>
      <w:r>
        <w:rPr>
          <w:color w:val="231F20"/>
          <w:spacing w:val="-12"/>
        </w:rPr>
        <w:t> </w:t>
      </w:r>
      <w:r>
        <w:rPr>
          <w:color w:val="231F20"/>
        </w:rPr>
        <w:t>While</w:t>
      </w:r>
      <w:r>
        <w:rPr>
          <w:color w:val="231F20"/>
          <w:spacing w:val="-12"/>
        </w:rPr>
        <w:t> </w:t>
      </w:r>
      <w:r>
        <w:rPr>
          <w:color w:val="231F20"/>
        </w:rPr>
        <w:t>a</w:t>
      </w:r>
      <w:r>
        <w:rPr>
          <w:color w:val="231F20"/>
          <w:spacing w:val="-12"/>
        </w:rPr>
        <w:t> </w:t>
      </w:r>
      <w:r>
        <w:rPr>
          <w:color w:val="231F20"/>
        </w:rPr>
        <w:t>Customer</w:t>
      </w:r>
      <w:r>
        <w:rPr>
          <w:color w:val="231F20"/>
          <w:spacing w:val="-12"/>
        </w:rPr>
        <w:t> </w:t>
      </w:r>
      <w:r>
        <w:rPr>
          <w:color w:val="231F20"/>
        </w:rPr>
        <w:t>may</w:t>
      </w:r>
      <w:r>
        <w:rPr>
          <w:color w:val="231F20"/>
          <w:spacing w:val="-12"/>
        </w:rPr>
        <w:t> </w:t>
      </w:r>
      <w:r>
        <w:rPr>
          <w:color w:val="231F20"/>
        </w:rPr>
        <w:t>pay</w:t>
      </w:r>
      <w:r>
        <w:rPr>
          <w:color w:val="231F20"/>
          <w:spacing w:val="-12"/>
        </w:rPr>
        <w:t> </w:t>
      </w:r>
      <w:r>
        <w:rPr>
          <w:color w:val="231F20"/>
        </w:rPr>
        <w:t>a</w:t>
      </w:r>
      <w:r>
        <w:rPr>
          <w:color w:val="231F20"/>
          <w:spacing w:val="-12"/>
        </w:rPr>
        <w:t> </w:t>
      </w:r>
      <w:r>
        <w:rPr>
          <w:color w:val="231F20"/>
        </w:rPr>
        <w:t>difference in airfare, the Customer will not be charged a change fee on top of any difference in airfare. As discussed below under “Ancillary Services and Fees,” during 2013, Southwest intends to implement a service charge for reuse of funds</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“Wanna</w:t>
      </w:r>
      <w:r>
        <w:rPr>
          <w:color w:val="231F20"/>
          <w:spacing w:val="-14"/>
        </w:rPr>
        <w:t> </w:t>
      </w:r>
      <w:r>
        <w:rPr>
          <w:color w:val="231F20"/>
        </w:rPr>
        <w:t>Get</w:t>
      </w:r>
      <w:r>
        <w:rPr>
          <w:color w:val="231F20"/>
          <w:spacing w:val="-14"/>
        </w:rPr>
        <w:t> </w:t>
      </w:r>
      <w:r>
        <w:rPr>
          <w:color w:val="231F20"/>
        </w:rPr>
        <w:t>Away”</w:t>
      </w:r>
      <w:r>
        <w:rPr>
          <w:color w:val="231F20"/>
          <w:spacing w:val="-14"/>
        </w:rPr>
        <w:t> </w:t>
      </w:r>
      <w:r>
        <w:rPr>
          <w:color w:val="231F20"/>
        </w:rPr>
        <w:t>tickets</w:t>
      </w:r>
      <w:r>
        <w:rPr>
          <w:color w:val="231F20"/>
          <w:spacing w:val="-14"/>
        </w:rPr>
        <w:t> </w:t>
      </w:r>
      <w:r>
        <w:rPr>
          <w:color w:val="231F20"/>
        </w:rPr>
        <w:t>that</w:t>
      </w:r>
      <w:r>
        <w:rPr>
          <w:color w:val="231F20"/>
          <w:spacing w:val="-14"/>
        </w:rPr>
        <w:t> </w:t>
      </w:r>
      <w:r>
        <w:rPr>
          <w:color w:val="231F20"/>
        </w:rPr>
        <w:t>are</w:t>
      </w:r>
      <w:r>
        <w:rPr>
          <w:color w:val="231F20"/>
          <w:spacing w:val="-14"/>
        </w:rPr>
        <w:t> </w:t>
      </w:r>
      <w:r>
        <w:rPr>
          <w:color w:val="231F20"/>
        </w:rPr>
        <w:t>not</w:t>
      </w:r>
      <w:r>
        <w:rPr>
          <w:color w:val="231F20"/>
          <w:spacing w:val="-14"/>
        </w:rPr>
        <w:t> </w:t>
      </w:r>
      <w:r>
        <w:rPr>
          <w:color w:val="231F20"/>
        </w:rPr>
        <w:t>canceled</w:t>
      </w:r>
      <w:r>
        <w:rPr>
          <w:color w:val="231F20"/>
          <w:spacing w:val="-14"/>
        </w:rPr>
        <w:t> </w:t>
      </w:r>
      <w:r>
        <w:rPr>
          <w:color w:val="231F20"/>
        </w:rPr>
        <w:t>or</w:t>
      </w:r>
      <w:r>
        <w:rPr>
          <w:color w:val="231F20"/>
          <w:spacing w:val="-14"/>
        </w:rPr>
        <w:t> </w:t>
      </w:r>
      <w:r>
        <w:rPr>
          <w:color w:val="231F20"/>
        </w:rPr>
        <w:t>changed</w:t>
      </w:r>
      <w:r>
        <w:rPr>
          <w:color w:val="231F20"/>
          <w:spacing w:val="-14"/>
        </w:rPr>
        <w:t> </w:t>
      </w:r>
      <w:r>
        <w:rPr>
          <w:color w:val="231F20"/>
        </w:rPr>
        <w:t>prior</w:t>
      </w:r>
      <w:r>
        <w:rPr>
          <w:color w:val="231F20"/>
          <w:spacing w:val="-14"/>
        </w:rPr>
        <w:t> </w:t>
      </w:r>
      <w:r>
        <w:rPr>
          <w:color w:val="231F20"/>
        </w:rPr>
        <w:t>to</w:t>
      </w:r>
      <w:r>
        <w:rPr>
          <w:color w:val="231F20"/>
          <w:spacing w:val="-14"/>
        </w:rPr>
        <w:t> </w:t>
      </w:r>
      <w:r>
        <w:rPr>
          <w:color w:val="231F20"/>
        </w:rPr>
        <w:t>departure.</w:t>
      </w:r>
    </w:p>
    <w:p>
      <w:pPr>
        <w:pStyle w:val="BodyText"/>
        <w:spacing w:line="249" w:lineRule="auto" w:before="187"/>
        <w:ind w:left="100" w:right="131" w:firstLine="490"/>
      </w:pPr>
      <w:r>
        <w:rPr>
          <w:color w:val="231F20"/>
        </w:rPr>
        <w:t>Also unlike most of its competitors, Southwest does not impose additional fees for items such as seat selection,</w:t>
      </w:r>
      <w:r>
        <w:rPr>
          <w:color w:val="231F20"/>
          <w:spacing w:val="-18"/>
        </w:rPr>
        <w:t> </w:t>
      </w:r>
      <w:r>
        <w:rPr>
          <w:color w:val="231F20"/>
        </w:rPr>
        <w:t>fuel</w:t>
      </w:r>
      <w:r>
        <w:rPr>
          <w:color w:val="231F20"/>
          <w:spacing w:val="-18"/>
        </w:rPr>
        <w:t> </w:t>
      </w:r>
      <w:r>
        <w:rPr>
          <w:color w:val="231F20"/>
        </w:rPr>
        <w:t>surcharges,</w:t>
      </w:r>
      <w:r>
        <w:rPr>
          <w:color w:val="231F20"/>
          <w:spacing w:val="-18"/>
        </w:rPr>
        <w:t> </w:t>
      </w:r>
      <w:r>
        <w:rPr>
          <w:color w:val="231F20"/>
        </w:rPr>
        <w:t>snacks,</w:t>
      </w:r>
      <w:r>
        <w:rPr>
          <w:color w:val="231F20"/>
          <w:spacing w:val="-18"/>
        </w:rPr>
        <w:t> </w:t>
      </w:r>
      <w:r>
        <w:rPr>
          <w:color w:val="231F20"/>
        </w:rPr>
        <w:t>curb-side</w:t>
      </w:r>
      <w:r>
        <w:rPr>
          <w:color w:val="231F20"/>
          <w:spacing w:val="-18"/>
        </w:rPr>
        <w:t> </w:t>
      </w:r>
      <w:r>
        <w:rPr>
          <w:color w:val="231F20"/>
        </w:rPr>
        <w:t>checkin,</w:t>
      </w:r>
      <w:r>
        <w:rPr>
          <w:color w:val="231F20"/>
          <w:spacing w:val="-18"/>
        </w:rPr>
        <w:t> </w:t>
      </w:r>
      <w:r>
        <w:rPr>
          <w:color w:val="231F20"/>
        </w:rPr>
        <w:t>and</w:t>
      </w:r>
      <w:r>
        <w:rPr>
          <w:color w:val="231F20"/>
          <w:spacing w:val="-18"/>
        </w:rPr>
        <w:t> </w:t>
      </w:r>
      <w:r>
        <w:rPr>
          <w:color w:val="231F20"/>
        </w:rPr>
        <w:t>telephone</w:t>
      </w:r>
      <w:r>
        <w:rPr>
          <w:color w:val="231F20"/>
          <w:spacing w:val="-18"/>
        </w:rPr>
        <w:t> </w:t>
      </w:r>
      <w:r>
        <w:rPr>
          <w:color w:val="231F20"/>
        </w:rPr>
        <w:t>reservations.</w:t>
      </w:r>
      <w:r>
        <w:rPr>
          <w:color w:val="231F20"/>
          <w:spacing w:val="-18"/>
        </w:rPr>
        <w:t> </w:t>
      </w:r>
      <w:r>
        <w:rPr>
          <w:color w:val="231F20"/>
        </w:rPr>
        <w:t>In</w:t>
      </w:r>
      <w:r>
        <w:rPr>
          <w:color w:val="231F20"/>
          <w:spacing w:val="-18"/>
        </w:rPr>
        <w:t> </w:t>
      </w:r>
      <w:r>
        <w:rPr>
          <w:color w:val="231F20"/>
        </w:rPr>
        <w:t>addition,</w:t>
      </w:r>
      <w:r>
        <w:rPr>
          <w:color w:val="231F20"/>
          <w:spacing w:val="-18"/>
        </w:rPr>
        <w:t> </w:t>
      </w:r>
      <w:r>
        <w:rPr>
          <w:color w:val="231F20"/>
        </w:rPr>
        <w:t>Southwest</w:t>
      </w:r>
      <w:r>
        <w:rPr>
          <w:color w:val="231F20"/>
          <w:spacing w:val="-18"/>
        </w:rPr>
        <w:t> </w:t>
      </w:r>
      <w:r>
        <w:rPr>
          <w:color w:val="231F20"/>
        </w:rPr>
        <w:t>allows</w:t>
      </w:r>
      <w:r>
        <w:rPr>
          <w:color w:val="231F20"/>
          <w:spacing w:val="-18"/>
        </w:rPr>
        <w:t> </w:t>
      </w:r>
      <w:r>
        <w:rPr>
          <w:color w:val="231F20"/>
        </w:rPr>
        <w:t>each ticketed</w:t>
      </w:r>
      <w:r>
        <w:rPr>
          <w:color w:val="231F20"/>
          <w:spacing w:val="-12"/>
        </w:rPr>
        <w:t> </w:t>
      </w:r>
      <w:r>
        <w:rPr>
          <w:color w:val="231F20"/>
        </w:rPr>
        <w:t>Customer</w:t>
      </w:r>
      <w:r>
        <w:rPr>
          <w:color w:val="231F20"/>
          <w:spacing w:val="-12"/>
        </w:rPr>
        <w:t> </w:t>
      </w:r>
      <w:r>
        <w:rPr>
          <w:color w:val="231F20"/>
        </w:rPr>
        <w:t>to</w:t>
      </w:r>
      <w:r>
        <w:rPr>
          <w:color w:val="231F20"/>
          <w:spacing w:val="-13"/>
        </w:rPr>
        <w:t> </w:t>
      </w:r>
      <w:r>
        <w:rPr>
          <w:color w:val="231F20"/>
        </w:rPr>
        <w:t>check</w:t>
      </w:r>
      <w:r>
        <w:rPr>
          <w:color w:val="231F20"/>
          <w:spacing w:val="-13"/>
        </w:rPr>
        <w:t> </w:t>
      </w:r>
      <w:r>
        <w:rPr>
          <w:color w:val="231F20"/>
        </w:rPr>
        <w:t>one</w:t>
      </w:r>
      <w:r>
        <w:rPr>
          <w:color w:val="231F20"/>
          <w:spacing w:val="-12"/>
        </w:rPr>
        <w:t> </w:t>
      </w:r>
      <w:r>
        <w:rPr>
          <w:color w:val="231F20"/>
        </w:rPr>
        <w:t>stroller</w:t>
      </w:r>
      <w:r>
        <w:rPr>
          <w:color w:val="231F20"/>
          <w:spacing w:val="-12"/>
        </w:rPr>
        <w:t> </w:t>
      </w:r>
      <w:r>
        <w:rPr>
          <w:color w:val="231F20"/>
        </w:rPr>
        <w:t>and</w:t>
      </w:r>
      <w:r>
        <w:rPr>
          <w:color w:val="231F20"/>
          <w:spacing w:val="-12"/>
        </w:rPr>
        <w:t> </w:t>
      </w:r>
      <w:r>
        <w:rPr>
          <w:color w:val="231F20"/>
        </w:rPr>
        <w:t>one</w:t>
      </w:r>
      <w:r>
        <w:rPr>
          <w:color w:val="231F20"/>
          <w:spacing w:val="-12"/>
        </w:rPr>
        <w:t> </w:t>
      </w:r>
      <w:r>
        <w:rPr>
          <w:color w:val="231F20"/>
        </w:rPr>
        <w:t>car</w:t>
      </w:r>
      <w:r>
        <w:rPr>
          <w:color w:val="231F20"/>
          <w:spacing w:val="-12"/>
        </w:rPr>
        <w:t> </w:t>
      </w:r>
      <w:r>
        <w:rPr>
          <w:color w:val="231F20"/>
        </w:rPr>
        <w:t>seat</w:t>
      </w:r>
      <w:r>
        <w:rPr>
          <w:color w:val="231F20"/>
          <w:spacing w:val="-12"/>
        </w:rPr>
        <w:t> </w:t>
      </w:r>
      <w:r>
        <w:rPr>
          <w:color w:val="231F20"/>
        </w:rPr>
        <w:t>free</w:t>
      </w:r>
      <w:r>
        <w:rPr>
          <w:color w:val="231F20"/>
          <w:spacing w:val="-12"/>
        </w:rPr>
        <w:t> </w:t>
      </w:r>
      <w:r>
        <w:rPr>
          <w:color w:val="231F20"/>
        </w:rPr>
        <w:t>of</w:t>
      </w:r>
      <w:r>
        <w:rPr>
          <w:color w:val="231F20"/>
          <w:spacing w:val="-12"/>
        </w:rPr>
        <w:t> </w:t>
      </w:r>
      <w:r>
        <w:rPr>
          <w:color w:val="231F20"/>
        </w:rPr>
        <w:t>charge,</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two</w:t>
      </w:r>
      <w:r>
        <w:rPr>
          <w:color w:val="231F20"/>
          <w:spacing w:val="-12"/>
        </w:rPr>
        <w:t> </w:t>
      </w:r>
      <w:r>
        <w:rPr>
          <w:color w:val="231F20"/>
        </w:rPr>
        <w:t>free</w:t>
      </w:r>
      <w:r>
        <w:rPr>
          <w:color w:val="231F20"/>
          <w:spacing w:val="-12"/>
        </w:rPr>
        <w:t> </w:t>
      </w:r>
      <w:r>
        <w:rPr>
          <w:color w:val="231F20"/>
        </w:rPr>
        <w:t>checked</w:t>
      </w:r>
      <w:r>
        <w:rPr>
          <w:color w:val="231F20"/>
          <w:spacing w:val="-12"/>
        </w:rPr>
        <w:t> </w:t>
      </w:r>
      <w:r>
        <w:rPr>
          <w:color w:val="231F20"/>
        </w:rPr>
        <w:t>bags.</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Business Traveler Amenities</w:t>
      </w:r>
    </w:p>
    <w:p>
      <w:pPr>
        <w:pStyle w:val="BodyText"/>
        <w:spacing w:before="10"/>
        <w:rPr>
          <w:b/>
          <w:i/>
          <w:sz w:val="17"/>
        </w:rPr>
      </w:pPr>
    </w:p>
    <w:p>
      <w:pPr>
        <w:pStyle w:val="BodyText"/>
        <w:ind w:left="590"/>
      </w:pPr>
      <w:r>
        <w:rPr>
          <w:color w:val="231F20"/>
        </w:rPr>
        <w:t>Southwest offers several products that have been designed to attract additional business/full fare travelers.</w:t>
      </w:r>
    </w:p>
    <w:p>
      <w:pPr>
        <w:pStyle w:val="BodyText"/>
        <w:spacing w:before="10"/>
        <w:rPr>
          <w:sz w:val="17"/>
        </w:rPr>
      </w:pPr>
    </w:p>
    <w:p>
      <w:pPr>
        <w:pStyle w:val="BodyText"/>
        <w:spacing w:line="249" w:lineRule="auto"/>
        <w:ind w:left="590" w:right="113" w:firstLine="490"/>
      </w:pPr>
      <w:r>
        <w:rPr>
          <w:i/>
          <w:color w:val="231F20"/>
        </w:rPr>
        <w:t>Business Select. </w:t>
      </w:r>
      <w:r>
        <w:rPr>
          <w:color w:val="231F20"/>
        </w:rPr>
        <w:t>As discussed above, Southwest’s “Business Select” product includes perks such as priority boarding, a higher frequent flyer point multiplier than other Southwest fares, priority ticket counter and security checkpoint access in select airports, and one complimentary adult beverage coupon for the day of travel (for Customers of legal drinking age).</w:t>
      </w:r>
    </w:p>
    <w:p>
      <w:pPr>
        <w:pStyle w:val="BodyText"/>
        <w:spacing w:line="249" w:lineRule="auto" w:before="193"/>
        <w:ind w:left="590" w:right="272" w:firstLine="490"/>
      </w:pPr>
      <w:r>
        <w:rPr>
          <w:i/>
          <w:color w:val="231F20"/>
        </w:rPr>
        <w:t>Fly By</w:t>
      </w:r>
      <w:r>
        <w:rPr>
          <w:color w:val="231F20"/>
          <w:position w:val="5"/>
          <w:sz w:val="15"/>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2012, Fly By Priority Lane Access was available at</w:t>
      </w:r>
    </w:p>
    <w:p>
      <w:pPr>
        <w:pStyle w:val="BodyText"/>
        <w:ind w:left="590"/>
      </w:pPr>
      <w:r>
        <w:rPr>
          <w:color w:val="231F20"/>
        </w:rPr>
        <w:t>58 airports.</w:t>
      </w:r>
    </w:p>
    <w:p>
      <w:pPr>
        <w:pStyle w:val="BodyText"/>
        <w:spacing w:before="9"/>
        <w:rPr>
          <w:sz w:val="17"/>
        </w:rPr>
      </w:pPr>
    </w:p>
    <w:p>
      <w:pPr>
        <w:pStyle w:val="BodyText"/>
        <w:spacing w:line="249" w:lineRule="auto" w:before="1"/>
        <w:ind w:left="590" w:right="251"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97"/>
        <w:ind w:left="100" w:right="228" w:firstLine="490"/>
      </w:pPr>
      <w:r>
        <w:rPr>
          <w:color w:val="231F20"/>
        </w:rPr>
        <w:t>In addition, as discussed below under “Inflight Internet and Live Television Connectivity,” Southwest has continued to install equipment on its fleet to provide WiFi connectivity and live television.</w:t>
      </w:r>
    </w:p>
    <w:p>
      <w:pPr>
        <w:pStyle w:val="BodyText"/>
        <w:spacing w:line="249" w:lineRule="auto" w:before="197"/>
        <w:ind w:left="100" w:right="367" w:firstLine="490"/>
      </w:pPr>
      <w:r>
        <w:rPr>
          <w:color w:val="231F20"/>
        </w:rPr>
        <w:t>AirTran currently offers Business Class on every flight; however the Company has stated that it intends, upon full integration of AirTran, to have a consistent all-coach product offering.</w:t>
      </w:r>
    </w:p>
    <w:p>
      <w:pPr>
        <w:pStyle w:val="Heading4"/>
        <w:spacing w:before="197"/>
        <w:ind w:left="590"/>
        <w:rPr>
          <w:i/>
        </w:rPr>
      </w:pPr>
      <w:r>
        <w:rPr>
          <w:i/>
          <w:color w:val="231F20"/>
        </w:rPr>
        <w:t>Ancillary Services and Fees</w:t>
      </w:r>
    </w:p>
    <w:p>
      <w:pPr>
        <w:pStyle w:val="BodyText"/>
        <w:spacing w:before="10"/>
        <w:rPr>
          <w:b/>
          <w:i/>
          <w:sz w:val="17"/>
        </w:rPr>
      </w:pPr>
    </w:p>
    <w:p>
      <w:pPr>
        <w:pStyle w:val="BodyText"/>
        <w:spacing w:line="249" w:lineRule="auto"/>
        <w:ind w:left="100" w:right="126" w:firstLine="490"/>
      </w:pPr>
      <w:r>
        <w:rPr>
          <w:color w:val="231F20"/>
        </w:rPr>
        <w:t>During 2012, the Company continued to experience revenue benefits from service offerings such as Southwest’s EarlyBird Check-in</w:t>
      </w:r>
      <w:r>
        <w:rPr>
          <w:color w:val="231F20"/>
          <w:position w:val="5"/>
          <w:sz w:val="13"/>
        </w:rPr>
        <w:t>SM </w:t>
      </w:r>
      <w:r>
        <w:rPr>
          <w:color w:val="231F20"/>
        </w:rPr>
        <w:t>and Pets Are Welcome on Southwest (P.A.W.S.) products. EarlyBird Check- in allows Customers an automatic checkin and to obtain an early boarding position directly behind Business Select and A-List Customers by adding an additional $10 to the price of a one-way fare (priority boarding privileges are already included in the purchase of a Business Select fare and are a benefit of being an A-List frequent flyer – see “Southwest’s All-New Rapid Rewards Frequent Flyer Program” above). The price for EarlyBird Check-in will increase to $12.50 per one-way fare by the end of the first quarter of 2013. Southwest’s</w:t>
      </w:r>
    </w:p>
    <w:p>
      <w:pPr>
        <w:pStyle w:val="BodyText"/>
        <w:spacing w:line="249" w:lineRule="auto" w:before="1"/>
        <w:ind w:left="100" w:right="191"/>
      </w:pPr>
      <w:r>
        <w:rPr>
          <w:color w:val="231F20"/>
        </w:rPr>
        <w:t>P.A.W.S. offering allows Customers to bring a small cat or dog into the aircraft cabin for a $75 one-way fare.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All-New Rapid Rewards frequent flyer program.</w:t>
      </w:r>
    </w:p>
    <w:p>
      <w:pPr>
        <w:pStyle w:val="BodyText"/>
        <w:spacing w:before="197"/>
        <w:ind w:left="590"/>
      </w:pPr>
      <w:r>
        <w:rPr>
          <w:color w:val="231F20"/>
        </w:rPr>
        <w:t>During</w:t>
      </w:r>
      <w:r>
        <w:rPr>
          <w:color w:val="231F20"/>
          <w:spacing w:val="-14"/>
        </w:rPr>
        <w:t> </w:t>
      </w:r>
      <w:r>
        <w:rPr>
          <w:color w:val="231F20"/>
        </w:rPr>
        <w:t>January</w:t>
      </w:r>
      <w:r>
        <w:rPr>
          <w:color w:val="231F20"/>
          <w:spacing w:val="-14"/>
        </w:rPr>
        <w:t> </w:t>
      </w:r>
      <w:r>
        <w:rPr>
          <w:color w:val="231F20"/>
        </w:rPr>
        <w:t>2013,</w:t>
      </w:r>
      <w:r>
        <w:rPr>
          <w:color w:val="231F20"/>
          <w:spacing w:val="-14"/>
        </w:rPr>
        <w:t> </w:t>
      </w:r>
      <w:r>
        <w:rPr>
          <w:color w:val="231F20"/>
        </w:rPr>
        <w:t>Southwest</w:t>
      </w:r>
      <w:r>
        <w:rPr>
          <w:color w:val="231F20"/>
          <w:spacing w:val="-14"/>
        </w:rPr>
        <w:t> </w:t>
      </w:r>
      <w:r>
        <w:rPr>
          <w:color w:val="231F20"/>
        </w:rPr>
        <w:t>began</w:t>
      </w:r>
      <w:r>
        <w:rPr>
          <w:color w:val="231F20"/>
          <w:spacing w:val="-14"/>
        </w:rPr>
        <w:t> </w:t>
      </w:r>
      <w:r>
        <w:rPr>
          <w:color w:val="231F20"/>
        </w:rPr>
        <w:t>selling</w:t>
      </w:r>
      <w:r>
        <w:rPr>
          <w:color w:val="231F20"/>
          <w:spacing w:val="-14"/>
        </w:rPr>
        <w:t> </w:t>
      </w:r>
      <w:r>
        <w:rPr>
          <w:color w:val="231F20"/>
        </w:rPr>
        <w:t>open</w:t>
      </w:r>
      <w:r>
        <w:rPr>
          <w:color w:val="231F20"/>
          <w:spacing w:val="-14"/>
        </w:rPr>
        <w:t> </w:t>
      </w:r>
      <w:r>
        <w:rPr>
          <w:color w:val="231F20"/>
        </w:rPr>
        <w:t>premium</w:t>
      </w:r>
      <w:r>
        <w:rPr>
          <w:color w:val="231F20"/>
          <w:spacing w:val="-14"/>
        </w:rPr>
        <w:t> </w:t>
      </w:r>
      <w:r>
        <w:rPr>
          <w:color w:val="231F20"/>
        </w:rPr>
        <w:t>boarding</w:t>
      </w:r>
      <w:r>
        <w:rPr>
          <w:color w:val="231F20"/>
          <w:spacing w:val="-14"/>
        </w:rPr>
        <w:t> </w:t>
      </w:r>
      <w:r>
        <w:rPr>
          <w:color w:val="231F20"/>
        </w:rPr>
        <w:t>positions</w:t>
      </w:r>
      <w:r>
        <w:rPr>
          <w:color w:val="231F20"/>
          <w:spacing w:val="-14"/>
        </w:rPr>
        <w:t> </w:t>
      </w:r>
      <w:r>
        <w:rPr>
          <w:color w:val="231F20"/>
        </w:rPr>
        <w:t>systemwide</w:t>
      </w:r>
      <w:r>
        <w:rPr>
          <w:color w:val="231F20"/>
          <w:spacing w:val="-14"/>
        </w:rPr>
        <w:t> </w:t>
      </w:r>
      <w:r>
        <w:rPr>
          <w:color w:val="231F20"/>
        </w:rPr>
        <w:t>at</w:t>
      </w:r>
      <w:r>
        <w:rPr>
          <w:color w:val="231F20"/>
          <w:spacing w:val="-14"/>
        </w:rPr>
        <w:t> </w:t>
      </w:r>
      <w:r>
        <w:rPr>
          <w:color w:val="231F20"/>
        </w:rPr>
        <w:t>the</w:t>
      </w:r>
      <w:r>
        <w:rPr>
          <w:color w:val="231F20"/>
          <w:spacing w:val="-14"/>
        </w:rPr>
        <w:t> </w:t>
      </w:r>
      <w:r>
        <w:rPr>
          <w:color w:val="231F20"/>
        </w:rPr>
        <w:t>gate</w:t>
      </w:r>
      <w:r>
        <w:rPr>
          <w:color w:val="231F20"/>
          <w:spacing w:val="-14"/>
        </w:rPr>
        <w:t> </w:t>
      </w:r>
      <w:r>
        <w:rPr>
          <w:color w:val="231F20"/>
        </w:rPr>
        <w:t>for</w:t>
      </w:r>
      <w:r>
        <w:rPr>
          <w:color w:val="231F20"/>
          <w:spacing w:val="-14"/>
        </w:rPr>
        <w:t> </w:t>
      </w:r>
      <w:r>
        <w:rPr>
          <w:color w:val="231F20"/>
        </w:rPr>
        <w:t>a</w:t>
      </w:r>
    </w:p>
    <w:p>
      <w:pPr>
        <w:pStyle w:val="BodyText"/>
        <w:spacing w:line="249" w:lineRule="auto" w:before="9"/>
        <w:ind w:left="100"/>
      </w:pPr>
      <w:r>
        <w:rPr>
          <w:color w:val="231F20"/>
        </w:rPr>
        <w:t>$40 charge per flight. Southwest’s sale of open premium boarding positions at the gate provides another early boarding</w:t>
      </w:r>
      <w:r>
        <w:rPr>
          <w:color w:val="231F20"/>
          <w:spacing w:val="-16"/>
        </w:rPr>
        <w:t> </w:t>
      </w:r>
      <w:r>
        <w:rPr>
          <w:color w:val="231F20"/>
        </w:rPr>
        <w:t>choice</w:t>
      </w:r>
      <w:r>
        <w:rPr>
          <w:color w:val="231F20"/>
          <w:spacing w:val="-16"/>
        </w:rPr>
        <w:t> </w:t>
      </w:r>
      <w:r>
        <w:rPr>
          <w:color w:val="231F20"/>
        </w:rPr>
        <w:t>for</w:t>
      </w:r>
      <w:r>
        <w:rPr>
          <w:color w:val="231F20"/>
          <w:spacing w:val="-16"/>
        </w:rPr>
        <w:t> </w:t>
      </w:r>
      <w:r>
        <w:rPr>
          <w:color w:val="231F20"/>
        </w:rPr>
        <w:t>its</w:t>
      </w:r>
      <w:r>
        <w:rPr>
          <w:color w:val="231F20"/>
          <w:spacing w:val="-16"/>
        </w:rPr>
        <w:t> </w:t>
      </w:r>
      <w:r>
        <w:rPr>
          <w:color w:val="231F20"/>
        </w:rPr>
        <w:t>Customers</w:t>
      </w:r>
      <w:r>
        <w:rPr>
          <w:color w:val="231F20"/>
          <w:spacing w:val="-16"/>
        </w:rPr>
        <w:t> </w:t>
      </w:r>
      <w:r>
        <w:rPr>
          <w:color w:val="231F20"/>
        </w:rPr>
        <w:t>in</w:t>
      </w:r>
      <w:r>
        <w:rPr>
          <w:color w:val="231F20"/>
          <w:spacing w:val="-16"/>
        </w:rPr>
        <w:t> </w:t>
      </w:r>
      <w:r>
        <w:rPr>
          <w:color w:val="231F20"/>
        </w:rPr>
        <w:t>addition</w:t>
      </w:r>
      <w:r>
        <w:rPr>
          <w:color w:val="231F20"/>
          <w:spacing w:val="-16"/>
        </w:rPr>
        <w:t> </w:t>
      </w:r>
      <w:r>
        <w:rPr>
          <w:color w:val="231F20"/>
        </w:rPr>
        <w:t>to</w:t>
      </w:r>
      <w:r>
        <w:rPr>
          <w:color w:val="231F20"/>
          <w:spacing w:val="-16"/>
        </w:rPr>
        <w:t> </w:t>
      </w:r>
      <w:r>
        <w:rPr>
          <w:color w:val="231F20"/>
        </w:rPr>
        <w:t>Southwest’s</w:t>
      </w:r>
      <w:r>
        <w:rPr>
          <w:color w:val="231F20"/>
          <w:spacing w:val="-16"/>
        </w:rPr>
        <w:t> </w:t>
      </w:r>
      <w:r>
        <w:rPr>
          <w:color w:val="231F20"/>
        </w:rPr>
        <w:t>“Business</w:t>
      </w:r>
      <w:r>
        <w:rPr>
          <w:color w:val="231F20"/>
          <w:spacing w:val="-16"/>
        </w:rPr>
        <w:t> </w:t>
      </w:r>
      <w:r>
        <w:rPr>
          <w:color w:val="231F20"/>
        </w:rPr>
        <w:t>Select”</w:t>
      </w:r>
      <w:r>
        <w:rPr>
          <w:color w:val="231F20"/>
          <w:spacing w:val="-16"/>
        </w:rPr>
        <w:t> </w:t>
      </w:r>
      <w:r>
        <w:rPr>
          <w:color w:val="231F20"/>
        </w:rPr>
        <w:t>product</w:t>
      </w:r>
      <w:r>
        <w:rPr>
          <w:color w:val="231F20"/>
          <w:spacing w:val="-16"/>
        </w:rPr>
        <w:t> </w:t>
      </w:r>
      <w:r>
        <w:rPr>
          <w:color w:val="231F20"/>
        </w:rPr>
        <w:t>and</w:t>
      </w:r>
      <w:r>
        <w:rPr>
          <w:color w:val="231F20"/>
          <w:spacing w:val="-16"/>
        </w:rPr>
        <w:t> </w:t>
      </w:r>
      <w:r>
        <w:rPr>
          <w:color w:val="231F20"/>
        </w:rPr>
        <w:t>EarlyBird</w:t>
      </w:r>
      <w:r>
        <w:rPr>
          <w:color w:val="231F20"/>
          <w:spacing w:val="-16"/>
        </w:rPr>
        <w:t> </w:t>
      </w:r>
      <w:r>
        <w:rPr>
          <w:color w:val="231F20"/>
        </w:rPr>
        <w:t>Check-in.</w:t>
      </w:r>
    </w:p>
    <w:p>
      <w:pPr>
        <w:pStyle w:val="BodyText"/>
        <w:spacing w:line="249" w:lineRule="auto" w:before="196"/>
        <w:ind w:left="100" w:right="101" w:firstLine="490"/>
      </w:pPr>
      <w:r>
        <w:rPr>
          <w:color w:val="231F20"/>
        </w:rPr>
        <w:t>Southwest also plans, during 2013, to tighten the flexibility with respect to its most restricted fares, known as “Wanna Get Away,” by implementing a service charge for reuse of funds associated with tickets that are not canceled or changed prior to departure. Southwest expects that, in addition to providing ancillary revenue, the service charge will promote Customer behavior that allows Southwest to re-sell the open seat prior to departure. The Company has not determined the amount of the service charge or the timing of implementation in 2013.</w:t>
      </w:r>
    </w:p>
    <w:p>
      <w:pPr>
        <w:pStyle w:val="BodyText"/>
        <w:spacing w:line="249" w:lineRule="auto" w:before="196"/>
        <w:ind w:left="100" w:right="36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w:t>
      </w:r>
    </w:p>
    <w:p>
      <w:pPr>
        <w:spacing w:after="0" w:line="249" w:lineRule="auto"/>
        <w:sectPr>
          <w:pgSz w:w="11880" w:h="15480"/>
          <w:pgMar w:header="0" w:footer="1253" w:top="1240" w:bottom="1440" w:left="1280" w:right="1280"/>
        </w:sectPr>
      </w:pPr>
    </w:p>
    <w:p>
      <w:pPr>
        <w:pStyle w:val="BodyText"/>
        <w:spacing w:line="249" w:lineRule="auto" w:before="73"/>
        <w:ind w:left="100" w:right="746"/>
      </w:pPr>
      <w:r>
        <w:rPr>
          <w:color w:val="231F20"/>
        </w:rPr>
        <w:t>A+ Miles Rewards). The Company intends, upon full integration of AirTran, to have a consistent product offering without first or second bag fees or change fees.</w:t>
      </w:r>
    </w:p>
    <w:p>
      <w:pPr>
        <w:pStyle w:val="Heading4"/>
        <w:spacing w:before="197"/>
        <w:ind w:left="590"/>
        <w:rPr>
          <w:i/>
        </w:rPr>
      </w:pPr>
      <w:r>
        <w:rPr>
          <w:i/>
          <w:color w:val="231F20"/>
        </w:rPr>
        <w:t>Inflight Internet and Live Television Connectivity</w:t>
      </w:r>
    </w:p>
    <w:p>
      <w:pPr>
        <w:pStyle w:val="BodyText"/>
        <w:spacing w:before="10"/>
        <w:rPr>
          <w:b/>
          <w:i/>
          <w:sz w:val="17"/>
        </w:rPr>
      </w:pPr>
    </w:p>
    <w:p>
      <w:pPr>
        <w:pStyle w:val="BodyText"/>
        <w:spacing w:line="249" w:lineRule="auto"/>
        <w:ind w:left="100" w:right="160" w:firstLine="490"/>
      </w:pPr>
      <w:r>
        <w:rPr>
          <w:color w:val="231F20"/>
        </w:rPr>
        <w:t>Southwest currently offers inflight satellite-based WiFi service on over 400 of its aircraft and continues to work on installing this service on the remainder of its 737-700 aircraft, which is expected to be completed by the end of the first quarter of 2013. The Company’s fleet of 737-800 aircraft enter into service with the inflight satellite-based service. The Company’s arrangement with its WiFi provider enables the Company to control the pricing of the service, which is currently $8 a day per device.</w:t>
      </w:r>
    </w:p>
    <w:p>
      <w:pPr>
        <w:pStyle w:val="BodyText"/>
        <w:spacing w:line="249" w:lineRule="auto" w:before="196"/>
        <w:ind w:left="100" w:right="302" w:firstLine="490"/>
      </w:pPr>
      <w:r>
        <w:rPr>
          <w:color w:val="231F20"/>
        </w:rPr>
        <w:t>During 2012, Southwest began providing Customers on all WiFi aircraft the option to purchase access to live television, consisting of certain sports and news channels, for viewing on their personal wireless</w:t>
      </w:r>
    </w:p>
    <w:p>
      <w:pPr>
        <w:pStyle w:val="BodyText"/>
        <w:spacing w:line="249" w:lineRule="auto"/>
        <w:ind w:left="100" w:right="132"/>
      </w:pPr>
      <w:r>
        <w:rPr>
          <w:color w:val="231F20"/>
        </w:rPr>
        <w:t>devices. Live television is offered as a separate charge from WiFi, so Customers do not have to purchase WiFi to purchase live television. Southwest currently offers live television for $5 a day per device.</w:t>
      </w:r>
    </w:p>
    <w:p>
      <w:pPr>
        <w:pStyle w:val="BodyText"/>
        <w:spacing w:line="249" w:lineRule="auto" w:before="196"/>
        <w:ind w:left="100" w:right="104" w:firstLine="490"/>
      </w:pPr>
      <w:r>
        <w:rPr>
          <w:color w:val="231F20"/>
        </w:rPr>
        <w:t>On February 1, 2013, Southwest launched movies on demand and an upgraded television package on all WiFi aircraft, consisting of recorded movies and television shows that are stored on the onboard server and streamed wirelessly to Customer devices. Movies are priced at $5 per movie and television shows are included as part of the $5 television package which includes access to live channels.</w:t>
      </w:r>
    </w:p>
    <w:p>
      <w:pPr>
        <w:pStyle w:val="BodyText"/>
        <w:spacing w:line="249" w:lineRule="auto" w:before="196"/>
        <w:ind w:left="100" w:right="259" w:firstLine="490"/>
      </w:pPr>
      <w:r>
        <w:rPr>
          <w:color w:val="231F20"/>
        </w:rPr>
        <w:t>AirTran currently offers Gogo Inflight Internet connectivity on every flight. Gogo establishes the charges for, and receives the majority of revenue associated with, such Inflight Internet connectivity.</w:t>
      </w:r>
    </w:p>
    <w:p>
      <w:pPr>
        <w:pStyle w:val="Heading4"/>
        <w:spacing w:before="196"/>
        <w:ind w:left="590"/>
        <w:rPr>
          <w:i/>
        </w:rPr>
      </w:pPr>
      <w:r>
        <w:rPr>
          <w:i/>
          <w:color w:val="231F20"/>
        </w:rPr>
        <w:t>Proactive Customer Communications</w:t>
      </w:r>
    </w:p>
    <w:p>
      <w:pPr>
        <w:pStyle w:val="BodyText"/>
        <w:spacing w:before="10"/>
        <w:rPr>
          <w:b/>
          <w:i/>
          <w:sz w:val="17"/>
        </w:rPr>
      </w:pPr>
    </w:p>
    <w:p>
      <w:pPr>
        <w:pStyle w:val="BodyText"/>
        <w:spacing w:line="249" w:lineRule="auto"/>
        <w:ind w:left="100" w:right="115" w:firstLine="490"/>
      </w:pPr>
      <w:r>
        <w:rPr>
          <w:color w:val="231F20"/>
        </w:rPr>
        <w:t>The Company’s Automated Outbound Messaging (“AOM”) service enables it to (i) proactively deliver customized automated voice, text, and e-mail messages to Southwest Customers when there has been a change in their flight status as a result of a cancellation, gate change, or flight delay (of 30 minutes or more), as well as potential disruptions to Southwest’s scheduled service; and (ii) 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 experience.</w:t>
      </w:r>
    </w:p>
    <w:p>
      <w:pPr>
        <w:pStyle w:val="Heading4"/>
        <w:spacing w:before="197"/>
        <w:ind w:left="83" w:right="6056"/>
        <w:jc w:val="center"/>
        <w:rPr>
          <w:i/>
        </w:rPr>
      </w:pPr>
      <w:r>
        <w:rPr>
          <w:i/>
          <w:color w:val="231F20"/>
        </w:rPr>
        <w:t>Wireless Ramp Communication</w:t>
      </w:r>
    </w:p>
    <w:p>
      <w:pPr>
        <w:pStyle w:val="BodyText"/>
        <w:spacing w:before="10"/>
        <w:rPr>
          <w:b/>
          <w:i/>
          <w:sz w:val="17"/>
        </w:rPr>
      </w:pPr>
    </w:p>
    <w:p>
      <w:pPr>
        <w:pStyle w:val="BodyText"/>
        <w:spacing w:line="249" w:lineRule="auto"/>
        <w:ind w:left="100" w:right="183" w:firstLine="490"/>
      </w:pPr>
      <w:r>
        <w:rPr>
          <w:color w:val="231F20"/>
        </w:rPr>
        <w:t>In 2012 the Company equipped all Southwest ramp Employees systemwide with hands-free wireless headsets to enable the ground crew and pilots to verbally coordinate the process of pushing back planes from concourse gates. The new devices are expected to add another level of safety to potentially dangerous situations. The headset system could also potentially help to improve ontime departures and fuel efficiency.</w:t>
      </w:r>
    </w:p>
    <w:p>
      <w:pPr>
        <w:pStyle w:val="Heading3"/>
        <w:spacing w:before="196"/>
      </w:pPr>
      <w:r>
        <w:rPr>
          <w:color w:val="231F20"/>
        </w:rPr>
        <w:t>Management Information Systems</w:t>
      </w:r>
    </w:p>
    <w:p>
      <w:pPr>
        <w:pStyle w:val="BodyText"/>
        <w:spacing w:before="9"/>
        <w:rPr>
          <w:b/>
          <w:sz w:val="17"/>
        </w:rPr>
      </w:pPr>
    </w:p>
    <w:p>
      <w:pPr>
        <w:pStyle w:val="BodyText"/>
        <w:spacing w:line="249" w:lineRule="auto"/>
        <w:ind w:left="100" w:right="204" w:firstLine="490"/>
      </w:pPr>
      <w:r>
        <w:rPr>
          <w:color w:val="231F20"/>
        </w:rPr>
        <w:t>The Company has continued its commitment to technology improvements to support its ongoing operations and initiatives. The Company has continued to invest in significant technology necessary to support several of its initiatives including Southwest’s All-New Rapid Rewards frequent flyer program, enhanced southwest.com website, WiFi implementation, live television connectivity, and its introduction of the Boeing 737-800 aircraft into the Southwest fleet. Additionally, the Company implemented a new TRAX maintenance inventory management system during 2012 to support its Boeing 737-800 fleet and is currently operating three maintenance inventory management systems. The Company’s current plan is to transition its existing Southwest</w:t>
      </w:r>
    </w:p>
    <w:p>
      <w:pPr>
        <w:spacing w:after="0" w:line="249" w:lineRule="auto"/>
        <w:sectPr>
          <w:pgSz w:w="11880" w:h="15480"/>
          <w:pgMar w:header="0" w:footer="1253" w:top="1240" w:bottom="1440" w:left="1280" w:right="1300"/>
        </w:sectPr>
      </w:pPr>
    </w:p>
    <w:p>
      <w:pPr>
        <w:pStyle w:val="BodyText"/>
        <w:spacing w:line="249" w:lineRule="auto" w:before="73"/>
        <w:ind w:left="100" w:right="163"/>
      </w:pPr>
      <w:r>
        <w:rPr>
          <w:color w:val="231F20"/>
        </w:rPr>
        <w:t>and AirTran systems over to the new TRAX system during 2013 and 2014. The Company also intends to continue to devote significant technology resources to (i) implement connecting capabilities between the Southwest and AirTran reservations systems, (ii) introduce the first phase of a new revenue management system, and (iii) implement a new reservation system that will allow the Company to add international destinations and improve revenue management and Customer Service functionality.</w:t>
      </w:r>
    </w:p>
    <w:p>
      <w:pPr>
        <w:pStyle w:val="Heading3"/>
        <w:spacing w:before="181"/>
      </w:pPr>
      <w:r>
        <w:rPr>
          <w:color w:val="231F20"/>
        </w:rPr>
        <w:t>Regulation</w:t>
      </w:r>
    </w:p>
    <w:p>
      <w:pPr>
        <w:pStyle w:val="BodyText"/>
        <w:spacing w:line="249" w:lineRule="auto" w:before="190"/>
        <w:ind w:left="100" w:right="418" w:firstLine="490"/>
      </w:pPr>
      <w:r>
        <w:rPr>
          <w:color w:val="231F20"/>
        </w:rPr>
        <w:t>The airline industry is heavily regulated, especially by the federal government. Examples of regulations affecting the Company and/or the industry are discussed below.</w:t>
      </w:r>
    </w:p>
    <w:p>
      <w:pPr>
        <w:pStyle w:val="Heading3"/>
        <w:spacing w:before="181"/>
        <w:ind w:left="350"/>
      </w:pPr>
      <w:r>
        <w:rPr>
          <w:color w:val="231F20"/>
        </w:rPr>
        <w:t>Economic and Operational Regulation</w:t>
      </w:r>
    </w:p>
    <w:p>
      <w:pPr>
        <w:pStyle w:val="Heading4"/>
        <w:spacing w:before="190"/>
        <w:ind w:left="590"/>
        <w:rPr>
          <w:i/>
        </w:rPr>
      </w:pPr>
      <w:r>
        <w:rPr>
          <w:i/>
          <w:color w:val="231F20"/>
        </w:rPr>
        <w:t>The U.S. Department of Transportation</w:t>
      </w:r>
    </w:p>
    <w:p>
      <w:pPr>
        <w:pStyle w:val="BodyText"/>
        <w:spacing w:line="249" w:lineRule="auto" w:before="190"/>
        <w:ind w:left="100" w:right="101" w:firstLine="490"/>
      </w:pPr>
      <w:r>
        <w:rPr>
          <w:color w:val="231F20"/>
        </w:rPr>
        <w:t>The U.S. Department of Transportation (the “DOT”) regulates aviation safety, as well as economic, consumer protection, and civil rights matters. The DOT may impose civil penalties on air carriers for violating its regulations.</w:t>
      </w:r>
    </w:p>
    <w:p>
      <w:pPr>
        <w:pStyle w:val="BodyText"/>
        <w:spacing w:line="249" w:lineRule="auto" w:before="181"/>
        <w:ind w:left="100" w:right="106" w:firstLine="490"/>
      </w:pPr>
      <w:r>
        <w:rPr>
          <w:color w:val="231F20"/>
        </w:rPr>
        <w:t>To provide passenger transportation in the United States, a domestic airline is required to hold an Air Carrier Certificate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w:t>
      </w:r>
      <w:r>
        <w:rPr>
          <w:color w:val="231F20"/>
          <w:spacing w:val="7"/>
        </w:rPr>
        <w:t> </w:t>
      </w:r>
      <w:r>
        <w:rPr>
          <w:color w:val="231F20"/>
        </w:rPr>
        <w:t>itself.</w:t>
      </w:r>
    </w:p>
    <w:p>
      <w:pPr>
        <w:pStyle w:val="BodyText"/>
        <w:spacing w:line="249" w:lineRule="auto" w:before="181"/>
        <w:ind w:left="100" w:right="121"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w:t>
      </w:r>
      <w:r>
        <w:rPr>
          <w:color w:val="231F20"/>
          <w:spacing w:val="4"/>
        </w:rPr>
        <w:t> </w:t>
      </w:r>
      <w:r>
        <w:rPr>
          <w:color w:val="231F20"/>
        </w:rPr>
        <w:t>transportation.</w:t>
      </w:r>
    </w:p>
    <w:p>
      <w:pPr>
        <w:pStyle w:val="BodyText"/>
        <w:spacing w:line="249" w:lineRule="auto" w:before="181"/>
        <w:ind w:left="100" w:right="139" w:firstLine="490"/>
      </w:pPr>
      <w:r>
        <w:rPr>
          <w:color w:val="231F20"/>
        </w:rPr>
        <w:t>Under the above-described authority, the DOT adopted a so-called “Passenger Protection Rule,” which addresses,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 pilot- 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81"/>
        <w:ind w:left="100" w:firstLine="49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w:t>
      </w:r>
    </w:p>
    <w:p>
      <w:pPr>
        <w:spacing w:after="0" w:line="249" w:lineRule="auto"/>
        <w:sectPr>
          <w:pgSz w:w="11880" w:h="15480"/>
          <w:pgMar w:header="0" w:footer="1253" w:top="1240" w:bottom="1440" w:left="1280" w:right="1280"/>
        </w:sectPr>
      </w:pPr>
    </w:p>
    <w:p>
      <w:pPr>
        <w:pStyle w:val="BodyText"/>
        <w:spacing w:line="249" w:lineRule="auto" w:before="73"/>
        <w:ind w:left="100" w:right="101"/>
      </w:pPr>
      <w:r>
        <w:rPr>
          <w:color w:val="231F20"/>
        </w:rPr>
        <w:t>(iv) provide information to passengers on how to file complaints; and (v)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w:t>
      </w:r>
    </w:p>
    <w:p>
      <w:pPr>
        <w:pStyle w:val="BodyText"/>
        <w:spacing w:line="249" w:lineRule="auto" w:before="160"/>
        <w:ind w:left="100" w:right="149" w:firstLine="490"/>
      </w:pPr>
      <w:r>
        <w:rPr>
          <w:color w:val="231F20"/>
        </w:rPr>
        <w:t>In August 2011, the DOT implemented new rules expanding the Passenger Protection Rule by, among other things, (i) increasing the maximum denied boarding compensation airlines must pay to passengers bumped from flights from $800 to $1,300; (ii) requiring airlines to refund any checked bag fee for permanently lost luggage; (iii) requiring airlines to prominently disclose all potential fees for optional services on their websites; and (iv) requiring airlines to refund passenger fees paid for ancillary services if a flight cancels or oversells and a passenger is unable to take advantage of such services.</w:t>
      </w:r>
    </w:p>
    <w:p>
      <w:pPr>
        <w:pStyle w:val="BodyText"/>
        <w:spacing w:line="249" w:lineRule="auto" w:before="160"/>
        <w:ind w:left="100" w:firstLine="490"/>
      </w:pPr>
      <w:r>
        <w:rPr>
          <w:color w:val="231F20"/>
        </w:rPr>
        <w:t>Effective</w:t>
      </w:r>
      <w:r>
        <w:rPr>
          <w:color w:val="231F20"/>
          <w:spacing w:val="-13"/>
        </w:rPr>
        <w:t> </w:t>
      </w:r>
      <w:r>
        <w:rPr>
          <w:color w:val="231F20"/>
        </w:rPr>
        <w:t>January</w:t>
      </w:r>
      <w:r>
        <w:rPr>
          <w:color w:val="231F20"/>
          <w:spacing w:val="-13"/>
        </w:rPr>
        <w:t> </w:t>
      </w:r>
      <w:r>
        <w:rPr>
          <w:color w:val="231F20"/>
        </w:rPr>
        <w:t>26,</w:t>
      </w:r>
      <w:r>
        <w:rPr>
          <w:color w:val="231F20"/>
          <w:spacing w:val="-13"/>
        </w:rPr>
        <w:t> </w:t>
      </w:r>
      <w:r>
        <w:rPr>
          <w:color w:val="231F20"/>
        </w:rPr>
        <w:t>2012,</w:t>
      </w:r>
      <w:r>
        <w:rPr>
          <w:color w:val="231F20"/>
          <w:spacing w:val="-13"/>
        </w:rPr>
        <w:t> </w:t>
      </w:r>
      <w:r>
        <w:rPr>
          <w:color w:val="231F20"/>
        </w:rPr>
        <w:t>the</w:t>
      </w:r>
      <w:r>
        <w:rPr>
          <w:color w:val="231F20"/>
          <w:spacing w:val="-13"/>
        </w:rPr>
        <w:t> </w:t>
      </w:r>
      <w:r>
        <w:rPr>
          <w:color w:val="231F20"/>
        </w:rPr>
        <w:t>DOT</w:t>
      </w:r>
      <w:r>
        <w:rPr>
          <w:color w:val="231F20"/>
          <w:spacing w:val="-14"/>
        </w:rPr>
        <w:t> </w:t>
      </w:r>
      <w:r>
        <w:rPr>
          <w:color w:val="231F20"/>
        </w:rPr>
        <w:t>further</w:t>
      </w:r>
      <w:r>
        <w:rPr>
          <w:color w:val="231F20"/>
          <w:spacing w:val="-13"/>
        </w:rPr>
        <w:t> </w:t>
      </w:r>
      <w:r>
        <w:rPr>
          <w:color w:val="231F20"/>
        </w:rPr>
        <w:t>expanded</w:t>
      </w:r>
      <w:r>
        <w:rPr>
          <w:color w:val="231F20"/>
          <w:spacing w:val="-13"/>
        </w:rPr>
        <w:t> </w:t>
      </w:r>
      <w:r>
        <w:rPr>
          <w:color w:val="231F20"/>
        </w:rPr>
        <w:t>the</w:t>
      </w:r>
      <w:r>
        <w:rPr>
          <w:color w:val="231F20"/>
          <w:spacing w:val="-13"/>
        </w:rPr>
        <w:t> </w:t>
      </w:r>
      <w:r>
        <w:rPr>
          <w:color w:val="231F20"/>
        </w:rPr>
        <w:t>Passenger</w:t>
      </w:r>
      <w:r>
        <w:rPr>
          <w:color w:val="231F20"/>
          <w:spacing w:val="-13"/>
        </w:rPr>
        <w:t> </w:t>
      </w:r>
      <w:r>
        <w:rPr>
          <w:color w:val="231F20"/>
        </w:rPr>
        <w:t>Protection</w:t>
      </w:r>
      <w:r>
        <w:rPr>
          <w:color w:val="231F20"/>
          <w:spacing w:val="-13"/>
        </w:rPr>
        <w:t> </w:t>
      </w:r>
      <w:r>
        <w:rPr>
          <w:color w:val="231F20"/>
        </w:rPr>
        <w:t>Rule</w:t>
      </w:r>
      <w:r>
        <w:rPr>
          <w:color w:val="231F20"/>
          <w:spacing w:val="-13"/>
        </w:rPr>
        <w:t> </w:t>
      </w:r>
      <w:r>
        <w:rPr>
          <w:color w:val="231F20"/>
        </w:rPr>
        <w:t>by</w:t>
      </w:r>
      <w:r>
        <w:rPr>
          <w:color w:val="231F20"/>
          <w:spacing w:val="-13"/>
        </w:rPr>
        <w:t> </w:t>
      </w:r>
      <w:r>
        <w:rPr>
          <w:color w:val="231F20"/>
        </w:rPr>
        <w:t>implementing</w:t>
      </w:r>
      <w:r>
        <w:rPr>
          <w:color w:val="231F20"/>
          <w:spacing w:val="-13"/>
        </w:rPr>
        <w:t> </w:t>
      </w:r>
      <w:r>
        <w:rPr>
          <w:color w:val="231F20"/>
        </w:rPr>
        <w:t>a</w:t>
      </w:r>
      <w:r>
        <w:rPr>
          <w:color w:val="231F20"/>
          <w:spacing w:val="-13"/>
        </w:rPr>
        <w:t> </w:t>
      </w:r>
      <w:r>
        <w:rPr>
          <w:color w:val="231F20"/>
          <w:spacing w:val="-2"/>
        </w:rPr>
        <w:t>new </w:t>
      </w:r>
      <w:r>
        <w:rPr>
          <w:color w:val="231F20"/>
        </w:rPr>
        <w:t>airfare</w:t>
      </w:r>
      <w:r>
        <w:rPr>
          <w:color w:val="231F20"/>
          <w:spacing w:val="-15"/>
        </w:rPr>
        <w:t> </w:t>
      </w:r>
      <w:r>
        <w:rPr>
          <w:color w:val="231F20"/>
        </w:rPr>
        <w:t>advertising</w:t>
      </w:r>
      <w:r>
        <w:rPr>
          <w:color w:val="231F20"/>
          <w:spacing w:val="-15"/>
        </w:rPr>
        <w:t> </w:t>
      </w:r>
      <w:r>
        <w:rPr>
          <w:color w:val="231F20"/>
        </w:rPr>
        <w:t>rule</w:t>
      </w:r>
      <w:r>
        <w:rPr>
          <w:color w:val="231F20"/>
          <w:spacing w:val="-15"/>
        </w:rPr>
        <w:t> </w:t>
      </w:r>
      <w:r>
        <w:rPr>
          <w:color w:val="231F20"/>
        </w:rPr>
        <w:t>(the</w:t>
      </w:r>
      <w:r>
        <w:rPr>
          <w:color w:val="231F20"/>
          <w:spacing w:val="-15"/>
        </w:rPr>
        <w:t> </w:t>
      </w:r>
      <w:r>
        <w:rPr>
          <w:color w:val="231F20"/>
        </w:rPr>
        <w:t>“full-fare</w:t>
      </w:r>
      <w:r>
        <w:rPr>
          <w:color w:val="231F20"/>
          <w:spacing w:val="-15"/>
        </w:rPr>
        <w:t> </w:t>
      </w:r>
      <w:r>
        <w:rPr>
          <w:color w:val="231F20"/>
        </w:rPr>
        <w:t>advertising</w:t>
      </w:r>
      <w:r>
        <w:rPr>
          <w:color w:val="231F20"/>
          <w:spacing w:val="-15"/>
        </w:rPr>
        <w:t> </w:t>
      </w:r>
      <w:r>
        <w:rPr>
          <w:color w:val="231F20"/>
        </w:rPr>
        <w:t>rule”)</w:t>
      </w:r>
      <w:r>
        <w:rPr>
          <w:color w:val="231F20"/>
          <w:spacing w:val="-15"/>
        </w:rPr>
        <w:t> </w:t>
      </w:r>
      <w:r>
        <w:rPr>
          <w:color w:val="231F20"/>
        </w:rPr>
        <w:t>that</w:t>
      </w:r>
      <w:r>
        <w:rPr>
          <w:color w:val="231F20"/>
          <w:spacing w:val="-15"/>
        </w:rPr>
        <w:t> </w:t>
      </w:r>
      <w:r>
        <w:rPr>
          <w:color w:val="231F20"/>
        </w:rPr>
        <w:t>requires</w:t>
      </w:r>
      <w:r>
        <w:rPr>
          <w:color w:val="231F20"/>
          <w:spacing w:val="-15"/>
        </w:rPr>
        <w:t> </w:t>
      </w:r>
      <w:r>
        <w:rPr>
          <w:color w:val="231F20"/>
        </w:rPr>
        <w:t>all</w:t>
      </w:r>
      <w:r>
        <w:rPr>
          <w:color w:val="231F20"/>
          <w:spacing w:val="-15"/>
        </w:rPr>
        <w:t> </w:t>
      </w:r>
      <w:r>
        <w:rPr>
          <w:color w:val="231F20"/>
        </w:rPr>
        <w:t>advertised</w:t>
      </w:r>
      <w:r>
        <w:rPr>
          <w:color w:val="231F20"/>
          <w:spacing w:val="-15"/>
        </w:rPr>
        <w:t> </w:t>
      </w:r>
      <w:r>
        <w:rPr>
          <w:color w:val="231F20"/>
        </w:rPr>
        <w:t>airfares</w:t>
      </w:r>
      <w:r>
        <w:rPr>
          <w:color w:val="231F20"/>
          <w:spacing w:val="-15"/>
        </w:rPr>
        <w:t> </w:t>
      </w:r>
      <w:r>
        <w:rPr>
          <w:color w:val="231F20"/>
        </w:rPr>
        <w:t>to</w:t>
      </w:r>
      <w:r>
        <w:rPr>
          <w:color w:val="231F20"/>
          <w:spacing w:val="-15"/>
        </w:rPr>
        <w:t> </w:t>
      </w:r>
      <w:r>
        <w:rPr>
          <w:color w:val="231F20"/>
        </w:rPr>
        <w:t>include</w:t>
      </w:r>
      <w:r>
        <w:rPr>
          <w:color w:val="231F20"/>
          <w:spacing w:val="-15"/>
        </w:rPr>
        <w:t> </w:t>
      </w:r>
      <w:r>
        <w:rPr>
          <w:color w:val="231F20"/>
        </w:rPr>
        <w:t>government- mandated taxes and fees, including fuel charges and security fees. Other new and expanded components of </w:t>
      </w:r>
      <w:r>
        <w:rPr>
          <w:color w:val="231F20"/>
          <w:spacing w:val="-2"/>
        </w:rPr>
        <w:t>the </w:t>
      </w:r>
      <w:r>
        <w:rPr>
          <w:color w:val="231F20"/>
        </w:rPr>
        <w:t>Passenger</w:t>
      </w:r>
      <w:r>
        <w:rPr>
          <w:color w:val="231F20"/>
          <w:spacing w:val="-13"/>
        </w:rPr>
        <w:t> </w:t>
      </w:r>
      <w:r>
        <w:rPr>
          <w:color w:val="231F20"/>
        </w:rPr>
        <w:t>Protection</w:t>
      </w:r>
      <w:r>
        <w:rPr>
          <w:color w:val="231F20"/>
          <w:spacing w:val="-14"/>
        </w:rPr>
        <w:t> </w:t>
      </w:r>
      <w:r>
        <w:rPr>
          <w:color w:val="231F20"/>
        </w:rPr>
        <w:t>Rule</w:t>
      </w:r>
      <w:r>
        <w:rPr>
          <w:color w:val="231F20"/>
          <w:spacing w:val="-13"/>
        </w:rPr>
        <w:t> </w:t>
      </w:r>
      <w:r>
        <w:rPr>
          <w:color w:val="231F20"/>
        </w:rPr>
        <w:t>require,</w:t>
      </w:r>
      <w:r>
        <w:rPr>
          <w:color w:val="231F20"/>
          <w:spacing w:val="-14"/>
        </w:rPr>
        <w:t> </w:t>
      </w:r>
      <w:r>
        <w:rPr>
          <w:color w:val="231F20"/>
        </w:rPr>
        <w:t>among</w:t>
      </w:r>
      <w:r>
        <w:rPr>
          <w:color w:val="231F20"/>
          <w:spacing w:val="-14"/>
        </w:rPr>
        <w:t> </w:t>
      </w:r>
      <w:r>
        <w:rPr>
          <w:color w:val="231F20"/>
        </w:rPr>
        <w:t>other</w:t>
      </w:r>
      <w:r>
        <w:rPr>
          <w:color w:val="231F20"/>
          <w:spacing w:val="-13"/>
        </w:rPr>
        <w:t> </w:t>
      </w:r>
      <w:r>
        <w:rPr>
          <w:color w:val="231F20"/>
        </w:rPr>
        <w:t>things,</w:t>
      </w:r>
      <w:r>
        <w:rPr>
          <w:color w:val="231F20"/>
          <w:spacing w:val="-13"/>
        </w:rPr>
        <w:t> </w:t>
      </w:r>
      <w:r>
        <w:rPr>
          <w:color w:val="231F20"/>
        </w:rPr>
        <w:t>that:</w:t>
      </w:r>
      <w:r>
        <w:rPr>
          <w:color w:val="231F20"/>
          <w:spacing w:val="-13"/>
        </w:rPr>
        <w:t> </w:t>
      </w:r>
      <w:r>
        <w:rPr>
          <w:color w:val="231F20"/>
        </w:rPr>
        <w:t>(i)</w:t>
      </w:r>
      <w:r>
        <w:rPr>
          <w:color w:val="231F20"/>
          <w:spacing w:val="-13"/>
        </w:rPr>
        <w:t> </w:t>
      </w:r>
      <w:r>
        <w:rPr>
          <w:color w:val="231F20"/>
        </w:rPr>
        <w:t>passengers</w:t>
      </w:r>
      <w:r>
        <w:rPr>
          <w:color w:val="231F20"/>
          <w:spacing w:val="-13"/>
        </w:rPr>
        <w:t> </w:t>
      </w:r>
      <w:r>
        <w:rPr>
          <w:color w:val="231F20"/>
        </w:rPr>
        <w:t>be</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hold</w:t>
      </w:r>
      <w:r>
        <w:rPr>
          <w:color w:val="231F20"/>
          <w:spacing w:val="-13"/>
        </w:rPr>
        <w:t> </w:t>
      </w:r>
      <w:r>
        <w:rPr>
          <w:color w:val="231F20"/>
        </w:rPr>
        <w:t>a</w:t>
      </w:r>
      <w:r>
        <w:rPr>
          <w:color w:val="231F20"/>
          <w:spacing w:val="-13"/>
        </w:rPr>
        <w:t> </w:t>
      </w:r>
      <w:r>
        <w:rPr>
          <w:color w:val="231F20"/>
        </w:rPr>
        <w:t>reservation</w:t>
      </w:r>
      <w:r>
        <w:rPr>
          <w:color w:val="231F20"/>
          <w:spacing w:val="-13"/>
        </w:rPr>
        <w:t> </w:t>
      </w:r>
      <w:r>
        <w:rPr>
          <w:color w:val="231F20"/>
        </w:rPr>
        <w:t>for</w:t>
      </w:r>
      <w:r>
        <w:rPr>
          <w:color w:val="231F20"/>
          <w:spacing w:val="-13"/>
        </w:rPr>
        <w:t> </w:t>
      </w:r>
      <w:r>
        <w:rPr>
          <w:color w:val="231F20"/>
        </w:rPr>
        <w:t>up</w:t>
      </w:r>
      <w:r>
        <w:rPr>
          <w:color w:val="231F20"/>
          <w:spacing w:val="-14"/>
        </w:rPr>
        <w:t> </w:t>
      </w:r>
      <w:r>
        <w:rPr>
          <w:color w:val="231F20"/>
        </w:rPr>
        <w:t>to 24</w:t>
      </w:r>
      <w:r>
        <w:rPr>
          <w:color w:val="231F20"/>
          <w:spacing w:val="-13"/>
        </w:rPr>
        <w:t> </w:t>
      </w:r>
      <w:r>
        <w:rPr>
          <w:color w:val="231F20"/>
        </w:rPr>
        <w:t>hours</w:t>
      </w:r>
      <w:r>
        <w:rPr>
          <w:color w:val="231F20"/>
          <w:spacing w:val="-13"/>
        </w:rPr>
        <w:t> </w:t>
      </w:r>
      <w:r>
        <w:rPr>
          <w:color w:val="231F20"/>
        </w:rPr>
        <w:t>without</w:t>
      </w:r>
      <w:r>
        <w:rPr>
          <w:color w:val="231F20"/>
          <w:spacing w:val="-13"/>
        </w:rPr>
        <w:t> </w:t>
      </w:r>
      <w:r>
        <w:rPr>
          <w:color w:val="231F20"/>
        </w:rPr>
        <w:t>making</w:t>
      </w:r>
      <w:r>
        <w:rPr>
          <w:color w:val="231F20"/>
          <w:spacing w:val="-14"/>
        </w:rPr>
        <w:t> </w:t>
      </w:r>
      <w:r>
        <w:rPr>
          <w:color w:val="231F20"/>
        </w:rPr>
        <w:t>a</w:t>
      </w:r>
      <w:r>
        <w:rPr>
          <w:color w:val="231F20"/>
          <w:spacing w:val="-13"/>
        </w:rPr>
        <w:t> </w:t>
      </w:r>
      <w:r>
        <w:rPr>
          <w:color w:val="231F20"/>
        </w:rPr>
        <w:t>payment;</w:t>
      </w:r>
      <w:r>
        <w:rPr>
          <w:color w:val="231F20"/>
          <w:spacing w:val="-13"/>
        </w:rPr>
        <w:t> </w:t>
      </w:r>
      <w:r>
        <w:rPr>
          <w:color w:val="231F20"/>
        </w:rPr>
        <w:t>(ii)</w:t>
      </w:r>
      <w:r>
        <w:rPr>
          <w:color w:val="231F20"/>
          <w:spacing w:val="-13"/>
        </w:rPr>
        <w:t> </w:t>
      </w:r>
      <w:r>
        <w:rPr>
          <w:color w:val="231F20"/>
        </w:rPr>
        <w:t>passengers</w:t>
      </w:r>
      <w:r>
        <w:rPr>
          <w:color w:val="231F20"/>
          <w:spacing w:val="-13"/>
        </w:rPr>
        <w:t> </w:t>
      </w:r>
      <w:r>
        <w:rPr>
          <w:color w:val="231F20"/>
        </w:rPr>
        <w:t>be</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cancel</w:t>
      </w:r>
      <w:r>
        <w:rPr>
          <w:color w:val="231F20"/>
          <w:spacing w:val="-13"/>
        </w:rPr>
        <w:t> </w:t>
      </w:r>
      <w:r>
        <w:rPr>
          <w:color w:val="231F20"/>
        </w:rPr>
        <w:t>a</w:t>
      </w:r>
      <w:r>
        <w:rPr>
          <w:color w:val="231F20"/>
          <w:spacing w:val="-13"/>
        </w:rPr>
        <w:t> </w:t>
      </w:r>
      <w:r>
        <w:rPr>
          <w:color w:val="231F20"/>
        </w:rPr>
        <w:t>paid</w:t>
      </w:r>
      <w:r>
        <w:rPr>
          <w:color w:val="231F20"/>
          <w:spacing w:val="-13"/>
        </w:rPr>
        <w:t> </w:t>
      </w:r>
      <w:r>
        <w:rPr>
          <w:color w:val="231F20"/>
        </w:rPr>
        <w:t>reservation</w:t>
      </w:r>
      <w:r>
        <w:rPr>
          <w:color w:val="231F20"/>
          <w:spacing w:val="-13"/>
        </w:rPr>
        <w:t> </w:t>
      </w:r>
      <w:r>
        <w:rPr>
          <w:color w:val="231F20"/>
        </w:rPr>
        <w:t>without</w:t>
      </w:r>
      <w:r>
        <w:rPr>
          <w:color w:val="231F20"/>
          <w:spacing w:val="-13"/>
        </w:rPr>
        <w:t> </w:t>
      </w:r>
      <w:r>
        <w:rPr>
          <w:color w:val="231F20"/>
        </w:rPr>
        <w:t>penalty</w:t>
      </w:r>
      <w:r>
        <w:rPr>
          <w:color w:val="231F20"/>
          <w:spacing w:val="-13"/>
        </w:rPr>
        <w:t> </w:t>
      </w:r>
      <w:r>
        <w:rPr>
          <w:color w:val="231F20"/>
          <w:spacing w:val="-2"/>
        </w:rPr>
        <w:t>for</w:t>
      </w:r>
    </w:p>
    <w:p>
      <w:pPr>
        <w:pStyle w:val="BodyText"/>
        <w:spacing w:before="1"/>
        <w:ind w:left="100"/>
      </w:pPr>
      <w:r>
        <w:rPr>
          <w:color w:val="231F20"/>
        </w:rPr>
        <w:t>24 hours after the reservation is made, as long as the reservation is made at least seven days in advance of travel;</w:t>
      </w:r>
    </w:p>
    <w:p>
      <w:pPr>
        <w:pStyle w:val="BodyText"/>
        <w:spacing w:line="249" w:lineRule="auto" w:before="10"/>
        <w:ind w:left="100"/>
      </w:pPr>
      <w:r>
        <w:rPr>
          <w:color w:val="231F20"/>
        </w:rPr>
        <w:t>(iii) fares may not increase after purchase; (iv) baggage fees must be disclosed to the passenger at the time of booking; (v) the same baggage allowances and fees must apply throughout a passenger’s trip; (vi) baggage fees must</w:t>
      </w:r>
      <w:r>
        <w:rPr>
          <w:color w:val="231F20"/>
          <w:spacing w:val="-13"/>
        </w:rPr>
        <w:t> </w:t>
      </w:r>
      <w:r>
        <w:rPr>
          <w:color w:val="231F20"/>
        </w:rPr>
        <w:t>be</w:t>
      </w:r>
      <w:r>
        <w:rPr>
          <w:color w:val="231F20"/>
          <w:spacing w:val="-13"/>
        </w:rPr>
        <w:t> </w:t>
      </w:r>
      <w:r>
        <w:rPr>
          <w:color w:val="231F20"/>
        </w:rPr>
        <w:t>disclosed</w:t>
      </w:r>
      <w:r>
        <w:rPr>
          <w:color w:val="231F20"/>
          <w:spacing w:val="-13"/>
        </w:rPr>
        <w:t> </w:t>
      </w:r>
      <w:r>
        <w:rPr>
          <w:color w:val="231F20"/>
        </w:rPr>
        <w:t>on</w:t>
      </w:r>
      <w:r>
        <w:rPr>
          <w:color w:val="231F20"/>
          <w:spacing w:val="-13"/>
        </w:rPr>
        <w:t> </w:t>
      </w:r>
      <w:r>
        <w:rPr>
          <w:color w:val="231F20"/>
        </w:rPr>
        <w:t>e-ticket</w:t>
      </w:r>
      <w:r>
        <w:rPr>
          <w:color w:val="231F20"/>
          <w:spacing w:val="-13"/>
        </w:rPr>
        <w:t> </w:t>
      </w:r>
      <w:r>
        <w:rPr>
          <w:color w:val="231F20"/>
        </w:rPr>
        <w:t>confirmations;</w:t>
      </w:r>
      <w:r>
        <w:rPr>
          <w:color w:val="231F20"/>
          <w:spacing w:val="-13"/>
        </w:rPr>
        <w:t> </w:t>
      </w:r>
      <w:r>
        <w:rPr>
          <w:color w:val="231F20"/>
        </w:rPr>
        <w:t>and</w:t>
      </w:r>
      <w:r>
        <w:rPr>
          <w:color w:val="231F20"/>
          <w:spacing w:val="-13"/>
        </w:rPr>
        <w:t> </w:t>
      </w:r>
      <w:r>
        <w:rPr>
          <w:color w:val="231F20"/>
        </w:rPr>
        <w:t>(vii)</w:t>
      </w:r>
      <w:r>
        <w:rPr>
          <w:color w:val="231F20"/>
          <w:spacing w:val="-13"/>
        </w:rPr>
        <w:t> </w:t>
      </w:r>
      <w:r>
        <w:rPr>
          <w:color w:val="231F20"/>
        </w:rPr>
        <w:t>passengers</w:t>
      </w:r>
      <w:r>
        <w:rPr>
          <w:color w:val="231F20"/>
          <w:spacing w:val="-13"/>
        </w:rPr>
        <w:t> </w:t>
      </w:r>
      <w:r>
        <w:rPr>
          <w:color w:val="231F20"/>
        </w:rPr>
        <w:t>must</w:t>
      </w:r>
      <w:r>
        <w:rPr>
          <w:color w:val="231F20"/>
          <w:spacing w:val="-13"/>
        </w:rPr>
        <w:t> </w:t>
      </w:r>
      <w:r>
        <w:rPr>
          <w:color w:val="231F20"/>
        </w:rPr>
        <w:t>be</w:t>
      </w:r>
      <w:r>
        <w:rPr>
          <w:color w:val="231F20"/>
          <w:spacing w:val="-13"/>
        </w:rPr>
        <w:t> </w:t>
      </w:r>
      <w:r>
        <w:rPr>
          <w:color w:val="231F20"/>
        </w:rPr>
        <w:t>promptly</w:t>
      </w:r>
      <w:r>
        <w:rPr>
          <w:color w:val="231F20"/>
          <w:spacing w:val="-13"/>
        </w:rPr>
        <w:t> </w:t>
      </w:r>
      <w:r>
        <w:rPr>
          <w:color w:val="231F20"/>
        </w:rPr>
        <w:t>notified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event</w:t>
      </w:r>
      <w:r>
        <w:rPr>
          <w:color w:val="231F20"/>
          <w:spacing w:val="-13"/>
        </w:rPr>
        <w:t> </w:t>
      </w:r>
      <w:r>
        <w:rPr>
          <w:color w:val="231F20"/>
        </w:rPr>
        <w:t>of</w:t>
      </w:r>
      <w:r>
        <w:rPr>
          <w:color w:val="231F20"/>
          <w:spacing w:val="-13"/>
        </w:rPr>
        <w:t> </w:t>
      </w:r>
      <w:r>
        <w:rPr>
          <w:color w:val="231F20"/>
        </w:rPr>
        <w:t>delays</w:t>
      </w:r>
      <w:r>
        <w:rPr>
          <w:color w:val="231F20"/>
          <w:spacing w:val="-13"/>
        </w:rPr>
        <w:t> </w:t>
      </w:r>
      <w:r>
        <w:rPr>
          <w:color w:val="231F20"/>
        </w:rPr>
        <w:t>of more</w:t>
      </w:r>
      <w:r>
        <w:rPr>
          <w:color w:val="231F20"/>
          <w:spacing w:val="-12"/>
        </w:rPr>
        <w:t> </w:t>
      </w:r>
      <w:r>
        <w:rPr>
          <w:color w:val="231F20"/>
        </w:rPr>
        <w:t>than</w:t>
      </w:r>
      <w:r>
        <w:rPr>
          <w:color w:val="231F20"/>
          <w:spacing w:val="-12"/>
        </w:rPr>
        <w:t> </w:t>
      </w:r>
      <w:r>
        <w:rPr>
          <w:color w:val="231F20"/>
        </w:rPr>
        <w:t>30</w:t>
      </w:r>
      <w:r>
        <w:rPr>
          <w:color w:val="231F20"/>
          <w:spacing w:val="-12"/>
        </w:rPr>
        <w:t> </w:t>
      </w:r>
      <w:r>
        <w:rPr>
          <w:color w:val="231F20"/>
        </w:rPr>
        <w:t>minutes</w:t>
      </w:r>
      <w:r>
        <w:rPr>
          <w:color w:val="231F20"/>
          <w:spacing w:val="-12"/>
        </w:rPr>
        <w:t> </w:t>
      </w:r>
      <w:r>
        <w:rPr>
          <w:color w:val="231F20"/>
        </w:rPr>
        <w:t>or</w:t>
      </w:r>
      <w:r>
        <w:rPr>
          <w:color w:val="231F20"/>
          <w:spacing w:val="-12"/>
        </w:rPr>
        <w:t> </w:t>
      </w:r>
      <w:r>
        <w:rPr>
          <w:color w:val="231F20"/>
        </w:rPr>
        <w:t>if</w:t>
      </w:r>
      <w:r>
        <w:rPr>
          <w:color w:val="231F20"/>
          <w:spacing w:val="-12"/>
        </w:rPr>
        <w:t> </w:t>
      </w:r>
      <w:r>
        <w:rPr>
          <w:color w:val="231F20"/>
        </w:rPr>
        <w:t>there</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cancellation</w:t>
      </w:r>
      <w:r>
        <w:rPr>
          <w:color w:val="231F20"/>
          <w:spacing w:val="-12"/>
        </w:rPr>
        <w:t> </w:t>
      </w:r>
      <w:r>
        <w:rPr>
          <w:color w:val="231F20"/>
        </w:rPr>
        <w:t>or</w:t>
      </w:r>
      <w:r>
        <w:rPr>
          <w:color w:val="231F20"/>
          <w:spacing w:val="-12"/>
        </w:rPr>
        <w:t> </w:t>
      </w:r>
      <w:r>
        <w:rPr>
          <w:color w:val="231F20"/>
        </w:rPr>
        <w:t>diversion</w:t>
      </w:r>
      <w:r>
        <w:rPr>
          <w:color w:val="231F20"/>
          <w:spacing w:val="-12"/>
        </w:rPr>
        <w:t> </w:t>
      </w:r>
      <w:r>
        <w:rPr>
          <w:color w:val="231F20"/>
        </w:rPr>
        <w:t>of</w:t>
      </w:r>
      <w:r>
        <w:rPr>
          <w:color w:val="231F20"/>
          <w:spacing w:val="-12"/>
        </w:rPr>
        <w:t> </w:t>
      </w:r>
      <w:r>
        <w:rPr>
          <w:color w:val="231F20"/>
        </w:rPr>
        <w:t>their</w:t>
      </w:r>
      <w:r>
        <w:rPr>
          <w:color w:val="231F20"/>
          <w:spacing w:val="-12"/>
        </w:rPr>
        <w:t> </w:t>
      </w:r>
      <w:r>
        <w:rPr>
          <w:color w:val="231F20"/>
        </w:rPr>
        <w:t>flight.</w:t>
      </w:r>
    </w:p>
    <w:p>
      <w:pPr>
        <w:pStyle w:val="BodyText"/>
        <w:spacing w:line="249" w:lineRule="auto" w:before="160"/>
        <w:ind w:left="100" w:right="186" w:firstLine="490"/>
      </w:pPr>
      <w:r>
        <w:rPr>
          <w:color w:val="231F20"/>
        </w:rPr>
        <w:t>The</w:t>
      </w:r>
      <w:r>
        <w:rPr>
          <w:color w:val="231F20"/>
          <w:spacing w:val="-13"/>
        </w:rPr>
        <w:t> </w:t>
      </w:r>
      <w:r>
        <w:rPr>
          <w:color w:val="231F20"/>
        </w:rPr>
        <w:t>DOT</w:t>
      </w:r>
      <w:r>
        <w:rPr>
          <w:color w:val="231F20"/>
          <w:spacing w:val="-14"/>
        </w:rPr>
        <w:t> </w:t>
      </w:r>
      <w:r>
        <w:rPr>
          <w:color w:val="231F20"/>
        </w:rPr>
        <w:t>has</w:t>
      </w:r>
      <w:r>
        <w:rPr>
          <w:color w:val="231F20"/>
          <w:spacing w:val="-13"/>
        </w:rPr>
        <w:t> </w:t>
      </w:r>
      <w:r>
        <w:rPr>
          <w:color w:val="231F20"/>
        </w:rPr>
        <w:t>announced</w:t>
      </w:r>
      <w:r>
        <w:rPr>
          <w:color w:val="231F20"/>
          <w:spacing w:val="-13"/>
        </w:rPr>
        <w:t> </w:t>
      </w:r>
      <w:r>
        <w:rPr>
          <w:color w:val="231F20"/>
        </w:rPr>
        <w:t>its</w:t>
      </w:r>
      <w:r>
        <w:rPr>
          <w:color w:val="231F20"/>
          <w:spacing w:val="-13"/>
        </w:rPr>
        <w:t> </w:t>
      </w:r>
      <w:r>
        <w:rPr>
          <w:color w:val="231F20"/>
        </w:rPr>
        <w:t>intention</w:t>
      </w:r>
      <w:r>
        <w:rPr>
          <w:color w:val="231F20"/>
          <w:spacing w:val="-13"/>
        </w:rPr>
        <w:t> </w:t>
      </w:r>
      <w:r>
        <w:rPr>
          <w:color w:val="231F20"/>
        </w:rPr>
        <w:t>to</w:t>
      </w:r>
      <w:r>
        <w:rPr>
          <w:color w:val="231F20"/>
          <w:spacing w:val="-13"/>
        </w:rPr>
        <w:t> </w:t>
      </w:r>
      <w:r>
        <w:rPr>
          <w:color w:val="231F20"/>
        </w:rPr>
        <w:t>further</w:t>
      </w:r>
      <w:r>
        <w:rPr>
          <w:color w:val="231F20"/>
          <w:spacing w:val="-13"/>
        </w:rPr>
        <w:t> </w:t>
      </w:r>
      <w:r>
        <w:rPr>
          <w:color w:val="231F20"/>
        </w:rPr>
        <w:t>expand</w:t>
      </w:r>
      <w:r>
        <w:rPr>
          <w:color w:val="231F20"/>
          <w:spacing w:val="-13"/>
        </w:rPr>
        <w:t> </w:t>
      </w:r>
      <w:r>
        <w:rPr>
          <w:color w:val="231F20"/>
        </w:rPr>
        <w:t>the</w:t>
      </w:r>
      <w:r>
        <w:rPr>
          <w:color w:val="231F20"/>
          <w:spacing w:val="-13"/>
        </w:rPr>
        <w:t> </w:t>
      </w:r>
      <w:r>
        <w:rPr>
          <w:color w:val="231F20"/>
        </w:rPr>
        <w:t>Passenger</w:t>
      </w:r>
      <w:r>
        <w:rPr>
          <w:color w:val="231F20"/>
          <w:spacing w:val="-13"/>
        </w:rPr>
        <w:t> </w:t>
      </w:r>
      <w:r>
        <w:rPr>
          <w:color w:val="231F20"/>
        </w:rPr>
        <w:t>Protection</w:t>
      </w:r>
      <w:r>
        <w:rPr>
          <w:color w:val="231F20"/>
          <w:spacing w:val="-13"/>
        </w:rPr>
        <w:t> </w:t>
      </w:r>
      <w:r>
        <w:rPr>
          <w:color w:val="231F20"/>
        </w:rPr>
        <w:t>Rule,</w:t>
      </w:r>
      <w:r>
        <w:rPr>
          <w:color w:val="231F20"/>
          <w:spacing w:val="-13"/>
        </w:rPr>
        <w:t> </w:t>
      </w:r>
      <w:r>
        <w:rPr>
          <w:color w:val="231F20"/>
        </w:rPr>
        <w:t>with</w:t>
      </w:r>
      <w:r>
        <w:rPr>
          <w:color w:val="231F20"/>
          <w:spacing w:val="-13"/>
        </w:rPr>
        <w:t> </w:t>
      </w:r>
      <w:r>
        <w:rPr>
          <w:color w:val="231F20"/>
        </w:rPr>
        <w:t>particular</w:t>
      </w:r>
      <w:r>
        <w:rPr>
          <w:color w:val="231F20"/>
          <w:spacing w:val="-13"/>
        </w:rPr>
        <w:t> </w:t>
      </w:r>
      <w:r>
        <w:rPr>
          <w:color w:val="231F20"/>
        </w:rPr>
        <w:t>focus on</w:t>
      </w:r>
      <w:r>
        <w:rPr>
          <w:color w:val="231F20"/>
          <w:spacing w:val="-13"/>
        </w:rPr>
        <w:t> </w:t>
      </w:r>
      <w:r>
        <w:rPr>
          <w:color w:val="231F20"/>
        </w:rPr>
        <w:t>the</w:t>
      </w:r>
      <w:r>
        <w:rPr>
          <w:color w:val="231F20"/>
          <w:spacing w:val="-13"/>
        </w:rPr>
        <w:t> </w:t>
      </w:r>
      <w:r>
        <w:rPr>
          <w:color w:val="231F20"/>
        </w:rPr>
        <w:t>public</w:t>
      </w:r>
      <w:r>
        <w:rPr>
          <w:color w:val="231F20"/>
          <w:spacing w:val="-13"/>
        </w:rPr>
        <w:t> </w:t>
      </w:r>
      <w:r>
        <w:rPr>
          <w:color w:val="231F20"/>
        </w:rPr>
        <w:t>disclosure</w:t>
      </w:r>
      <w:r>
        <w:rPr>
          <w:color w:val="231F20"/>
          <w:spacing w:val="-13"/>
        </w:rPr>
        <w:t> </w:t>
      </w:r>
      <w:r>
        <w:rPr>
          <w:color w:val="231F20"/>
        </w:rPr>
        <w:t>of</w:t>
      </w:r>
      <w:r>
        <w:rPr>
          <w:color w:val="231F20"/>
          <w:spacing w:val="-13"/>
        </w:rPr>
        <w:t> </w:t>
      </w:r>
      <w:r>
        <w:rPr>
          <w:color w:val="231F20"/>
        </w:rPr>
        <w:t>airline-imposed</w:t>
      </w:r>
      <w:r>
        <w:rPr>
          <w:color w:val="231F20"/>
          <w:spacing w:val="-13"/>
        </w:rPr>
        <w:t> </w:t>
      </w:r>
      <w:r>
        <w:rPr>
          <w:color w:val="231F20"/>
        </w:rPr>
        <w:t>ancillary</w:t>
      </w:r>
      <w:r>
        <w:rPr>
          <w:color w:val="231F20"/>
          <w:spacing w:val="-13"/>
        </w:rPr>
        <w:t> </w:t>
      </w:r>
      <w:r>
        <w:rPr>
          <w:color w:val="231F20"/>
        </w:rPr>
        <w:t>fees</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sale</w:t>
      </w:r>
      <w:r>
        <w:rPr>
          <w:color w:val="231F20"/>
          <w:spacing w:val="-13"/>
        </w:rPr>
        <w:t> </w:t>
      </w:r>
      <w:r>
        <w:rPr>
          <w:color w:val="231F20"/>
        </w:rPr>
        <w:t>of</w:t>
      </w:r>
      <w:r>
        <w:rPr>
          <w:color w:val="231F20"/>
          <w:spacing w:val="-13"/>
        </w:rPr>
        <w:t> </w:t>
      </w:r>
      <w:r>
        <w:rPr>
          <w:color w:val="231F20"/>
        </w:rPr>
        <w:t>optional</w:t>
      </w:r>
      <w:r>
        <w:rPr>
          <w:color w:val="231F20"/>
          <w:spacing w:val="-13"/>
        </w:rPr>
        <w:t> </w:t>
      </w:r>
      <w:r>
        <w:rPr>
          <w:color w:val="231F20"/>
        </w:rPr>
        <w:t>products</w:t>
      </w:r>
      <w:r>
        <w:rPr>
          <w:color w:val="231F20"/>
          <w:spacing w:val="-13"/>
        </w:rPr>
        <w:t> </w:t>
      </w:r>
      <w:r>
        <w:rPr>
          <w:color w:val="231F20"/>
        </w:rPr>
        <w:t>and</w:t>
      </w:r>
      <w:r>
        <w:rPr>
          <w:color w:val="231F20"/>
          <w:spacing w:val="-13"/>
        </w:rPr>
        <w:t> </w:t>
      </w:r>
      <w:r>
        <w:rPr>
          <w:color w:val="231F20"/>
        </w:rPr>
        <w:t>services.</w:t>
      </w:r>
      <w:r>
        <w:rPr>
          <w:color w:val="231F20"/>
          <w:spacing w:val="-13"/>
        </w:rPr>
        <w:t> </w:t>
      </w:r>
      <w:r>
        <w:rPr>
          <w:color w:val="231F20"/>
        </w:rPr>
        <w:t>The</w:t>
      </w:r>
      <w:r>
        <w:rPr>
          <w:color w:val="231F20"/>
          <w:spacing w:val="-13"/>
        </w:rPr>
        <w:t> </w:t>
      </w:r>
      <w:r>
        <w:rPr>
          <w:color w:val="231F20"/>
        </w:rPr>
        <w:t>DOT</w:t>
      </w:r>
      <w:r>
        <w:rPr>
          <w:color w:val="231F20"/>
          <w:spacing w:val="-14"/>
        </w:rPr>
        <w:t> </w:t>
      </w:r>
      <w:r>
        <w:rPr>
          <w:color w:val="231F20"/>
        </w:rPr>
        <w:t>is reportedly</w:t>
      </w:r>
      <w:r>
        <w:rPr>
          <w:color w:val="231F20"/>
          <w:spacing w:val="-16"/>
        </w:rPr>
        <w:t> </w:t>
      </w:r>
      <w:r>
        <w:rPr>
          <w:color w:val="231F20"/>
        </w:rPr>
        <w:t>considering,</w:t>
      </w:r>
      <w:r>
        <w:rPr>
          <w:color w:val="231F20"/>
          <w:spacing w:val="-16"/>
        </w:rPr>
        <w:t> </w:t>
      </w:r>
      <w:r>
        <w:rPr>
          <w:color w:val="231F20"/>
        </w:rPr>
        <w:t>among</w:t>
      </w:r>
      <w:r>
        <w:rPr>
          <w:color w:val="231F20"/>
          <w:spacing w:val="-16"/>
        </w:rPr>
        <w:t> </w:t>
      </w:r>
      <w:r>
        <w:rPr>
          <w:color w:val="231F20"/>
        </w:rPr>
        <w:t>other</w:t>
      </w:r>
      <w:r>
        <w:rPr>
          <w:color w:val="231F20"/>
          <w:spacing w:val="-15"/>
        </w:rPr>
        <w:t> </w:t>
      </w:r>
      <w:r>
        <w:rPr>
          <w:color w:val="231F20"/>
        </w:rPr>
        <w:t>things,</w:t>
      </w:r>
      <w:r>
        <w:rPr>
          <w:color w:val="231F20"/>
          <w:spacing w:val="-15"/>
        </w:rPr>
        <w:t> </w:t>
      </w:r>
      <w:r>
        <w:rPr>
          <w:color w:val="231F20"/>
        </w:rPr>
        <w:t>whether</w:t>
      </w:r>
      <w:r>
        <w:rPr>
          <w:color w:val="231F20"/>
          <w:spacing w:val="-15"/>
        </w:rPr>
        <w:t> </w:t>
      </w:r>
      <w:r>
        <w:rPr>
          <w:color w:val="231F20"/>
        </w:rPr>
        <w:t>to</w:t>
      </w:r>
      <w:r>
        <w:rPr>
          <w:color w:val="231F20"/>
          <w:spacing w:val="-15"/>
        </w:rPr>
        <w:t> </w:t>
      </w:r>
      <w:r>
        <w:rPr>
          <w:color w:val="231F20"/>
        </w:rPr>
        <w:t>require</w:t>
      </w:r>
      <w:r>
        <w:rPr>
          <w:color w:val="231F20"/>
          <w:spacing w:val="-15"/>
        </w:rPr>
        <w:t> </w:t>
      </w:r>
      <w:r>
        <w:rPr>
          <w:color w:val="231F20"/>
        </w:rPr>
        <w:t>airlines</w:t>
      </w:r>
      <w:r>
        <w:rPr>
          <w:color w:val="231F20"/>
          <w:spacing w:val="-15"/>
        </w:rPr>
        <w:t> </w:t>
      </w:r>
      <w:r>
        <w:rPr>
          <w:color w:val="231F20"/>
        </w:rPr>
        <w:t>to</w:t>
      </w:r>
      <w:r>
        <w:rPr>
          <w:color w:val="231F20"/>
          <w:spacing w:val="-15"/>
        </w:rPr>
        <w:t> </w:t>
      </w:r>
      <w:r>
        <w:rPr>
          <w:color w:val="231F20"/>
        </w:rPr>
        <w:t>disclose</w:t>
      </w:r>
      <w:r>
        <w:rPr>
          <w:color w:val="231F20"/>
          <w:spacing w:val="-15"/>
        </w:rPr>
        <w:t> </w:t>
      </w:r>
      <w:r>
        <w:rPr>
          <w:color w:val="231F20"/>
        </w:rPr>
        <w:t>and</w:t>
      </w:r>
      <w:r>
        <w:rPr>
          <w:color w:val="231F20"/>
          <w:spacing w:val="-15"/>
        </w:rPr>
        <w:t> </w:t>
      </w:r>
      <w:r>
        <w:rPr>
          <w:color w:val="231F20"/>
        </w:rPr>
        <w:t>make</w:t>
      </w:r>
      <w:r>
        <w:rPr>
          <w:color w:val="231F20"/>
          <w:spacing w:val="-15"/>
        </w:rPr>
        <w:t> </w:t>
      </w:r>
      <w:r>
        <w:rPr>
          <w:color w:val="231F20"/>
        </w:rPr>
        <w:t>such</w:t>
      </w:r>
      <w:r>
        <w:rPr>
          <w:color w:val="231F20"/>
          <w:spacing w:val="-15"/>
        </w:rPr>
        <w:t> </w:t>
      </w:r>
      <w:r>
        <w:rPr>
          <w:color w:val="231F20"/>
        </w:rPr>
        <w:t>optional</w:t>
      </w:r>
      <w:r>
        <w:rPr>
          <w:color w:val="231F20"/>
          <w:spacing w:val="-15"/>
        </w:rPr>
        <w:t> </w:t>
      </w:r>
      <w:r>
        <w:rPr>
          <w:color w:val="231F20"/>
        </w:rPr>
        <w:t>products and services available for purchase through all sales channels, including “global distributions systems,” that an airline</w:t>
      </w:r>
      <w:r>
        <w:rPr>
          <w:color w:val="231F20"/>
          <w:spacing w:val="-13"/>
        </w:rPr>
        <w:t> </w:t>
      </w:r>
      <w:r>
        <w:rPr>
          <w:color w:val="231F20"/>
        </w:rPr>
        <w:t>uses</w:t>
      </w:r>
      <w:r>
        <w:rPr>
          <w:color w:val="231F20"/>
          <w:spacing w:val="-13"/>
        </w:rPr>
        <w:t> </w:t>
      </w:r>
      <w:r>
        <w:rPr>
          <w:color w:val="231F20"/>
        </w:rPr>
        <w:t>to</w:t>
      </w:r>
      <w:r>
        <w:rPr>
          <w:color w:val="231F20"/>
          <w:spacing w:val="-13"/>
        </w:rPr>
        <w:t> </w:t>
      </w:r>
      <w:r>
        <w:rPr>
          <w:color w:val="231F20"/>
        </w:rPr>
        <w:t>sell</w:t>
      </w:r>
      <w:r>
        <w:rPr>
          <w:color w:val="231F20"/>
          <w:spacing w:val="-13"/>
        </w:rPr>
        <w:t> </w:t>
      </w:r>
      <w:r>
        <w:rPr>
          <w:color w:val="231F20"/>
        </w:rPr>
        <w:t>its</w:t>
      </w:r>
      <w:r>
        <w:rPr>
          <w:color w:val="231F20"/>
          <w:spacing w:val="-13"/>
        </w:rPr>
        <w:t> </w:t>
      </w:r>
      <w:r>
        <w:rPr>
          <w:color w:val="231F20"/>
        </w:rPr>
        <w:t>flights</w:t>
      </w:r>
      <w:r>
        <w:rPr>
          <w:color w:val="231F20"/>
          <w:spacing w:val="-13"/>
        </w:rPr>
        <w:t> </w:t>
      </w:r>
      <w:r>
        <w:rPr>
          <w:color w:val="231F20"/>
        </w:rPr>
        <w:t>rather</w:t>
      </w:r>
      <w:r>
        <w:rPr>
          <w:color w:val="231F20"/>
          <w:spacing w:val="-13"/>
        </w:rPr>
        <w:t> </w:t>
      </w:r>
      <w:r>
        <w:rPr>
          <w:color w:val="231F20"/>
        </w:rPr>
        <w:t>than</w:t>
      </w:r>
      <w:r>
        <w:rPr>
          <w:color w:val="231F20"/>
          <w:spacing w:val="-13"/>
        </w:rPr>
        <w:t> </w:t>
      </w:r>
      <w:r>
        <w:rPr>
          <w:color w:val="231F20"/>
        </w:rPr>
        <w:t>only</w:t>
      </w:r>
      <w:r>
        <w:rPr>
          <w:color w:val="231F20"/>
          <w:spacing w:val="-13"/>
        </w:rPr>
        <w:t> </w:t>
      </w:r>
      <w:r>
        <w:rPr>
          <w:color w:val="231F20"/>
        </w:rPr>
        <w:t>through</w:t>
      </w:r>
      <w:r>
        <w:rPr>
          <w:color w:val="231F20"/>
          <w:spacing w:val="-13"/>
        </w:rPr>
        <w:t> </w:t>
      </w:r>
      <w:r>
        <w:rPr>
          <w:color w:val="231F20"/>
        </w:rPr>
        <w:t>proprietary</w:t>
      </w:r>
      <w:r>
        <w:rPr>
          <w:color w:val="231F20"/>
          <w:spacing w:val="-13"/>
        </w:rPr>
        <w:t> </w:t>
      </w:r>
      <w:r>
        <w:rPr>
          <w:color w:val="231F20"/>
        </w:rPr>
        <w:t>airline</w:t>
      </w:r>
      <w:r>
        <w:rPr>
          <w:color w:val="231F20"/>
          <w:spacing w:val="-13"/>
        </w:rPr>
        <w:t> </w:t>
      </w:r>
      <w:r>
        <w:rPr>
          <w:color w:val="231F20"/>
        </w:rPr>
        <w:t>websites.</w:t>
      </w:r>
      <w:r>
        <w:rPr>
          <w:color w:val="231F20"/>
          <w:spacing w:val="-13"/>
        </w:rPr>
        <w:t> </w:t>
      </w:r>
      <w:r>
        <w:rPr>
          <w:color w:val="231F20"/>
        </w:rPr>
        <w:t>The</w:t>
      </w:r>
      <w:r>
        <w:rPr>
          <w:color w:val="231F20"/>
          <w:spacing w:val="-13"/>
        </w:rPr>
        <w:t> </w:t>
      </w:r>
      <w:r>
        <w:rPr>
          <w:color w:val="231F20"/>
        </w:rPr>
        <w:t>DOT’s</w:t>
      </w:r>
      <w:r>
        <w:rPr>
          <w:color w:val="231F20"/>
          <w:spacing w:val="-13"/>
        </w:rPr>
        <w:t> </w:t>
      </w:r>
      <w:r>
        <w:rPr>
          <w:color w:val="231F20"/>
        </w:rPr>
        <w:t>proposed</w:t>
      </w:r>
      <w:r>
        <w:rPr>
          <w:color w:val="231F20"/>
          <w:spacing w:val="-13"/>
        </w:rPr>
        <w:t> </w:t>
      </w:r>
      <w:r>
        <w:rPr>
          <w:color w:val="231F20"/>
        </w:rPr>
        <w:t>expansion of the Passenger Protection Rule is expected to be released in the first half of 2013. The Company is not able to predict the impact of such a requirement on its services, although the Company is likely to be affected to a lesser degree</w:t>
      </w:r>
      <w:r>
        <w:rPr>
          <w:color w:val="231F20"/>
          <w:spacing w:val="-16"/>
        </w:rPr>
        <w:t> </w:t>
      </w:r>
      <w:r>
        <w:rPr>
          <w:color w:val="231F20"/>
        </w:rPr>
        <w:t>than</w:t>
      </w:r>
      <w:r>
        <w:rPr>
          <w:color w:val="231F20"/>
          <w:spacing w:val="-16"/>
        </w:rPr>
        <w:t> </w:t>
      </w:r>
      <w:r>
        <w:rPr>
          <w:color w:val="231F20"/>
        </w:rPr>
        <w:t>most</w:t>
      </w:r>
      <w:r>
        <w:rPr>
          <w:color w:val="231F20"/>
          <w:spacing w:val="-16"/>
        </w:rPr>
        <w:t> </w:t>
      </w:r>
      <w:r>
        <w:rPr>
          <w:color w:val="231F20"/>
        </w:rPr>
        <w:t>other</w:t>
      </w:r>
      <w:r>
        <w:rPr>
          <w:color w:val="231F20"/>
          <w:spacing w:val="-16"/>
        </w:rPr>
        <w:t> </w:t>
      </w:r>
      <w:r>
        <w:rPr>
          <w:color w:val="231F20"/>
        </w:rPr>
        <w:t>airlines,</w:t>
      </w:r>
      <w:r>
        <w:rPr>
          <w:color w:val="231F20"/>
          <w:spacing w:val="-16"/>
        </w:rPr>
        <w:t> </w:t>
      </w:r>
      <w:r>
        <w:rPr>
          <w:color w:val="231F20"/>
        </w:rPr>
        <w:t>which</w:t>
      </w:r>
      <w:r>
        <w:rPr>
          <w:color w:val="231F20"/>
          <w:spacing w:val="-16"/>
        </w:rPr>
        <w:t> </w:t>
      </w:r>
      <w:r>
        <w:rPr>
          <w:color w:val="231F20"/>
        </w:rPr>
        <w:t>generally</w:t>
      </w:r>
      <w:r>
        <w:rPr>
          <w:color w:val="231F20"/>
          <w:spacing w:val="-16"/>
        </w:rPr>
        <w:t> </w:t>
      </w:r>
      <w:r>
        <w:rPr>
          <w:color w:val="231F20"/>
        </w:rPr>
        <w:t>offer</w:t>
      </w:r>
      <w:r>
        <w:rPr>
          <w:color w:val="231F20"/>
          <w:spacing w:val="-16"/>
        </w:rPr>
        <w:t> </w:t>
      </w:r>
      <w:r>
        <w:rPr>
          <w:color w:val="231F20"/>
        </w:rPr>
        <w:t>more</w:t>
      </w:r>
      <w:r>
        <w:rPr>
          <w:color w:val="231F20"/>
          <w:spacing w:val="-16"/>
        </w:rPr>
        <w:t> </w:t>
      </w:r>
      <w:r>
        <w:rPr>
          <w:color w:val="231F20"/>
        </w:rPr>
        <w:t>ancillary</w:t>
      </w:r>
      <w:r>
        <w:rPr>
          <w:color w:val="231F20"/>
          <w:spacing w:val="-16"/>
        </w:rPr>
        <w:t> </w:t>
      </w:r>
      <w:r>
        <w:rPr>
          <w:color w:val="231F20"/>
        </w:rPr>
        <w:t>products</w:t>
      </w:r>
      <w:r>
        <w:rPr>
          <w:color w:val="231F20"/>
          <w:spacing w:val="-16"/>
        </w:rPr>
        <w:t> </w:t>
      </w:r>
      <w:r>
        <w:rPr>
          <w:color w:val="231F20"/>
        </w:rPr>
        <w:t>and</w:t>
      </w:r>
      <w:r>
        <w:rPr>
          <w:color w:val="231F20"/>
          <w:spacing w:val="-16"/>
        </w:rPr>
        <w:t> </w:t>
      </w:r>
      <w:r>
        <w:rPr>
          <w:color w:val="231F20"/>
        </w:rPr>
        <w:t>services.</w:t>
      </w:r>
    </w:p>
    <w:p>
      <w:pPr>
        <w:pStyle w:val="BodyText"/>
        <w:spacing w:line="249" w:lineRule="auto" w:before="160"/>
        <w:ind w:left="100" w:right="150" w:firstLine="490"/>
      </w:pPr>
      <w:r>
        <w:rPr>
          <w:color w:val="231F20"/>
        </w:rPr>
        <w:t>In July 2011, the DOT proposed new rules that would require airlines to report more information to the DOT on the amount and types of ancillary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has not taken final action in this</w:t>
      </w:r>
      <w:r>
        <w:rPr>
          <w:color w:val="231F20"/>
          <w:spacing w:val="9"/>
        </w:rPr>
        <w:t> </w:t>
      </w:r>
      <w:r>
        <w:rPr>
          <w:color w:val="231F20"/>
        </w:rPr>
        <w:t>proceeding.</w:t>
      </w:r>
    </w:p>
    <w:p>
      <w:pPr>
        <w:pStyle w:val="Heading4"/>
        <w:spacing w:before="160"/>
        <w:ind w:left="590"/>
        <w:rPr>
          <w:i/>
        </w:rPr>
      </w:pPr>
      <w:r>
        <w:rPr>
          <w:i/>
          <w:color w:val="231F20"/>
        </w:rPr>
        <w:t>Aviation Taxes</w:t>
      </w:r>
    </w:p>
    <w:p>
      <w:pPr>
        <w:pStyle w:val="BodyText"/>
        <w:spacing w:line="249" w:lineRule="auto" w:before="169"/>
        <w:ind w:left="100" w:right="147"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On February 6, 2012, Congress passed the FAA Modernization and Reform Act of 2012, which the President signed into law on February 14, 2012. This legislation extends most commercial aviation taxes through September 30, 2015. In addition to FAA-related taxes, there are additional federal taxes related to the Department of Homeland Security. These taxes do not need to be reauthorized periodically. In an effort to reduce the federal deficit and generate more government revenue, Congress may consider increasing the tax burden on commercial aviation. Deficit reduction legislation and comprehensive tax reform are expected to be considered in Congress during 2013. Such legislation could include an increase in one or more of the taxes unique to commercial aviation. For instance, the Administration has proposed increasing the $2.50 per enplanement security fee, which is assessed on passengers, as a way to help pay for deficit reduction. Grants to airports and/or airport bond financing may also be affected through future deficit reduction legislation, which could result in higher fees, rates, and charges at many of the airports the Company serves.</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The Wright Amendment</w:t>
      </w:r>
    </w:p>
    <w:p>
      <w:pPr>
        <w:pStyle w:val="BodyText"/>
        <w:spacing w:line="249" w:lineRule="auto" w:before="168"/>
        <w:ind w:left="100" w:right="107" w:firstLine="490"/>
      </w:pPr>
      <w:r>
        <w:rPr>
          <w:color w:val="231F20"/>
        </w:rPr>
        <w:t>Section</w:t>
      </w:r>
      <w:r>
        <w:rPr>
          <w:color w:val="231F20"/>
          <w:spacing w:val="-13"/>
        </w:rPr>
        <w:t> </w:t>
      </w:r>
      <w:r>
        <w:rPr>
          <w:color w:val="231F20"/>
        </w:rPr>
        <w:t>29</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International</w:t>
      </w:r>
      <w:r>
        <w:rPr>
          <w:color w:val="231F20"/>
          <w:spacing w:val="-13"/>
        </w:rPr>
        <w:t> </w:t>
      </w:r>
      <w:r>
        <w:rPr>
          <w:color w:val="231F20"/>
        </w:rPr>
        <w:t>Air</w:t>
      </w:r>
      <w:r>
        <w:rPr>
          <w:color w:val="231F20"/>
          <w:spacing w:val="-13"/>
        </w:rPr>
        <w:t> </w:t>
      </w:r>
      <w:r>
        <w:rPr>
          <w:color w:val="231F20"/>
        </w:rPr>
        <w:t>Transportation</w:t>
      </w:r>
      <w:r>
        <w:rPr>
          <w:color w:val="231F20"/>
          <w:spacing w:val="-13"/>
        </w:rPr>
        <w:t> </w:t>
      </w:r>
      <w:r>
        <w:rPr>
          <w:color w:val="231F20"/>
        </w:rPr>
        <w:t>Competition</w:t>
      </w:r>
      <w:r>
        <w:rPr>
          <w:color w:val="231F20"/>
          <w:spacing w:val="-13"/>
        </w:rPr>
        <w:t> </w:t>
      </w:r>
      <w:r>
        <w:rPr>
          <w:color w:val="231F20"/>
        </w:rPr>
        <w:t>Act</w:t>
      </w:r>
      <w:r>
        <w:rPr>
          <w:color w:val="231F20"/>
          <w:spacing w:val="-13"/>
        </w:rPr>
        <w:t> </w:t>
      </w:r>
      <w:r>
        <w:rPr>
          <w:color w:val="231F20"/>
        </w:rPr>
        <w:t>of</w:t>
      </w:r>
      <w:r>
        <w:rPr>
          <w:color w:val="231F20"/>
          <w:spacing w:val="-13"/>
        </w:rPr>
        <w:t> </w:t>
      </w:r>
      <w:r>
        <w:rPr>
          <w:color w:val="231F20"/>
        </w:rPr>
        <w:t>1979,</w:t>
      </w:r>
      <w:r>
        <w:rPr>
          <w:color w:val="231F20"/>
          <w:spacing w:val="-13"/>
        </w:rPr>
        <w:t> </w:t>
      </w:r>
      <w:r>
        <w:rPr>
          <w:color w:val="231F20"/>
        </w:rPr>
        <w:t>as</w:t>
      </w:r>
      <w:r>
        <w:rPr>
          <w:color w:val="231F20"/>
          <w:spacing w:val="-13"/>
        </w:rPr>
        <w:t> </w:t>
      </w:r>
      <w:r>
        <w:rPr>
          <w:color w:val="231F20"/>
        </w:rPr>
        <w:t>amended</w:t>
      </w:r>
      <w:r>
        <w:rPr>
          <w:color w:val="231F20"/>
          <w:spacing w:val="-13"/>
        </w:rPr>
        <w:t> </w:t>
      </w:r>
      <w:r>
        <w:rPr>
          <w:color w:val="231F20"/>
        </w:rPr>
        <w:t>(commonly</w:t>
      </w:r>
      <w:r>
        <w:rPr>
          <w:color w:val="231F20"/>
          <w:spacing w:val="-13"/>
        </w:rPr>
        <w:t> </w:t>
      </w:r>
      <w:r>
        <w:rPr>
          <w:color w:val="231F20"/>
        </w:rPr>
        <w:t>known as the “Wright Amendment”), prohibited the carriage of non-stop and through passengers on commercial flights between Dallas Love Field and all states outside of Texas, with the exception of the following states (the “Wright Amendment</w:t>
      </w:r>
      <w:r>
        <w:rPr>
          <w:color w:val="231F20"/>
          <w:spacing w:val="-15"/>
        </w:rPr>
        <w:t> </w:t>
      </w:r>
      <w:r>
        <w:rPr>
          <w:color w:val="231F20"/>
        </w:rPr>
        <w:t>States”):</w:t>
      </w:r>
      <w:r>
        <w:rPr>
          <w:color w:val="231F20"/>
          <w:spacing w:val="-15"/>
        </w:rPr>
        <w:t> </w:t>
      </w:r>
      <w:r>
        <w:rPr>
          <w:color w:val="231F20"/>
        </w:rPr>
        <w:t>Alabama,</w:t>
      </w:r>
      <w:r>
        <w:rPr>
          <w:color w:val="231F20"/>
          <w:spacing w:val="-16"/>
        </w:rPr>
        <w:t> </w:t>
      </w:r>
      <w:r>
        <w:rPr>
          <w:color w:val="231F20"/>
        </w:rPr>
        <w:t>Arkansas,</w:t>
      </w:r>
      <w:r>
        <w:rPr>
          <w:color w:val="231F20"/>
          <w:spacing w:val="-16"/>
        </w:rPr>
        <w:t> </w:t>
      </w:r>
      <w:r>
        <w:rPr>
          <w:color w:val="231F20"/>
        </w:rPr>
        <w:t>Kansas,</w:t>
      </w:r>
      <w:r>
        <w:rPr>
          <w:color w:val="231F20"/>
          <w:spacing w:val="-15"/>
        </w:rPr>
        <w:t> </w:t>
      </w:r>
      <w:r>
        <w:rPr>
          <w:color w:val="231F20"/>
        </w:rPr>
        <w:t>Louisiana,</w:t>
      </w:r>
      <w:r>
        <w:rPr>
          <w:color w:val="231F20"/>
          <w:spacing w:val="-15"/>
        </w:rPr>
        <w:t> </w:t>
      </w:r>
      <w:r>
        <w:rPr>
          <w:color w:val="231F20"/>
        </w:rPr>
        <w:t>Mississippi,</w:t>
      </w:r>
      <w:r>
        <w:rPr>
          <w:color w:val="231F20"/>
          <w:spacing w:val="-15"/>
        </w:rPr>
        <w:t> </w:t>
      </w:r>
      <w:r>
        <w:rPr>
          <w:color w:val="231F20"/>
        </w:rPr>
        <w:t>Missouri,</w:t>
      </w:r>
      <w:r>
        <w:rPr>
          <w:color w:val="231F20"/>
          <w:spacing w:val="-15"/>
        </w:rPr>
        <w:t> </w:t>
      </w:r>
      <w:r>
        <w:rPr>
          <w:color w:val="231F20"/>
        </w:rPr>
        <w:t>New</w:t>
      </w:r>
      <w:r>
        <w:rPr>
          <w:color w:val="231F20"/>
          <w:spacing w:val="-16"/>
        </w:rPr>
        <w:t> </w:t>
      </w:r>
      <w:r>
        <w:rPr>
          <w:color w:val="231F20"/>
        </w:rPr>
        <w:t>Mexico,</w:t>
      </w:r>
      <w:r>
        <w:rPr>
          <w:color w:val="231F20"/>
          <w:spacing w:val="-15"/>
        </w:rPr>
        <w:t> </w:t>
      </w:r>
      <w:r>
        <w:rPr>
          <w:color w:val="231F20"/>
        </w:rPr>
        <w:t>and</w:t>
      </w:r>
      <w:r>
        <w:rPr>
          <w:color w:val="231F20"/>
          <w:spacing w:val="-15"/>
        </w:rPr>
        <w:t> </w:t>
      </w:r>
      <w:r>
        <w:rPr>
          <w:color w:val="231F20"/>
          <w:spacing w:val="-3"/>
        </w:rPr>
        <w:t>Oklahoma. </w:t>
      </w:r>
      <w:r>
        <w:rPr>
          <w:color w:val="231F20"/>
        </w:rPr>
        <w:t>Originally, the Wright Amendment permitted an airline to offer flights between Dallas Love Field and the </w:t>
      </w:r>
      <w:r>
        <w:rPr>
          <w:color w:val="231F20"/>
          <w:spacing w:val="-2"/>
        </w:rPr>
        <w:t>Wright </w:t>
      </w:r>
      <w:r>
        <w:rPr>
          <w:color w:val="231F20"/>
        </w:rPr>
        <w:t>Amendment States only to the extent the airline did not offer or provide any through service or ticketing </w:t>
      </w:r>
      <w:r>
        <w:rPr>
          <w:color w:val="231F20"/>
          <w:spacing w:val="-3"/>
        </w:rPr>
        <w:t>with </w:t>
      </w:r>
      <w:r>
        <w:rPr>
          <w:color w:val="231F20"/>
        </w:rPr>
        <w:t>another air carrier at Dallas Love Field and did not market service to or from Dallas Love Field and any point outside</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Wright</w:t>
      </w:r>
      <w:r>
        <w:rPr>
          <w:color w:val="231F20"/>
          <w:spacing w:val="-12"/>
        </w:rPr>
        <w:t> </w:t>
      </w:r>
      <w:r>
        <w:rPr>
          <w:color w:val="231F20"/>
        </w:rPr>
        <w:t>Amendment</w:t>
      </w:r>
      <w:r>
        <w:rPr>
          <w:color w:val="231F20"/>
          <w:spacing w:val="-12"/>
        </w:rPr>
        <w:t> </w:t>
      </w:r>
      <w:r>
        <w:rPr>
          <w:color w:val="231F20"/>
        </w:rPr>
        <w:t>State.</w:t>
      </w:r>
      <w:r>
        <w:rPr>
          <w:color w:val="231F20"/>
          <w:spacing w:val="-12"/>
        </w:rPr>
        <w:t> </w:t>
      </w:r>
      <w:r>
        <w:rPr>
          <w:color w:val="231F20"/>
        </w:rPr>
        <w:t>In</w:t>
      </w:r>
      <w:r>
        <w:rPr>
          <w:color w:val="231F20"/>
          <w:spacing w:val="-12"/>
        </w:rPr>
        <w:t> </w:t>
      </w:r>
      <w:r>
        <w:rPr>
          <w:color w:val="231F20"/>
        </w:rPr>
        <w:t>other</w:t>
      </w:r>
      <w:r>
        <w:rPr>
          <w:color w:val="231F20"/>
          <w:spacing w:val="-12"/>
        </w:rPr>
        <w:t> </w:t>
      </w:r>
      <w:r>
        <w:rPr>
          <w:color w:val="231F20"/>
        </w:rPr>
        <w:t>words,</w:t>
      </w:r>
      <w:r>
        <w:rPr>
          <w:color w:val="231F20"/>
          <w:spacing w:val="-12"/>
        </w:rPr>
        <w:t> </w:t>
      </w:r>
      <w:r>
        <w:rPr>
          <w:color w:val="231F20"/>
        </w:rPr>
        <w:t>a</w:t>
      </w:r>
      <w:r>
        <w:rPr>
          <w:color w:val="231F20"/>
          <w:spacing w:val="-12"/>
        </w:rPr>
        <w:t> </w:t>
      </w:r>
      <w:r>
        <w:rPr>
          <w:color w:val="231F20"/>
        </w:rPr>
        <w:t>Customer</w:t>
      </w:r>
      <w:r>
        <w:rPr>
          <w:color w:val="231F20"/>
          <w:spacing w:val="-12"/>
        </w:rPr>
        <w:t> </w:t>
      </w:r>
      <w:r>
        <w:rPr>
          <w:color w:val="231F20"/>
        </w:rPr>
        <w:t>could</w:t>
      </w:r>
      <w:r>
        <w:rPr>
          <w:color w:val="231F20"/>
          <w:spacing w:val="-12"/>
        </w:rPr>
        <w:t> </w:t>
      </w:r>
      <w:r>
        <w:rPr>
          <w:color w:val="231F20"/>
        </w:rPr>
        <w:t>not</w:t>
      </w:r>
      <w:r>
        <w:rPr>
          <w:color w:val="231F20"/>
          <w:spacing w:val="-12"/>
        </w:rPr>
        <w:t> </w:t>
      </w:r>
      <w:r>
        <w:rPr>
          <w:color w:val="231F20"/>
        </w:rPr>
        <w:t>purchase</w:t>
      </w:r>
      <w:r>
        <w:rPr>
          <w:color w:val="231F20"/>
          <w:spacing w:val="-12"/>
        </w:rPr>
        <w:t> </w:t>
      </w:r>
      <w:r>
        <w:rPr>
          <w:color w:val="231F20"/>
        </w:rPr>
        <w:t>a</w:t>
      </w:r>
      <w:r>
        <w:rPr>
          <w:color w:val="231F20"/>
          <w:spacing w:val="-12"/>
        </w:rPr>
        <w:t> </w:t>
      </w:r>
      <w:r>
        <w:rPr>
          <w:color w:val="231F20"/>
        </w:rPr>
        <w:t>single</w:t>
      </w:r>
      <w:r>
        <w:rPr>
          <w:color w:val="231F20"/>
          <w:spacing w:val="-12"/>
        </w:rPr>
        <w:t> </w:t>
      </w:r>
      <w:r>
        <w:rPr>
          <w:color w:val="231F20"/>
        </w:rPr>
        <w:t>ticket</w:t>
      </w:r>
      <w:r>
        <w:rPr>
          <w:color w:val="231F20"/>
          <w:spacing w:val="-12"/>
        </w:rPr>
        <w:t> </w:t>
      </w:r>
      <w:r>
        <w:rPr>
          <w:color w:val="231F20"/>
        </w:rPr>
        <w:t>between</w:t>
      </w:r>
      <w:r>
        <w:rPr>
          <w:color w:val="231F20"/>
          <w:spacing w:val="-12"/>
        </w:rPr>
        <w:t> </w:t>
      </w:r>
      <w:r>
        <w:rPr>
          <w:color w:val="231F20"/>
          <w:spacing w:val="-2"/>
        </w:rPr>
        <w:t>Dallas </w:t>
      </w:r>
      <w:r>
        <w:rPr>
          <w:color w:val="231F20"/>
        </w:rPr>
        <w:t>Love Field and any destination other than a Wright Amendment State. These restrictions did not apply to flights operated</w:t>
      </w:r>
      <w:r>
        <w:rPr>
          <w:color w:val="231F20"/>
          <w:spacing w:val="-12"/>
        </w:rPr>
        <w:t> </w:t>
      </w:r>
      <w:r>
        <w:rPr>
          <w:color w:val="231F20"/>
        </w:rPr>
        <w:t>with</w:t>
      </w:r>
      <w:r>
        <w:rPr>
          <w:color w:val="231F20"/>
          <w:spacing w:val="-13"/>
        </w:rPr>
        <w:t> </w:t>
      </w:r>
      <w:r>
        <w:rPr>
          <w:color w:val="231F20"/>
        </w:rPr>
        <w:t>aircraft</w:t>
      </w:r>
      <w:r>
        <w:rPr>
          <w:color w:val="231F20"/>
          <w:spacing w:val="-12"/>
        </w:rPr>
        <w:t> </w:t>
      </w:r>
      <w:r>
        <w:rPr>
          <w:color w:val="231F20"/>
        </w:rPr>
        <w:t>having</w:t>
      </w:r>
      <w:r>
        <w:rPr>
          <w:color w:val="231F20"/>
          <w:spacing w:val="-13"/>
        </w:rPr>
        <w:t> </w:t>
      </w:r>
      <w:r>
        <w:rPr>
          <w:color w:val="231F20"/>
        </w:rPr>
        <w:t>56</w:t>
      </w:r>
      <w:r>
        <w:rPr>
          <w:color w:val="231F20"/>
          <w:spacing w:val="-13"/>
        </w:rPr>
        <w:t> </w:t>
      </w:r>
      <w:r>
        <w:rPr>
          <w:color w:val="231F20"/>
        </w:rPr>
        <w:t>or</w:t>
      </w:r>
      <w:r>
        <w:rPr>
          <w:color w:val="231F20"/>
          <w:spacing w:val="-12"/>
        </w:rPr>
        <w:t> </w:t>
      </w:r>
      <w:r>
        <w:rPr>
          <w:color w:val="231F20"/>
        </w:rPr>
        <w:t>fewer</w:t>
      </w:r>
      <w:r>
        <w:rPr>
          <w:color w:val="231F20"/>
          <w:spacing w:val="-12"/>
        </w:rPr>
        <w:t> </w:t>
      </w:r>
      <w:r>
        <w:rPr>
          <w:color w:val="231F20"/>
        </w:rPr>
        <w:t>passenger</w:t>
      </w:r>
      <w:r>
        <w:rPr>
          <w:color w:val="231F20"/>
          <w:spacing w:val="-12"/>
        </w:rPr>
        <w:t> </w:t>
      </w:r>
      <w:r>
        <w:rPr>
          <w:color w:val="231F20"/>
        </w:rPr>
        <w:t>seats.</w:t>
      </w:r>
      <w:r>
        <w:rPr>
          <w:color w:val="231F20"/>
          <w:spacing w:val="-12"/>
        </w:rPr>
        <w:t> </w:t>
      </w:r>
      <w:r>
        <w:rPr>
          <w:color w:val="231F20"/>
        </w:rPr>
        <w:t>The</w:t>
      </w:r>
      <w:r>
        <w:rPr>
          <w:color w:val="231F20"/>
          <w:spacing w:val="-12"/>
        </w:rPr>
        <w:t> </w:t>
      </w:r>
      <w:r>
        <w:rPr>
          <w:color w:val="231F20"/>
        </w:rPr>
        <w:t>Wright</w:t>
      </w:r>
      <w:r>
        <w:rPr>
          <w:color w:val="231F20"/>
          <w:spacing w:val="-12"/>
        </w:rPr>
        <w:t> </w:t>
      </w:r>
      <w:r>
        <w:rPr>
          <w:color w:val="231F20"/>
        </w:rPr>
        <w:t>Amendment</w:t>
      </w:r>
      <w:r>
        <w:rPr>
          <w:color w:val="231F20"/>
          <w:spacing w:val="-12"/>
        </w:rPr>
        <w:t> </w:t>
      </w:r>
      <w:r>
        <w:rPr>
          <w:color w:val="231F20"/>
        </w:rPr>
        <w:t>also</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restrict</w:t>
      </w:r>
      <w:r>
        <w:rPr>
          <w:color w:val="231F20"/>
          <w:spacing w:val="-12"/>
        </w:rPr>
        <w:t> </w:t>
      </w:r>
      <w:r>
        <w:rPr>
          <w:color w:val="231F20"/>
          <w:spacing w:val="-3"/>
        </w:rPr>
        <w:t>Southwest’s </w:t>
      </w:r>
      <w:r>
        <w:rPr>
          <w:color w:val="231F20"/>
        </w:rPr>
        <w:t>intrastate</w:t>
      </w:r>
      <w:r>
        <w:rPr>
          <w:color w:val="231F20"/>
          <w:spacing w:val="-12"/>
        </w:rPr>
        <w:t> </w:t>
      </w:r>
      <w:r>
        <w:rPr>
          <w:color w:val="231F20"/>
        </w:rPr>
        <w:t>Texas</w:t>
      </w:r>
      <w:r>
        <w:rPr>
          <w:color w:val="231F20"/>
          <w:spacing w:val="-12"/>
        </w:rPr>
        <w:t> </w:t>
      </w:r>
      <w:r>
        <w:rPr>
          <w:color w:val="231F20"/>
        </w:rPr>
        <w:t>flights</w:t>
      </w:r>
      <w:r>
        <w:rPr>
          <w:color w:val="231F20"/>
          <w:spacing w:val="-12"/>
        </w:rPr>
        <w:t> </w:t>
      </w:r>
      <w:r>
        <w:rPr>
          <w:color w:val="231F20"/>
        </w:rPr>
        <w:t>or</w:t>
      </w:r>
      <w:r>
        <w:rPr>
          <w:color w:val="231F20"/>
          <w:spacing w:val="-12"/>
        </w:rPr>
        <w:t> </w:t>
      </w:r>
      <w:r>
        <w:rPr>
          <w:color w:val="231F20"/>
        </w:rPr>
        <w:t>its</w:t>
      </w:r>
      <w:r>
        <w:rPr>
          <w:color w:val="231F20"/>
          <w:spacing w:val="-12"/>
        </w:rPr>
        <w:t> </w:t>
      </w:r>
      <w:r>
        <w:rPr>
          <w:color w:val="231F20"/>
        </w:rPr>
        <w:t>air</w:t>
      </w:r>
      <w:r>
        <w:rPr>
          <w:color w:val="231F20"/>
          <w:spacing w:val="-12"/>
        </w:rPr>
        <w:t> </w:t>
      </w:r>
      <w:r>
        <w:rPr>
          <w:color w:val="231F20"/>
        </w:rPr>
        <w:t>service</w:t>
      </w:r>
      <w:r>
        <w:rPr>
          <w:color w:val="231F20"/>
          <w:spacing w:val="-12"/>
        </w:rPr>
        <w:t> </w:t>
      </w:r>
      <w:r>
        <w:rPr>
          <w:color w:val="231F20"/>
        </w:rPr>
        <w:t>to</w:t>
      </w:r>
      <w:r>
        <w:rPr>
          <w:color w:val="231F20"/>
          <w:spacing w:val="-12"/>
        </w:rPr>
        <w:t> </w:t>
      </w:r>
      <w:r>
        <w:rPr>
          <w:color w:val="231F20"/>
        </w:rPr>
        <w:t>or</w:t>
      </w:r>
      <w:r>
        <w:rPr>
          <w:color w:val="231F20"/>
          <w:spacing w:val="-12"/>
        </w:rPr>
        <w:t> </w:t>
      </w:r>
      <w:r>
        <w:rPr>
          <w:color w:val="231F20"/>
        </w:rPr>
        <w:t>from</w:t>
      </w:r>
      <w:r>
        <w:rPr>
          <w:color w:val="231F20"/>
          <w:spacing w:val="-12"/>
        </w:rPr>
        <w:t> </w:t>
      </w:r>
      <w:r>
        <w:rPr>
          <w:color w:val="231F20"/>
        </w:rPr>
        <w:t>points</w:t>
      </w:r>
      <w:r>
        <w:rPr>
          <w:color w:val="231F20"/>
          <w:spacing w:val="-12"/>
        </w:rPr>
        <w:t> </w:t>
      </w:r>
      <w:r>
        <w:rPr>
          <w:color w:val="231F20"/>
        </w:rPr>
        <w:t>other</w:t>
      </w:r>
      <w:r>
        <w:rPr>
          <w:color w:val="231F20"/>
          <w:spacing w:val="-12"/>
        </w:rPr>
        <w:t> </w:t>
      </w:r>
      <w:r>
        <w:rPr>
          <w:color w:val="231F20"/>
        </w:rPr>
        <w:t>than</w:t>
      </w:r>
      <w:r>
        <w:rPr>
          <w:color w:val="231F20"/>
          <w:spacing w:val="-12"/>
        </w:rPr>
        <w:t> </w:t>
      </w:r>
      <w:r>
        <w:rPr>
          <w:color w:val="231F20"/>
        </w:rPr>
        <w:t>Dallas</w:t>
      </w:r>
      <w:r>
        <w:rPr>
          <w:color w:val="231F20"/>
          <w:spacing w:val="-12"/>
        </w:rPr>
        <w:t> </w:t>
      </w:r>
      <w:r>
        <w:rPr>
          <w:color w:val="231F20"/>
        </w:rPr>
        <w:t>Love</w:t>
      </w:r>
      <w:r>
        <w:rPr>
          <w:color w:val="231F20"/>
          <w:spacing w:val="-12"/>
        </w:rPr>
        <w:t> </w:t>
      </w:r>
      <w:r>
        <w:rPr>
          <w:color w:val="231F20"/>
          <w:spacing w:val="-2"/>
        </w:rPr>
        <w:t>Field.</w:t>
      </w:r>
    </w:p>
    <w:p>
      <w:pPr>
        <w:pStyle w:val="BodyText"/>
        <w:spacing w:line="249" w:lineRule="auto" w:before="159"/>
        <w:ind w:left="100" w:right="145"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U.S. destination (while still requiring the Customer to make a stop in a Wright Amendment State), and reduced the maximum number of gates available for commercial air service at Dallas Love Field from 32 to 20.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October 2014. At such time Southwest will be able to fly to any U.S. destination from Dallas Love Field unless such destination is restricted or otherwise limited by law. Nonstop international service from Dallas Love Field will continue to be prohibited. The Company currently</w:t>
      </w:r>
      <w:r>
        <w:rPr>
          <w:color w:val="231F20"/>
          <w:spacing w:val="11"/>
        </w:rPr>
        <w:t> </w:t>
      </w:r>
      <w:r>
        <w:rPr>
          <w:color w:val="231F20"/>
        </w:rPr>
        <w:t>leases</w:t>
      </w:r>
    </w:p>
    <w:p>
      <w:pPr>
        <w:pStyle w:val="BodyText"/>
        <w:spacing w:line="249" w:lineRule="auto"/>
        <w:ind w:left="100" w:right="258"/>
      </w:pPr>
      <w:r>
        <w:rPr>
          <w:color w:val="231F20"/>
        </w:rPr>
        <w:t>16 gates at Dallas Love Field and expects to continue leasing 16 gates at the airport following substantial repeal of the remainder of the Wright Amendment in October 2014.</w:t>
      </w:r>
    </w:p>
    <w:p>
      <w:pPr>
        <w:pStyle w:val="Heading3"/>
        <w:spacing w:before="159"/>
        <w:ind w:left="350"/>
      </w:pPr>
      <w:r>
        <w:rPr>
          <w:color w:val="231F20"/>
        </w:rPr>
        <w:t>Operational, Safety, and Health Regulation</w:t>
      </w:r>
    </w:p>
    <w:p>
      <w:pPr>
        <w:pStyle w:val="BodyText"/>
        <w:spacing w:line="249" w:lineRule="auto" w:before="168"/>
        <w:ind w:left="100" w:right="190" w:firstLine="490"/>
      </w:pPr>
      <w:r>
        <w:rPr>
          <w:color w:val="231F20"/>
        </w:rPr>
        <w:t>Southwest, AirTran, and their third-party maintenance providers are subject to the jurisdiction of the FAA with respect to their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Federal Aviation Regulations.</w:t>
      </w:r>
    </w:p>
    <w:p>
      <w:pPr>
        <w:pStyle w:val="BodyText"/>
        <w:spacing w:line="249" w:lineRule="auto" w:before="159"/>
        <w:ind w:left="100" w:right="99" w:firstLine="490"/>
      </w:pPr>
      <w:r>
        <w:rPr>
          <w:color w:val="231F20"/>
        </w:rPr>
        <w:t>To address compliance with its regulations, the FAA requires airlines to obtain, and Southwest and AirTran have obtained, operating, airworthiness, and other certificates. These certificates are subject to suspension or revocation for cause. In addition, pursuant to FAA regulations, Southwest and AirTran have established, and the FAA has approved or accepted, as applicable, Southwest’s and AirTran’s operations specifications and maintenance programs for their respective aircraft, ranging from frequent routine inspections to major overhauls. Effective as of March 1, 2012, the Company obtained approval from the FAA of a single operating certificate  that allows the Company to operate aircraft and perform maintenance operations for both Southwest and AirTran aircraft, subject to some</w:t>
      </w:r>
      <w:r>
        <w:rPr>
          <w:color w:val="231F20"/>
          <w:spacing w:val="3"/>
        </w:rPr>
        <w:t> </w:t>
      </w:r>
      <w:r>
        <w:rPr>
          <w:color w:val="231F20"/>
        </w:rPr>
        <w:t>restrictions.</w:t>
      </w:r>
    </w:p>
    <w:p>
      <w:pPr>
        <w:pStyle w:val="BodyText"/>
        <w:spacing w:line="249" w:lineRule="auto" w:before="159"/>
        <w:ind w:left="100" w:right="103" w:firstLine="490"/>
      </w:pPr>
      <w:r>
        <w:rPr>
          <w:color w:val="231F20"/>
        </w:rPr>
        <w:t>In December 2011, the DOT and the FAA issued a rule to amend the FAA’s existing flight, duty, and rest regulations. Among other things, the new rule, which will go into effect in 2014, requires a ten hour minimum rest period prior to a pilot’s flight duty period, a two-hour increase over the old rules. The new rule also mandates that a pilot must have an opportunity for eight hours of uninterrupted sleep within the ten-hour rest period. Pilots will also be limited to no more than nine hours of “flight time,” which is considered by the FAA to be any time an airplane is moving on its own power, even if it is on the ground at an airport. Pilots will also be limited</w:t>
      </w:r>
      <w:r>
        <w:rPr>
          <w:color w:val="231F20"/>
          <w:spacing w:val="6"/>
        </w:rPr>
        <w:t> </w:t>
      </w:r>
      <w:r>
        <w:rPr>
          <w:color w:val="231F20"/>
        </w:rPr>
        <w:t>to</w:t>
      </w:r>
    </w:p>
    <w:p>
      <w:pPr>
        <w:pStyle w:val="BodyText"/>
        <w:spacing w:line="249" w:lineRule="auto"/>
        <w:ind w:left="100" w:right="424"/>
      </w:pPr>
      <w:r>
        <w:rPr>
          <w:color w:val="231F20"/>
        </w:rPr>
        <w:t>28 working days in a month and will be required to be given at least 30 consecutive hours free from duty on a weekly basis, a 25 percent increase over the current rules.</w:t>
      </w:r>
    </w:p>
    <w:p>
      <w:pPr>
        <w:spacing w:after="0" w:line="249" w:lineRule="auto"/>
        <w:sectPr>
          <w:pgSz w:w="11880" w:h="15480"/>
          <w:pgMar w:header="0" w:footer="1253" w:top="1240" w:bottom="1440" w:left="1280" w:right="1280"/>
        </w:sectPr>
      </w:pPr>
    </w:p>
    <w:p>
      <w:pPr>
        <w:pStyle w:val="BodyText"/>
        <w:spacing w:line="249" w:lineRule="auto" w:before="73"/>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4"/>
        <w:rPr>
          <w:sz w:val="17"/>
        </w:rPr>
      </w:pPr>
    </w:p>
    <w:p>
      <w:pPr>
        <w:pStyle w:val="Heading3"/>
        <w:ind w:left="350"/>
      </w:pPr>
      <w:r>
        <w:rPr>
          <w:color w:val="231F20"/>
        </w:rPr>
        <w:t>Security Regulation</w:t>
      </w:r>
    </w:p>
    <w:p>
      <w:pPr>
        <w:pStyle w:val="BodyText"/>
        <w:spacing w:before="1"/>
        <w:rPr>
          <w:b/>
          <w:sz w:val="18"/>
        </w:rPr>
      </w:pPr>
    </w:p>
    <w:p>
      <w:pPr>
        <w:pStyle w:val="BodyText"/>
        <w:spacing w:line="249" w:lineRule="auto"/>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ind w:left="100" w:right="363"/>
      </w:pPr>
      <w:r>
        <w:rPr>
          <w:color w:val="231F20"/>
        </w:rPr>
        <w:t>(iii) airport perimeter access security; (iv) airline crew security training; (v) security screening of passengers, baggage, cargo, mail, employees, and vendors; (vi) training and qualifications of security screening personnel;</w:t>
      </w:r>
    </w:p>
    <w:p>
      <w:pPr>
        <w:pStyle w:val="BodyText"/>
        <w:spacing w:line="249" w:lineRule="auto"/>
        <w:ind w:left="100" w:right="149"/>
      </w:pPr>
      <w:r>
        <w:rPr>
          <w:color w:val="231F20"/>
        </w:rPr>
        <w:t>(vii) 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pStyle w:val="BodyText"/>
        <w:spacing w:before="4"/>
        <w:rPr>
          <w:sz w:val="17"/>
        </w:rPr>
      </w:pPr>
    </w:p>
    <w:p>
      <w:pPr>
        <w:pStyle w:val="BodyText"/>
        <w:spacing w:line="249" w:lineRule="auto"/>
        <w:ind w:left="100" w:right="438" w:firstLine="490"/>
      </w:pPr>
      <w:r>
        <w:rPr>
          <w:color w:val="231F20"/>
        </w:rPr>
        <w:t>Enhanced security measures have also impacted the Company’s business through the imposition of security fees on Southwest and AirTran and their Customers. Under ATSA, funding for passenger security is provided in part by a $2.50 per enplanement security fee (the “9/11 Fee”), subject to a maximum of $5.00 per one-way trip. In September 2011, the Administration proposed to Congress an immediate increase of the</w:t>
      </w:r>
    </w:p>
    <w:p>
      <w:pPr>
        <w:pStyle w:val="BodyText"/>
        <w:spacing w:line="249" w:lineRule="auto" w:before="1"/>
        <w:ind w:left="100" w:right="103"/>
      </w:pPr>
      <w:r>
        <w:rPr>
          <w:color w:val="231F20"/>
        </w:rPr>
        <w:t>9/11 Fee to a minimum of $5.00 per one-way trip and also proposed additional yearly increases that would raise the 9/11 Fee to $7.50 per one-way trip by 2017. Congress may consider an increase in the 9/11 Fee, as well as other changes to ATSA, as part of future security or deficit reduction legislation. ATSA also directs the TSA to assess an Aviation Security Infrastructure Fee (“ASIF”) on each airline. The ASIF charge that each airline pays is equal to that airline’s annual cost for passenger security services at airports prior to the creation of TSA in 2001.</w:t>
      </w:r>
    </w:p>
    <w:p>
      <w:pPr>
        <w:pStyle w:val="BodyText"/>
        <w:spacing w:before="4"/>
        <w:rPr>
          <w:sz w:val="17"/>
        </w:rPr>
      </w:pPr>
    </w:p>
    <w:p>
      <w:pPr>
        <w:pStyle w:val="BodyText"/>
        <w:spacing w:line="249" w:lineRule="auto"/>
        <w:ind w:left="100" w:right="224" w:firstLine="490"/>
      </w:pPr>
      <w:r>
        <w:rPr>
          <w:color w:val="231F20"/>
        </w:rPr>
        <w:t>The Company has made significant investments to address the effect of security regulations, including investments in facilities, equipment, and technology to process Customers and cargo efficiently and restore the airport experience; however, the Company is not able to predict the ongoing impact, if any, that various security measures will have on Passenger revenues and the Company’s costs, either in the shortterm or the longterm.</w:t>
      </w:r>
    </w:p>
    <w:p>
      <w:pPr>
        <w:pStyle w:val="BodyText"/>
        <w:spacing w:before="4"/>
        <w:rPr>
          <w:sz w:val="17"/>
        </w:rPr>
      </w:pPr>
    </w:p>
    <w:p>
      <w:pPr>
        <w:pStyle w:val="Heading3"/>
        <w:ind w:left="350"/>
      </w:pPr>
      <w:r>
        <w:rPr>
          <w:color w:val="231F20"/>
        </w:rPr>
        <w:t>Environmental Regulation</w:t>
      </w:r>
    </w:p>
    <w:p>
      <w:pPr>
        <w:pStyle w:val="BodyText"/>
        <w:spacing w:before="1"/>
        <w:rPr>
          <w:b/>
          <w:sz w:val="18"/>
        </w:rPr>
      </w:pPr>
    </w:p>
    <w:p>
      <w:pPr>
        <w:pStyle w:val="BodyText"/>
        <w:spacing w:line="249" w:lineRule="auto" w:before="1"/>
        <w:ind w:left="100" w:right="122"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w:t>
      </w:r>
      <w:r>
        <w:rPr>
          <w:color w:val="231F20"/>
          <w:spacing w:val="10"/>
        </w:rPr>
        <w:t> </w:t>
      </w:r>
      <w:r>
        <w:rPr>
          <w:color w:val="231F20"/>
        </w:rPr>
        <w:t>voluntary</w:t>
      </w:r>
    </w:p>
    <w:p>
      <w:pPr>
        <w:spacing w:after="0" w:line="249" w:lineRule="auto"/>
        <w:sectPr>
          <w:pgSz w:w="11880" w:h="15480"/>
          <w:pgMar w:header="0" w:footer="1253" w:top="1240" w:bottom="1440" w:left="1280" w:right="1280"/>
        </w:sectPr>
      </w:pPr>
    </w:p>
    <w:p>
      <w:pPr>
        <w:pStyle w:val="BodyText"/>
        <w:spacing w:line="249" w:lineRule="auto" w:before="73"/>
        <w:ind w:left="100" w:right="157"/>
      </w:pPr>
      <w:r>
        <w:rPr>
          <w:color w:val="231F20"/>
        </w:rPr>
        <w:t>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9" w:lineRule="auto" w:before="181"/>
        <w:ind w:left="100" w:right="103" w:firstLine="490"/>
      </w:pPr>
      <w:r>
        <w:rPr>
          <w:color w:val="231F20"/>
        </w:rPr>
        <w:t>The federal government, as well as several state and local governments and the governments of other countries, are considering legislative and regulatory proposals to address climate change by reducing green-house gas emissions. At the federal level, the Environmental Protection Agency’s Endangerment Finding in January 2010 regarding greenhouse gas emissions set the stage for possible legislative or regulatory action to reduce greenhouse gas emissions from various 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w:t>
      </w:r>
      <w:r>
        <w:rPr>
          <w:color w:val="231F20"/>
          <w:spacing w:val="4"/>
        </w:rPr>
        <w:t> </w:t>
      </w:r>
      <w:r>
        <w:rPr>
          <w:color w:val="231F20"/>
        </w:rPr>
        <w:t>operations.</w:t>
      </w:r>
    </w:p>
    <w:p>
      <w:pPr>
        <w:pStyle w:val="BodyText"/>
        <w:spacing w:line="249" w:lineRule="auto" w:before="181"/>
        <w:ind w:left="100" w:right="18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line="249" w:lineRule="auto" w:before="181"/>
        <w:ind w:left="100" w:right="253"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3"/>
        <w:spacing w:before="181"/>
        <w:ind w:left="350"/>
      </w:pPr>
      <w:r>
        <w:rPr>
          <w:color w:val="231F20"/>
        </w:rPr>
        <w:t>International Regulation</w:t>
      </w:r>
    </w:p>
    <w:p>
      <w:pPr>
        <w:pStyle w:val="BodyText"/>
        <w:spacing w:line="249" w:lineRule="auto" w:before="189"/>
        <w:ind w:left="100" w:right="136" w:firstLine="490"/>
      </w:pPr>
      <w:r>
        <w:rPr>
          <w:color w:val="231F20"/>
        </w:rPr>
        <w:t>All international service is subject to certain FAA requirements and approvals, the regulatory requirements of other U.S. government agencies, and the regulatory requirements of the appropriate authorities of the foreign countries involved. Southwest and AirTran have obtained the necessary FAA approvals to conduct operations, under certain circumstances, outside of the continental United States. To the extent the Company seeks to service additional international routes in the future, it will be required to obtain necessary authority from the DOT, as well as any applicable foreign government or other authority.</w:t>
      </w:r>
    </w:p>
    <w:p>
      <w:pPr>
        <w:pStyle w:val="Heading3"/>
        <w:spacing w:before="180"/>
      </w:pPr>
      <w:r>
        <w:rPr>
          <w:color w:val="231F20"/>
        </w:rPr>
        <w:t>Insurance</w:t>
      </w:r>
    </w:p>
    <w:p>
      <w:pPr>
        <w:pStyle w:val="BodyText"/>
        <w:spacing w:line="249" w:lineRule="auto" w:before="189"/>
        <w:ind w:left="100" w:right="12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80"/>
        <w:ind w:left="100" w:right="174" w:firstLine="490"/>
      </w:pPr>
      <w:r>
        <w:rPr>
          <w:color w:val="231F20"/>
        </w:rPr>
        <w:t>Through the 2003 Emergency Wartime Supplemental Appropriations Act (the “Wartime Act”), the federal government has provided renewable, supplemental, first-party, war-risk insurance coverage to commercial</w:t>
      </w:r>
    </w:p>
    <w:p>
      <w:pPr>
        <w:spacing w:after="0" w:line="249" w:lineRule="auto"/>
        <w:sectPr>
          <w:pgSz w:w="11880" w:h="15480"/>
          <w:pgMar w:header="0" w:footer="1253" w:top="1240" w:bottom="1440" w:left="1280" w:right="1280"/>
        </w:sectPr>
      </w:pPr>
    </w:p>
    <w:p>
      <w:pPr>
        <w:pStyle w:val="BodyText"/>
        <w:spacing w:line="249" w:lineRule="auto" w:before="73"/>
        <w:ind w:left="120" w:right="96"/>
      </w:pPr>
      <w:r>
        <w:rPr>
          <w:color w:val="231F20"/>
        </w:rPr>
        <w:t>carriers at substantially lower premiums than prevailing commercial rates and for levels of coverage not available in the commercial market. The government-provided supplemental coverage from the Wartime Act is currently set to expire on September 30, 2013. Although another extension beyond this date is expected, if such coverage is not extended by the government, the Company could incur substantially higher insurance costs or unavailability of adequate coverage in future periods.</w:t>
      </w:r>
    </w:p>
    <w:p>
      <w:pPr>
        <w:pStyle w:val="Heading3"/>
        <w:spacing w:before="181"/>
        <w:ind w:left="120"/>
      </w:pPr>
      <w:r>
        <w:rPr>
          <w:color w:val="231F20"/>
        </w:rPr>
        <w:t>Competition</w:t>
      </w:r>
    </w:p>
    <w:p>
      <w:pPr>
        <w:pStyle w:val="BodyText"/>
        <w:spacing w:line="249" w:lineRule="auto" w:before="190"/>
        <w:ind w:left="120" w:right="444" w:firstLine="490"/>
      </w:pPr>
      <w:r>
        <w:rPr>
          <w:color w:val="231F20"/>
        </w:rPr>
        <w:t>Competition within the airline industry is intense and highly unpredictable, and Southwest and AirTran currently compete with other airlines on a majority of their routes. Key competitive factors within the airline industry include (i) pricing and cost structure; (ii) routes, frequent flyer programs, and schedules; and</w:t>
      </w:r>
    </w:p>
    <w:p>
      <w:pPr>
        <w:pStyle w:val="BodyText"/>
        <w:spacing w:line="249" w:lineRule="auto" w:before="1"/>
        <w:ind w:left="120" w:right="135"/>
      </w:pPr>
      <w:r>
        <w:rPr>
          <w:color w:val="231F20"/>
        </w:rPr>
        <w:t>(iii) customer service, comfort, and amenities. Southwest and AirTran also compete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The DOT defines the major U.S. airlines as those airlines with annual revenues of at least $1 billion; there are currently 15 passenger airlines offering scheduled service, including Southwest and AirTran, meeting this standard.</w:t>
      </w:r>
    </w:p>
    <w:p>
      <w:pPr>
        <w:pStyle w:val="Heading3"/>
        <w:spacing w:before="181"/>
        <w:ind w:left="370"/>
      </w:pPr>
      <w:r>
        <w:rPr>
          <w:color w:val="231F20"/>
        </w:rPr>
        <w:t>Pricing and Cost Structure</w:t>
      </w:r>
    </w:p>
    <w:p>
      <w:pPr>
        <w:pStyle w:val="BodyText"/>
        <w:spacing w:line="249" w:lineRule="auto" w:before="190"/>
        <w:ind w:left="120" w:right="119" w:firstLine="490"/>
      </w:pPr>
      <w:r>
        <w:rPr>
          <w:color w:val="231F20"/>
        </w:rPr>
        <w:t>Pricing is a significant competitive factor in the airline industry, and the increased availability of fare information on the Internet allows travelers to easily compare fares and identify competitor promotions </w:t>
      </w:r>
      <w:r>
        <w:rPr>
          <w:color w:val="231F20"/>
          <w:spacing w:val="-2"/>
        </w:rPr>
        <w:t>and </w:t>
      </w:r>
      <w:r>
        <w:rPr>
          <w:color w:val="231F20"/>
        </w:rPr>
        <w:t>discounts.</w:t>
      </w:r>
      <w:r>
        <w:rPr>
          <w:color w:val="231F20"/>
          <w:spacing w:val="-12"/>
        </w:rPr>
        <w:t> </w:t>
      </w:r>
      <w:r>
        <w:rPr>
          <w:color w:val="231F20"/>
        </w:rPr>
        <w:t>Pricing</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driven</w:t>
      </w:r>
      <w:r>
        <w:rPr>
          <w:color w:val="231F20"/>
          <w:spacing w:val="-12"/>
        </w:rPr>
        <w:t> </w:t>
      </w:r>
      <w:r>
        <w:rPr>
          <w:color w:val="231F20"/>
        </w:rPr>
        <w:t>by</w:t>
      </w:r>
      <w:r>
        <w:rPr>
          <w:color w:val="231F20"/>
          <w:spacing w:val="-12"/>
        </w:rPr>
        <w:t> </w:t>
      </w:r>
      <w:r>
        <w:rPr>
          <w:color w:val="231F20"/>
        </w:rPr>
        <w:t>a</w:t>
      </w:r>
      <w:r>
        <w:rPr>
          <w:color w:val="231F20"/>
          <w:spacing w:val="-12"/>
        </w:rPr>
        <w:t> </w:t>
      </w:r>
      <w:r>
        <w:rPr>
          <w:color w:val="231F20"/>
        </w:rPr>
        <w:t>variety</w:t>
      </w:r>
      <w:r>
        <w:rPr>
          <w:color w:val="231F20"/>
          <w:spacing w:val="-12"/>
        </w:rPr>
        <w:t> </w:t>
      </w:r>
      <w:r>
        <w:rPr>
          <w:color w:val="231F20"/>
        </w:rPr>
        <w:t>of</w:t>
      </w:r>
      <w:r>
        <w:rPr>
          <w:color w:val="231F20"/>
          <w:spacing w:val="-12"/>
        </w:rPr>
        <w:t> </w:t>
      </w:r>
      <w:r>
        <w:rPr>
          <w:color w:val="231F20"/>
        </w:rPr>
        <w:t>factors.</w:t>
      </w:r>
      <w:r>
        <w:rPr>
          <w:color w:val="231F20"/>
          <w:spacing w:val="-12"/>
        </w:rPr>
        <w:t> </w:t>
      </w:r>
      <w:r>
        <w:rPr>
          <w:color w:val="231F20"/>
        </w:rPr>
        <w:t>For</w:t>
      </w:r>
      <w:r>
        <w:rPr>
          <w:color w:val="231F20"/>
          <w:spacing w:val="-12"/>
        </w:rPr>
        <w:t> </w:t>
      </w:r>
      <w:r>
        <w:rPr>
          <w:color w:val="231F20"/>
        </w:rPr>
        <w:t>example,</w:t>
      </w:r>
      <w:r>
        <w:rPr>
          <w:color w:val="231F20"/>
          <w:spacing w:val="-12"/>
        </w:rPr>
        <w:t> </w:t>
      </w:r>
      <w:r>
        <w:rPr>
          <w:color w:val="231F20"/>
        </w:rPr>
        <w:t>airlines</w:t>
      </w:r>
      <w:r>
        <w:rPr>
          <w:color w:val="231F20"/>
          <w:spacing w:val="-12"/>
        </w:rPr>
        <w:t> </w:t>
      </w:r>
      <w:r>
        <w:rPr>
          <w:color w:val="231F20"/>
        </w:rPr>
        <w:t>often</w:t>
      </w:r>
      <w:r>
        <w:rPr>
          <w:color w:val="231F20"/>
          <w:spacing w:val="-12"/>
        </w:rPr>
        <w:t> </w:t>
      </w:r>
      <w:r>
        <w:rPr>
          <w:color w:val="231F20"/>
        </w:rPr>
        <w:t>discount</w:t>
      </w:r>
      <w:r>
        <w:rPr>
          <w:color w:val="231F20"/>
          <w:spacing w:val="-12"/>
        </w:rPr>
        <w:t> </w:t>
      </w:r>
      <w:r>
        <w:rPr>
          <w:color w:val="231F20"/>
        </w:rPr>
        <w:t>fares</w:t>
      </w:r>
      <w:r>
        <w:rPr>
          <w:color w:val="231F20"/>
          <w:spacing w:val="-12"/>
        </w:rPr>
        <w:t> </w:t>
      </w:r>
      <w:r>
        <w:rPr>
          <w:color w:val="231F20"/>
        </w:rPr>
        <w:t>to</w:t>
      </w:r>
      <w:r>
        <w:rPr>
          <w:color w:val="231F20"/>
          <w:spacing w:val="-12"/>
        </w:rPr>
        <w:t> </w:t>
      </w:r>
      <w:r>
        <w:rPr>
          <w:color w:val="231F20"/>
        </w:rPr>
        <w:t>drive</w:t>
      </w:r>
      <w:r>
        <w:rPr>
          <w:color w:val="231F20"/>
          <w:spacing w:val="-12"/>
        </w:rPr>
        <w:t> </w:t>
      </w:r>
      <w:r>
        <w:rPr>
          <w:color w:val="231F20"/>
        </w:rPr>
        <w:t>traffic</w:t>
      </w:r>
      <w:r>
        <w:rPr>
          <w:color w:val="231F20"/>
          <w:spacing w:val="-12"/>
        </w:rPr>
        <w:t> </w:t>
      </w:r>
      <w:r>
        <w:rPr>
          <w:color w:val="231F20"/>
        </w:rPr>
        <w:t>in new</w:t>
      </w:r>
      <w:r>
        <w:rPr>
          <w:color w:val="231F20"/>
          <w:spacing w:val="-13"/>
        </w:rPr>
        <w:t> </w:t>
      </w:r>
      <w:r>
        <w:rPr>
          <w:color w:val="231F20"/>
        </w:rPr>
        <w:t>markets</w:t>
      </w:r>
      <w:r>
        <w:rPr>
          <w:color w:val="231F20"/>
          <w:spacing w:val="-12"/>
        </w:rPr>
        <w:t> </w:t>
      </w:r>
      <w:r>
        <w:rPr>
          <w:color w:val="231F20"/>
        </w:rPr>
        <w:t>or</w:t>
      </w:r>
      <w:r>
        <w:rPr>
          <w:color w:val="231F20"/>
          <w:spacing w:val="-12"/>
        </w:rPr>
        <w:t> </w:t>
      </w:r>
      <w:r>
        <w:rPr>
          <w:color w:val="231F20"/>
        </w:rPr>
        <w:t>to</w:t>
      </w:r>
      <w:r>
        <w:rPr>
          <w:color w:val="231F20"/>
          <w:spacing w:val="-12"/>
        </w:rPr>
        <w:t> </w:t>
      </w:r>
      <w:r>
        <w:rPr>
          <w:color w:val="231F20"/>
        </w:rPr>
        <w:t>stimulate</w:t>
      </w:r>
      <w:r>
        <w:rPr>
          <w:color w:val="231F20"/>
          <w:spacing w:val="-12"/>
        </w:rPr>
        <w:t> </w:t>
      </w:r>
      <w:r>
        <w:rPr>
          <w:color w:val="231F20"/>
        </w:rPr>
        <w:t>traffic</w:t>
      </w:r>
      <w:r>
        <w:rPr>
          <w:color w:val="231F20"/>
          <w:spacing w:val="-12"/>
        </w:rPr>
        <w:t> </w:t>
      </w:r>
      <w:r>
        <w:rPr>
          <w:color w:val="231F20"/>
        </w:rPr>
        <w:t>when</w:t>
      </w:r>
      <w:r>
        <w:rPr>
          <w:color w:val="231F20"/>
          <w:spacing w:val="-12"/>
        </w:rPr>
        <w:t> </w:t>
      </w:r>
      <w:r>
        <w:rPr>
          <w:color w:val="231F20"/>
        </w:rPr>
        <w:t>necessary</w:t>
      </w:r>
      <w:r>
        <w:rPr>
          <w:color w:val="231F20"/>
          <w:spacing w:val="-12"/>
        </w:rPr>
        <w:t> </w:t>
      </w:r>
      <w:r>
        <w:rPr>
          <w:color w:val="231F20"/>
        </w:rPr>
        <w:t>to</w:t>
      </w:r>
      <w:r>
        <w:rPr>
          <w:color w:val="231F20"/>
          <w:spacing w:val="-12"/>
        </w:rPr>
        <w:t> </w:t>
      </w:r>
      <w:r>
        <w:rPr>
          <w:color w:val="231F20"/>
        </w:rPr>
        <w:t>improve</w:t>
      </w:r>
      <w:r>
        <w:rPr>
          <w:color w:val="231F20"/>
          <w:spacing w:val="-12"/>
        </w:rPr>
        <w:t> </w:t>
      </w:r>
      <w:r>
        <w:rPr>
          <w:color w:val="231F20"/>
        </w:rPr>
        <w:t>load</w:t>
      </w:r>
      <w:r>
        <w:rPr>
          <w:color w:val="231F20"/>
          <w:spacing w:val="-12"/>
        </w:rPr>
        <w:t> </w:t>
      </w:r>
      <w:r>
        <w:rPr>
          <w:color w:val="231F20"/>
        </w:rPr>
        <w:t>factors</w:t>
      </w:r>
      <w:r>
        <w:rPr>
          <w:color w:val="231F20"/>
          <w:spacing w:val="-12"/>
        </w:rPr>
        <w:t> </w:t>
      </w:r>
      <w:r>
        <w:rPr>
          <w:color w:val="231F20"/>
        </w:rPr>
        <w:t>and/or</w:t>
      </w:r>
      <w:r>
        <w:rPr>
          <w:color w:val="231F20"/>
          <w:spacing w:val="-12"/>
        </w:rPr>
        <w:t> </w:t>
      </w:r>
      <w:r>
        <w:rPr>
          <w:color w:val="231F20"/>
        </w:rPr>
        <w:t>cash</w:t>
      </w:r>
      <w:r>
        <w:rPr>
          <w:color w:val="231F20"/>
          <w:spacing w:val="-12"/>
        </w:rPr>
        <w:t> </w:t>
      </w:r>
      <w:r>
        <w:rPr>
          <w:color w:val="231F20"/>
        </w:rPr>
        <w:t>flow.</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multiple airlines have been able to reduce fares because they have been able to lower their operating costs as a result of reorganization within and outside of bankruptcy. Further, some of the Company’s competitors have continued to grow</w:t>
      </w:r>
      <w:r>
        <w:rPr>
          <w:color w:val="231F20"/>
          <w:spacing w:val="-14"/>
        </w:rPr>
        <w:t> </w:t>
      </w:r>
      <w:r>
        <w:rPr>
          <w:color w:val="231F20"/>
        </w:rPr>
        <w:t>their</w:t>
      </w:r>
      <w:r>
        <w:rPr>
          <w:color w:val="231F20"/>
          <w:spacing w:val="-13"/>
        </w:rPr>
        <w:t> </w:t>
      </w:r>
      <w:r>
        <w:rPr>
          <w:color w:val="231F20"/>
        </w:rPr>
        <w:t>fleets</w:t>
      </w:r>
      <w:r>
        <w:rPr>
          <w:color w:val="231F20"/>
          <w:spacing w:val="-13"/>
        </w:rPr>
        <w:t> </w:t>
      </w:r>
      <w:r>
        <w:rPr>
          <w:color w:val="231F20"/>
        </w:rPr>
        <w:t>and</w:t>
      </w:r>
      <w:r>
        <w:rPr>
          <w:color w:val="231F20"/>
          <w:spacing w:val="-13"/>
        </w:rPr>
        <w:t> </w:t>
      </w:r>
      <w:r>
        <w:rPr>
          <w:color w:val="231F20"/>
        </w:rPr>
        <w:t>expand</w:t>
      </w:r>
      <w:r>
        <w:rPr>
          <w:color w:val="231F20"/>
          <w:spacing w:val="-13"/>
        </w:rPr>
        <w:t> </w:t>
      </w:r>
      <w:r>
        <w:rPr>
          <w:color w:val="231F20"/>
        </w:rPr>
        <w:t>their</w:t>
      </w:r>
      <w:r>
        <w:rPr>
          <w:color w:val="231F20"/>
          <w:spacing w:val="-13"/>
        </w:rPr>
        <w:t> </w:t>
      </w:r>
      <w:r>
        <w:rPr>
          <w:color w:val="231F20"/>
        </w:rPr>
        <w:t>networks,</w:t>
      </w:r>
      <w:r>
        <w:rPr>
          <w:color w:val="231F20"/>
          <w:spacing w:val="-13"/>
        </w:rPr>
        <w:t> </w:t>
      </w:r>
      <w:r>
        <w:rPr>
          <w:color w:val="231F20"/>
        </w:rPr>
        <w:t>potentially</w:t>
      </w:r>
      <w:r>
        <w:rPr>
          <w:color w:val="231F20"/>
          <w:spacing w:val="-13"/>
        </w:rPr>
        <w:t> </w:t>
      </w:r>
      <w:r>
        <w:rPr>
          <w:color w:val="231F20"/>
        </w:rPr>
        <w:t>enabling</w:t>
      </w:r>
      <w:r>
        <w:rPr>
          <w:color w:val="231F20"/>
          <w:spacing w:val="-13"/>
        </w:rPr>
        <w:t> </w:t>
      </w:r>
      <w:r>
        <w:rPr>
          <w:color w:val="231F20"/>
        </w:rPr>
        <w:t>them</w:t>
      </w:r>
      <w:r>
        <w:rPr>
          <w:color w:val="231F20"/>
          <w:spacing w:val="-13"/>
        </w:rPr>
        <w:t> </w:t>
      </w:r>
      <w:r>
        <w:rPr>
          <w:color w:val="231F20"/>
        </w:rPr>
        <w:t>to</w:t>
      </w:r>
      <w:r>
        <w:rPr>
          <w:color w:val="231F20"/>
          <w:spacing w:val="-13"/>
        </w:rPr>
        <w:t> </w:t>
      </w:r>
      <w:r>
        <w:rPr>
          <w:color w:val="231F20"/>
        </w:rPr>
        <w:t>better</w:t>
      </w:r>
      <w:r>
        <w:rPr>
          <w:color w:val="231F20"/>
          <w:spacing w:val="-13"/>
        </w:rPr>
        <w:t> </w:t>
      </w:r>
      <w:r>
        <w:rPr>
          <w:color w:val="231F20"/>
        </w:rPr>
        <w:t>control</w:t>
      </w:r>
      <w:r>
        <w:rPr>
          <w:color w:val="231F20"/>
          <w:spacing w:val="-13"/>
        </w:rPr>
        <w:t> </w:t>
      </w:r>
      <w:r>
        <w:rPr>
          <w:color w:val="231F20"/>
        </w:rPr>
        <w:t>costs</w:t>
      </w:r>
      <w:r>
        <w:rPr>
          <w:color w:val="231F20"/>
          <w:spacing w:val="-13"/>
        </w:rPr>
        <w:t> </w:t>
      </w:r>
      <w:r>
        <w:rPr>
          <w:color w:val="231F20"/>
        </w:rPr>
        <w:t>per</w:t>
      </w:r>
      <w:r>
        <w:rPr>
          <w:color w:val="231F20"/>
          <w:spacing w:val="-13"/>
        </w:rPr>
        <w:t> </w:t>
      </w:r>
      <w:r>
        <w:rPr>
          <w:color w:val="231F20"/>
        </w:rPr>
        <w:t>available</w:t>
      </w:r>
      <w:r>
        <w:rPr>
          <w:color w:val="231F20"/>
          <w:spacing w:val="-13"/>
        </w:rPr>
        <w:t> </w:t>
      </w:r>
      <w:r>
        <w:rPr>
          <w:color w:val="231F20"/>
        </w:rPr>
        <w:t>seat</w:t>
      </w:r>
      <w:r>
        <w:rPr>
          <w:color w:val="231F20"/>
          <w:spacing w:val="-13"/>
        </w:rPr>
        <w:t> </w:t>
      </w:r>
      <w:r>
        <w:rPr>
          <w:color w:val="231F20"/>
        </w:rPr>
        <w:t>mile (the</w:t>
      </w:r>
      <w:r>
        <w:rPr>
          <w:color w:val="231F20"/>
          <w:spacing w:val="-11"/>
        </w:rPr>
        <w:t> </w:t>
      </w:r>
      <w:r>
        <w:rPr>
          <w:color w:val="231F20"/>
        </w:rPr>
        <w:t>average</w:t>
      </w:r>
      <w:r>
        <w:rPr>
          <w:color w:val="231F20"/>
          <w:spacing w:val="-11"/>
        </w:rPr>
        <w:t> </w:t>
      </w:r>
      <w:r>
        <w:rPr>
          <w:color w:val="231F20"/>
        </w:rPr>
        <w:t>cost</w:t>
      </w:r>
      <w:r>
        <w:rPr>
          <w:color w:val="231F20"/>
          <w:spacing w:val="-11"/>
        </w:rPr>
        <w:t> </w:t>
      </w:r>
      <w:r>
        <w:rPr>
          <w:color w:val="231F20"/>
        </w:rPr>
        <w:t>to</w:t>
      </w:r>
      <w:r>
        <w:rPr>
          <w:color w:val="231F20"/>
          <w:spacing w:val="-11"/>
        </w:rPr>
        <w:t> </w:t>
      </w:r>
      <w:r>
        <w:rPr>
          <w:color w:val="231F20"/>
        </w:rPr>
        <w:t>fly</w:t>
      </w:r>
      <w:r>
        <w:rPr>
          <w:color w:val="231F20"/>
          <w:spacing w:val="-11"/>
        </w:rPr>
        <w:t> </w:t>
      </w:r>
      <w:r>
        <w:rPr>
          <w:color w:val="231F20"/>
        </w:rPr>
        <w:t>an</w:t>
      </w:r>
      <w:r>
        <w:rPr>
          <w:color w:val="231F20"/>
          <w:spacing w:val="-11"/>
        </w:rPr>
        <w:t> </w:t>
      </w:r>
      <w:r>
        <w:rPr>
          <w:color w:val="231F20"/>
        </w:rPr>
        <w:t>aircraft</w:t>
      </w:r>
      <w:r>
        <w:rPr>
          <w:color w:val="231F20"/>
          <w:spacing w:val="-11"/>
        </w:rPr>
        <w:t> </w:t>
      </w:r>
      <w:r>
        <w:rPr>
          <w:color w:val="231F20"/>
        </w:rPr>
        <w:t>seat</w:t>
      </w:r>
      <w:r>
        <w:rPr>
          <w:color w:val="231F20"/>
          <w:spacing w:val="-11"/>
        </w:rPr>
        <w:t> </w:t>
      </w:r>
      <w:r>
        <w:rPr>
          <w:color w:val="231F20"/>
        </w:rPr>
        <w:t>(empty</w:t>
      </w:r>
      <w:r>
        <w:rPr>
          <w:color w:val="231F20"/>
          <w:spacing w:val="-11"/>
        </w:rPr>
        <w:t> </w:t>
      </w:r>
      <w:r>
        <w:rPr>
          <w:color w:val="231F20"/>
        </w:rPr>
        <w:t>or</w:t>
      </w:r>
      <w:r>
        <w:rPr>
          <w:color w:val="231F20"/>
          <w:spacing w:val="-11"/>
        </w:rPr>
        <w:t> </w:t>
      </w:r>
      <w:r>
        <w:rPr>
          <w:color w:val="231F20"/>
        </w:rPr>
        <w:t>full)</w:t>
      </w:r>
      <w:r>
        <w:rPr>
          <w:color w:val="231F20"/>
          <w:spacing w:val="-11"/>
        </w:rPr>
        <w:t> </w:t>
      </w:r>
      <w:r>
        <w:rPr>
          <w:color w:val="231F20"/>
        </w:rPr>
        <w:t>one</w:t>
      </w:r>
      <w:r>
        <w:rPr>
          <w:color w:val="231F20"/>
          <w:spacing w:val="-11"/>
        </w:rPr>
        <w:t> </w:t>
      </w:r>
      <w:r>
        <w:rPr>
          <w:color w:val="231F20"/>
        </w:rPr>
        <w:t>mile),</w:t>
      </w:r>
      <w:r>
        <w:rPr>
          <w:color w:val="231F20"/>
          <w:spacing w:val="-11"/>
        </w:rPr>
        <w:t> </w:t>
      </w:r>
      <w:r>
        <w:rPr>
          <w:color w:val="231F20"/>
        </w:rPr>
        <w:t>which</w:t>
      </w:r>
      <w:r>
        <w:rPr>
          <w:color w:val="231F20"/>
          <w:spacing w:val="-11"/>
        </w:rPr>
        <w:t> </w:t>
      </w:r>
      <w:r>
        <w:rPr>
          <w:color w:val="231F20"/>
        </w:rPr>
        <w:t>in</w:t>
      </w:r>
      <w:r>
        <w:rPr>
          <w:color w:val="231F20"/>
          <w:spacing w:val="-11"/>
        </w:rPr>
        <w:t> </w:t>
      </w:r>
      <w:r>
        <w:rPr>
          <w:color w:val="231F20"/>
        </w:rPr>
        <w:t>turn</w:t>
      </w:r>
      <w:r>
        <w:rPr>
          <w:color w:val="231F20"/>
          <w:spacing w:val="-11"/>
        </w:rPr>
        <w:t> </w:t>
      </w:r>
      <w:r>
        <w:rPr>
          <w:color w:val="231F20"/>
        </w:rPr>
        <w:t>may</w:t>
      </w:r>
      <w:r>
        <w:rPr>
          <w:color w:val="231F20"/>
          <w:spacing w:val="-11"/>
        </w:rPr>
        <w:t> </w:t>
      </w:r>
      <w:r>
        <w:rPr>
          <w:color w:val="231F20"/>
        </w:rPr>
        <w:t>enable</w:t>
      </w:r>
      <w:r>
        <w:rPr>
          <w:color w:val="231F20"/>
          <w:spacing w:val="-11"/>
        </w:rPr>
        <w:t> </w:t>
      </w:r>
      <w:r>
        <w:rPr>
          <w:color w:val="231F20"/>
        </w:rPr>
        <w:t>them</w:t>
      </w:r>
      <w:r>
        <w:rPr>
          <w:color w:val="231F20"/>
          <w:spacing w:val="-11"/>
        </w:rPr>
        <w:t> </w:t>
      </w:r>
      <w:r>
        <w:rPr>
          <w:color w:val="231F20"/>
        </w:rPr>
        <w:t>to</w:t>
      </w:r>
      <w:r>
        <w:rPr>
          <w:color w:val="231F20"/>
          <w:spacing w:val="-11"/>
        </w:rPr>
        <w:t> </w:t>
      </w:r>
      <w:r>
        <w:rPr>
          <w:color w:val="231F20"/>
        </w:rPr>
        <w:t>lower</w:t>
      </w:r>
      <w:r>
        <w:rPr>
          <w:color w:val="231F20"/>
          <w:spacing w:val="-11"/>
        </w:rPr>
        <w:t> </w:t>
      </w:r>
      <w:r>
        <w:rPr>
          <w:color w:val="231F20"/>
        </w:rPr>
        <w:t>their</w:t>
      </w:r>
      <w:r>
        <w:rPr>
          <w:color w:val="231F20"/>
          <w:spacing w:val="-11"/>
        </w:rPr>
        <w:t> </w:t>
      </w:r>
      <w:r>
        <w:rPr>
          <w:color w:val="231F20"/>
          <w:spacing w:val="-2"/>
        </w:rPr>
        <w:t>fares. </w:t>
      </w:r>
      <w:r>
        <w:rPr>
          <w:color w:val="231F20"/>
        </w:rPr>
        <w:t>These</w:t>
      </w:r>
      <w:r>
        <w:rPr>
          <w:color w:val="231F20"/>
          <w:spacing w:val="-11"/>
        </w:rPr>
        <w:t> </w:t>
      </w:r>
      <w:r>
        <w:rPr>
          <w:color w:val="231F20"/>
        </w:rPr>
        <w:t>factors</w:t>
      </w:r>
      <w:r>
        <w:rPr>
          <w:color w:val="231F20"/>
          <w:spacing w:val="-11"/>
        </w:rPr>
        <w:t> </w:t>
      </w:r>
      <w:r>
        <w:rPr>
          <w:color w:val="231F20"/>
        </w:rPr>
        <w:t>can</w:t>
      </w:r>
      <w:r>
        <w:rPr>
          <w:color w:val="231F20"/>
          <w:spacing w:val="-11"/>
        </w:rPr>
        <w:t> </w:t>
      </w:r>
      <w:r>
        <w:rPr>
          <w:color w:val="231F20"/>
        </w:rPr>
        <w:t>reduce</w:t>
      </w:r>
      <w:r>
        <w:rPr>
          <w:color w:val="231F20"/>
          <w:spacing w:val="-11"/>
        </w:rPr>
        <w:t> </w:t>
      </w:r>
      <w:r>
        <w:rPr>
          <w:color w:val="231F20"/>
        </w:rPr>
        <w:t>the</w:t>
      </w:r>
      <w:r>
        <w:rPr>
          <w:color w:val="231F20"/>
          <w:spacing w:val="-11"/>
        </w:rPr>
        <w:t> </w:t>
      </w:r>
      <w:r>
        <w:rPr>
          <w:color w:val="231F20"/>
        </w:rPr>
        <w:t>pricing</w:t>
      </w:r>
      <w:r>
        <w:rPr>
          <w:color w:val="231F20"/>
          <w:spacing w:val="-11"/>
        </w:rPr>
        <w:t> </w:t>
      </w:r>
      <w:r>
        <w:rPr>
          <w:color w:val="231F20"/>
        </w:rPr>
        <w:t>power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airline</w:t>
      </w:r>
      <w:r>
        <w:rPr>
          <w:color w:val="231F20"/>
          <w:spacing w:val="-11"/>
        </w:rPr>
        <w:t> </w:t>
      </w:r>
      <w:r>
        <w:rPr>
          <w:color w:val="231F20"/>
        </w:rPr>
        <w:t>industry</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spacing w:val="-3"/>
        </w:rPr>
        <w:t>whole.</w:t>
      </w:r>
    </w:p>
    <w:p>
      <w:pPr>
        <w:pStyle w:val="BodyText"/>
        <w:spacing w:line="249" w:lineRule="auto" w:before="181"/>
        <w:ind w:left="120" w:right="174" w:firstLine="490"/>
      </w:pPr>
      <w:r>
        <w:rPr>
          <w:color w:val="231F20"/>
        </w:rPr>
        <w:t>The Company believes its low-cost operating structure continues to provide it with an advantage over many of its airline competitors by enabling Southwest and AirTran to continue to charge low fares. The Company also believes it has gained a competitive advantage by differentiating itself from all of its major competitors by not charging additional fees for items such as first and second checked bags, flights changes, seat selection, fuel surcharges, snacks, curb-side checkin, and telephone reservations.</w:t>
      </w:r>
    </w:p>
    <w:p>
      <w:pPr>
        <w:pStyle w:val="Heading3"/>
        <w:spacing w:before="181"/>
        <w:ind w:left="370"/>
      </w:pPr>
      <w:r>
        <w:rPr>
          <w:color w:val="231F20"/>
        </w:rPr>
        <w:t>Routes, Frequent Flyer Programs, and Schedules</w:t>
      </w:r>
    </w:p>
    <w:p>
      <w:pPr>
        <w:pStyle w:val="BodyText"/>
        <w:spacing w:line="249" w:lineRule="auto" w:before="190"/>
        <w:ind w:left="119" w:right="110" w:firstLine="490"/>
      </w:pPr>
      <w:r>
        <w:rPr>
          <w:color w:val="231F20"/>
        </w:rPr>
        <w:t>The Company also competes with other airlines based on markets served, frequent flyer opportunities, and flight schedules. Some major airlines have more extensive route structures than Southwest and AirTran, including significantly more extensive international routes. In addition, many competitors have entered into significant commercial relationships with other airlines, such as global alliances, codesharing, and capacity purchase agreements, which increase the airlines’ opportunities to expand the routes they can offer.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w:t>
      </w:r>
      <w:r>
        <w:rPr>
          <w:color w:val="231F20"/>
          <w:spacing w:val="10"/>
        </w:rPr>
        <w:t> </w:t>
      </w:r>
      <w:r>
        <w:rPr>
          <w:color w:val="231F20"/>
        </w:rPr>
        <w:t>and</w:t>
      </w:r>
    </w:p>
    <w:p>
      <w:pPr>
        <w:spacing w:after="0" w:line="249" w:lineRule="auto"/>
        <w:sectPr>
          <w:pgSz w:w="11880" w:h="15480"/>
          <w:pgMar w:header="0" w:footer="1253" w:top="1240" w:bottom="1440" w:left="1260" w:right="1280"/>
        </w:sectPr>
      </w:pPr>
    </w:p>
    <w:p>
      <w:pPr>
        <w:pStyle w:val="BodyText"/>
        <w:spacing w:line="249" w:lineRule="auto" w:before="73"/>
        <w:ind w:left="100" w:right="146"/>
      </w:pPr>
      <w:r>
        <w:rPr>
          <w:color w:val="231F20"/>
        </w:rPr>
        <w:t>implement initiatives to better enable Southwest and AirTran to offer additional itineraries. In addition, the Company’s acquisition of AirTran enabled the Company to (i) expand its presence in key markets Southwest already served, (ii) grow the Company’s presence in key markets Southwest did not previously serve, (iii) extend service to many smaller domestic cities Southwest did not previously serve, and (iv) provide access to the Commonwealth of Puerto Rico and key near-international markets in the Caribbean and Mexico.</w:t>
      </w:r>
    </w:p>
    <w:p>
      <w:pPr>
        <w:pStyle w:val="Heading3"/>
        <w:spacing w:before="181"/>
        <w:ind w:left="350"/>
      </w:pPr>
      <w:r>
        <w:rPr>
          <w:color w:val="231F20"/>
        </w:rPr>
        <w:t>Customer Service, Comfort, and Amenities</w:t>
      </w:r>
    </w:p>
    <w:p>
      <w:pPr>
        <w:pStyle w:val="BodyText"/>
        <w:spacing w:line="249" w:lineRule="auto" w:before="190"/>
        <w:ind w:left="100" w:right="180" w:firstLine="490"/>
      </w:pPr>
      <w:r>
        <w:rPr>
          <w:color w:val="231F20"/>
        </w:rPr>
        <w:t>Southwest and AirTran also compete with other airlines in areas of Customer Service such as ontime performance, passenger amenities, flight equipment type, and comfort. According to statistics published by the DOT, Southwest consistently ranks at or near the top for Customer Satisfaction for having the lowest Customer complaint ratio. Some airlines, including AirTran, have more seating options and associated passenger amenities than does Southwest, including first-class, business class, and other premium seating and related amenities.</w:t>
      </w:r>
    </w:p>
    <w:p>
      <w:pPr>
        <w:pStyle w:val="BodyText"/>
        <w:spacing w:line="249" w:lineRule="auto" w:before="1"/>
        <w:ind w:left="100" w:right="101"/>
      </w:pPr>
      <w:r>
        <w:rPr>
          <w:color w:val="231F20"/>
        </w:rPr>
        <w:t>Additionally, some major U.S. airlines have announced plans to add a significant number of new aircraft to their fleets. Such efforts could provide cost benefits to these airlines through fleet simplification, better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Incorporation of the Larger Boeing 737-800 into the Southwest Fleet.”</w:t>
      </w:r>
    </w:p>
    <w:p>
      <w:pPr>
        <w:pStyle w:val="Heading3"/>
        <w:spacing w:before="181"/>
        <w:ind w:left="350"/>
      </w:pPr>
      <w:r>
        <w:rPr>
          <w:color w:val="231F20"/>
        </w:rPr>
        <w:t>Other Forms of Competition</w:t>
      </w:r>
    </w:p>
    <w:p>
      <w:pPr>
        <w:pStyle w:val="BodyText"/>
        <w:spacing w:line="249" w:lineRule="auto" w:before="190"/>
        <w:ind w:left="100" w:right="131" w:firstLine="490"/>
      </w:pPr>
      <w:r>
        <w:rPr>
          <w:color w:val="231F20"/>
        </w:rPr>
        <w:t>The</w:t>
      </w:r>
      <w:r>
        <w:rPr>
          <w:color w:val="231F20"/>
          <w:spacing w:val="-13"/>
        </w:rPr>
        <w:t> </w:t>
      </w:r>
      <w:r>
        <w:rPr>
          <w:color w:val="231F20"/>
        </w:rPr>
        <w:t>airline</w:t>
      </w:r>
      <w:r>
        <w:rPr>
          <w:color w:val="231F20"/>
          <w:spacing w:val="-13"/>
        </w:rPr>
        <w:t> </w:t>
      </w:r>
      <w:r>
        <w:rPr>
          <w:color w:val="231F20"/>
        </w:rPr>
        <w:t>industry</w:t>
      </w:r>
      <w:r>
        <w:rPr>
          <w:color w:val="231F20"/>
          <w:spacing w:val="-13"/>
        </w:rPr>
        <w:t> </w:t>
      </w:r>
      <w:r>
        <w:rPr>
          <w:color w:val="231F20"/>
        </w:rPr>
        <w:t>is</w:t>
      </w:r>
      <w:r>
        <w:rPr>
          <w:color w:val="231F20"/>
          <w:spacing w:val="-13"/>
        </w:rPr>
        <w:t> </w:t>
      </w:r>
      <w:r>
        <w:rPr>
          <w:color w:val="231F20"/>
        </w:rPr>
        <w:t>subject</w:t>
      </w:r>
      <w:r>
        <w:rPr>
          <w:color w:val="231F20"/>
          <w:spacing w:val="-13"/>
        </w:rPr>
        <w:t> </w:t>
      </w:r>
      <w:r>
        <w:rPr>
          <w:color w:val="231F20"/>
        </w:rPr>
        <w:t>to</w:t>
      </w:r>
      <w:r>
        <w:rPr>
          <w:color w:val="231F20"/>
          <w:spacing w:val="-13"/>
        </w:rPr>
        <w:t> </w:t>
      </w:r>
      <w:r>
        <w:rPr>
          <w:color w:val="231F20"/>
        </w:rPr>
        <w:t>varying</w:t>
      </w:r>
      <w:r>
        <w:rPr>
          <w:color w:val="231F20"/>
          <w:spacing w:val="-13"/>
        </w:rPr>
        <w:t> </w:t>
      </w:r>
      <w:r>
        <w:rPr>
          <w:color w:val="231F20"/>
        </w:rPr>
        <w:t>degrees</w:t>
      </w:r>
      <w:r>
        <w:rPr>
          <w:color w:val="231F20"/>
          <w:spacing w:val="-13"/>
        </w:rPr>
        <w:t> </w:t>
      </w:r>
      <w:r>
        <w:rPr>
          <w:color w:val="231F20"/>
        </w:rPr>
        <w:t>of</w:t>
      </w:r>
      <w:r>
        <w:rPr>
          <w:color w:val="231F20"/>
          <w:spacing w:val="-13"/>
        </w:rPr>
        <w:t> </w:t>
      </w:r>
      <w:r>
        <w:rPr>
          <w:color w:val="231F20"/>
        </w:rPr>
        <w:t>competition</w:t>
      </w:r>
      <w:r>
        <w:rPr>
          <w:color w:val="231F20"/>
          <w:spacing w:val="-13"/>
        </w:rPr>
        <w:t> </w:t>
      </w:r>
      <w:r>
        <w:rPr>
          <w:color w:val="231F20"/>
        </w:rPr>
        <w:t>from</w:t>
      </w:r>
      <w:r>
        <w:rPr>
          <w:color w:val="231F20"/>
          <w:spacing w:val="-13"/>
        </w:rPr>
        <w:t> </w:t>
      </w:r>
      <w:r>
        <w:rPr>
          <w:color w:val="231F20"/>
        </w:rPr>
        <w:t>surface</w:t>
      </w:r>
      <w:r>
        <w:rPr>
          <w:color w:val="231F20"/>
          <w:spacing w:val="-13"/>
        </w:rPr>
        <w:t> </w:t>
      </w:r>
      <w:r>
        <w:rPr>
          <w:color w:val="231F20"/>
        </w:rPr>
        <w:t>transportation</w:t>
      </w:r>
      <w:r>
        <w:rPr>
          <w:color w:val="231F20"/>
          <w:spacing w:val="-13"/>
        </w:rPr>
        <w:t> </w:t>
      </w:r>
      <w:r>
        <w:rPr>
          <w:color w:val="231F20"/>
        </w:rPr>
        <w:t>by</w:t>
      </w:r>
      <w:r>
        <w:rPr>
          <w:color w:val="231F20"/>
          <w:spacing w:val="-13"/>
        </w:rPr>
        <w:t> </w:t>
      </w:r>
      <w:r>
        <w:rPr>
          <w:color w:val="231F20"/>
          <w:spacing w:val="-2"/>
        </w:rPr>
        <w:t>automobiles, </w:t>
      </w:r>
      <w:r>
        <w:rPr>
          <w:color w:val="231F20"/>
        </w:rPr>
        <w:t>buses, and trains. Inconveniences and delays associated with air travel security measures can increase surface competition. In addition, surface competition can be significant during economic downturns when consumers </w:t>
      </w:r>
      <w:r>
        <w:rPr>
          <w:color w:val="231F20"/>
          <w:spacing w:val="-2"/>
        </w:rPr>
        <w:t>cut </w:t>
      </w:r>
      <w:r>
        <w:rPr>
          <w:color w:val="231F20"/>
        </w:rPr>
        <w:t>back on discretionary spending and fewer choose to fly.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w:t>
      </w:r>
      <w:r>
        <w:rPr>
          <w:color w:val="231F20"/>
          <w:spacing w:val="-13"/>
        </w:rPr>
        <w:t> </w:t>
      </w:r>
      <w:r>
        <w:rPr>
          <w:color w:val="231F20"/>
        </w:rPr>
        <w:t>the</w:t>
      </w:r>
      <w:r>
        <w:rPr>
          <w:color w:val="231F20"/>
          <w:spacing w:val="-13"/>
        </w:rPr>
        <w:t> </w:t>
      </w:r>
      <w:r>
        <w:rPr>
          <w:color w:val="231F20"/>
        </w:rPr>
        <w:t>Internet,</w:t>
      </w:r>
      <w:r>
        <w:rPr>
          <w:color w:val="231F20"/>
          <w:spacing w:val="-13"/>
        </w:rPr>
        <w:t> </w:t>
      </w:r>
      <w:r>
        <w:rPr>
          <w:color w:val="231F20"/>
        </w:rPr>
        <w:t>which</w:t>
      </w:r>
      <w:r>
        <w:rPr>
          <w:color w:val="231F20"/>
          <w:spacing w:val="-13"/>
        </w:rPr>
        <w:t> </w:t>
      </w:r>
      <w:r>
        <w:rPr>
          <w:color w:val="231F20"/>
        </w:rPr>
        <w:t>can</w:t>
      </w:r>
      <w:r>
        <w:rPr>
          <w:color w:val="231F20"/>
          <w:spacing w:val="-13"/>
        </w:rPr>
        <w:t> </w:t>
      </w:r>
      <w:r>
        <w:rPr>
          <w:color w:val="231F20"/>
        </w:rPr>
        <w:t>increase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event</w:t>
      </w:r>
      <w:r>
        <w:rPr>
          <w:color w:val="231F20"/>
          <w:spacing w:val="-13"/>
        </w:rPr>
        <w:t> </w:t>
      </w:r>
      <w:r>
        <w:rPr>
          <w:color w:val="231F20"/>
        </w:rPr>
        <w:t>of</w:t>
      </w:r>
      <w:r>
        <w:rPr>
          <w:color w:val="231F20"/>
          <w:spacing w:val="-13"/>
        </w:rPr>
        <w:t> </w:t>
      </w:r>
      <w:r>
        <w:rPr>
          <w:color w:val="231F20"/>
        </w:rPr>
        <w:t>travel</w:t>
      </w:r>
      <w:r>
        <w:rPr>
          <w:color w:val="231F20"/>
          <w:spacing w:val="-13"/>
        </w:rPr>
        <w:t> </w:t>
      </w:r>
      <w:r>
        <w:rPr>
          <w:color w:val="231F20"/>
        </w:rPr>
        <w:t>inconveniences</w:t>
      </w:r>
      <w:r>
        <w:rPr>
          <w:color w:val="231F20"/>
          <w:spacing w:val="-13"/>
        </w:rPr>
        <w:t> </w:t>
      </w:r>
      <w:r>
        <w:rPr>
          <w:color w:val="231F20"/>
        </w:rPr>
        <w:t>and</w:t>
      </w:r>
      <w:r>
        <w:rPr>
          <w:color w:val="231F20"/>
          <w:spacing w:val="-13"/>
        </w:rPr>
        <w:t> </w:t>
      </w:r>
      <w:r>
        <w:rPr>
          <w:color w:val="231F20"/>
        </w:rPr>
        <w:t>economic</w:t>
      </w:r>
      <w:r>
        <w:rPr>
          <w:color w:val="231F20"/>
          <w:spacing w:val="-13"/>
        </w:rPr>
        <w:t> </w:t>
      </w:r>
      <w:r>
        <w:rPr>
          <w:color w:val="231F20"/>
        </w:rPr>
        <w:t>downturns.</w:t>
      </w:r>
      <w:r>
        <w:rPr>
          <w:color w:val="231F20"/>
          <w:spacing w:val="-13"/>
        </w:rPr>
        <w:t> </w:t>
      </w:r>
      <w:r>
        <w:rPr>
          <w:color w:val="231F20"/>
        </w:rPr>
        <w:t>The</w:t>
      </w:r>
      <w:r>
        <w:rPr>
          <w:color w:val="231F20"/>
          <w:spacing w:val="-13"/>
        </w:rPr>
        <w:t> </w:t>
      </w:r>
      <w:r>
        <w:rPr>
          <w:color w:val="231F20"/>
        </w:rPr>
        <w:t>Company is</w:t>
      </w:r>
      <w:r>
        <w:rPr>
          <w:color w:val="231F20"/>
          <w:spacing w:val="-13"/>
        </w:rPr>
        <w:t> </w:t>
      </w:r>
      <w:r>
        <w:rPr>
          <w:color w:val="231F20"/>
        </w:rPr>
        <w:t>subject</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risk</w:t>
      </w:r>
      <w:r>
        <w:rPr>
          <w:color w:val="231F20"/>
          <w:spacing w:val="-13"/>
        </w:rPr>
        <w:t> </w:t>
      </w:r>
      <w:r>
        <w:rPr>
          <w:color w:val="231F20"/>
        </w:rPr>
        <w:t>that</w:t>
      </w:r>
      <w:r>
        <w:rPr>
          <w:color w:val="231F20"/>
          <w:spacing w:val="-13"/>
        </w:rPr>
        <w:t> </w:t>
      </w:r>
      <w:r>
        <w:rPr>
          <w:color w:val="231F20"/>
        </w:rPr>
        <w:t>air</w:t>
      </w:r>
      <w:r>
        <w:rPr>
          <w:color w:val="231F20"/>
          <w:spacing w:val="-13"/>
        </w:rPr>
        <w:t> </w:t>
      </w:r>
      <w:r>
        <w:rPr>
          <w:color w:val="231F20"/>
        </w:rPr>
        <w:t>travel</w:t>
      </w:r>
      <w:r>
        <w:rPr>
          <w:color w:val="231F20"/>
          <w:spacing w:val="-13"/>
        </w:rPr>
        <w:t> </w:t>
      </w:r>
      <w:r>
        <w:rPr>
          <w:color w:val="231F20"/>
        </w:rPr>
        <w:t>inconveniences</w:t>
      </w:r>
      <w:r>
        <w:rPr>
          <w:color w:val="231F20"/>
          <w:spacing w:val="-13"/>
        </w:rPr>
        <w:t> </w:t>
      </w:r>
      <w:r>
        <w:rPr>
          <w:color w:val="231F20"/>
        </w:rPr>
        <w:t>and</w:t>
      </w:r>
      <w:r>
        <w:rPr>
          <w:color w:val="231F20"/>
          <w:spacing w:val="-13"/>
        </w:rPr>
        <w:t> </w:t>
      </w:r>
      <w:r>
        <w:rPr>
          <w:color w:val="231F20"/>
        </w:rPr>
        <w:t>economic</w:t>
      </w:r>
      <w:r>
        <w:rPr>
          <w:color w:val="231F20"/>
          <w:spacing w:val="-13"/>
        </w:rPr>
        <w:t> </w:t>
      </w:r>
      <w:r>
        <w:rPr>
          <w:color w:val="231F20"/>
        </w:rPr>
        <w:t>downturns</w:t>
      </w:r>
      <w:r>
        <w:rPr>
          <w:color w:val="231F20"/>
          <w:spacing w:val="-13"/>
        </w:rPr>
        <w:t> </w:t>
      </w:r>
      <w:r>
        <w:rPr>
          <w:color w:val="231F20"/>
        </w:rPr>
        <w:t>may,</w:t>
      </w:r>
      <w:r>
        <w:rPr>
          <w:color w:val="231F20"/>
          <w:spacing w:val="-13"/>
        </w:rPr>
        <w:t> </w:t>
      </w:r>
      <w:r>
        <w:rPr>
          <w:color w:val="231F20"/>
        </w:rPr>
        <w:t>in</w:t>
      </w:r>
      <w:r>
        <w:rPr>
          <w:color w:val="231F20"/>
          <w:spacing w:val="-13"/>
        </w:rPr>
        <w:t> </w:t>
      </w:r>
      <w:r>
        <w:rPr>
          <w:color w:val="231F20"/>
        </w:rPr>
        <w:t>some</w:t>
      </w:r>
      <w:r>
        <w:rPr>
          <w:color w:val="231F20"/>
          <w:spacing w:val="-13"/>
        </w:rPr>
        <w:t> </w:t>
      </w:r>
      <w:r>
        <w:rPr>
          <w:color w:val="231F20"/>
        </w:rPr>
        <w:t>cases,</w:t>
      </w:r>
      <w:r>
        <w:rPr>
          <w:color w:val="231F20"/>
          <w:spacing w:val="-13"/>
        </w:rPr>
        <w:t> </w:t>
      </w:r>
      <w:r>
        <w:rPr>
          <w:color w:val="231F20"/>
        </w:rPr>
        <w:t>result</w:t>
      </w:r>
      <w:r>
        <w:rPr>
          <w:color w:val="231F20"/>
          <w:spacing w:val="-13"/>
        </w:rPr>
        <w:t> </w:t>
      </w:r>
      <w:r>
        <w:rPr>
          <w:color w:val="231F20"/>
        </w:rPr>
        <w:t>in</w:t>
      </w:r>
      <w:r>
        <w:rPr>
          <w:color w:val="231F20"/>
          <w:spacing w:val="-13"/>
        </w:rPr>
        <w:t> </w:t>
      </w:r>
      <w:r>
        <w:rPr>
          <w:color w:val="231F20"/>
        </w:rPr>
        <w:t>permanent changes</w:t>
      </w:r>
      <w:r>
        <w:rPr>
          <w:color w:val="231F20"/>
          <w:spacing w:val="-15"/>
        </w:rPr>
        <w:t> </w:t>
      </w:r>
      <w:r>
        <w:rPr>
          <w:color w:val="231F20"/>
        </w:rPr>
        <w:t>to</w:t>
      </w:r>
      <w:r>
        <w:rPr>
          <w:color w:val="231F20"/>
          <w:spacing w:val="-15"/>
        </w:rPr>
        <w:t> </w:t>
      </w:r>
      <w:r>
        <w:rPr>
          <w:color w:val="231F20"/>
        </w:rPr>
        <w:t>consumer</w:t>
      </w:r>
      <w:r>
        <w:rPr>
          <w:color w:val="231F20"/>
          <w:spacing w:val="-15"/>
        </w:rPr>
        <w:t> </w:t>
      </w:r>
      <w:r>
        <w:rPr>
          <w:color w:val="231F20"/>
        </w:rPr>
        <w:t>behavior</w:t>
      </w:r>
      <w:r>
        <w:rPr>
          <w:color w:val="231F20"/>
          <w:spacing w:val="-15"/>
        </w:rPr>
        <w:t> </w:t>
      </w:r>
      <w:r>
        <w:rPr>
          <w:color w:val="231F20"/>
        </w:rPr>
        <w:t>in</w:t>
      </w:r>
      <w:r>
        <w:rPr>
          <w:color w:val="231F20"/>
          <w:spacing w:val="-15"/>
        </w:rPr>
        <w:t> </w:t>
      </w:r>
      <w:r>
        <w:rPr>
          <w:color w:val="231F20"/>
        </w:rPr>
        <w:t>favor</w:t>
      </w:r>
      <w:r>
        <w:rPr>
          <w:color w:val="231F20"/>
          <w:spacing w:val="-15"/>
        </w:rPr>
        <w:t> </w:t>
      </w:r>
      <w:r>
        <w:rPr>
          <w:color w:val="231F20"/>
        </w:rPr>
        <w:t>of</w:t>
      </w:r>
      <w:r>
        <w:rPr>
          <w:color w:val="231F20"/>
          <w:spacing w:val="-15"/>
        </w:rPr>
        <w:t> </w:t>
      </w:r>
      <w:r>
        <w:rPr>
          <w:color w:val="231F20"/>
        </w:rPr>
        <w:t>surface</w:t>
      </w:r>
      <w:r>
        <w:rPr>
          <w:color w:val="231F20"/>
          <w:spacing w:val="-15"/>
        </w:rPr>
        <w:t> </w:t>
      </w:r>
      <w:r>
        <w:rPr>
          <w:color w:val="231F20"/>
        </w:rPr>
        <w:t>transportation</w:t>
      </w:r>
      <w:r>
        <w:rPr>
          <w:color w:val="231F20"/>
          <w:spacing w:val="-15"/>
        </w:rPr>
        <w:t> </w:t>
      </w:r>
      <w:r>
        <w:rPr>
          <w:color w:val="231F20"/>
        </w:rPr>
        <w:t>and</w:t>
      </w:r>
      <w:r>
        <w:rPr>
          <w:color w:val="231F20"/>
          <w:spacing w:val="-15"/>
        </w:rPr>
        <w:t> </w:t>
      </w:r>
      <w:r>
        <w:rPr>
          <w:color w:val="231F20"/>
        </w:rPr>
        <w:t>electronic</w:t>
      </w:r>
      <w:r>
        <w:rPr>
          <w:color w:val="231F20"/>
          <w:spacing w:val="-15"/>
        </w:rPr>
        <w:t> </w:t>
      </w:r>
      <w:r>
        <w:rPr>
          <w:color w:val="231F20"/>
          <w:spacing w:val="-2"/>
        </w:rPr>
        <w:t>communications.</w:t>
      </w:r>
    </w:p>
    <w:p>
      <w:pPr>
        <w:pStyle w:val="Heading3"/>
        <w:spacing w:before="181"/>
      </w:pPr>
      <w:r>
        <w:rPr>
          <w:color w:val="231F20"/>
        </w:rPr>
        <w:t>Seasonality</w:t>
      </w:r>
    </w:p>
    <w:p>
      <w:pPr>
        <w:pStyle w:val="BodyText"/>
        <w:spacing w:line="249" w:lineRule="auto" w:before="189"/>
        <w:ind w:left="100" w:right="25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Heading3"/>
        <w:spacing w:before="180"/>
      </w:pPr>
      <w:r>
        <w:rPr>
          <w:color w:val="231F20"/>
        </w:rPr>
        <w:t>Employees</w:t>
      </w:r>
    </w:p>
    <w:p>
      <w:pPr>
        <w:pStyle w:val="BodyText"/>
        <w:spacing w:line="249" w:lineRule="auto" w:before="189"/>
        <w:ind w:left="100" w:right="112" w:firstLine="400"/>
      </w:pPr>
      <w:r>
        <w:rPr>
          <w:color w:val="231F20"/>
        </w:rPr>
        <w:t>At December 31, 2012, the Company had 45,861 active fulltime equivalent Employees, consisting of 19,575 flight, 3,208 maintenance, 20,374 ground, Customer, and fleet service, and 2,704 management, accounting, marketing, and clerical personnel (associated with non-operational departments). The Railway Labor Act establishes the right of airline employees to organize and bargain collectively. As of December 31, 2012, approximately 83 percent of the Company’s Employees were represented by labor unions. The various labor groups are covered by 19 different collective-bargaining agreements (“CBAs”). Under the Railway Labor Act, collective-bargaining agreements between an airline and a labor union generally do not expire, but instead</w:t>
      </w:r>
    </w:p>
    <w:p>
      <w:pPr>
        <w:spacing w:after="0" w:line="249" w:lineRule="auto"/>
        <w:sectPr>
          <w:pgSz w:w="11880" w:h="15480"/>
          <w:pgMar w:header="0" w:footer="1253" w:top="1240" w:bottom="1440" w:left="1280" w:right="1280"/>
        </w:sectPr>
      </w:pPr>
    </w:p>
    <w:p>
      <w:pPr>
        <w:pStyle w:val="BodyText"/>
        <w:spacing w:line="249" w:lineRule="auto" w:before="73"/>
        <w:ind w:left="120" w:right="123"/>
      </w:pPr>
      <w:r>
        <w:rPr>
          <w:color w:val="231F20"/>
        </w:rPr>
        <w:t>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 help.” “Self-help” includes, among other things, a strike by the union or the airline’s imposition of any or all of its proposed amendments and the hiring of new employees to replace any striking workers. The following table sets forth the Company’s Employee groups subject to CBAs and the status of the respective</w:t>
      </w:r>
      <w:r>
        <w:rPr>
          <w:color w:val="231F20"/>
          <w:spacing w:val="6"/>
        </w:rPr>
        <w:t> </w:t>
      </w:r>
      <w:r>
        <w:rPr>
          <w:color w:val="231F20"/>
        </w:rPr>
        <w:t>CBAs:</w:t>
      </w:r>
    </w:p>
    <w:p>
      <w:pPr>
        <w:pStyle w:val="Heading3"/>
        <w:tabs>
          <w:tab w:pos="3539" w:val="left" w:leader="none"/>
          <w:tab w:pos="6799" w:val="left" w:leader="none"/>
        </w:tabs>
        <w:spacing w:before="113" w:after="17"/>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6"/>
        <w:rPr>
          <w:b/>
          <w:sz w:val="14"/>
        </w:rPr>
      </w:pPr>
    </w:p>
    <w:p>
      <w:pPr>
        <w:spacing w:after="0"/>
        <w:rPr>
          <w:sz w:val="14"/>
        </w:rPr>
        <w:sectPr>
          <w:pgSz w:w="11880" w:h="15480"/>
          <w:pgMar w:header="0" w:footer="1253" w:top="1240" w:bottom="1440" w:left="1260" w:right="1260"/>
        </w:sectPr>
      </w:pPr>
    </w:p>
    <w:p>
      <w:pPr>
        <w:pStyle w:val="BodyText"/>
        <w:tabs>
          <w:tab w:pos="3539" w:val="left" w:leader="none"/>
        </w:tabs>
        <w:spacing w:line="249" w:lineRule="auto" w:before="89"/>
        <w:ind w:left="3540" w:hanging="3420"/>
      </w:pPr>
      <w:r>
        <w:rPr>
          <w:color w:val="231F20"/>
        </w:rPr>
        <w:t>Southwest Pilots</w:t>
        <w:tab/>
        <w:t>Southwest Airlines</w:t>
      </w:r>
      <w:r>
        <w:rPr>
          <w:color w:val="231F20"/>
          <w:spacing w:val="1"/>
        </w:rPr>
        <w:t> </w:t>
      </w:r>
      <w:r>
        <w:rPr>
          <w:color w:val="231F20"/>
        </w:rPr>
        <w:t>Pilots’</w:t>
      </w:r>
      <w:r>
        <w:rPr>
          <w:color w:val="231F20"/>
          <w:spacing w:val="1"/>
        </w:rPr>
        <w:t> </w:t>
      </w:r>
      <w:r>
        <w:rPr>
          <w:color w:val="231F20"/>
        </w:rPr>
        <w:t>Association (“SWAPA”)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639" w:space="41"/>
            <w:col w:w="2680"/>
          </w:cols>
        </w:sectPr>
      </w:pPr>
    </w:p>
    <w:p>
      <w:pPr>
        <w:pStyle w:val="BodyText"/>
        <w:spacing w:before="11"/>
        <w:rPr>
          <w:sz w:val="9"/>
        </w:rPr>
      </w:pPr>
    </w:p>
    <w:p>
      <w:pPr>
        <w:spacing w:after="0"/>
        <w:rPr>
          <w:sz w:val="9"/>
        </w:rPr>
        <w:sectPr>
          <w:type w:val="continuous"/>
          <w:pgSz w:w="11880" w:h="15480"/>
          <w:pgMar w:top="1200" w:bottom="280" w:left="1260" w:right="1260"/>
        </w:sectPr>
      </w:pPr>
    </w:p>
    <w:p>
      <w:pPr>
        <w:pStyle w:val="BodyText"/>
        <w:tabs>
          <w:tab w:pos="3539" w:val="left" w:leader="none"/>
        </w:tabs>
        <w:spacing w:before="89"/>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9"/>
        <w:ind w:left="3540"/>
      </w:pPr>
      <w:r>
        <w:rPr>
          <w:color w:val="231F20"/>
        </w:rPr>
        <w:t>AFL-CIO, Local 556 (“TWU 556”)</w:t>
      </w:r>
    </w:p>
    <w:p>
      <w:pPr>
        <w:pStyle w:val="BodyText"/>
        <w:spacing w:before="89"/>
        <w:ind w:left="120"/>
      </w:pPr>
      <w:r>
        <w:rPr/>
        <w:br w:type="column"/>
      </w:r>
      <w:r>
        <w:rPr>
          <w:color w:val="231F20"/>
        </w:rPr>
        <w:t>Amendable May 2013</w:t>
      </w:r>
    </w:p>
    <w:p>
      <w:pPr>
        <w:spacing w:after="0"/>
        <w:sectPr>
          <w:type w:val="continuous"/>
          <w:pgSz w:w="11880" w:h="15480"/>
          <w:pgMar w:top="1200" w:bottom="280" w:left="1260" w:right="1260"/>
          <w:cols w:num="2" w:equalWidth="0">
            <w:col w:w="6466" w:space="214"/>
            <w:col w:w="2680"/>
          </w:cols>
        </w:sectPr>
      </w:pPr>
    </w:p>
    <w:p>
      <w:pPr>
        <w:pStyle w:val="BodyText"/>
        <w:spacing w:before="8"/>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Ramp, Operations, Provisioning, Freight Agents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555 (“TWU 555”)</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2640" w:space="780"/>
            <w:col w:w="3046" w:space="214"/>
            <w:col w:w="2680"/>
          </w:cols>
        </w:sectPr>
      </w:pPr>
    </w:p>
    <w:p>
      <w:pPr>
        <w:pStyle w:val="BodyText"/>
        <w:spacing w:before="11"/>
        <w:rPr>
          <w:sz w:val="9"/>
        </w:rPr>
      </w:pPr>
    </w:p>
    <w:p>
      <w:pPr>
        <w:spacing w:after="0"/>
        <w:rPr>
          <w:sz w:val="9"/>
        </w:rPr>
        <w:sectPr>
          <w:type w:val="continuous"/>
          <w:pgSz w:w="11880" w:h="15480"/>
          <w:pgMar w:top="1200" w:bottom="280" w:left="1260" w:right="1260"/>
        </w:sectPr>
      </w:pPr>
    </w:p>
    <w:p>
      <w:pPr>
        <w:pStyle w:val="BodyText"/>
        <w:spacing w:line="249" w:lineRule="auto" w:before="89"/>
        <w:ind w:left="320" w:right="-17" w:hanging="200"/>
      </w:pPr>
      <w:r>
        <w:rPr>
          <w:color w:val="231F20"/>
        </w:rPr>
        <w:t>Southwest Customer Service Agents, Customer Representatives</w:t>
      </w:r>
    </w:p>
    <w:p>
      <w:pPr>
        <w:pStyle w:val="BodyText"/>
        <w:spacing w:line="249" w:lineRule="auto" w:before="89"/>
        <w:ind w:left="120"/>
      </w:pPr>
      <w:r>
        <w:rPr/>
        <w:br w:type="column"/>
      </w:r>
      <w:r>
        <w:rPr>
          <w:color w:val="231F20"/>
        </w:rPr>
        <w:t>International Association of Machinists and Aerospace Workers,</w:t>
      </w:r>
      <w:r>
        <w:rPr>
          <w:color w:val="231F20"/>
          <w:w w:val="100"/>
        </w:rPr>
        <w:t> </w:t>
      </w:r>
      <w:r>
        <w:rPr>
          <w:color w:val="231F20"/>
        </w:rPr>
        <w:t>AFL-CIO (“IAM 142”)</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101" w:space="319"/>
            <w:col w:w="3023" w:space="237"/>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Materials Specialists (formerly known as Stock Clerks)</w:t>
      </w:r>
    </w:p>
    <w:p>
      <w:pPr>
        <w:pStyle w:val="BodyText"/>
        <w:spacing w:line="249" w:lineRule="auto" w:before="89"/>
        <w:ind w:left="120" w:right="-17"/>
      </w:pPr>
      <w:r>
        <w:rPr/>
        <w:br w:type="column"/>
      </w:r>
      <w:r>
        <w:rPr>
          <w:color w:val="231F20"/>
        </w:rPr>
        <w:t>International Brotherhood of Teamsters, Local 19 (“IBT 19”)</w:t>
      </w:r>
    </w:p>
    <w:p>
      <w:pPr>
        <w:pStyle w:val="BodyText"/>
        <w:spacing w:before="89"/>
        <w:ind w:left="120"/>
      </w:pPr>
      <w:r>
        <w:rPr/>
        <w:br w:type="column"/>
      </w:r>
      <w:r>
        <w:rPr>
          <w:color w:val="231F20"/>
        </w:rPr>
        <w:t>Amendable August 2013</w:t>
      </w:r>
    </w:p>
    <w:p>
      <w:pPr>
        <w:spacing w:after="0"/>
        <w:sectPr>
          <w:type w:val="continuous"/>
          <w:pgSz w:w="11880" w:h="15480"/>
          <w:pgMar w:top="1200" w:bottom="280" w:left="1260" w:right="1260"/>
          <w:cols w:num="3" w:equalWidth="0">
            <w:col w:w="3045" w:space="375"/>
            <w:col w:w="2684" w:space="576"/>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66" w:space="814"/>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89"/>
        <w:ind w:left="120"/>
      </w:pPr>
      <w:r>
        <w:rPr/>
        <w:br w:type="column"/>
      </w:r>
      <w:r>
        <w:rPr>
          <w:color w:val="231F20"/>
        </w:rPr>
        <w:t>AMFA</w:t>
        <w:tab/>
        <w:t>Amendable February</w:t>
      </w:r>
      <w:r>
        <w:rPr>
          <w:color w:val="231F20"/>
          <w:spacing w:val="2"/>
        </w:rPr>
        <w:t> </w:t>
      </w:r>
      <w:r>
        <w:rPr>
          <w:color w:val="231F20"/>
        </w:rPr>
        <w:t>2017</w:t>
      </w:r>
    </w:p>
    <w:p>
      <w:pPr>
        <w:spacing w:after="0"/>
        <w:sectPr>
          <w:type w:val="continuous"/>
          <w:pgSz w:w="11880" w:h="15480"/>
          <w:pgMar w:top="1200" w:bottom="280" w:left="1260" w:right="1260"/>
          <w:cols w:num="2" w:equalWidth="0">
            <w:col w:w="2645" w:space="775"/>
            <w:col w:w="594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6" w:hanging="200"/>
      </w:pPr>
      <w:r>
        <w:rPr>
          <w:color w:val="231F20"/>
        </w:rPr>
        <w:t>Southwest Facilities Maintenance Technicians</w:t>
      </w:r>
    </w:p>
    <w:p>
      <w:pPr>
        <w:pStyle w:val="BodyText"/>
        <w:tabs>
          <w:tab w:pos="3379" w:val="left" w:leader="none"/>
        </w:tabs>
        <w:spacing w:before="89"/>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1880" w:h="15480"/>
          <w:pgMar w:top="1200" w:bottom="280" w:left="1260" w:right="1260"/>
          <w:cols w:num="2" w:equalWidth="0">
            <w:col w:w="2824" w:space="596"/>
            <w:col w:w="5940"/>
          </w:cols>
        </w:sectPr>
      </w:pPr>
    </w:p>
    <w:p>
      <w:pPr>
        <w:pStyle w:val="BodyText"/>
        <w:rPr>
          <w:sz w:val="10"/>
        </w:rPr>
      </w:pPr>
    </w:p>
    <w:p>
      <w:pPr>
        <w:spacing w:after="0"/>
        <w:rPr>
          <w:sz w:val="10"/>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spacing w:before="89"/>
        <w:ind w:left="120"/>
      </w:pPr>
      <w:r>
        <w:rPr/>
        <w:br w:type="column"/>
      </w:r>
      <w:r>
        <w:rPr>
          <w:color w:val="231F20"/>
        </w:rPr>
        <w:t>Amendable November 2014</w:t>
      </w:r>
    </w:p>
    <w:p>
      <w:pPr>
        <w:spacing w:after="0"/>
        <w:sectPr>
          <w:type w:val="continuous"/>
          <w:pgSz w:w="11880" w:h="15480"/>
          <w:pgMar w:top="1200" w:bottom="280" w:left="1260" w:right="1260"/>
          <w:cols w:num="2" w:equalWidth="0">
            <w:col w:w="6466" w:space="214"/>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before="89"/>
        <w:ind w:left="120"/>
      </w:pPr>
      <w:r>
        <w:rPr>
          <w:color w:val="231F20"/>
        </w:rPr>
        <w:t>Southwest Flight Simulator Technicians    International Brotherhood of</w:t>
      </w:r>
    </w:p>
    <w:p>
      <w:pPr>
        <w:pStyle w:val="BodyText"/>
        <w:spacing w:before="9"/>
        <w:ind w:left="3540"/>
      </w:pPr>
      <w:r>
        <w:rPr>
          <w:color w:val="231F20"/>
        </w:rPr>
        <w:t>Teamsters (“IBT”)</w:t>
      </w:r>
    </w:p>
    <w:p>
      <w:pPr>
        <w:pStyle w:val="BodyText"/>
        <w:spacing w:before="89"/>
        <w:ind w:left="120"/>
      </w:pPr>
      <w:r>
        <w:rPr/>
        <w:br w:type="column"/>
      </w:r>
      <w:r>
        <w:rPr>
          <w:color w:val="231F20"/>
        </w:rPr>
        <w:t>Amendable October 2013</w:t>
      </w:r>
    </w:p>
    <w:p>
      <w:pPr>
        <w:spacing w:after="0"/>
        <w:sectPr>
          <w:type w:val="continuous"/>
          <w:pgSz w:w="11880" w:h="15480"/>
          <w:pgMar w:top="1200" w:bottom="280" w:left="1260" w:right="1260"/>
          <w:cols w:num="2" w:equalWidth="0">
            <w:col w:w="5844" w:space="836"/>
            <w:col w:w="2680"/>
          </w:cols>
        </w:sectPr>
      </w:pPr>
    </w:p>
    <w:p>
      <w:pPr>
        <w:pStyle w:val="BodyText"/>
        <w:spacing w:before="8"/>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89"/>
        <w:ind w:left="120"/>
      </w:pPr>
      <w:r>
        <w:rPr/>
        <w:br w:type="column"/>
      </w:r>
      <w:r>
        <w:rPr>
          <w:color w:val="231F20"/>
        </w:rPr>
        <w:t>Amendable December 2015</w:t>
      </w:r>
    </w:p>
    <w:p>
      <w:pPr>
        <w:spacing w:after="0"/>
        <w:sectPr>
          <w:type w:val="continuous"/>
          <w:pgSz w:w="11880" w:h="15480"/>
          <w:pgMar w:top="1200" w:bottom="280" w:left="1260" w:right="1260"/>
          <w:cols w:num="3" w:equalWidth="0">
            <w:col w:w="2705" w:space="715"/>
            <w:col w:w="3046" w:space="214"/>
            <w:col w:w="2680"/>
          </w:cols>
        </w:sectPr>
      </w:pPr>
    </w:p>
    <w:p>
      <w:pPr>
        <w:pStyle w:val="BodyText"/>
        <w:spacing w:before="11"/>
        <w:rPr>
          <w:sz w:val="9"/>
        </w:rPr>
      </w:pPr>
    </w:p>
    <w:p>
      <w:pPr>
        <w:pStyle w:val="BodyText"/>
        <w:tabs>
          <w:tab w:pos="3539" w:val="left" w:leader="none"/>
        </w:tabs>
        <w:spacing w:line="249" w:lineRule="auto" w:before="89"/>
        <w:ind w:left="6800" w:right="143" w:hanging="6680"/>
      </w:pPr>
      <w:r>
        <w:rPr>
          <w:color w:val="231F20"/>
        </w:rPr>
        <w:t>AirTran Pilots</w:t>
        <w:tab/>
        <w:t>Air Line Pilots Association (“ALPA”)    Amendable</w:t>
      </w:r>
      <w:r>
        <w:rPr>
          <w:color w:val="231F20"/>
          <w:spacing w:val="-7"/>
        </w:rPr>
        <w:t> </w:t>
      </w:r>
      <w:r>
        <w:rPr>
          <w:color w:val="231F20"/>
        </w:rPr>
        <w:t>December</w:t>
      </w:r>
      <w:r>
        <w:rPr>
          <w:color w:val="231F20"/>
          <w:spacing w:val="1"/>
        </w:rPr>
        <w:t> </w:t>
      </w:r>
      <w:r>
        <w:rPr>
          <w:color w:val="231F20"/>
        </w:rPr>
        <w:t>2015. Per seniority list integration agreement, transition to Southwest to be completed no later than January</w:t>
      </w:r>
      <w:r>
        <w:rPr>
          <w:color w:val="231F20"/>
          <w:spacing w:val="2"/>
        </w:rPr>
        <w:t> </w:t>
      </w:r>
      <w:r>
        <w:rPr>
          <w:color w:val="231F20"/>
        </w:rPr>
        <w:t>2015.</w:t>
      </w:r>
    </w:p>
    <w:p>
      <w:pPr>
        <w:spacing w:after="0" w:line="249" w:lineRule="auto"/>
        <w:sectPr>
          <w:type w:val="continuous"/>
          <w:pgSz w:w="11880" w:h="15480"/>
          <w:pgMar w:top="1200" w:bottom="280" w:left="1260" w:right="1260"/>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(“AFA”)</w:t>
      </w:r>
    </w:p>
    <w:p>
      <w:pPr>
        <w:pStyle w:val="BodyText"/>
        <w:spacing w:before="89"/>
        <w:ind w:left="120"/>
      </w:pPr>
      <w:r>
        <w:rPr/>
        <w:br w:type="column"/>
      </w:r>
      <w:r>
        <w:rPr>
          <w:color w:val="231F20"/>
        </w:rPr>
        <w:t>Amendable May 2013.</w:t>
      </w:r>
    </w:p>
    <w:p>
      <w:pPr>
        <w:spacing w:after="0"/>
        <w:sectPr>
          <w:type w:val="continuous"/>
          <w:pgSz w:w="11880" w:h="15480"/>
          <w:pgMar w:top="1200" w:bottom="280" w:left="1260" w:right="1260"/>
          <w:cols w:num="2" w:equalWidth="0">
            <w:col w:w="6149" w:space="531"/>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AirTran Mechanics</w:t>
      </w:r>
      <w:r>
        <w:rPr>
          <w:color w:val="231F20"/>
          <w:spacing w:val="1"/>
        </w:rPr>
        <w:t> </w:t>
      </w:r>
      <w:r>
        <w:rPr>
          <w:color w:val="231F20"/>
        </w:rPr>
        <w:t>and Inspectors</w:t>
        <w:tab/>
        <w:t>International Brotherhood</w:t>
      </w:r>
      <w:r>
        <w:rPr>
          <w:color w:val="231F20"/>
          <w:spacing w:val="4"/>
        </w:rPr>
        <w:t> </w:t>
      </w:r>
      <w:r>
        <w:rPr>
          <w:color w:val="231F20"/>
        </w:rPr>
        <w:t>of</w:t>
      </w:r>
    </w:p>
    <w:p>
      <w:pPr>
        <w:pStyle w:val="BodyText"/>
        <w:spacing w:before="10"/>
        <w:ind w:left="3540"/>
      </w:pPr>
      <w:r>
        <w:rPr>
          <w:color w:val="231F20"/>
        </w:rPr>
        <w:t>Teamsters, Local 528 (“IBT 528”)</w:t>
      </w:r>
    </w:p>
    <w:p>
      <w:pPr>
        <w:pStyle w:val="BodyText"/>
        <w:spacing w:line="249" w:lineRule="auto" w:before="89"/>
        <w:ind w:left="120" w:right="373"/>
      </w:pPr>
      <w:r>
        <w:rPr/>
        <w:br w:type="column"/>
      </w:r>
      <w:r>
        <w:rPr>
          <w:color w:val="231F20"/>
        </w:rPr>
        <w:t>Amendable October 2013. Fully transitioned to Southwest in August 2012.</w:t>
      </w:r>
    </w:p>
    <w:p>
      <w:pPr>
        <w:spacing w:after="0" w:line="249" w:lineRule="auto"/>
        <w:sectPr>
          <w:type w:val="continuous"/>
          <w:pgSz w:w="11880" w:h="15480"/>
          <w:pgMar w:top="1200" w:bottom="280" w:left="1260" w:right="1260"/>
          <w:cols w:num="2" w:equalWidth="0">
            <w:col w:w="6304" w:space="3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Technical Trainers/Ground Instructors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Amendable March</w:t>
      </w:r>
      <w:r>
        <w:rPr>
          <w:color w:val="231F20"/>
          <w:spacing w:val="2"/>
        </w:rPr>
        <w:t> </w:t>
      </w:r>
      <w:r>
        <w:rPr>
          <w:color w:val="231F20"/>
        </w:rPr>
        <w:t>2014</w:t>
      </w:r>
    </w:p>
    <w:p>
      <w:pPr>
        <w:spacing w:after="0"/>
        <w:sectPr>
          <w:type w:val="continuous"/>
          <w:pgSz w:w="11880" w:h="15480"/>
          <w:pgMar w:top="1200" w:bottom="280" w:left="1260" w:right="1260"/>
          <w:cols w:num="2" w:equalWidth="0">
            <w:col w:w="2989" w:space="431"/>
            <w:col w:w="5940"/>
          </w:cols>
        </w:sectPr>
      </w:pPr>
    </w:p>
    <w:p>
      <w:pPr>
        <w:pStyle w:val="BodyText"/>
        <w:spacing w:before="2"/>
        <w:rPr>
          <w:sz w:val="13"/>
        </w:rPr>
      </w:pPr>
    </w:p>
    <w:p>
      <w:pPr>
        <w:pStyle w:val="BodyText"/>
        <w:tabs>
          <w:tab w:pos="3539" w:val="left" w:leader="none"/>
          <w:tab w:pos="6799" w:val="left" w:leader="none"/>
        </w:tabs>
        <w:spacing w:before="89"/>
        <w:ind w:left="120"/>
      </w:pPr>
      <w:r>
        <w:rPr>
          <w:color w:val="231F20"/>
        </w:rPr>
        <w:t>AirTran Stores/Stock</w:t>
      </w:r>
      <w:r>
        <w:rPr>
          <w:color w:val="231F20"/>
          <w:spacing w:val="1"/>
        </w:rPr>
        <w:t> </w:t>
      </w:r>
      <w:r>
        <w:rPr>
          <w:color w:val="231F20"/>
        </w:rPr>
        <w:t>Clerks</w:t>
        <w:tab/>
        <w:t>IBT</w:t>
      </w:r>
      <w:r>
        <w:rPr>
          <w:color w:val="231F20"/>
          <w:spacing w:val="-1"/>
        </w:rPr>
        <w:t> </w:t>
      </w:r>
      <w:r>
        <w:rPr>
          <w:color w:val="231F20"/>
        </w:rPr>
        <w:t>528</w:t>
        <w:tab/>
        <w:t>Amendable June</w:t>
      </w:r>
      <w:r>
        <w:rPr>
          <w:color w:val="231F20"/>
          <w:spacing w:val="1"/>
        </w:rPr>
        <w:t> </w:t>
      </w:r>
      <w:r>
        <w:rPr>
          <w:color w:val="231F20"/>
        </w:rPr>
        <w:t>2013</w:t>
      </w:r>
    </w:p>
    <w:p>
      <w:pPr>
        <w:pStyle w:val="BodyText"/>
        <w:rPr>
          <w:sz w:val="14"/>
        </w:rPr>
      </w:pPr>
    </w:p>
    <w:p>
      <w:pPr>
        <w:spacing w:after="0"/>
        <w:rPr>
          <w:sz w:val="14"/>
        </w:rPr>
        <w:sectPr>
          <w:type w:val="continuous"/>
          <w:pgSz w:w="11880" w:h="15480"/>
          <w:pgMar w:top="1200" w:bottom="280" w:left="1260" w:right="1260"/>
        </w:sectPr>
      </w:pPr>
    </w:p>
    <w:p>
      <w:pPr>
        <w:pStyle w:val="BodyText"/>
        <w:spacing w:line="249" w:lineRule="auto" w:before="89"/>
        <w:ind w:left="320" w:right="-20" w:hanging="200"/>
      </w:pPr>
      <w:r>
        <w:rPr>
          <w:color w:val="231F20"/>
        </w:rPr>
        <w:t>AirTran Ground Service Mechanics/Employees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Amendable September</w:t>
      </w:r>
      <w:r>
        <w:rPr>
          <w:color w:val="231F20"/>
          <w:spacing w:val="2"/>
        </w:rPr>
        <w:t> </w:t>
      </w:r>
      <w:r>
        <w:rPr>
          <w:color w:val="231F20"/>
        </w:rPr>
        <w:t>2013.</w:t>
      </w:r>
    </w:p>
    <w:p>
      <w:pPr>
        <w:pStyle w:val="BodyText"/>
        <w:spacing w:line="249" w:lineRule="auto" w:before="10"/>
        <w:ind w:left="3380" w:right="373"/>
      </w:pPr>
      <w:r>
        <w:rPr>
          <w:color w:val="231F20"/>
        </w:rPr>
        <w:t>Fully transitioned to Southwest in August 2012.</w:t>
      </w:r>
    </w:p>
    <w:p>
      <w:pPr>
        <w:spacing w:after="0" w:line="249" w:lineRule="auto"/>
        <w:sectPr>
          <w:type w:val="continuous"/>
          <w:pgSz w:w="11880" w:h="15480"/>
          <w:pgMar w:top="1200" w:bottom="280" w:left="1260" w:right="1260"/>
          <w:cols w:num="2" w:equalWidth="0">
            <w:col w:w="2131" w:space="1289"/>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90"/>
        <w:ind w:left="3540" w:hanging="342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before="90"/>
        <w:ind w:left="120"/>
      </w:pPr>
      <w:r>
        <w:rPr/>
        <w:br w:type="column"/>
      </w:r>
      <w:r>
        <w:rPr>
          <w:color w:val="231F20"/>
        </w:rPr>
        <w:t>Amendable March 2014</w:t>
      </w:r>
    </w:p>
    <w:p>
      <w:pPr>
        <w:spacing w:after="0"/>
        <w:sectPr>
          <w:type w:val="continuous"/>
          <w:pgSz w:w="11880" w:h="15480"/>
          <w:pgMar w:top="1200" w:bottom="280" w:left="1260" w:right="1260"/>
          <w:cols w:num="2" w:equalWidth="0">
            <w:col w:w="6303" w:space="377"/>
            <w:col w:w="2680"/>
          </w:cols>
        </w:sectPr>
      </w:pPr>
    </w:p>
    <w:p>
      <w:pPr>
        <w:pStyle w:val="BodyText"/>
        <w:spacing w:before="3"/>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4" w:hanging="200"/>
      </w:pPr>
      <w:r>
        <w:rPr>
          <w:color w:val="231F20"/>
        </w:rPr>
        <w:t>AirTran Fleet &amp; Passenger Service Employees (customer service, ramp, reservations)</w:t>
      </w:r>
    </w:p>
    <w:p>
      <w:pPr>
        <w:pStyle w:val="BodyText"/>
        <w:tabs>
          <w:tab w:pos="3379" w:val="left" w:leader="none"/>
        </w:tabs>
        <w:spacing w:line="249" w:lineRule="auto" w:before="89"/>
        <w:ind w:left="3380" w:right="350"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w:t>
      </w:r>
      <w:r>
        <w:rPr>
          <w:color w:val="231F20"/>
          <w:spacing w:val="2"/>
        </w:rPr>
        <w:t> </w:t>
      </w:r>
      <w:r>
        <w:rPr>
          <w:color w:val="231F20"/>
        </w:rPr>
        <w:t>Southwest.</w:t>
      </w:r>
    </w:p>
    <w:p>
      <w:pPr>
        <w:spacing w:after="0" w:line="249" w:lineRule="auto"/>
        <w:sectPr>
          <w:type w:val="continuous"/>
          <w:pgSz w:w="11880" w:h="15480"/>
          <w:pgMar w:top="1200" w:bottom="280" w:left="1260" w:right="1260"/>
          <w:cols w:num="2" w:equalWidth="0">
            <w:col w:w="3242" w:space="178"/>
            <w:col w:w="5940"/>
          </w:cols>
        </w:sectPr>
      </w:pPr>
    </w:p>
    <w:p>
      <w:pPr>
        <w:pStyle w:val="BodyText"/>
        <w:spacing w:line="249" w:lineRule="auto" w:before="181"/>
        <w:ind w:left="120" w:right="200" w:firstLine="490"/>
      </w:pPr>
      <w:r>
        <w:rPr>
          <w:color w:val="231F20"/>
        </w:rPr>
        <w:t>Pending completion of operational integration of AirTran with the Company, it will be necessary to maintain a “fence” between Southwest and AirTran Employee groups subject to CBAs, during which time the Company and AirTran will continue to keep these Employee groups separate, each applying the terms of its own existing CBAs, unless other terms have been negotiated.</w:t>
      </w:r>
    </w:p>
    <w:p>
      <w:pPr>
        <w:pStyle w:val="BodyText"/>
        <w:spacing w:line="249" w:lineRule="auto" w:before="181"/>
        <w:ind w:left="120" w:right="521" w:firstLine="490"/>
      </w:pPr>
      <w:r>
        <w:rPr>
          <w:color w:val="231F20"/>
        </w:rPr>
        <w:t>As discussed above under “Operating Strategies and Initiatives – Integration of AirTran,” seniority list integration methodologies have now been resolved for all Southwest and AirTran workgroups.</w:t>
      </w:r>
    </w:p>
    <w:p>
      <w:pPr>
        <w:pStyle w:val="Heading3"/>
        <w:spacing w:before="181"/>
        <w:ind w:left="120"/>
      </w:pPr>
      <w:r>
        <w:rPr>
          <w:color w:val="231F20"/>
        </w:rPr>
        <w:t>Additional Information About the Company</w:t>
      </w:r>
    </w:p>
    <w:p>
      <w:pPr>
        <w:pStyle w:val="BodyText"/>
        <w:spacing w:line="249" w:lineRule="auto" w:before="189"/>
        <w:ind w:left="120" w:right="217" w:firstLine="490"/>
      </w:pPr>
      <w:r>
        <w:rPr>
          <w:color w:val="231F20"/>
        </w:rPr>
        <w:t>The Company was incorporated in Texas in 1967. The following documents are available free of charge through the Company’s website, </w:t>
      </w:r>
      <w:hyperlink r:id="rId8">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w:t>
      </w:r>
    </w:p>
    <w:p>
      <w:pPr>
        <w:spacing w:after="0" w:line="249" w:lineRule="auto"/>
        <w:sectPr>
          <w:type w:val="continuous"/>
          <w:pgSz w:w="11880" w:h="15480"/>
          <w:pgMar w:top="1200" w:bottom="280" w:left="1260" w:right="1260"/>
        </w:sectPr>
      </w:pPr>
    </w:p>
    <w:p>
      <w:pPr>
        <w:pStyle w:val="Heading3"/>
        <w:spacing w:before="73"/>
        <w:ind w:left="1520"/>
      </w:pPr>
      <w:r>
        <w:rPr>
          <w:color w:val="231F20"/>
        </w:rPr>
        <w:t>DISCLOSURE REGARDING FORWARD-LOOKING INFORMATION</w:t>
      </w:r>
    </w:p>
    <w:p>
      <w:pPr>
        <w:pStyle w:val="BodyText"/>
        <w:spacing w:before="7"/>
        <w:rPr>
          <w:b/>
          <w:sz w:val="18"/>
        </w:rPr>
      </w:pPr>
    </w:p>
    <w:p>
      <w:pPr>
        <w:pStyle w:val="BodyText"/>
        <w:spacing w:line="249" w:lineRule="auto"/>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BodyText"/>
        <w:spacing w:line="249" w:lineRule="auto"/>
        <w:ind w:left="100"/>
      </w:pPr>
      <w:r>
        <w:rPr>
          <w:color w:val="231F20"/>
        </w:rPr>
        <w:t>(ii) that the Company currently deems to be immaterial, or (iii) that could apply to any company, could also materially adversely affect the Company’s business, financial condition, or future results.</w:t>
      </w:r>
    </w:p>
    <w:p>
      <w:pPr>
        <w:pStyle w:val="BodyText"/>
        <w:spacing w:before="10"/>
        <w:rPr>
          <w:sz w:val="17"/>
        </w:rPr>
      </w:pPr>
    </w:p>
    <w:p>
      <w:pPr>
        <w:pStyle w:val="BodyText"/>
        <w:spacing w:line="249" w:lineRule="auto"/>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10"/>
        <w:rPr>
          <w:sz w:val="17"/>
        </w:rPr>
      </w:pPr>
    </w:p>
    <w:p>
      <w:pPr>
        <w:tabs>
          <w:tab w:pos="1179" w:val="left" w:leader="none"/>
        </w:tabs>
        <w:spacing w:before="0"/>
        <w:ind w:left="100" w:right="0" w:firstLine="0"/>
        <w:jc w:val="left"/>
        <w:rPr>
          <w:b/>
          <w:i/>
          <w:sz w:val="20"/>
        </w:rPr>
      </w:pPr>
      <w:bookmarkStart w:name="Item 1A .Risk Factors" w:id="4"/>
      <w:bookmarkEnd w:id="4"/>
      <w:r>
        <w:rPr/>
      </w: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BodyText"/>
        <w:spacing w:before="7"/>
        <w:rPr>
          <w:b/>
          <w:i/>
          <w:sz w:val="18"/>
        </w:rPr>
      </w:pPr>
    </w:p>
    <w:p>
      <w:pPr>
        <w:pStyle w:val="Heading4"/>
        <w:spacing w:line="249" w:lineRule="auto"/>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 and could require the Company to adjust its business strategies.</w:t>
      </w:r>
    </w:p>
    <w:p>
      <w:pPr>
        <w:pStyle w:val="BodyText"/>
        <w:spacing w:before="10"/>
        <w:rPr>
          <w:b/>
          <w:i/>
          <w:sz w:val="17"/>
        </w:rPr>
      </w:pPr>
    </w:p>
    <w:p>
      <w:pPr>
        <w:pStyle w:val="BodyText"/>
        <w:spacing w:line="249" w:lineRule="auto"/>
        <w:ind w:left="100" w:right="116" w:firstLine="40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economic uncertainty, and the weakened state of the U.S. and global economy could continue for an extended period of time. Continued unfavorable or even uncertain economic conditions could negatively affect the Company’s results of operations and could cause the Company to adjust its business strategies.</w:t>
      </w:r>
    </w:p>
    <w:p>
      <w:pPr>
        <w:pStyle w:val="BodyText"/>
        <w:spacing w:before="10"/>
        <w:rPr>
          <w:sz w:val="17"/>
        </w:rPr>
      </w:pPr>
    </w:p>
    <w:p>
      <w:pPr>
        <w:pStyle w:val="Heading4"/>
        <w:spacing w:line="249" w:lineRule="auto"/>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before="10"/>
        <w:rPr>
          <w:b/>
          <w:i/>
          <w:sz w:val="17"/>
        </w:rPr>
      </w:pPr>
    </w:p>
    <w:p>
      <w:pPr>
        <w:pStyle w:val="BodyText"/>
        <w:spacing w:line="249" w:lineRule="auto"/>
        <w:ind w:left="100" w:right="101" w:firstLine="490"/>
      </w:pPr>
      <w:r>
        <w:rPr>
          <w:color w:val="231F20"/>
        </w:rPr>
        <w:t>Fuel</w:t>
      </w:r>
      <w:r>
        <w:rPr>
          <w:color w:val="231F20"/>
          <w:spacing w:val="-12"/>
        </w:rPr>
        <w:t> </w:t>
      </w:r>
      <w:r>
        <w:rPr>
          <w:color w:val="231F20"/>
        </w:rPr>
        <w:t>prices</w:t>
      </w:r>
      <w:r>
        <w:rPr>
          <w:color w:val="231F20"/>
          <w:spacing w:val="-12"/>
        </w:rPr>
        <w:t> </w:t>
      </w:r>
      <w:r>
        <w:rPr>
          <w:color w:val="231F20"/>
        </w:rPr>
        <w:t>continue</w:t>
      </w:r>
      <w:r>
        <w:rPr>
          <w:color w:val="231F20"/>
          <w:spacing w:val="-12"/>
        </w:rPr>
        <w:t> </w:t>
      </w:r>
      <w:r>
        <w:rPr>
          <w:color w:val="231F20"/>
        </w:rPr>
        <w:t>to</w:t>
      </w:r>
      <w:r>
        <w:rPr>
          <w:color w:val="231F20"/>
          <w:spacing w:val="-12"/>
        </w:rPr>
        <w:t> </w:t>
      </w:r>
      <w:r>
        <w:rPr>
          <w:color w:val="231F20"/>
        </w:rPr>
        <w:t>present</w:t>
      </w:r>
      <w:r>
        <w:rPr>
          <w:color w:val="231F20"/>
          <w:spacing w:val="-12"/>
        </w:rPr>
        <w:t> </w:t>
      </w:r>
      <w:r>
        <w:rPr>
          <w:color w:val="231F20"/>
        </w:rPr>
        <w:t>one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most</w:t>
      </w:r>
      <w:r>
        <w:rPr>
          <w:color w:val="231F20"/>
          <w:spacing w:val="-12"/>
        </w:rPr>
        <w:t> </w:t>
      </w:r>
      <w:r>
        <w:rPr>
          <w:color w:val="231F20"/>
        </w:rPr>
        <w:t>significant</w:t>
      </w:r>
      <w:r>
        <w:rPr>
          <w:color w:val="231F20"/>
          <w:spacing w:val="-12"/>
        </w:rPr>
        <w:t> </w:t>
      </w:r>
      <w:r>
        <w:rPr>
          <w:color w:val="231F20"/>
        </w:rPr>
        <w:t>challenges,</w:t>
      </w:r>
      <w:r>
        <w:rPr>
          <w:color w:val="231F20"/>
          <w:spacing w:val="-12"/>
        </w:rPr>
        <w:t> </w:t>
      </w:r>
      <w:r>
        <w:rPr>
          <w:color w:val="231F20"/>
        </w:rPr>
        <w:t>as</w:t>
      </w:r>
      <w:r>
        <w:rPr>
          <w:color w:val="231F20"/>
          <w:spacing w:val="-12"/>
        </w:rPr>
        <w:t> </w:t>
      </w:r>
      <w:r>
        <w:rPr>
          <w:color w:val="231F20"/>
        </w:rPr>
        <w:t>(i)</w:t>
      </w:r>
      <w:r>
        <w:rPr>
          <w:color w:val="231F20"/>
          <w:spacing w:val="-12"/>
        </w:rPr>
        <w:t> </w:t>
      </w:r>
      <w:r>
        <w:rPr>
          <w:color w:val="231F20"/>
        </w:rPr>
        <w:t>the</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fuel</w:t>
      </w:r>
      <w:r>
        <w:rPr>
          <w:color w:val="231F20"/>
          <w:spacing w:val="-12"/>
        </w:rPr>
        <w:t> </w:t>
      </w:r>
      <w:r>
        <w:rPr>
          <w:color w:val="231F20"/>
          <w:spacing w:val="-2"/>
        </w:rPr>
        <w:t>has </w:t>
      </w:r>
      <w:r>
        <w:rPr>
          <w:color w:val="231F20"/>
        </w:rPr>
        <w:t>been</w:t>
      </w:r>
      <w:r>
        <w:rPr>
          <w:color w:val="231F20"/>
          <w:spacing w:val="-13"/>
        </w:rPr>
        <w:t> </w:t>
      </w:r>
      <w:r>
        <w:rPr>
          <w:color w:val="231F20"/>
        </w:rPr>
        <w:t>at</w:t>
      </w:r>
      <w:r>
        <w:rPr>
          <w:color w:val="231F20"/>
          <w:spacing w:val="-13"/>
        </w:rPr>
        <w:t> </w:t>
      </w:r>
      <w:r>
        <w:rPr>
          <w:color w:val="231F20"/>
        </w:rPr>
        <w:t>historically</w:t>
      </w:r>
      <w:r>
        <w:rPr>
          <w:color w:val="231F20"/>
          <w:spacing w:val="-13"/>
        </w:rPr>
        <w:t> </w:t>
      </w:r>
      <w:r>
        <w:rPr>
          <w:color w:val="231F20"/>
        </w:rPr>
        <w:t>high</w:t>
      </w:r>
      <w:r>
        <w:rPr>
          <w:color w:val="231F20"/>
          <w:spacing w:val="-13"/>
        </w:rPr>
        <w:t> </w:t>
      </w:r>
      <w:r>
        <w:rPr>
          <w:color w:val="231F20"/>
        </w:rPr>
        <w:t>levels</w:t>
      </w:r>
      <w:r>
        <w:rPr>
          <w:color w:val="231F20"/>
          <w:spacing w:val="-13"/>
        </w:rPr>
        <w:t> </w:t>
      </w:r>
      <w:r>
        <w:rPr>
          <w:color w:val="231F20"/>
        </w:rPr>
        <w:t>over</w:t>
      </w:r>
      <w:r>
        <w:rPr>
          <w:color w:val="231F20"/>
          <w:spacing w:val="-13"/>
        </w:rPr>
        <w:t> </w:t>
      </w:r>
      <w:r>
        <w:rPr>
          <w:color w:val="231F20"/>
        </w:rPr>
        <w:t>the</w:t>
      </w:r>
      <w:r>
        <w:rPr>
          <w:color w:val="231F20"/>
          <w:spacing w:val="-13"/>
        </w:rPr>
        <w:t> </w:t>
      </w:r>
      <w:r>
        <w:rPr>
          <w:color w:val="231F20"/>
        </w:rPr>
        <w:t>last</w:t>
      </w:r>
      <w:r>
        <w:rPr>
          <w:color w:val="231F20"/>
          <w:spacing w:val="-13"/>
        </w:rPr>
        <w:t> </w:t>
      </w:r>
      <w:r>
        <w:rPr>
          <w:color w:val="231F20"/>
        </w:rPr>
        <w:t>several</w:t>
      </w:r>
      <w:r>
        <w:rPr>
          <w:color w:val="231F20"/>
          <w:spacing w:val="-13"/>
        </w:rPr>
        <w:t> </w:t>
      </w:r>
      <w:r>
        <w:rPr>
          <w:color w:val="231F20"/>
        </w:rPr>
        <w:t>years</w:t>
      </w:r>
      <w:r>
        <w:rPr>
          <w:color w:val="231F20"/>
          <w:spacing w:val="-13"/>
        </w:rPr>
        <w:t> </w:t>
      </w:r>
      <w:r>
        <w:rPr>
          <w:color w:val="231F20"/>
        </w:rPr>
        <w:t>and</w:t>
      </w:r>
      <w:r>
        <w:rPr>
          <w:color w:val="231F20"/>
          <w:spacing w:val="-13"/>
        </w:rPr>
        <w:t> </w:t>
      </w:r>
      <w:r>
        <w:rPr>
          <w:color w:val="231F20"/>
        </w:rPr>
        <w:t>has</w:t>
      </w:r>
      <w:r>
        <w:rPr>
          <w:color w:val="231F20"/>
          <w:spacing w:val="-13"/>
        </w:rPr>
        <w:t> </w:t>
      </w:r>
      <w:r>
        <w:rPr>
          <w:color w:val="231F20"/>
        </w:rPr>
        <w:t>been</w:t>
      </w:r>
      <w:r>
        <w:rPr>
          <w:color w:val="231F20"/>
          <w:spacing w:val="-13"/>
        </w:rPr>
        <w:t> </w:t>
      </w:r>
      <w:r>
        <w:rPr>
          <w:color w:val="231F20"/>
        </w:rPr>
        <w:t>both</w:t>
      </w:r>
      <w:r>
        <w:rPr>
          <w:color w:val="231F20"/>
          <w:spacing w:val="-13"/>
        </w:rPr>
        <w:t> </w:t>
      </w:r>
      <w:r>
        <w:rPr>
          <w:color w:val="231F20"/>
        </w:rPr>
        <w:t>volatile</w:t>
      </w:r>
      <w:r>
        <w:rPr>
          <w:color w:val="231F20"/>
          <w:spacing w:val="-13"/>
        </w:rPr>
        <w:t> </w:t>
      </w:r>
      <w:r>
        <w:rPr>
          <w:color w:val="231F20"/>
        </w:rPr>
        <w:t>and</w:t>
      </w:r>
      <w:r>
        <w:rPr>
          <w:color w:val="231F20"/>
          <w:spacing w:val="-13"/>
        </w:rPr>
        <w:t> </w:t>
      </w:r>
      <w:r>
        <w:rPr>
          <w:color w:val="231F20"/>
        </w:rPr>
        <w:t>unpredictable,</w:t>
      </w:r>
      <w:r>
        <w:rPr>
          <w:color w:val="231F20"/>
          <w:spacing w:val="-13"/>
        </w:rPr>
        <w:t> </w:t>
      </w:r>
      <w:r>
        <w:rPr>
          <w:color w:val="231F20"/>
          <w:spacing w:val="-2"/>
        </w:rPr>
        <w:t>and</w:t>
      </w:r>
    </w:p>
    <w:p>
      <w:pPr>
        <w:pStyle w:val="ListParagraph"/>
        <w:numPr>
          <w:ilvl w:val="0"/>
          <w:numId w:val="6"/>
        </w:numPr>
        <w:tabs>
          <w:tab w:pos="386" w:val="left" w:leader="none"/>
        </w:tabs>
        <w:spacing w:line="249" w:lineRule="auto" w:before="1" w:after="0"/>
        <w:ind w:left="100" w:right="201" w:firstLine="0"/>
        <w:jc w:val="left"/>
        <w:rPr>
          <w:sz w:val="20"/>
        </w:rPr>
      </w:pPr>
      <w:r>
        <w:rPr>
          <w:color w:val="231F20"/>
          <w:sz w:val="20"/>
        </w:rPr>
        <w:t>airlines</w:t>
      </w:r>
      <w:r>
        <w:rPr>
          <w:color w:val="231F20"/>
          <w:spacing w:val="-11"/>
          <w:sz w:val="20"/>
        </w:rPr>
        <w:t> </w:t>
      </w:r>
      <w:r>
        <w:rPr>
          <w:color w:val="231F20"/>
          <w:sz w:val="20"/>
        </w:rPr>
        <w:t>are</w:t>
      </w:r>
      <w:r>
        <w:rPr>
          <w:color w:val="231F20"/>
          <w:spacing w:val="-11"/>
          <w:sz w:val="20"/>
        </w:rPr>
        <w:t> </w:t>
      </w:r>
      <w:r>
        <w:rPr>
          <w:color w:val="231F20"/>
          <w:sz w:val="20"/>
        </w:rPr>
        <w:t>inherently</w:t>
      </w:r>
      <w:r>
        <w:rPr>
          <w:color w:val="231F20"/>
          <w:spacing w:val="-11"/>
          <w:sz w:val="20"/>
        </w:rPr>
        <w:t> </w:t>
      </w:r>
      <w:r>
        <w:rPr>
          <w:color w:val="231F20"/>
          <w:sz w:val="20"/>
        </w:rPr>
        <w:t>dependent</w:t>
      </w:r>
      <w:r>
        <w:rPr>
          <w:color w:val="231F20"/>
          <w:spacing w:val="-11"/>
          <w:sz w:val="20"/>
        </w:rPr>
        <w:t> </w:t>
      </w:r>
      <w:r>
        <w:rPr>
          <w:color w:val="231F20"/>
          <w:sz w:val="20"/>
        </w:rPr>
        <w:t>upon</w:t>
      </w:r>
      <w:r>
        <w:rPr>
          <w:color w:val="231F20"/>
          <w:spacing w:val="-11"/>
          <w:sz w:val="20"/>
        </w:rPr>
        <w:t> </w:t>
      </w:r>
      <w:r>
        <w:rPr>
          <w:color w:val="231F20"/>
          <w:sz w:val="20"/>
        </w:rPr>
        <w:t>energy</w:t>
      </w:r>
      <w:r>
        <w:rPr>
          <w:color w:val="231F20"/>
          <w:spacing w:val="-11"/>
          <w:sz w:val="20"/>
        </w:rPr>
        <w:t> </w:t>
      </w:r>
      <w:r>
        <w:rPr>
          <w:color w:val="231F20"/>
          <w:sz w:val="20"/>
        </w:rPr>
        <w:t>to</w:t>
      </w:r>
      <w:r>
        <w:rPr>
          <w:color w:val="231F20"/>
          <w:spacing w:val="-11"/>
          <w:sz w:val="20"/>
        </w:rPr>
        <w:t> </w:t>
      </w:r>
      <w:r>
        <w:rPr>
          <w:color w:val="231F20"/>
          <w:sz w:val="20"/>
        </w:rPr>
        <w:t>operate;</w:t>
      </w:r>
      <w:r>
        <w:rPr>
          <w:color w:val="231F20"/>
          <w:spacing w:val="-11"/>
          <w:sz w:val="20"/>
        </w:rPr>
        <w:t> </w:t>
      </w:r>
      <w:r>
        <w:rPr>
          <w:color w:val="231F20"/>
          <w:sz w:val="20"/>
        </w:rPr>
        <w:t>therefore,</w:t>
      </w:r>
      <w:r>
        <w:rPr>
          <w:color w:val="231F20"/>
          <w:spacing w:val="-11"/>
          <w:sz w:val="20"/>
        </w:rPr>
        <w:t> </w:t>
      </w:r>
      <w:r>
        <w:rPr>
          <w:color w:val="231F20"/>
          <w:sz w:val="20"/>
        </w:rPr>
        <w:t>even</w:t>
      </w:r>
      <w:r>
        <w:rPr>
          <w:color w:val="231F20"/>
          <w:spacing w:val="-11"/>
          <w:sz w:val="20"/>
        </w:rPr>
        <w:t> </w:t>
      </w:r>
      <w:r>
        <w:rPr>
          <w:color w:val="231F20"/>
          <w:sz w:val="20"/>
        </w:rPr>
        <w:t>a</w:t>
      </w:r>
      <w:r>
        <w:rPr>
          <w:color w:val="231F20"/>
          <w:spacing w:val="-11"/>
          <w:sz w:val="20"/>
        </w:rPr>
        <w:t> </w:t>
      </w:r>
      <w:r>
        <w:rPr>
          <w:color w:val="231F20"/>
          <w:sz w:val="20"/>
        </w:rPr>
        <w:t>small</w:t>
      </w:r>
      <w:r>
        <w:rPr>
          <w:color w:val="231F20"/>
          <w:spacing w:val="-11"/>
          <w:sz w:val="20"/>
        </w:rPr>
        <w:t> </w:t>
      </w:r>
      <w:r>
        <w:rPr>
          <w:color w:val="231F20"/>
          <w:sz w:val="20"/>
        </w:rPr>
        <w:t>change</w:t>
      </w:r>
      <w:r>
        <w:rPr>
          <w:color w:val="231F20"/>
          <w:spacing w:val="-11"/>
          <w:sz w:val="20"/>
        </w:rPr>
        <w:t> </w:t>
      </w:r>
      <w:r>
        <w:rPr>
          <w:color w:val="231F20"/>
          <w:sz w:val="20"/>
        </w:rPr>
        <w:t>in</w:t>
      </w:r>
      <w:r>
        <w:rPr>
          <w:color w:val="231F20"/>
          <w:spacing w:val="-11"/>
          <w:sz w:val="20"/>
        </w:rPr>
        <w:t> </w:t>
      </w:r>
      <w:r>
        <w:rPr>
          <w:color w:val="231F20"/>
          <w:sz w:val="20"/>
        </w:rPr>
        <w:t>market</w:t>
      </w:r>
      <w:r>
        <w:rPr>
          <w:color w:val="231F20"/>
          <w:spacing w:val="-11"/>
          <w:sz w:val="20"/>
        </w:rPr>
        <w:t> </w:t>
      </w:r>
      <w:r>
        <w:rPr>
          <w:color w:val="231F20"/>
          <w:sz w:val="20"/>
        </w:rPr>
        <w:t>fuel</w:t>
      </w:r>
      <w:r>
        <w:rPr>
          <w:color w:val="231F20"/>
          <w:spacing w:val="-11"/>
          <w:sz w:val="20"/>
        </w:rPr>
        <w:t> </w:t>
      </w:r>
      <w:r>
        <w:rPr>
          <w:color w:val="231F20"/>
          <w:spacing w:val="-2"/>
          <w:sz w:val="20"/>
        </w:rPr>
        <w:t>prices </w:t>
      </w:r>
      <w:r>
        <w:rPr>
          <w:color w:val="231F20"/>
          <w:sz w:val="20"/>
        </w:rPr>
        <w:t>can significantly affect profitability. Fuel prices are volatile and unpredictable, in part, because of many external factors</w:t>
      </w:r>
      <w:r>
        <w:rPr>
          <w:color w:val="231F20"/>
          <w:spacing w:val="-13"/>
          <w:sz w:val="20"/>
        </w:rPr>
        <w:t> </w:t>
      </w:r>
      <w:r>
        <w:rPr>
          <w:color w:val="231F20"/>
          <w:sz w:val="20"/>
        </w:rPr>
        <w:t>that</w:t>
      </w:r>
      <w:r>
        <w:rPr>
          <w:color w:val="231F20"/>
          <w:spacing w:val="-13"/>
          <w:sz w:val="20"/>
        </w:rPr>
        <w:t> </w:t>
      </w:r>
      <w:r>
        <w:rPr>
          <w:color w:val="231F20"/>
          <w:sz w:val="20"/>
        </w:rPr>
        <w:t>are</w:t>
      </w:r>
      <w:r>
        <w:rPr>
          <w:color w:val="231F20"/>
          <w:spacing w:val="-13"/>
          <w:sz w:val="20"/>
        </w:rPr>
        <w:t> </w:t>
      </w:r>
      <w:r>
        <w:rPr>
          <w:color w:val="231F20"/>
          <w:sz w:val="20"/>
        </w:rPr>
        <w:t>beyond</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control.</w:t>
      </w:r>
      <w:r>
        <w:rPr>
          <w:color w:val="231F20"/>
          <w:spacing w:val="-13"/>
          <w:sz w:val="20"/>
        </w:rPr>
        <w:t> </w:t>
      </w:r>
      <w:r>
        <w:rPr>
          <w:color w:val="231F20"/>
          <w:sz w:val="20"/>
        </w:rPr>
        <w:t>For</w:t>
      </w:r>
      <w:r>
        <w:rPr>
          <w:color w:val="231F20"/>
          <w:spacing w:val="-13"/>
          <w:sz w:val="20"/>
        </w:rPr>
        <w:t> </w:t>
      </w:r>
      <w:r>
        <w:rPr>
          <w:color w:val="231F20"/>
          <w:sz w:val="20"/>
        </w:rPr>
        <w:t>example,</w:t>
      </w:r>
      <w:r>
        <w:rPr>
          <w:color w:val="231F20"/>
          <w:spacing w:val="-13"/>
          <w:sz w:val="20"/>
        </w:rPr>
        <w:t> </w:t>
      </w:r>
      <w:r>
        <w:rPr>
          <w:color w:val="231F20"/>
          <w:sz w:val="20"/>
        </w:rPr>
        <w:t>fuel</w:t>
      </w:r>
      <w:r>
        <w:rPr>
          <w:color w:val="231F20"/>
          <w:spacing w:val="-13"/>
          <w:sz w:val="20"/>
        </w:rPr>
        <w:t> </w:t>
      </w:r>
      <w:r>
        <w:rPr>
          <w:color w:val="231F20"/>
          <w:sz w:val="20"/>
        </w:rPr>
        <w:t>prices</w:t>
      </w:r>
      <w:r>
        <w:rPr>
          <w:color w:val="231F20"/>
          <w:spacing w:val="-13"/>
          <w:sz w:val="20"/>
        </w:rPr>
        <w:t> </w:t>
      </w:r>
      <w:r>
        <w:rPr>
          <w:color w:val="231F20"/>
          <w:sz w:val="20"/>
        </w:rPr>
        <w:t>can</w:t>
      </w:r>
      <w:r>
        <w:rPr>
          <w:color w:val="231F20"/>
          <w:spacing w:val="-13"/>
          <w:sz w:val="20"/>
        </w:rPr>
        <w:t> </w:t>
      </w:r>
      <w:r>
        <w:rPr>
          <w:color w:val="231F20"/>
          <w:sz w:val="20"/>
        </w:rPr>
        <w:t>be</w:t>
      </w:r>
      <w:r>
        <w:rPr>
          <w:color w:val="231F20"/>
          <w:spacing w:val="-13"/>
          <w:sz w:val="20"/>
        </w:rPr>
        <w:t> </w:t>
      </w:r>
      <w:r>
        <w:rPr>
          <w:color w:val="231F20"/>
          <w:sz w:val="20"/>
        </w:rPr>
        <w:t>impacted</w:t>
      </w:r>
      <w:r>
        <w:rPr>
          <w:color w:val="231F20"/>
          <w:spacing w:val="-13"/>
          <w:sz w:val="20"/>
        </w:rPr>
        <w:t> </w:t>
      </w:r>
      <w:r>
        <w:rPr>
          <w:color w:val="231F20"/>
          <w:sz w:val="20"/>
        </w:rPr>
        <w:t>by</w:t>
      </w:r>
      <w:r>
        <w:rPr>
          <w:color w:val="231F20"/>
          <w:spacing w:val="-13"/>
          <w:sz w:val="20"/>
        </w:rPr>
        <w:t> </w:t>
      </w:r>
      <w:r>
        <w:rPr>
          <w:color w:val="231F20"/>
          <w:sz w:val="20"/>
        </w:rPr>
        <w:t>political</w:t>
      </w:r>
      <w:r>
        <w:rPr>
          <w:color w:val="231F20"/>
          <w:spacing w:val="-13"/>
          <w:sz w:val="20"/>
        </w:rPr>
        <w:t> </w:t>
      </w:r>
      <w:r>
        <w:rPr>
          <w:color w:val="231F20"/>
          <w:sz w:val="20"/>
        </w:rPr>
        <w:t>and</w:t>
      </w:r>
      <w:r>
        <w:rPr>
          <w:color w:val="231F20"/>
          <w:spacing w:val="-13"/>
          <w:sz w:val="20"/>
        </w:rPr>
        <w:t> </w:t>
      </w:r>
      <w:r>
        <w:rPr>
          <w:color w:val="231F20"/>
          <w:sz w:val="20"/>
        </w:rPr>
        <w:t>economic factors,</w:t>
      </w:r>
      <w:r>
        <w:rPr>
          <w:color w:val="231F20"/>
          <w:spacing w:val="-12"/>
          <w:sz w:val="20"/>
        </w:rPr>
        <w:t> </w:t>
      </w:r>
      <w:r>
        <w:rPr>
          <w:color w:val="231F20"/>
          <w:sz w:val="20"/>
        </w:rPr>
        <w:t>such</w:t>
      </w:r>
      <w:r>
        <w:rPr>
          <w:color w:val="231F20"/>
          <w:spacing w:val="-12"/>
          <w:sz w:val="20"/>
        </w:rPr>
        <w:t> </w:t>
      </w:r>
      <w:r>
        <w:rPr>
          <w:color w:val="231F20"/>
          <w:sz w:val="20"/>
        </w:rPr>
        <w:t>as</w:t>
      </w:r>
      <w:r>
        <w:rPr>
          <w:color w:val="231F20"/>
          <w:spacing w:val="-12"/>
          <w:sz w:val="20"/>
        </w:rPr>
        <w:t> </w:t>
      </w:r>
      <w:r>
        <w:rPr>
          <w:color w:val="231F20"/>
          <w:sz w:val="20"/>
        </w:rPr>
        <w:t>(i)</w:t>
      </w:r>
      <w:r>
        <w:rPr>
          <w:color w:val="231F20"/>
          <w:spacing w:val="-12"/>
          <w:sz w:val="20"/>
        </w:rPr>
        <w:t> </w:t>
      </w:r>
      <w:r>
        <w:rPr>
          <w:color w:val="231F20"/>
          <w:sz w:val="20"/>
        </w:rPr>
        <w:t>dependency</w:t>
      </w:r>
      <w:r>
        <w:rPr>
          <w:color w:val="231F20"/>
          <w:spacing w:val="-12"/>
          <w:sz w:val="20"/>
        </w:rPr>
        <w:t> </w:t>
      </w:r>
      <w:r>
        <w:rPr>
          <w:color w:val="231F20"/>
          <w:sz w:val="20"/>
        </w:rPr>
        <w:t>on</w:t>
      </w:r>
      <w:r>
        <w:rPr>
          <w:color w:val="231F20"/>
          <w:spacing w:val="-12"/>
          <w:sz w:val="20"/>
        </w:rPr>
        <w:t> </w:t>
      </w:r>
      <w:r>
        <w:rPr>
          <w:color w:val="231F20"/>
          <w:sz w:val="20"/>
        </w:rPr>
        <w:t>foreign</w:t>
      </w:r>
      <w:r>
        <w:rPr>
          <w:color w:val="231F20"/>
          <w:spacing w:val="-12"/>
          <w:sz w:val="20"/>
        </w:rPr>
        <w:t> </w:t>
      </w:r>
      <w:r>
        <w:rPr>
          <w:color w:val="231F20"/>
          <w:sz w:val="20"/>
        </w:rPr>
        <w:t>imports</w:t>
      </w:r>
      <w:r>
        <w:rPr>
          <w:color w:val="231F20"/>
          <w:spacing w:val="-12"/>
          <w:sz w:val="20"/>
        </w:rPr>
        <w:t> </w:t>
      </w:r>
      <w:r>
        <w:rPr>
          <w:color w:val="231F20"/>
          <w:sz w:val="20"/>
        </w:rPr>
        <w:t>of</w:t>
      </w:r>
      <w:r>
        <w:rPr>
          <w:color w:val="231F20"/>
          <w:spacing w:val="-12"/>
          <w:sz w:val="20"/>
        </w:rPr>
        <w:t> </w:t>
      </w:r>
      <w:r>
        <w:rPr>
          <w:color w:val="231F20"/>
          <w:sz w:val="20"/>
        </w:rPr>
        <w:t>crude</w:t>
      </w:r>
      <w:r>
        <w:rPr>
          <w:color w:val="231F20"/>
          <w:spacing w:val="-12"/>
          <w:sz w:val="20"/>
        </w:rPr>
        <w:t> </w:t>
      </w:r>
      <w:r>
        <w:rPr>
          <w:color w:val="231F20"/>
          <w:sz w:val="20"/>
        </w:rPr>
        <w:t>oil</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2"/>
          <w:sz w:val="20"/>
        </w:rPr>
        <w:t> </w:t>
      </w:r>
      <w:r>
        <w:rPr>
          <w:color w:val="231F20"/>
          <w:sz w:val="20"/>
        </w:rPr>
        <w:t>potential</w:t>
      </w:r>
      <w:r>
        <w:rPr>
          <w:color w:val="231F20"/>
          <w:spacing w:val="-12"/>
          <w:sz w:val="20"/>
        </w:rPr>
        <w:t> </w:t>
      </w:r>
      <w:r>
        <w:rPr>
          <w:color w:val="231F20"/>
          <w:sz w:val="20"/>
        </w:rPr>
        <w:t>for</w:t>
      </w:r>
      <w:r>
        <w:rPr>
          <w:color w:val="231F20"/>
          <w:spacing w:val="-12"/>
          <w:sz w:val="20"/>
        </w:rPr>
        <w:t> </w:t>
      </w:r>
      <w:r>
        <w:rPr>
          <w:color w:val="231F20"/>
          <w:sz w:val="20"/>
        </w:rPr>
        <w:t>hostilities</w:t>
      </w:r>
      <w:r>
        <w:rPr>
          <w:color w:val="231F20"/>
          <w:spacing w:val="-12"/>
          <w:sz w:val="20"/>
        </w:rPr>
        <w:t> </w:t>
      </w:r>
      <w:r>
        <w:rPr>
          <w:color w:val="231F20"/>
          <w:sz w:val="20"/>
        </w:rPr>
        <w:t>or</w:t>
      </w:r>
      <w:r>
        <w:rPr>
          <w:color w:val="231F20"/>
          <w:spacing w:val="-12"/>
          <w:sz w:val="20"/>
        </w:rPr>
        <w:t> </w:t>
      </w:r>
      <w:r>
        <w:rPr>
          <w:color w:val="231F20"/>
          <w:sz w:val="20"/>
        </w:rPr>
        <w:t>other</w:t>
      </w:r>
      <w:r>
        <w:rPr>
          <w:color w:val="231F20"/>
          <w:spacing w:val="-12"/>
          <w:sz w:val="20"/>
        </w:rPr>
        <w:t> </w:t>
      </w:r>
      <w:r>
        <w:rPr>
          <w:color w:val="231F20"/>
          <w:sz w:val="20"/>
        </w:rPr>
        <w:t>conflicts</w:t>
      </w:r>
      <w:r>
        <w:rPr>
          <w:color w:val="231F20"/>
          <w:spacing w:val="-12"/>
          <w:sz w:val="20"/>
        </w:rPr>
        <w:t> </w:t>
      </w:r>
      <w:r>
        <w:rPr>
          <w:color w:val="231F20"/>
          <w:sz w:val="20"/>
        </w:rPr>
        <w:t>in oil producing areas; (ii) limited refining capacity; (iii) worldwide demand for fuel, particularly in developing countries,</w:t>
      </w:r>
      <w:r>
        <w:rPr>
          <w:color w:val="231F20"/>
          <w:spacing w:val="-16"/>
          <w:sz w:val="20"/>
        </w:rPr>
        <w:t> </w:t>
      </w:r>
      <w:r>
        <w:rPr>
          <w:color w:val="231F20"/>
          <w:sz w:val="20"/>
        </w:rPr>
        <w:t>which</w:t>
      </w:r>
      <w:r>
        <w:rPr>
          <w:color w:val="231F20"/>
          <w:spacing w:val="-16"/>
          <w:sz w:val="20"/>
        </w:rPr>
        <w:t> </w:t>
      </w:r>
      <w:r>
        <w:rPr>
          <w:color w:val="231F20"/>
          <w:sz w:val="20"/>
        </w:rPr>
        <w:t>has</w:t>
      </w:r>
      <w:r>
        <w:rPr>
          <w:color w:val="231F20"/>
          <w:spacing w:val="-16"/>
          <w:sz w:val="20"/>
        </w:rPr>
        <w:t> </w:t>
      </w:r>
      <w:r>
        <w:rPr>
          <w:color w:val="231F20"/>
          <w:sz w:val="20"/>
        </w:rPr>
        <w:t>resulted</w:t>
      </w:r>
      <w:r>
        <w:rPr>
          <w:color w:val="231F20"/>
          <w:spacing w:val="-16"/>
          <w:sz w:val="20"/>
        </w:rPr>
        <w:t> </w:t>
      </w:r>
      <w:r>
        <w:rPr>
          <w:color w:val="231F20"/>
          <w:sz w:val="20"/>
        </w:rPr>
        <w:t>in</w:t>
      </w:r>
      <w:r>
        <w:rPr>
          <w:color w:val="231F20"/>
          <w:spacing w:val="-16"/>
          <w:sz w:val="20"/>
        </w:rPr>
        <w:t> </w:t>
      </w:r>
      <w:r>
        <w:rPr>
          <w:color w:val="231F20"/>
          <w:sz w:val="20"/>
        </w:rPr>
        <w:t>inflated</w:t>
      </w:r>
      <w:r>
        <w:rPr>
          <w:color w:val="231F20"/>
          <w:spacing w:val="-16"/>
          <w:sz w:val="20"/>
        </w:rPr>
        <w:t> </w:t>
      </w:r>
      <w:r>
        <w:rPr>
          <w:color w:val="231F20"/>
          <w:sz w:val="20"/>
        </w:rPr>
        <w:t>energy</w:t>
      </w:r>
      <w:r>
        <w:rPr>
          <w:color w:val="231F20"/>
          <w:spacing w:val="-16"/>
          <w:sz w:val="20"/>
        </w:rPr>
        <w:t> </w:t>
      </w:r>
      <w:r>
        <w:rPr>
          <w:color w:val="231F20"/>
          <w:sz w:val="20"/>
        </w:rPr>
        <w:t>prices;</w:t>
      </w:r>
      <w:r>
        <w:rPr>
          <w:color w:val="231F20"/>
          <w:spacing w:val="-16"/>
          <w:sz w:val="20"/>
        </w:rPr>
        <w:t> </w:t>
      </w:r>
      <w:r>
        <w:rPr>
          <w:color w:val="231F20"/>
          <w:sz w:val="20"/>
        </w:rPr>
        <w:t>(iv)</w:t>
      </w:r>
      <w:r>
        <w:rPr>
          <w:color w:val="231F20"/>
          <w:spacing w:val="-16"/>
          <w:sz w:val="20"/>
        </w:rPr>
        <w:t> </w:t>
      </w:r>
      <w:r>
        <w:rPr>
          <w:color w:val="231F20"/>
          <w:sz w:val="20"/>
        </w:rPr>
        <w:t>changes</w:t>
      </w:r>
      <w:r>
        <w:rPr>
          <w:color w:val="231F20"/>
          <w:spacing w:val="-16"/>
          <w:sz w:val="20"/>
        </w:rPr>
        <w:t> </w:t>
      </w:r>
      <w:r>
        <w:rPr>
          <w:color w:val="231F20"/>
          <w:sz w:val="20"/>
        </w:rPr>
        <w:t>in</w:t>
      </w:r>
      <w:r>
        <w:rPr>
          <w:color w:val="231F20"/>
          <w:spacing w:val="-16"/>
          <w:sz w:val="20"/>
        </w:rPr>
        <w:t> </w:t>
      </w:r>
      <w:r>
        <w:rPr>
          <w:color w:val="231F20"/>
          <w:sz w:val="20"/>
        </w:rPr>
        <w:t>governmental</w:t>
      </w:r>
      <w:r>
        <w:rPr>
          <w:color w:val="231F20"/>
          <w:spacing w:val="-16"/>
          <w:sz w:val="20"/>
        </w:rPr>
        <w:t> </w:t>
      </w:r>
      <w:r>
        <w:rPr>
          <w:color w:val="231F20"/>
          <w:sz w:val="20"/>
        </w:rPr>
        <w:t>policies</w:t>
      </w:r>
      <w:r>
        <w:rPr>
          <w:color w:val="231F20"/>
          <w:spacing w:val="-16"/>
          <w:sz w:val="20"/>
        </w:rPr>
        <w:t> </w:t>
      </w:r>
      <w:r>
        <w:rPr>
          <w:color w:val="231F20"/>
          <w:sz w:val="20"/>
        </w:rPr>
        <w:t>on</w:t>
      </w:r>
      <w:r>
        <w:rPr>
          <w:color w:val="231F20"/>
          <w:spacing w:val="-16"/>
          <w:sz w:val="20"/>
        </w:rPr>
        <w:t> </w:t>
      </w:r>
      <w:r>
        <w:rPr>
          <w:color w:val="231F20"/>
          <w:sz w:val="20"/>
        </w:rPr>
        <w:t>fuel</w:t>
      </w:r>
      <w:r>
        <w:rPr>
          <w:color w:val="231F20"/>
          <w:spacing w:val="-16"/>
          <w:sz w:val="20"/>
        </w:rPr>
        <w:t> </w:t>
      </w:r>
      <w:r>
        <w:rPr>
          <w:color w:val="231F20"/>
          <w:sz w:val="20"/>
        </w:rPr>
        <w:t>production,</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0" w:right="132"/>
      </w:pPr>
      <w:r>
        <w:rPr>
          <w:color w:val="231F20"/>
        </w:rPr>
        <w:t>transportation, taxes, and marketing; and (v) changes in exchange rates. The Company’s ability to react to fuel price volatility can also be affected by factors outside of its control. For example, the Company’s profitability is affected in part by Southwest’s and AirTran’s ability to increase fares in reaction to fuel price increases; however, fare increases are difficult to implement in difficult economic environments when low fares are often used to stimulate traffic. The ability to increase fares can also be limited by factors such as the historical low-fare reputation of both Southwest and AirTran, the portion of their Customer base that purchases travel for leisure purposes, the competitive nature of the airline industry generally, and the risk that higher fares will drive a decrease in</w:t>
      </w:r>
      <w:r>
        <w:rPr>
          <w:color w:val="231F20"/>
          <w:spacing w:val="1"/>
        </w:rPr>
        <w:t> </w:t>
      </w:r>
      <w:r>
        <w:rPr>
          <w:color w:val="231F20"/>
        </w:rPr>
        <w:t>demand.</w:t>
      </w:r>
    </w:p>
    <w:p>
      <w:pPr>
        <w:pStyle w:val="BodyText"/>
        <w:spacing w:line="249" w:lineRule="auto" w:before="145"/>
        <w:ind w:left="100" w:right="185" w:firstLine="490"/>
      </w:pPr>
      <w:r>
        <w:rPr>
          <w:color w:val="231F20"/>
        </w:rPr>
        <w:t>Jet fuel and oil consumed for 2012 and 2011 represented approximately 37 percent and 38 percent of the Company’s operating expenses, respectively, and constituted the largest expense incurred by the Company in both years. As a result, the price of fuel has impacted, and could continue to impact, the timing and nature of the Company’s growth plans and strategic initiatives.</w:t>
      </w:r>
    </w:p>
    <w:p>
      <w:pPr>
        <w:pStyle w:val="BodyText"/>
        <w:spacing w:line="249" w:lineRule="auto" w:before="145"/>
        <w:ind w:left="100" w:right="110" w:firstLine="490"/>
      </w:pPr>
      <w:r>
        <w:rPr>
          <w:color w:val="231F20"/>
        </w:rPr>
        <w:t>The Company purchases jet fuel at prevailing market prices, but seeks to protect against significant increases in fuel costs by entering into over-the-counter financial fuel derivative contracts. In addition, the Company enters into fuel derivative contracts in an effort to reduce volatility in its operating expenses. Because jet fuel is not widely traded on an organized futures exchange, there are limited opportunities to hedge directly in jet fuel.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 energy prices can fluctuate significantly in a relatively short amount of time, the Company is subject to the risk that the fuel derivatives it uses will not provide adequate protection against significant increases in fuel prices. In addition, the Company is subject to the risk that its fuel derivatives will not be effective or that they will no longer qualify for hedge accounting under applicable accounting standards. Adjustments in the Company’s overall fuel hedging strategy, as well as the ability of the commodities used in fuel hedging (principally crude oil, heating oil, and unleaded gasoline) to qualify for special hedge accounting, are likely to continue to affect the Company’s results of operations. In addition, there can be no assurance that the Company will be able to cost-effectively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 Statements.</w:t>
      </w:r>
    </w:p>
    <w:p>
      <w:pPr>
        <w:pStyle w:val="BodyText"/>
        <w:spacing w:line="249" w:lineRule="auto" w:before="145"/>
        <w:ind w:left="100" w:right="163"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w:t>
      </w:r>
    </w:p>
    <w:p>
      <w:pPr>
        <w:pStyle w:val="Heading4"/>
        <w:spacing w:line="249" w:lineRule="auto" w:before="145"/>
        <w:ind w:right="494"/>
      </w:pPr>
      <w:r>
        <w:rPr>
          <w:i/>
          <w:color w:val="231F20"/>
        </w:rPr>
        <w:t>The Company’s low-cost structure has historically been one of its primary competitive advantages, and </w:t>
      </w:r>
      <w:r>
        <w:rPr>
          <w:color w:val="231F20"/>
        </w:rPr>
        <w:t>many factors have affected and could continue to affect the Company’s ability to control its costs.</w:t>
      </w:r>
    </w:p>
    <w:p>
      <w:pPr>
        <w:pStyle w:val="BodyText"/>
        <w:spacing w:line="249" w:lineRule="auto" w:before="145"/>
        <w:ind w:left="100" w:right="291" w:firstLine="490"/>
      </w:pPr>
      <w:r>
        <w:rPr>
          <w:color w:val="231F20"/>
        </w:rPr>
        <w:t>The Company’s low-cost structure has historically been one of its primary competitive advantages, as it has enabled Southwest to historically offer low fares, drive traffic volume, and grow market share. The Company’s low-cost structure has become increasingly important as a result of the Company’s decision to control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w:t>
      </w:r>
    </w:p>
    <w:p>
      <w:pPr>
        <w:spacing w:after="0" w:line="249" w:lineRule="auto"/>
        <w:sectPr>
          <w:pgSz w:w="11880" w:h="15480"/>
          <w:pgMar w:header="0" w:footer="1253" w:top="1240" w:bottom="1440" w:left="1280" w:right="1280"/>
        </w:sectPr>
      </w:pPr>
    </w:p>
    <w:p>
      <w:pPr>
        <w:pStyle w:val="BodyText"/>
        <w:spacing w:line="249" w:lineRule="auto" w:before="73"/>
        <w:ind w:left="100" w:right="115" w:firstLine="490"/>
      </w:pPr>
      <w:r>
        <w:rPr>
          <w:color w:val="231F20"/>
        </w:rPr>
        <w:t>The Company has limited control over fuel and labor costs, as well as other costs such as regulatory compliance costs. Jet fuel and oil constituted approximately 37 percent of the Company’s operating expenses during 2012, and the cost of fuel is subject to the external factors discussed in the second Risk Factor above. Salaries, wages, and benefits constituted approximately 29 percent of the Company’s operating expenses during 2012. The Company’s ability to control labor costs is limited by the terms of its CBAs,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Furthermore, as indicated above under “Business-Employees,” a vast majority of Southwest’s unionized Employees, including those represented by Southwest’s five largest unions, have labor agreements that are either currently in negotiation or become amendable in 2013, which could continue to put pressure on the Company’s labor costs. In addition, the Company anticipates that the combination of the various Southwest and AirTran labor contracts and frontline workforces will increase AirTran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has resulted in increased landing fees and other costs for the Company. The Company is also reliant upon third party vendors and service providers, and its low-cost advantage is also dependent in part on its ability to obtain and maintain commercially reasonable terms with those</w:t>
      </w:r>
      <w:r>
        <w:rPr>
          <w:color w:val="231F20"/>
          <w:spacing w:val="2"/>
        </w:rPr>
        <w:t> </w:t>
      </w:r>
      <w:r>
        <w:rPr>
          <w:color w:val="231F20"/>
        </w:rPr>
        <w:t>parties.</w:t>
      </w:r>
    </w:p>
    <w:p>
      <w:pPr>
        <w:pStyle w:val="BodyText"/>
        <w:spacing w:line="249" w:lineRule="auto" w:before="181"/>
        <w:ind w:left="100" w:right="185" w:firstLine="49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an accident or other incident involving Southwest or AirTran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9" w:lineRule="auto" w:before="181"/>
        <w:ind w:left="100" w:right="134" w:firstLine="490"/>
      </w:pPr>
      <w:r>
        <w:rPr>
          <w:color w:val="231F20"/>
        </w:rPr>
        <w:t>The Company cannot guarantee it will be able to maintain or improve upon its current level of low-cost advantage. For example, the Company’s maintenance costs have increased with the aging of its fleet, which has required the Company to spend more to maintain a portion of its fleet and to implement a related fleet modernization and replacement plan. Further, some of the Company’s competitors have achieved substantially lower employee pay scales through bankruptcy than the Company. Additionally, in response to volatile fuel prices and economic uncertainty, some of the Company’s competitors have taken additional efficiency and cost reduction measures, such as capacity cuts and headcount reductions, which have reduced the Company’s cost advantage. Further, other competitors 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fleet simplification, better fuel efficiencies, and lower maintenance costs. Prior to the recent economic downturn, some of the Company’s competitors took advantage of reorganization in bankruptcy, and even the threat of bankruptcy, to decrease operating costs through renegotiated labor, supply, and financing agreements. Most recently, in November 2011, AMR Corporation, the parent company of American Airlines and American Eagle, sought bankruptcy protection through filing for Chapter 11 reorganization. In addition, some airlines have consolidated and reported significant expected cost synergies.</w:t>
      </w:r>
    </w:p>
    <w:p>
      <w:pPr>
        <w:pStyle w:val="Heading4"/>
        <w:spacing w:line="249" w:lineRule="auto" w:before="181"/>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81"/>
        <w:ind w:left="100" w:firstLine="490"/>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w:t>
      </w:r>
    </w:p>
    <w:p>
      <w:pPr>
        <w:spacing w:after="0" w:line="249" w:lineRule="auto"/>
        <w:sectPr>
          <w:pgSz w:w="11880" w:h="15480"/>
          <w:pgMar w:header="0" w:footer="1253" w:top="1240" w:bottom="1440" w:left="1280" w:right="1280"/>
        </w:sectPr>
      </w:pPr>
    </w:p>
    <w:p>
      <w:pPr>
        <w:pStyle w:val="BodyText"/>
        <w:spacing w:line="249" w:lineRule="auto" w:before="73"/>
        <w:ind w:left="100" w:right="196"/>
      </w:pPr>
      <w:r>
        <w:rPr>
          <w:color w:val="231F20"/>
        </w:rPr>
        <w:t>For example, the Company has implemented a new TRAX maintenance inventory management system and, as a result, is currently operating three maintenance inventory management systems. Concurrently operating three maintenance inventory management systems involves inherent risks, including certain operational and compliance risks; however, the Company believes it has designed and implemented controls to detect and mitigate such risks during this conversion process. The Company’s current plan is to transition its existing Southwest and AirTran systems over to the new TRAX system during 2013 and 2014. Additionally, the Company has completed the implementation of a new SAP Enterprise Resource Planning application, which has replaced several of the Company’s back office legacy systems, such as the general ledger, accounts payable, accounts receivable, payroll, benefits, cash management, and fixed asset systems.</w:t>
      </w:r>
    </w:p>
    <w:p>
      <w:pPr>
        <w:pStyle w:val="BodyText"/>
        <w:spacing w:before="4"/>
        <w:rPr>
          <w:sz w:val="17"/>
        </w:rPr>
      </w:pPr>
    </w:p>
    <w:p>
      <w:pPr>
        <w:pStyle w:val="BodyText"/>
        <w:spacing w:line="249" w:lineRule="auto"/>
        <w:ind w:left="100" w:right="174" w:firstLine="490"/>
      </w:pPr>
      <w:r>
        <w:rPr>
          <w:color w:val="231F20"/>
        </w:rPr>
        <w:t>The Company has also invested in significant technology changes to support other initiatives such as Southwest’s All-New Rapid Rewards frequent flyer program, introduction of the Boeing 737-800 to its fleet, enhanced southwest.com website, WiFi implementation, and live television connectivity. In addition, the Company needs new reservation system technology to support international itineraries, and has begun the international reservation system construction. The Company intends to continue to devote significant technology resources to implement connecting capabilities between the Southwest and AirTran reservations systems, to introduce the first phase of a new revenue management system, and to implement a new reservation system that will allow the Company to add international destinations and improve revenue management and Customer Service functionality.</w:t>
      </w:r>
    </w:p>
    <w:p>
      <w:pPr>
        <w:pStyle w:val="BodyText"/>
        <w:spacing w:before="4"/>
        <w:rPr>
          <w:sz w:val="17"/>
        </w:rPr>
      </w:pPr>
    </w:p>
    <w:p>
      <w:pPr>
        <w:pStyle w:val="BodyText"/>
        <w:spacing w:line="249" w:lineRule="auto"/>
        <w:ind w:left="100" w:right="101" w:firstLine="490"/>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before="4"/>
        <w:rPr>
          <w:sz w:val="17"/>
        </w:rPr>
      </w:pPr>
    </w:p>
    <w:p>
      <w:pPr>
        <w:pStyle w:val="BodyText"/>
        <w:spacing w:line="249" w:lineRule="auto"/>
        <w:ind w:left="100" w:right="130"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the Company was required to invest in the redesign of the southwest.com and airtran.com websites in order to comply with the DOT’s full-fare advertising rule that went into effect in January 2012. Modifications and refinements to the Company’s systems may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before="4"/>
        <w:rPr>
          <w:sz w:val="17"/>
        </w:rPr>
      </w:pPr>
    </w:p>
    <w:p>
      <w:pPr>
        <w:pStyle w:val="BodyText"/>
        <w:spacing w:line="249" w:lineRule="auto"/>
        <w:ind w:left="100" w:right="103"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6"/>
        </w:rPr>
        <w:t> </w:t>
      </w:r>
      <w:r>
        <w:rPr>
          <w:color w:val="231F20"/>
        </w:rPr>
        <w:t>remedy.</w:t>
      </w:r>
    </w:p>
    <w:p>
      <w:pPr>
        <w:pStyle w:val="BodyText"/>
        <w:spacing w:before="4"/>
        <w:rPr>
          <w:sz w:val="17"/>
        </w:rPr>
      </w:pPr>
    </w:p>
    <w:p>
      <w:pPr>
        <w:pStyle w:val="Heading4"/>
        <w:spacing w:line="249" w:lineRule="auto"/>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 or if the Company were unable to employ sufficient numbers of qualified Employees to maintain its operations.</w:t>
      </w:r>
    </w:p>
    <w:p>
      <w:pPr>
        <w:pStyle w:val="BodyText"/>
        <w:spacing w:before="4"/>
        <w:rPr>
          <w:b/>
          <w:i/>
          <w:sz w:val="17"/>
        </w:rPr>
      </w:pPr>
    </w:p>
    <w:p>
      <w:pPr>
        <w:pStyle w:val="BodyText"/>
        <w:spacing w:line="249" w:lineRule="auto"/>
        <w:ind w:left="100" w:right="223" w:firstLine="490"/>
      </w:pPr>
      <w:r>
        <w:rPr>
          <w:color w:val="231F20"/>
        </w:rPr>
        <w:t>The airline business is labor intensive. Salaries, wages, and benefits represented approximately 29 percent of the Company’s operating expenses for the year ended December 31, 2012. In addition, as of December 31,</w:t>
      </w:r>
    </w:p>
    <w:p>
      <w:pPr>
        <w:spacing w:after="0" w:line="249" w:lineRule="auto"/>
        <w:sectPr>
          <w:pgSz w:w="11880" w:h="15480"/>
          <w:pgMar w:header="0" w:footer="1253" w:top="1240" w:bottom="1440" w:left="1280" w:right="1280"/>
        </w:sectPr>
      </w:pPr>
    </w:p>
    <w:p>
      <w:pPr>
        <w:pStyle w:val="BodyText"/>
        <w:spacing w:line="249" w:lineRule="auto" w:before="73"/>
        <w:ind w:left="100" w:right="107"/>
      </w:pPr>
      <w:r>
        <w:rPr>
          <w:color w:val="231F20"/>
        </w:rPr>
        <w:t>2012, approximately 83 percent of the Company’s Employees (including AirTran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 vast majority of Southwest’s unionized Employees, including those represented by Southwest’s five largest unions, have labor agreements that are either currently in negotiations or become amendable in 2013, which could further impact the Company’s labor costs. Increasing labor costs, whether or not combined with curtailed growth, could negatively impact the Company’s competitive</w:t>
      </w:r>
      <w:r>
        <w:rPr>
          <w:color w:val="231F20"/>
          <w:spacing w:val="3"/>
        </w:rPr>
        <w:t> </w:t>
      </w:r>
      <w:r>
        <w:rPr>
          <w:color w:val="231F20"/>
        </w:rPr>
        <w:t>position.</w:t>
      </w:r>
    </w:p>
    <w:p>
      <w:pPr>
        <w:pStyle w:val="BodyText"/>
        <w:spacing w:line="249" w:lineRule="auto" w:before="172"/>
        <w:ind w:left="100" w:right="256" w:firstLine="490"/>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may adversely affect the Company’s operations.</w:t>
      </w:r>
    </w:p>
    <w:p>
      <w:pPr>
        <w:pStyle w:val="Heading4"/>
        <w:spacing w:line="249" w:lineRule="auto" w:before="172"/>
        <w:ind w:right="151"/>
        <w:jc w:val="both"/>
      </w:pPr>
      <w:r>
        <w:rPr>
          <w:i/>
          <w:color w:val="231F20"/>
        </w:rPr>
        <w:t>The Company may be unable to successfully complete the integration of AirTran’s business and realize the </w:t>
      </w:r>
      <w:r>
        <w:rPr>
          <w:color w:val="231F20"/>
        </w:rPr>
        <w:t>anticipated 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4"/>
        <w:spacing w:line="249" w:lineRule="auto" w:before="172"/>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72"/>
        <w:ind w:left="100" w:right="175" w:firstLine="490"/>
      </w:pPr>
      <w:r>
        <w:rPr>
          <w:color w:val="231F20"/>
        </w:rPr>
        <w:t>The Company is dependent on Boeing as its sole supplier for aircraft and many of its aircraft parts and is dependent on other suppliers for certain other aircraft parts. In 2011, the Company announced its commitment to purchase a significant number of additional Boeing aircraft. Although the Company is able to purchase some aircraft from parties other than Boeing, most of its purchases are directly from Boeing. Therefore, if the Company were unable to acquire additional aircraft from Boeing, or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In order to enable Southwest to sustain the benefits associated with operating a single aircraft type, in July 2012 the Company entered into an agreement with Delta Air Lines, Inc. and Boeing Capital Corp. to lease or sublease all 88 of AirTran’s Boeing 717-200 aircraft to Delta. Deliveries to Delta are expected to begin in August 2013 at the rate of approximately three aircraft per month.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pStyle w:val="Heading4"/>
        <w:spacing w:line="249" w:lineRule="auto" w:before="172"/>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72"/>
        <w:ind w:left="100" w:right="717"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w:t>
      </w:r>
    </w:p>
    <w:p>
      <w:pPr>
        <w:spacing w:after="0" w:line="249" w:lineRule="auto"/>
        <w:sectPr>
          <w:pgSz w:w="11880" w:h="15480"/>
          <w:pgMar w:header="0" w:footer="1253" w:top="1240" w:bottom="1440" w:left="1280" w:right="1280"/>
        </w:sectPr>
      </w:pPr>
    </w:p>
    <w:p>
      <w:pPr>
        <w:pStyle w:val="BodyText"/>
        <w:spacing w:line="249" w:lineRule="auto" w:before="73"/>
        <w:ind w:left="100" w:right="127"/>
      </w:pPr>
      <w:r>
        <w:rPr>
          <w:color w:val="231F20"/>
        </w:rPr>
        <w:t>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5"/>
        </w:rPr>
        <w:t> </w:t>
      </w:r>
      <w:r>
        <w:rPr>
          <w:color w:val="231F20"/>
        </w:rPr>
        <w:t>Company.</w:t>
      </w:r>
    </w:p>
    <w:p>
      <w:pPr>
        <w:pStyle w:val="BodyText"/>
        <w:spacing w:before="4"/>
        <w:rPr>
          <w:sz w:val="17"/>
        </w:rPr>
      </w:pPr>
    </w:p>
    <w:p>
      <w:pPr>
        <w:pStyle w:val="Heading4"/>
        <w:spacing w:line="249" w:lineRule="auto"/>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before="4"/>
        <w:rPr>
          <w:b/>
          <w:i/>
          <w:sz w:val="17"/>
        </w:rPr>
      </w:pPr>
    </w:p>
    <w:p>
      <w:pPr>
        <w:pStyle w:val="BodyText"/>
        <w:spacing w:line="249" w:lineRule="auto"/>
        <w:ind w:left="100" w:right="101" w:firstLine="490"/>
      </w:pPr>
      <w:r>
        <w:rPr>
          <w:color w:val="231F20"/>
        </w:rPr>
        <w:t>Southwest has historically been regarded as a growth airline; however, the combination of a difficult economic environment and growing jet fuel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operations; and (iii) 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 term.</w:t>
      </w:r>
    </w:p>
    <w:p>
      <w:pPr>
        <w:pStyle w:val="BodyText"/>
        <w:spacing w:before="4"/>
        <w:rPr>
          <w:sz w:val="17"/>
        </w:rPr>
      </w:pPr>
    </w:p>
    <w:p>
      <w:pPr>
        <w:pStyle w:val="Heading4"/>
        <w:spacing w:line="249" w:lineRule="auto"/>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before="4"/>
        <w:rPr>
          <w:b/>
          <w:i/>
          <w:sz w:val="17"/>
        </w:rPr>
      </w:pPr>
    </w:p>
    <w:p>
      <w:pPr>
        <w:pStyle w:val="BodyText"/>
        <w:spacing w:line="249" w:lineRule="auto"/>
        <w:ind w:left="100" w:right="103" w:firstLine="490"/>
      </w:pPr>
      <w:r>
        <w:rPr>
          <w:color w:val="231F20"/>
        </w:rPr>
        <w:t>During 2009, the Company’s credit ratings were pressured by weak industry revenue and an extraordinarily volatile fuel price environment. During 2011, the Company’s credit ratings were pressured in connection with its acquisition of AirTran.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w:t>
      </w:r>
      <w:r>
        <w:rPr>
          <w:color w:val="231F20"/>
          <w:spacing w:val="9"/>
        </w:rPr>
        <w:t> </w:t>
      </w:r>
      <w:r>
        <w:rPr>
          <w:color w:val="231F20"/>
        </w:rPr>
        <w:t>Risk.”</w:t>
      </w:r>
    </w:p>
    <w:p>
      <w:pPr>
        <w:pStyle w:val="BodyText"/>
        <w:spacing w:before="4"/>
        <w:rPr>
          <w:sz w:val="17"/>
        </w:rPr>
      </w:pPr>
    </w:p>
    <w:p>
      <w:pPr>
        <w:pStyle w:val="Heading4"/>
        <w:spacing w:line="249" w:lineRule="auto"/>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before="4"/>
        <w:rPr>
          <w:b/>
          <w:i/>
          <w:sz w:val="17"/>
        </w:rPr>
      </w:pPr>
    </w:p>
    <w:p>
      <w:pPr>
        <w:pStyle w:val="BodyText"/>
        <w:spacing w:line="249" w:lineRule="auto"/>
        <w:ind w:left="100" w:right="252" w:firstLine="490"/>
      </w:pPr>
      <w:r>
        <w:rPr>
          <w:color w:val="231F20"/>
        </w:rPr>
        <w:t>Terrorist attacks and threatened attacks have from time to time materially adversely affected the demand for air travel and have also resulted in increased safety and security costs for the Company and the airline industry generally. Safety measures create delays and inconveniences and can, in particular, reduce the</w:t>
      </w:r>
    </w:p>
    <w:p>
      <w:pPr>
        <w:spacing w:after="0" w:line="249" w:lineRule="auto"/>
        <w:sectPr>
          <w:pgSz w:w="11880" w:h="15480"/>
          <w:pgMar w:header="0" w:footer="1253" w:top="1240" w:bottom="1440" w:left="1280" w:right="1280"/>
        </w:sectPr>
      </w:pPr>
    </w:p>
    <w:p>
      <w:pPr>
        <w:pStyle w:val="BodyText"/>
        <w:spacing w:line="249" w:lineRule="auto" w:before="73"/>
        <w:ind w:left="100" w:right="185"/>
      </w:pPr>
      <w:r>
        <w:rPr>
          <w:color w:val="231F20"/>
        </w:rPr>
        <w:t>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pStyle w:val="Heading4"/>
        <w:spacing w:line="249" w:lineRule="auto" w:before="181"/>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81"/>
        <w:ind w:left="100" w:right="110"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7"/>
        </w:rPr>
        <w:t> </w:t>
      </w:r>
      <w:r>
        <w:rPr>
          <w:color w:val="231F20"/>
        </w:rPr>
        <w:t>to:</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limitations on airport gate capacity or use of other airport</w:t>
      </w:r>
      <w:r>
        <w:rPr>
          <w:color w:val="231F20"/>
          <w:spacing w:val="8"/>
          <w:sz w:val="20"/>
        </w:rPr>
        <w:t> </w:t>
      </w:r>
      <w:r>
        <w:rPr>
          <w:color w:val="231F20"/>
          <w:sz w:val="20"/>
        </w:rPr>
        <w:t>facilities;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actions and decisions that create difficulties in obtaining operating permits and</w:t>
      </w:r>
      <w:r>
        <w:rPr>
          <w:color w:val="231F20"/>
          <w:spacing w:val="12"/>
          <w:sz w:val="20"/>
        </w:rPr>
        <w:t> </w:t>
      </w:r>
      <w:r>
        <w:rPr>
          <w:color w:val="231F20"/>
          <w:sz w:val="20"/>
        </w:rPr>
        <w:t>approvals;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new or increased taxes;</w:t>
      </w:r>
    </w:p>
    <w:p>
      <w:pPr>
        <w:pStyle w:val="ListParagraph"/>
        <w:numPr>
          <w:ilvl w:val="1"/>
          <w:numId w:val="6"/>
        </w:numPr>
        <w:tabs>
          <w:tab w:pos="1077" w:val="left" w:leader="none"/>
          <w:tab w:pos="1078" w:val="left" w:leader="none"/>
        </w:tabs>
        <w:spacing w:line="249" w:lineRule="auto" w:before="190"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6"/>
        </w:numPr>
        <w:tabs>
          <w:tab w:pos="1077" w:val="left" w:leader="none"/>
          <w:tab w:pos="1078" w:val="left" w:leader="none"/>
        </w:tabs>
        <w:spacing w:line="249" w:lineRule="auto" w:before="190" w:after="0"/>
        <w:ind w:left="1078" w:right="683" w:hanging="366"/>
        <w:jc w:val="left"/>
        <w:rPr>
          <w:sz w:val="20"/>
        </w:rPr>
      </w:pPr>
      <w:r>
        <w:rPr>
          <w:color w:val="231F20"/>
          <w:sz w:val="20"/>
        </w:rPr>
        <w:t>changes in laws that increase costs for safety, security, compliance, or other Customer Service standards;</w:t>
      </w:r>
    </w:p>
    <w:p>
      <w:pPr>
        <w:pStyle w:val="ListParagraph"/>
        <w:numPr>
          <w:ilvl w:val="1"/>
          <w:numId w:val="6"/>
        </w:numPr>
        <w:tabs>
          <w:tab w:pos="1077" w:val="left" w:leader="none"/>
          <w:tab w:pos="1078" w:val="left" w:leader="none"/>
        </w:tabs>
        <w:spacing w:line="249" w:lineRule="auto" w:before="181" w:after="0"/>
        <w:ind w:left="1078" w:right="132" w:hanging="366"/>
        <w:jc w:val="left"/>
        <w:rPr>
          <w:sz w:val="20"/>
        </w:rPr>
      </w:pPr>
      <w:r>
        <w:rPr>
          <w:color w:val="231F20"/>
          <w:sz w:val="20"/>
        </w:rPr>
        <w:t>changes in laws that may limit or regulate the Company’s ability to promote the Company’s business or fares, such as the DOT’s full-fare advertising rule discussed above under “Business — Regulation”;</w:t>
      </w:r>
      <w:r>
        <w:rPr>
          <w:color w:val="231F20"/>
          <w:spacing w:val="1"/>
          <w:sz w:val="20"/>
        </w:rPr>
        <w:t> </w:t>
      </w:r>
      <w:r>
        <w:rPr>
          <w:color w:val="231F20"/>
          <w:sz w:val="20"/>
        </w:rPr>
        <w:t>and</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90"/>
        <w:ind w:left="100" w:right="329"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9" w:lineRule="auto"/>
        <w:sectPr>
          <w:pgSz w:w="11880" w:h="15480"/>
          <w:pgMar w:header="0" w:footer="1253" w:top="1240" w:bottom="1440" w:left="1280" w:right="1280"/>
        </w:sectPr>
      </w:pPr>
    </w:p>
    <w:p>
      <w:pPr>
        <w:pStyle w:val="Heading4"/>
        <w:spacing w:line="249" w:lineRule="auto" w:before="73"/>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65"/>
        <w:ind w:left="100" w:right="198" w:firstLine="40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actual or potential disruptions in the air traffic control</w:t>
      </w:r>
      <w:r>
        <w:rPr>
          <w:color w:val="231F20"/>
          <w:spacing w:val="9"/>
          <w:sz w:val="20"/>
        </w:rPr>
        <w:t> </w:t>
      </w:r>
      <w:r>
        <w:rPr>
          <w:color w:val="231F20"/>
          <w:sz w:val="20"/>
        </w:rPr>
        <w:t>system;</w:t>
      </w:r>
    </w:p>
    <w:p>
      <w:pPr>
        <w:pStyle w:val="ListParagraph"/>
        <w:numPr>
          <w:ilvl w:val="1"/>
          <w:numId w:val="6"/>
        </w:numPr>
        <w:tabs>
          <w:tab w:pos="1077" w:val="left" w:leader="none"/>
          <w:tab w:pos="1078" w:val="left" w:leader="none"/>
        </w:tabs>
        <w:spacing w:line="249" w:lineRule="auto" w:before="173"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6"/>
        </w:numPr>
        <w:tabs>
          <w:tab w:pos="1077" w:val="left" w:leader="none"/>
          <w:tab w:pos="1078" w:val="left" w:leader="none"/>
        </w:tabs>
        <w:spacing w:line="240" w:lineRule="auto" w:before="174"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4"/>
        <w:spacing w:before="174"/>
        <w:jc w:val="both"/>
        <w:rPr>
          <w:i/>
        </w:rPr>
      </w:pPr>
      <w:r>
        <w:rPr>
          <w:i/>
          <w:color w:val="231F20"/>
        </w:rPr>
        <w:t>The airline industry is intensely competitive.</w:t>
      </w:r>
    </w:p>
    <w:p>
      <w:pPr>
        <w:pStyle w:val="BodyText"/>
        <w:spacing w:line="249" w:lineRule="auto" w:before="174"/>
        <w:ind w:left="100" w:firstLine="490"/>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 activities.</w:t>
      </w:r>
    </w:p>
    <w:p>
      <w:pPr>
        <w:pStyle w:val="Heading3"/>
        <w:spacing w:before="165"/>
        <w:ind w:left="83" w:right="2420"/>
        <w:jc w:val="center"/>
      </w:pPr>
      <w:r>
        <w:rPr>
          <w:color w:val="231F20"/>
        </w:rPr>
        <w:t>Risk Factors Related to the Company’s Acquisition and Integration of AirTran</w:t>
      </w:r>
    </w:p>
    <w:p>
      <w:pPr>
        <w:pStyle w:val="Heading4"/>
        <w:spacing w:line="249" w:lineRule="auto" w:before="174"/>
        <w:ind w:right="240"/>
        <w:jc w:val="both"/>
      </w:pPr>
      <w:r>
        <w:rPr>
          <w:i/>
          <w:color w:val="231F20"/>
        </w:rPr>
        <w:t>The Company may be unable to effectively complete the integration of AirTran’s business and realize the </w:t>
      </w:r>
      <w:r>
        <w:rPr>
          <w:color w:val="231F20"/>
        </w:rPr>
        <w:t>anticipated benefits of the acquisition. In addition, delays in integration could cause anticipated synergies to take longer to realize than currently anticipated.</w:t>
      </w:r>
    </w:p>
    <w:p>
      <w:pPr>
        <w:pStyle w:val="BodyText"/>
        <w:spacing w:line="249" w:lineRule="auto" w:before="165"/>
        <w:ind w:left="100" w:right="249" w:firstLine="40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1"/>
          <w:numId w:val="6"/>
        </w:numPr>
        <w:tabs>
          <w:tab w:pos="1077" w:val="left" w:leader="none"/>
          <w:tab w:pos="1078" w:val="left" w:leader="none"/>
        </w:tabs>
        <w:spacing w:line="249" w:lineRule="auto" w:before="165" w:after="0"/>
        <w:ind w:left="1078" w:right="117" w:hanging="366"/>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1"/>
          <w:numId w:val="6"/>
        </w:numPr>
        <w:tabs>
          <w:tab w:pos="1077" w:val="left" w:leader="none"/>
          <w:tab w:pos="1078" w:val="left" w:leader="none"/>
        </w:tabs>
        <w:spacing w:line="249" w:lineRule="auto" w:before="165" w:after="0"/>
        <w:ind w:left="1078" w:right="595" w:hanging="366"/>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pacing w:val="-3"/>
          <w:sz w:val="20"/>
        </w:rPr>
        <w:t>the</w:t>
      </w:r>
      <w:r>
        <w:rPr>
          <w:color w:val="231F20"/>
          <w:spacing w:val="-7"/>
          <w:sz w:val="20"/>
        </w:rPr>
        <w:t> </w:t>
      </w:r>
      <w:r>
        <w:rPr>
          <w:color w:val="231F20"/>
          <w:spacing w:val="-4"/>
          <w:sz w:val="20"/>
        </w:rPr>
        <w:t>challenges</w:t>
      </w:r>
      <w:r>
        <w:rPr>
          <w:color w:val="231F20"/>
          <w:spacing w:val="-7"/>
          <w:sz w:val="20"/>
        </w:rPr>
        <w:t> </w:t>
      </w:r>
      <w:r>
        <w:rPr>
          <w:color w:val="231F20"/>
          <w:spacing w:val="-4"/>
          <w:sz w:val="20"/>
        </w:rPr>
        <w:t>currently</w:t>
      </w:r>
      <w:r>
        <w:rPr>
          <w:color w:val="231F20"/>
          <w:spacing w:val="-7"/>
          <w:sz w:val="20"/>
        </w:rPr>
        <w:t> </w:t>
      </w:r>
      <w:r>
        <w:rPr>
          <w:color w:val="231F20"/>
          <w:spacing w:val="-4"/>
          <w:sz w:val="20"/>
        </w:rPr>
        <w:t>associated</w:t>
      </w:r>
      <w:r>
        <w:rPr>
          <w:color w:val="231F20"/>
          <w:spacing w:val="-7"/>
          <w:sz w:val="20"/>
        </w:rPr>
        <w:t> </w:t>
      </w:r>
      <w:r>
        <w:rPr>
          <w:color w:val="231F20"/>
          <w:spacing w:val="-3"/>
          <w:sz w:val="20"/>
        </w:rPr>
        <w:t>with</w:t>
      </w:r>
      <w:r>
        <w:rPr>
          <w:color w:val="231F20"/>
          <w:spacing w:val="-7"/>
          <w:sz w:val="20"/>
        </w:rPr>
        <w:t> </w:t>
      </w:r>
      <w:r>
        <w:rPr>
          <w:color w:val="231F20"/>
          <w:spacing w:val="-4"/>
          <w:sz w:val="20"/>
        </w:rPr>
        <w:t>operating</w:t>
      </w:r>
      <w:r>
        <w:rPr>
          <w:color w:val="231F20"/>
          <w:spacing w:val="-7"/>
          <w:sz w:val="20"/>
        </w:rPr>
        <w:t> </w:t>
      </w:r>
      <w:r>
        <w:rPr>
          <w:color w:val="231F20"/>
          <w:sz w:val="20"/>
        </w:rPr>
        <w:t>an</w:t>
      </w:r>
      <w:r>
        <w:rPr>
          <w:color w:val="231F20"/>
          <w:spacing w:val="-7"/>
          <w:sz w:val="20"/>
        </w:rPr>
        <w:t> </w:t>
      </w:r>
      <w:r>
        <w:rPr>
          <w:color w:val="231F20"/>
          <w:spacing w:val="-4"/>
          <w:sz w:val="20"/>
        </w:rPr>
        <w:t>aircraft</w:t>
      </w:r>
      <w:r>
        <w:rPr>
          <w:color w:val="231F20"/>
          <w:spacing w:val="-7"/>
          <w:sz w:val="20"/>
        </w:rPr>
        <w:t> </w:t>
      </w:r>
      <w:r>
        <w:rPr>
          <w:color w:val="231F20"/>
          <w:spacing w:val="-3"/>
          <w:sz w:val="20"/>
        </w:rPr>
        <w:t>type</w:t>
      </w:r>
      <w:r>
        <w:rPr>
          <w:color w:val="231F20"/>
          <w:spacing w:val="-7"/>
          <w:sz w:val="20"/>
        </w:rPr>
        <w:t> </w:t>
      </w:r>
      <w:r>
        <w:rPr>
          <w:color w:val="231F20"/>
          <w:spacing w:val="-3"/>
          <w:sz w:val="20"/>
        </w:rPr>
        <w:t>new</w:t>
      </w:r>
      <w:r>
        <w:rPr>
          <w:color w:val="231F20"/>
          <w:spacing w:val="-8"/>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Company,</w:t>
      </w:r>
      <w:r>
        <w:rPr>
          <w:color w:val="231F20"/>
          <w:spacing w:val="-7"/>
          <w:sz w:val="20"/>
        </w:rPr>
        <w:t> </w:t>
      </w:r>
      <w:r>
        <w:rPr>
          <w:color w:val="231F20"/>
          <w:spacing w:val="-3"/>
          <w:sz w:val="20"/>
        </w:rPr>
        <w:t>the</w:t>
      </w:r>
      <w:r>
        <w:rPr>
          <w:color w:val="231F20"/>
          <w:spacing w:val="-7"/>
          <w:sz w:val="20"/>
        </w:rPr>
        <w:t> </w:t>
      </w:r>
      <w:r>
        <w:rPr>
          <w:color w:val="231F20"/>
          <w:spacing w:val="-4"/>
          <w:sz w:val="20"/>
        </w:rPr>
        <w:t>Boeing</w:t>
      </w:r>
      <w:r>
        <w:rPr>
          <w:color w:val="231F20"/>
          <w:spacing w:val="-7"/>
          <w:sz w:val="20"/>
        </w:rPr>
        <w:t> </w:t>
      </w:r>
      <w:r>
        <w:rPr>
          <w:color w:val="231F20"/>
          <w:spacing w:val="-4"/>
          <w:sz w:val="20"/>
        </w:rPr>
        <w:t>717;</w:t>
      </w:r>
    </w:p>
    <w:p>
      <w:pPr>
        <w:pStyle w:val="ListParagraph"/>
        <w:numPr>
          <w:ilvl w:val="1"/>
          <w:numId w:val="6"/>
        </w:numPr>
        <w:tabs>
          <w:tab w:pos="1077" w:val="left" w:leader="none"/>
          <w:tab w:pos="1078" w:val="left" w:leader="none"/>
        </w:tabs>
        <w:spacing w:line="240" w:lineRule="auto" w:before="174" w:after="0"/>
        <w:ind w:left="1078" w:right="0" w:hanging="366"/>
        <w:jc w:val="left"/>
        <w:rPr>
          <w:sz w:val="20"/>
        </w:rPr>
      </w:pPr>
      <w:r>
        <w:rPr>
          <w:color w:val="231F20"/>
          <w:sz w:val="20"/>
        </w:rPr>
        <w:t>the challenges associated with an expanded or new presence in more congested airports and</w:t>
      </w:r>
      <w:r>
        <w:rPr>
          <w:color w:val="231F20"/>
          <w:spacing w:val="7"/>
          <w:sz w:val="20"/>
        </w:rPr>
        <w:t> </w:t>
      </w:r>
      <w:r>
        <w:rPr>
          <w:color w:val="231F20"/>
          <w:sz w:val="20"/>
        </w:rPr>
        <w:t>markets;</w:t>
      </w:r>
    </w:p>
    <w:p>
      <w:pPr>
        <w:pStyle w:val="ListParagraph"/>
        <w:numPr>
          <w:ilvl w:val="1"/>
          <w:numId w:val="6"/>
        </w:numPr>
        <w:tabs>
          <w:tab w:pos="1077" w:val="left" w:leader="none"/>
          <w:tab w:pos="1078" w:val="left" w:leader="none"/>
        </w:tabs>
        <w:spacing w:line="249" w:lineRule="auto" w:before="174" w:after="0"/>
        <w:ind w:left="1078" w:right="168" w:hanging="366"/>
        <w:jc w:val="left"/>
        <w:rPr>
          <w:sz w:val="20"/>
        </w:rPr>
      </w:pPr>
      <w:r>
        <w:rPr>
          <w:color w:val="231F20"/>
          <w:sz w:val="20"/>
        </w:rPr>
        <w:t>the challenges associated with new international operations, including compliance with international laws;</w:t>
      </w:r>
    </w:p>
    <w:p>
      <w:pPr>
        <w:pStyle w:val="ListParagraph"/>
        <w:numPr>
          <w:ilvl w:val="1"/>
          <w:numId w:val="6"/>
        </w:numPr>
        <w:tabs>
          <w:tab w:pos="1077" w:val="left" w:leader="none"/>
          <w:tab w:pos="1078" w:val="left" w:leader="none"/>
        </w:tabs>
        <w:spacing w:line="249" w:lineRule="auto" w:before="165" w:after="0"/>
        <w:ind w:left="1078" w:right="227" w:hanging="366"/>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spacing w:after="0" w:line="249" w:lineRule="auto"/>
        <w:jc w:val="left"/>
        <w:rPr>
          <w:sz w:val="20"/>
        </w:rPr>
        <w:sectPr>
          <w:pgSz w:w="11880" w:h="15480"/>
          <w:pgMar w:header="0" w:footer="1253" w:top="1240" w:bottom="1440" w:left="1280" w:right="1300"/>
        </w:sectPr>
      </w:pPr>
    </w:p>
    <w:p>
      <w:pPr>
        <w:pStyle w:val="ListParagraph"/>
        <w:numPr>
          <w:ilvl w:val="1"/>
          <w:numId w:val="6"/>
        </w:numPr>
        <w:tabs>
          <w:tab w:pos="1078" w:val="left" w:leader="none"/>
        </w:tabs>
        <w:spacing w:line="249" w:lineRule="auto" w:before="73" w:after="0"/>
        <w:ind w:left="1078" w:right="521" w:hanging="366"/>
        <w:jc w:val="both"/>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1"/>
          <w:numId w:val="6"/>
        </w:numPr>
        <w:tabs>
          <w:tab w:pos="1078" w:val="left" w:leader="none"/>
        </w:tabs>
        <w:spacing w:line="249" w:lineRule="auto" w:before="181" w:after="0"/>
        <w:ind w:left="1078" w:right="590" w:hanging="366"/>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81"/>
        <w:ind w:left="100" w:right="356"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w:t>
      </w:r>
    </w:p>
    <w:p>
      <w:pPr>
        <w:pStyle w:val="Heading4"/>
        <w:spacing w:before="181"/>
        <w:rPr>
          <w:i/>
        </w:rPr>
      </w:pPr>
      <w:r>
        <w:rPr>
          <w:i/>
          <w:color w:val="231F20"/>
        </w:rPr>
        <w:t>The Company’s future results will suffer if it does not effectively manage its expanded operations.</w:t>
      </w:r>
    </w:p>
    <w:p>
      <w:pPr>
        <w:pStyle w:val="BodyText"/>
        <w:spacing w:line="249" w:lineRule="auto" w:before="190"/>
        <w:ind w:left="100" w:right="27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acquisition.</w:t>
      </w:r>
    </w:p>
    <w:p>
      <w:pPr>
        <w:pStyle w:val="Heading4"/>
        <w:spacing w:line="249" w:lineRule="auto" w:before="181"/>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line="249" w:lineRule="auto" w:before="181"/>
        <w:ind w:left="100" w:right="113" w:firstLine="490"/>
      </w:pPr>
      <w:r>
        <w:rPr>
          <w:color w:val="231F20"/>
        </w:rPr>
        <w:t>The successful integration of AirTran and achievement of the anticipated benefits of the acquisition depend significantly on integrating AirTran’s Employees into the Company and on maintaining productive Employee relations. Failure to do so presents the potential for (i) delays in achieving expected synergies and other benefits of integration or (ii) labor disputes that could adversely affect the Company’s operations and costs. In addition, disputes regarding the integration of AirTran Employees could negatively affect the Company’s historically positive Employee culture.</w:t>
      </w:r>
    </w:p>
    <w:p>
      <w:pPr>
        <w:pStyle w:val="BodyText"/>
        <w:spacing w:line="249" w:lineRule="auto" w:before="181"/>
        <w:ind w:left="100" w:right="241" w:firstLine="490"/>
      </w:pPr>
      <w:r>
        <w:rPr>
          <w:color w:val="231F20"/>
        </w:rPr>
        <w:t>Pending operational integration of AirTran with the Company, it will be necessary to maintain a “fence” between Southwest and AirTran Employee groups subject to CBAs, during which time the Company and AirTran will continue to keep the Employee groups separate, each applying the terms of its own existing CBAs, unless other terms have been negotiated.</w:t>
      </w:r>
    </w:p>
    <w:p>
      <w:pPr>
        <w:pStyle w:val="Heading4"/>
        <w:spacing w:line="249" w:lineRule="auto" w:before="181"/>
        <w:ind w:right="677"/>
      </w:pPr>
      <w:r>
        <w:rPr>
          <w:i/>
          <w:color w:val="231F20"/>
        </w:rPr>
        <w:t>The Company is expected to continue to incur substantial expenses related to the acquisition and the </w:t>
      </w:r>
      <w:r>
        <w:rPr>
          <w:color w:val="231F20"/>
        </w:rPr>
        <w:t>integration of AirTran’s business.</w:t>
      </w:r>
    </w:p>
    <w:p>
      <w:pPr>
        <w:pStyle w:val="BodyText"/>
        <w:spacing w:line="249" w:lineRule="auto" w:before="181"/>
        <w:ind w:left="100" w:right="145" w:firstLine="490"/>
      </w:pPr>
      <w:r>
        <w:rPr>
          <w:color w:val="231F20"/>
        </w:rPr>
        <w:t>The Company is expected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w:t>
      </w:r>
    </w:p>
    <w:p>
      <w:pPr>
        <w:pStyle w:val="BodyText"/>
        <w:spacing w:line="249" w:lineRule="auto" w:before="1"/>
        <w:ind w:left="100" w:right="101"/>
      </w:pPr>
      <w:r>
        <w:rPr>
          <w:color w:val="231F20"/>
        </w:rPr>
        <w:t>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 cost savings. These integration expenses likely will continue to result in the Company taking significant charges against earnings in future periods, and the amount and timing of such charges are uncertain at present.</w:t>
      </w:r>
    </w:p>
    <w:p>
      <w:pPr>
        <w:spacing w:after="0" w:line="249" w:lineRule="auto"/>
        <w:sectPr>
          <w:pgSz w:w="11880" w:h="15480"/>
          <w:pgMar w:header="0" w:footer="1253" w:top="1240" w:bottom="1440" w:left="1280" w:right="1280"/>
        </w:sectPr>
      </w:pPr>
    </w:p>
    <w:p>
      <w:pPr>
        <w:pStyle w:val="Heading4"/>
        <w:spacing w:line="249" w:lineRule="auto" w:before="73"/>
        <w:ind w:right="294"/>
      </w:pPr>
      <w:r>
        <w:rPr>
          <w:i/>
          <w:color w:val="231F20"/>
        </w:rPr>
        <w:t>The Company’s operations may be adversely affected by its expansion into non-U.S. jurisdictions and the </w:t>
      </w:r>
      <w:r>
        <w:rPr>
          <w:color w:val="231F20"/>
        </w:rPr>
        <w:t>related increase in laws to which it is subject.</w:t>
      </w:r>
    </w:p>
    <w:p>
      <w:pPr>
        <w:pStyle w:val="BodyText"/>
        <w:spacing w:line="249" w:lineRule="auto" w:before="172"/>
        <w:ind w:left="100" w:right="131" w:firstLine="490"/>
      </w:pPr>
      <w:r>
        <w:rPr>
          <w:color w:val="231F20"/>
        </w:rPr>
        <w:t>The Company’s expansion, through AirTran,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1"/>
        </w:rPr>
        <w:t> </w:t>
      </w:r>
      <w:r>
        <w:rPr>
          <w:color w:val="231F20"/>
        </w:rPr>
        <w:t>operations.</w:t>
      </w:r>
    </w:p>
    <w:p>
      <w:pPr>
        <w:pStyle w:val="Heading4"/>
        <w:spacing w:line="249" w:lineRule="auto" w:before="172"/>
        <w:ind w:right="476"/>
      </w:pPr>
      <w:r>
        <w:rPr>
          <w:i/>
          <w:color w:val="231F20"/>
        </w:rPr>
        <w:t>The Company will need to continue certain branding or rebranding initiatives in connection with the </w:t>
      </w:r>
      <w:r>
        <w:rPr>
          <w:color w:val="231F20"/>
        </w:rPr>
        <w:t>acquisition that may take a significant amount of time and involve substantial additional costs and that may not be favorably received by Customers.</w:t>
      </w:r>
    </w:p>
    <w:p>
      <w:pPr>
        <w:pStyle w:val="BodyText"/>
        <w:spacing w:line="249" w:lineRule="auto" w:before="172"/>
        <w:ind w:left="100" w:right="175" w:firstLine="490"/>
      </w:pPr>
      <w:r>
        <w:rPr>
          <w:color w:val="231F20"/>
        </w:rPr>
        <w:t>The Company may incur substantial additional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4"/>
        <w:spacing w:line="249" w:lineRule="auto" w:before="172"/>
        <w:ind w:right="143"/>
      </w:pPr>
      <w:r>
        <w:rPr>
          <w:i/>
          <w:color w:val="231F20"/>
        </w:rPr>
        <w:t>The Company’s ability to use AirTran’s net operating loss carryforwards to offset future taxable income </w:t>
      </w:r>
      <w:r>
        <w:rPr>
          <w:color w:val="231F20"/>
        </w:rPr>
        <w:t>for U.S. federal income tax purposes may be limited as a result of the acquisition, or if taxable income does not reach sufficient</w:t>
      </w:r>
      <w:r>
        <w:rPr>
          <w:color w:val="231F20"/>
          <w:spacing w:val="2"/>
        </w:rPr>
        <w:t> </w:t>
      </w:r>
      <w:r>
        <w:rPr>
          <w:color w:val="231F20"/>
        </w:rPr>
        <w:t>levels.</w:t>
      </w:r>
    </w:p>
    <w:p>
      <w:pPr>
        <w:pStyle w:val="BodyText"/>
        <w:spacing w:line="249" w:lineRule="auto" w:before="172"/>
        <w:ind w:left="100" w:right="103" w:firstLine="490"/>
      </w:pPr>
      <w:r>
        <w:rPr>
          <w:color w:val="231F20"/>
        </w:rPr>
        <w:t>Following the filing of AirTran’s May 2, 2011 short period Federal tax return in first quarter 2012, AirTran had Federal net operating loss carryforwards (“NOLs”) of approximately $560 million available to offset future taxable income, expiring between 2017 and 2031. Although the Company is limited in the amount of NOLs that can be used in each year, it was able to utilize a portion of such benefits in its 2011 Federal tax return and expects to be able to utilize an additional portion when it files its 2012 Federal tax return.</w:t>
      </w:r>
    </w:p>
    <w:p>
      <w:pPr>
        <w:pStyle w:val="BodyText"/>
        <w:spacing w:line="249" w:lineRule="auto" w:before="172"/>
        <w:ind w:left="100" w:right="111" w:firstLine="490"/>
      </w:pPr>
      <w:r>
        <w:rPr>
          <w:color w:val="231F20"/>
        </w:rPr>
        <w:t>AirTran experienced an “ownership change” as defined in Section 382 of the Internal Revenue Code of 1986, as amended (the “Code”), as a result of its acquisition by the Company. Section 382 of the Code imposes an annual limitation on the amount of post-ownership change taxable income generated that may be offset with 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 tax- 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w:t>
      </w:r>
      <w:r>
        <w:rPr>
          <w:color w:val="231F20"/>
          <w:spacing w:val="2"/>
        </w:rPr>
        <w:t> </w:t>
      </w:r>
      <w:r>
        <w:rPr>
          <w:color w:val="231F20"/>
        </w:rPr>
        <w:t>change.</w:t>
      </w:r>
    </w:p>
    <w:p>
      <w:pPr>
        <w:pStyle w:val="BodyText"/>
        <w:spacing w:line="249" w:lineRule="auto" w:before="172"/>
        <w:ind w:left="100" w:firstLine="490"/>
      </w:pPr>
      <w:r>
        <w:rPr>
          <w:color w:val="231F20"/>
          <w:spacing w:val="-4"/>
        </w:rPr>
        <w:t>While </w:t>
      </w:r>
      <w:r>
        <w:rPr>
          <w:color w:val="231F20"/>
          <w:spacing w:val="-3"/>
        </w:rPr>
        <w:t>the </w:t>
      </w:r>
      <w:r>
        <w:rPr>
          <w:color w:val="231F20"/>
          <w:spacing w:val="-4"/>
        </w:rPr>
        <w:t>Company expects </w:t>
      </w:r>
      <w:r>
        <w:rPr>
          <w:color w:val="231F20"/>
        </w:rPr>
        <w:t>to be </w:t>
      </w:r>
      <w:r>
        <w:rPr>
          <w:color w:val="231F20"/>
          <w:spacing w:val="-3"/>
        </w:rPr>
        <w:t>able </w:t>
      </w:r>
      <w:r>
        <w:rPr>
          <w:color w:val="231F20"/>
        </w:rPr>
        <w:t>to </w:t>
      </w:r>
      <w:r>
        <w:rPr>
          <w:color w:val="231F20"/>
          <w:spacing w:val="-4"/>
        </w:rPr>
        <w:t>utilize </w:t>
      </w:r>
      <w:r>
        <w:rPr>
          <w:color w:val="231F20"/>
          <w:spacing w:val="-3"/>
        </w:rPr>
        <w:t>the </w:t>
      </w:r>
      <w:r>
        <w:rPr>
          <w:color w:val="231F20"/>
          <w:spacing w:val="-4"/>
        </w:rPr>
        <w:t>entire amount </w:t>
      </w:r>
      <w:r>
        <w:rPr>
          <w:color w:val="231F20"/>
        </w:rPr>
        <w:t>of </w:t>
      </w:r>
      <w:r>
        <w:rPr>
          <w:color w:val="231F20"/>
          <w:spacing w:val="-3"/>
        </w:rPr>
        <w:t>such NOLs </w:t>
      </w:r>
      <w:r>
        <w:rPr>
          <w:color w:val="231F20"/>
          <w:spacing w:val="-4"/>
        </w:rPr>
        <w:t>prior </w:t>
      </w:r>
      <w:r>
        <w:rPr>
          <w:color w:val="231F20"/>
        </w:rPr>
        <w:t>to </w:t>
      </w:r>
      <w:r>
        <w:rPr>
          <w:color w:val="231F20"/>
          <w:spacing w:val="-4"/>
        </w:rPr>
        <w:t>their respective expirations, </w:t>
      </w:r>
      <w:r>
        <w:rPr>
          <w:color w:val="231F20"/>
          <w:spacing w:val="-3"/>
        </w:rPr>
        <w:t>the </w:t>
      </w:r>
      <w:r>
        <w:rPr>
          <w:color w:val="231F20"/>
          <w:spacing w:val="-4"/>
        </w:rPr>
        <w:t>Company’s ability </w:t>
      </w:r>
      <w:r>
        <w:rPr>
          <w:color w:val="231F20"/>
        </w:rPr>
        <w:t>to </w:t>
      </w:r>
      <w:r>
        <w:rPr>
          <w:color w:val="231F20"/>
          <w:spacing w:val="-3"/>
        </w:rPr>
        <w:t>use the NOLs </w:t>
      </w:r>
      <w:r>
        <w:rPr>
          <w:color w:val="231F20"/>
          <w:spacing w:val="-4"/>
        </w:rPr>
        <w:t>will </w:t>
      </w:r>
      <w:r>
        <w:rPr>
          <w:color w:val="231F20"/>
          <w:spacing w:val="-3"/>
        </w:rPr>
        <w:t>also </w:t>
      </w:r>
      <w:r>
        <w:rPr>
          <w:color w:val="231F20"/>
          <w:spacing w:val="-4"/>
        </w:rPr>
        <w:t>depend </w:t>
      </w:r>
      <w:r>
        <w:rPr>
          <w:color w:val="231F20"/>
        </w:rPr>
        <w:t>on </w:t>
      </w:r>
      <w:r>
        <w:rPr>
          <w:color w:val="231F20"/>
          <w:spacing w:val="-3"/>
        </w:rPr>
        <w:t>the </w:t>
      </w:r>
      <w:r>
        <w:rPr>
          <w:color w:val="231F20"/>
          <w:spacing w:val="-4"/>
        </w:rPr>
        <w:t>amount </w:t>
      </w:r>
      <w:r>
        <w:rPr>
          <w:color w:val="231F20"/>
        </w:rPr>
        <w:t>of </w:t>
      </w:r>
      <w:r>
        <w:rPr>
          <w:color w:val="231F20"/>
          <w:spacing w:val="-4"/>
        </w:rPr>
        <w:t>taxable income generated in future periods. </w:t>
      </w:r>
      <w:r>
        <w:rPr>
          <w:color w:val="231F20"/>
          <w:spacing w:val="-3"/>
        </w:rPr>
        <w:t>The NOLs may </w:t>
      </w:r>
      <w:r>
        <w:rPr>
          <w:color w:val="231F20"/>
          <w:spacing w:val="-4"/>
        </w:rPr>
        <w:t>expire before </w:t>
      </w:r>
      <w:r>
        <w:rPr>
          <w:color w:val="231F20"/>
          <w:spacing w:val="-3"/>
        </w:rPr>
        <w:t>the </w:t>
      </w:r>
      <w:r>
        <w:rPr>
          <w:color w:val="231F20"/>
          <w:spacing w:val="-4"/>
        </w:rPr>
        <w:t>Company </w:t>
      </w:r>
      <w:r>
        <w:rPr>
          <w:color w:val="231F20"/>
          <w:spacing w:val="-3"/>
        </w:rPr>
        <w:t>can </w:t>
      </w:r>
      <w:r>
        <w:rPr>
          <w:color w:val="231F20"/>
          <w:spacing w:val="-4"/>
        </w:rPr>
        <w:t>generate sufficient taxable income </w:t>
      </w:r>
      <w:r>
        <w:rPr>
          <w:color w:val="231F20"/>
        </w:rPr>
        <w:t>to </w:t>
      </w:r>
      <w:r>
        <w:rPr>
          <w:color w:val="231F20"/>
          <w:spacing w:val="-4"/>
        </w:rPr>
        <w:t>utilize </w:t>
      </w:r>
      <w:r>
        <w:rPr>
          <w:color w:val="231F20"/>
          <w:spacing w:val="-3"/>
        </w:rPr>
        <w:t>the </w:t>
      </w:r>
      <w:r>
        <w:rPr>
          <w:color w:val="231F20"/>
          <w:spacing w:val="-4"/>
        </w:rPr>
        <w:t>NOLs.</w:t>
      </w:r>
    </w:p>
    <w:p>
      <w:pPr>
        <w:spacing w:after="0" w:line="249" w:lineRule="auto"/>
        <w:sectPr>
          <w:pgSz w:w="11880" w:h="15480"/>
          <w:pgMar w:header="0" w:footer="1253" w:top="1240" w:bottom="1440" w:left="1280" w:right="1280"/>
        </w:sectPr>
      </w:pPr>
    </w:p>
    <w:p>
      <w:pPr>
        <w:pStyle w:val="Heading4"/>
        <w:spacing w:line="249" w:lineRule="auto" w:before="73"/>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60"/>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85"/>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original period for fact and expert discovery was scheduled to end on February 25, 2011, but on February 3, 2012, the Court granted plaintiffs’ motion for supplemental discovery because Delta discovered that it had not produced certain electronic documents. The period for supplemental discovery against AirTran ended on May 3, 2012, but discovery disputes between plaintiffs and Delta have continued. On June 18, 2012, the parties filed a Stipulation and Order that plaintiffs have abandoned their claim that AirTran and Delta conspired to reduce capacity. AirTran and Delta moved for summary judgment on all of plaintiffs’ remaining claims on August 31, 2012. The plaintiffs filed motions to compel Delta to produce additional documents and for sanctions based on alleged failures to produce electronic data. On November 19, 2012, the Court ordered plaintiffs to appoint an expert to examine Delta’s production of electronic data and suspended the briefing schedule for the summary judgment motion until the expert has completed his work. It is AirTran’s understanding that the expert’s work is ongoing.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 results.</w:t>
      </w:r>
    </w:p>
    <w:p>
      <w:pPr>
        <w:pStyle w:val="Heading4"/>
        <w:spacing w:line="249" w:lineRule="auto" w:before="160"/>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60"/>
        <w:ind w:left="100" w:right="111" w:firstLine="490"/>
      </w:pPr>
      <w:r>
        <w:rPr>
          <w:color w:val="231F20"/>
        </w:rPr>
        <w:t>In </w:t>
      </w:r>
      <w:r>
        <w:rPr>
          <w:color w:val="231F20"/>
          <w:spacing w:val="-4"/>
        </w:rPr>
        <w:t>accordance </w:t>
      </w:r>
      <w:r>
        <w:rPr>
          <w:color w:val="231F20"/>
          <w:spacing w:val="-3"/>
        </w:rPr>
        <w:t>with </w:t>
      </w:r>
      <w:r>
        <w:rPr>
          <w:color w:val="231F20"/>
          <w:spacing w:val="-4"/>
        </w:rPr>
        <w:t>applicable acquisition accounting rules, </w:t>
      </w:r>
      <w:r>
        <w:rPr>
          <w:color w:val="231F20"/>
          <w:spacing w:val="-3"/>
        </w:rPr>
        <w:t>the </w:t>
      </w:r>
      <w:r>
        <w:rPr>
          <w:color w:val="231F20"/>
          <w:spacing w:val="-4"/>
        </w:rPr>
        <w:t>Company recorded goodwill </w:t>
      </w:r>
      <w:r>
        <w:rPr>
          <w:color w:val="231F20"/>
        </w:rPr>
        <w:t>on </w:t>
      </w:r>
      <w:r>
        <w:rPr>
          <w:color w:val="231F20"/>
          <w:spacing w:val="-3"/>
        </w:rPr>
        <w:t>its </w:t>
      </w:r>
      <w:r>
        <w:rPr>
          <w:color w:val="231F20"/>
          <w:spacing w:val="-4"/>
        </w:rPr>
        <w:t>Consolidated Balance Sheet </w:t>
      </w:r>
      <w:r>
        <w:rPr>
          <w:color w:val="231F20"/>
        </w:rPr>
        <w:t>to </w:t>
      </w:r>
      <w:r>
        <w:rPr>
          <w:color w:val="231F20"/>
          <w:spacing w:val="-3"/>
        </w:rPr>
        <w:t>the </w:t>
      </w:r>
      <w:r>
        <w:rPr>
          <w:color w:val="231F20"/>
          <w:spacing w:val="-4"/>
        </w:rPr>
        <w:t>extent </w:t>
      </w:r>
      <w:r>
        <w:rPr>
          <w:color w:val="231F20"/>
          <w:spacing w:val="-3"/>
        </w:rPr>
        <w:t>the </w:t>
      </w:r>
      <w:r>
        <w:rPr>
          <w:color w:val="231F20"/>
          <w:spacing w:val="-4"/>
        </w:rPr>
        <w:t>AirTran acquisition purchase price exceeded </w:t>
      </w:r>
      <w:r>
        <w:rPr>
          <w:color w:val="231F20"/>
          <w:spacing w:val="-3"/>
        </w:rPr>
        <w:t>the net fair </w:t>
      </w:r>
      <w:r>
        <w:rPr>
          <w:color w:val="231F20"/>
          <w:spacing w:val="-4"/>
        </w:rPr>
        <w:t>value </w:t>
      </w:r>
      <w:r>
        <w:rPr>
          <w:color w:val="231F20"/>
        </w:rPr>
        <w:t>of </w:t>
      </w:r>
      <w:r>
        <w:rPr>
          <w:color w:val="231F20"/>
          <w:spacing w:val="-4"/>
        </w:rPr>
        <w:t>AirTran’s tangible </w:t>
      </w:r>
      <w:r>
        <w:rPr>
          <w:color w:val="231F20"/>
          <w:spacing w:val="-3"/>
        </w:rPr>
        <w:t>and </w:t>
      </w:r>
      <w:r>
        <w:rPr>
          <w:color w:val="231F20"/>
          <w:spacing w:val="-4"/>
        </w:rPr>
        <w:t>intangible assets </w:t>
      </w:r>
      <w:r>
        <w:rPr>
          <w:color w:val="231F20"/>
          <w:spacing w:val="-3"/>
        </w:rPr>
        <w:t>and </w:t>
      </w:r>
      <w:r>
        <w:rPr>
          <w:color w:val="231F20"/>
          <w:spacing w:val="-4"/>
        </w:rPr>
        <w:t>liabilities </w:t>
      </w:r>
      <w:r>
        <w:rPr>
          <w:color w:val="231F20"/>
        </w:rPr>
        <w:t>as of </w:t>
      </w:r>
      <w:r>
        <w:rPr>
          <w:color w:val="231F20"/>
          <w:spacing w:val="-3"/>
        </w:rPr>
        <w:t>the </w:t>
      </w:r>
      <w:r>
        <w:rPr>
          <w:color w:val="231F20"/>
          <w:spacing w:val="-4"/>
        </w:rPr>
        <w:t>acquisition date. Goodwill </w:t>
      </w:r>
      <w:r>
        <w:rPr>
          <w:color w:val="231F20"/>
        </w:rPr>
        <w:t>is </w:t>
      </w:r>
      <w:r>
        <w:rPr>
          <w:color w:val="231F20"/>
          <w:spacing w:val="-3"/>
        </w:rPr>
        <w:t>not </w:t>
      </w:r>
      <w:r>
        <w:rPr>
          <w:color w:val="231F20"/>
          <w:spacing w:val="-4"/>
        </w:rPr>
        <w:t>amortized, </w:t>
      </w:r>
      <w:r>
        <w:rPr>
          <w:color w:val="231F20"/>
          <w:spacing w:val="-3"/>
        </w:rPr>
        <w:t>but </w:t>
      </w:r>
      <w:r>
        <w:rPr>
          <w:color w:val="231F20"/>
        </w:rPr>
        <w:t>is </w:t>
      </w:r>
      <w:r>
        <w:rPr>
          <w:color w:val="231F20"/>
          <w:spacing w:val="-4"/>
        </w:rPr>
        <w:t>tested </w:t>
      </w:r>
      <w:r>
        <w:rPr>
          <w:color w:val="231F20"/>
          <w:spacing w:val="-3"/>
        </w:rPr>
        <w:t>for </w:t>
      </w:r>
      <w:r>
        <w:rPr>
          <w:color w:val="231F20"/>
          <w:spacing w:val="-4"/>
        </w:rPr>
        <w:t>impairment at least annually. Impairment charges could </w:t>
      </w:r>
      <w:r>
        <w:rPr>
          <w:color w:val="231F20"/>
        </w:rPr>
        <w:t>be </w:t>
      </w:r>
      <w:r>
        <w:rPr>
          <w:color w:val="231F20"/>
          <w:spacing w:val="-4"/>
        </w:rPr>
        <w:t>recorded </w:t>
      </w:r>
      <w:r>
        <w:rPr>
          <w:color w:val="231F20"/>
        </w:rPr>
        <w:t>in </w:t>
      </w:r>
      <w:r>
        <w:rPr>
          <w:color w:val="231F20"/>
          <w:spacing w:val="-3"/>
        </w:rPr>
        <w:t>the </w:t>
      </w:r>
      <w:r>
        <w:rPr>
          <w:color w:val="231F20"/>
          <w:spacing w:val="-4"/>
        </w:rPr>
        <w:t>Company’s results </w:t>
      </w:r>
      <w:r>
        <w:rPr>
          <w:color w:val="231F20"/>
        </w:rPr>
        <w:t>of </w:t>
      </w:r>
      <w:r>
        <w:rPr>
          <w:color w:val="231F20"/>
          <w:spacing w:val="-4"/>
        </w:rPr>
        <w:t>operations </w:t>
      </w:r>
      <w:r>
        <w:rPr>
          <w:color w:val="231F20"/>
        </w:rPr>
        <w:t>as a </w:t>
      </w:r>
      <w:r>
        <w:rPr>
          <w:color w:val="231F20"/>
          <w:spacing w:val="-4"/>
        </w:rPr>
        <w:t>result </w:t>
      </w:r>
      <w:r>
        <w:rPr>
          <w:color w:val="231F20"/>
          <w:spacing w:val="-3"/>
        </w:rPr>
        <w:t>of, </w:t>
      </w:r>
      <w:r>
        <w:rPr>
          <w:color w:val="231F20"/>
          <w:spacing w:val="-4"/>
        </w:rPr>
        <w:t>among other items, extreme </w:t>
      </w:r>
      <w:r>
        <w:rPr>
          <w:color w:val="231F20"/>
          <w:spacing w:val="-3"/>
        </w:rPr>
        <w:t>fuel </w:t>
      </w:r>
      <w:r>
        <w:rPr>
          <w:color w:val="231F20"/>
          <w:spacing w:val="-4"/>
        </w:rPr>
        <w:t>price volatility, </w:t>
      </w:r>
      <w:r>
        <w:rPr>
          <w:color w:val="231F20"/>
        </w:rPr>
        <w:t>a </w:t>
      </w:r>
      <w:r>
        <w:rPr>
          <w:color w:val="231F20"/>
          <w:spacing w:val="-4"/>
        </w:rPr>
        <w:t>significant decline </w:t>
      </w:r>
      <w:r>
        <w:rPr>
          <w:color w:val="231F20"/>
        </w:rPr>
        <w:t>in </w:t>
      </w:r>
      <w:r>
        <w:rPr>
          <w:color w:val="231F20"/>
          <w:spacing w:val="-3"/>
        </w:rPr>
        <w:t>the fair </w:t>
      </w:r>
      <w:r>
        <w:rPr>
          <w:color w:val="231F20"/>
          <w:spacing w:val="-4"/>
        </w:rPr>
        <w:t>value </w:t>
      </w:r>
      <w:r>
        <w:rPr>
          <w:color w:val="231F20"/>
        </w:rPr>
        <w:t>of </w:t>
      </w:r>
      <w:r>
        <w:rPr>
          <w:color w:val="231F20"/>
          <w:spacing w:val="-4"/>
        </w:rPr>
        <w:t>certain tangible </w:t>
      </w:r>
      <w:r>
        <w:rPr>
          <w:color w:val="231F20"/>
        </w:rPr>
        <w:t>or </w:t>
      </w:r>
      <w:r>
        <w:rPr>
          <w:color w:val="231F20"/>
          <w:spacing w:val="-4"/>
        </w:rPr>
        <w:t>intangible assets, unfavorable trends </w:t>
      </w:r>
      <w:r>
        <w:rPr>
          <w:color w:val="231F20"/>
        </w:rPr>
        <w:t>in </w:t>
      </w:r>
      <w:r>
        <w:rPr>
          <w:color w:val="231F20"/>
          <w:spacing w:val="-4"/>
        </w:rPr>
        <w:t>forecasted results </w:t>
      </w:r>
      <w:r>
        <w:rPr>
          <w:color w:val="231F20"/>
        </w:rPr>
        <w:t>of </w:t>
      </w:r>
      <w:r>
        <w:rPr>
          <w:color w:val="231F20"/>
          <w:spacing w:val="-4"/>
        </w:rPr>
        <w:t>operations </w:t>
      </w:r>
      <w:r>
        <w:rPr>
          <w:color w:val="231F20"/>
          <w:spacing w:val="-3"/>
        </w:rPr>
        <w:t>and cash </w:t>
      </w:r>
      <w:r>
        <w:rPr>
          <w:color w:val="231F20"/>
          <w:spacing w:val="-4"/>
        </w:rPr>
        <w:t>flows </w:t>
      </w:r>
      <w:r>
        <w:rPr>
          <w:color w:val="231F20"/>
          <w:spacing w:val="-3"/>
        </w:rPr>
        <w:t>and the </w:t>
      </w:r>
      <w:r>
        <w:rPr>
          <w:color w:val="231F20"/>
          <w:spacing w:val="-4"/>
        </w:rPr>
        <w:t>uncertain economic environment, </w:t>
      </w:r>
      <w:r>
        <w:rPr>
          <w:color w:val="231F20"/>
        </w:rPr>
        <w:t>as </w:t>
      </w:r>
      <w:r>
        <w:rPr>
          <w:color w:val="231F20"/>
          <w:spacing w:val="-4"/>
        </w:rPr>
        <w:t>well </w:t>
      </w:r>
      <w:r>
        <w:rPr>
          <w:color w:val="231F20"/>
        </w:rPr>
        <w:t>as </w:t>
      </w:r>
      <w:r>
        <w:rPr>
          <w:color w:val="231F20"/>
          <w:spacing w:val="-4"/>
        </w:rPr>
        <w:t>other uncertainties. </w:t>
      </w:r>
      <w:r>
        <w:rPr>
          <w:color w:val="231F20"/>
          <w:spacing w:val="-3"/>
        </w:rPr>
        <w:t>The </w:t>
      </w:r>
      <w:r>
        <w:rPr>
          <w:color w:val="231F20"/>
          <w:spacing w:val="-4"/>
        </w:rPr>
        <w:t>Company </w:t>
      </w:r>
      <w:r>
        <w:rPr>
          <w:color w:val="231F20"/>
          <w:spacing w:val="-3"/>
        </w:rPr>
        <w:t>can </w:t>
      </w:r>
      <w:r>
        <w:rPr>
          <w:color w:val="231F20"/>
          <w:spacing w:val="-4"/>
        </w:rPr>
        <w:t>provide </w:t>
      </w:r>
      <w:r>
        <w:rPr>
          <w:color w:val="231F20"/>
        </w:rPr>
        <w:t>no </w:t>
      </w:r>
      <w:r>
        <w:rPr>
          <w:color w:val="231F20"/>
          <w:spacing w:val="-4"/>
        </w:rPr>
        <w:t>assurance </w:t>
      </w:r>
      <w:r>
        <w:rPr>
          <w:color w:val="231F20"/>
          <w:spacing w:val="-3"/>
        </w:rPr>
        <w:t>that </w:t>
      </w:r>
      <w:r>
        <w:rPr>
          <w:color w:val="231F20"/>
        </w:rPr>
        <w:t>a </w:t>
      </w:r>
      <w:r>
        <w:rPr>
          <w:color w:val="231F20"/>
          <w:spacing w:val="-4"/>
        </w:rPr>
        <w:t>significant impairment charge </w:t>
      </w:r>
      <w:r>
        <w:rPr>
          <w:color w:val="231F20"/>
          <w:spacing w:val="-3"/>
        </w:rPr>
        <w:t>will not </w:t>
      </w:r>
      <w:r>
        <w:rPr>
          <w:color w:val="231F20"/>
          <w:spacing w:val="-4"/>
        </w:rPr>
        <w:t>occur </w:t>
      </w:r>
      <w:r>
        <w:rPr>
          <w:color w:val="231F20"/>
        </w:rPr>
        <w:t>in </w:t>
      </w:r>
      <w:r>
        <w:rPr>
          <w:color w:val="231F20"/>
          <w:spacing w:val="-3"/>
        </w:rPr>
        <w:t>one </w:t>
      </w:r>
      <w:r>
        <w:rPr>
          <w:color w:val="231F20"/>
        </w:rPr>
        <w:t>or </w:t>
      </w:r>
      <w:r>
        <w:rPr>
          <w:color w:val="231F20"/>
          <w:spacing w:val="-3"/>
        </w:rPr>
        <w:t>more </w:t>
      </w:r>
      <w:r>
        <w:rPr>
          <w:color w:val="231F20"/>
          <w:spacing w:val="-4"/>
        </w:rPr>
        <w:t>future periods. </w:t>
      </w:r>
      <w:r>
        <w:rPr>
          <w:color w:val="231F20"/>
          <w:spacing w:val="-3"/>
        </w:rPr>
        <w:t>Any such </w:t>
      </w:r>
      <w:r>
        <w:rPr>
          <w:color w:val="231F20"/>
          <w:spacing w:val="-4"/>
        </w:rPr>
        <w:t>charges </w:t>
      </w:r>
      <w:r>
        <w:rPr>
          <w:color w:val="231F20"/>
          <w:spacing w:val="-3"/>
        </w:rPr>
        <w:t>may </w:t>
      </w:r>
      <w:r>
        <w:rPr>
          <w:color w:val="231F20"/>
          <w:spacing w:val="-4"/>
        </w:rPr>
        <w:t>materially negatively affect </w:t>
      </w:r>
      <w:r>
        <w:rPr>
          <w:color w:val="231F20"/>
          <w:spacing w:val="-3"/>
        </w:rPr>
        <w:t>the </w:t>
      </w:r>
      <w:r>
        <w:rPr>
          <w:color w:val="231F20"/>
          <w:spacing w:val="-4"/>
        </w:rPr>
        <w:t>Company’s financial results. </w:t>
      </w:r>
      <w:r>
        <w:rPr>
          <w:color w:val="231F20"/>
          <w:spacing w:val="-5"/>
        </w:rPr>
        <w:t>See </w:t>
      </w:r>
      <w:r>
        <w:rPr>
          <w:color w:val="231F20"/>
          <w:spacing w:val="-3"/>
        </w:rPr>
        <w:t>Note </w:t>
      </w:r>
      <w:r>
        <w:rPr>
          <w:color w:val="231F20"/>
        </w:rPr>
        <w:t>1 to </w:t>
      </w:r>
      <w:r>
        <w:rPr>
          <w:color w:val="231F20"/>
          <w:spacing w:val="-3"/>
        </w:rPr>
        <w:t>the </w:t>
      </w:r>
      <w:r>
        <w:rPr>
          <w:color w:val="231F20"/>
          <w:spacing w:val="-4"/>
        </w:rPr>
        <w:t>Consolidated Financial Statements </w:t>
      </w:r>
      <w:r>
        <w:rPr>
          <w:color w:val="231F20"/>
          <w:spacing w:val="-3"/>
        </w:rPr>
        <w:t>for </w:t>
      </w:r>
      <w:r>
        <w:rPr>
          <w:color w:val="231F20"/>
          <w:spacing w:val="-4"/>
        </w:rPr>
        <w:t>further information.</w:t>
      </w:r>
    </w:p>
    <w:p>
      <w:pPr>
        <w:spacing w:after="0" w:line="249" w:lineRule="auto"/>
        <w:sectPr>
          <w:pgSz w:w="11880" w:h="15480"/>
          <w:pgMar w:header="0" w:footer="1253" w:top="1240" w:bottom="1440" w:left="1280" w:right="1280"/>
        </w:sectPr>
      </w:pPr>
    </w:p>
    <w:p>
      <w:pPr>
        <w:tabs>
          <w:tab w:pos="1239" w:val="left" w:leader="none"/>
        </w:tabs>
        <w:spacing w:before="73"/>
        <w:ind w:left="160" w:right="0" w:firstLine="0"/>
        <w:jc w:val="left"/>
        <w:rPr>
          <w:b/>
          <w:i/>
          <w:sz w:val="20"/>
        </w:rPr>
      </w:pPr>
      <w:bookmarkStart w:name="Item 1B. Unresolved Staff Comments" w:id="5"/>
      <w:bookmarkEnd w:id="5"/>
      <w:r>
        <w:rPr/>
      </w: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56"/>
        <w:ind w:left="650"/>
      </w:pPr>
      <w:r>
        <w:rPr>
          <w:color w:val="231F20"/>
        </w:rPr>
        <w:t>None.</w:t>
      </w:r>
    </w:p>
    <w:p>
      <w:pPr>
        <w:tabs>
          <w:tab w:pos="1239" w:val="left" w:leader="none"/>
        </w:tabs>
        <w:spacing w:before="156"/>
        <w:ind w:left="16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3"/>
        <w:spacing w:before="156"/>
        <w:ind w:left="160"/>
      </w:pPr>
      <w:r>
        <w:rPr>
          <w:color w:val="231F20"/>
        </w:rPr>
        <w:t>Aircraft</w:t>
      </w:r>
    </w:p>
    <w:p>
      <w:pPr>
        <w:pStyle w:val="BodyText"/>
        <w:spacing w:line="249" w:lineRule="auto" w:before="156"/>
        <w:ind w:left="160" w:right="250" w:firstLine="490"/>
      </w:pPr>
      <w:r>
        <w:rPr>
          <w:color w:val="231F20"/>
        </w:rPr>
        <w:t>Southwest and AirTran operated a total of 694 Boeing aircraft as of December 31, 2012, of which 187 and two were under operating and capital leases, respectively.</w:t>
      </w:r>
    </w:p>
    <w:p>
      <w:pPr>
        <w:pStyle w:val="BodyText"/>
        <w:spacing w:line="249" w:lineRule="auto" w:before="148"/>
        <w:ind w:left="160" w:firstLine="400"/>
      </w:pPr>
      <w:r>
        <w:rPr>
          <w:color w:val="231F20"/>
        </w:rPr>
        <w:t>The following table details information on the 694 active aircraft in the Company’s combined fleet as of December 31, 2012:</w:t>
      </w:r>
    </w:p>
    <w:p>
      <w:pPr>
        <w:spacing w:after="0" w:line="249" w:lineRule="auto"/>
        <w:sectPr>
          <w:pgSz w:w="11880" w:h="15480"/>
          <w:pgMar w:header="0" w:footer="1253" w:top="1240" w:bottom="1440" w:left="1220" w:right="1220"/>
        </w:sectPr>
      </w:pPr>
    </w:p>
    <w:p>
      <w:pPr>
        <w:pStyle w:val="Heading3"/>
        <w:spacing w:line="200" w:lineRule="exact" w:before="135"/>
        <w:ind w:left="5574" w:right="-20" w:hanging="189"/>
      </w:pPr>
      <w:r>
        <w:rPr/>
        <w:pict>
          <v:shape style="position:absolute;margin-left:66.5pt;margin-top:25.860023pt;width:458.5pt;height:77.150pt;mso-position-horizontal-relative:page;mso-position-vertical-relative:paragraph;z-index:15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108"/>
                    <w:gridCol w:w="944"/>
                    <w:gridCol w:w="928"/>
                    <w:gridCol w:w="200"/>
                    <w:gridCol w:w="945"/>
                    <w:gridCol w:w="200"/>
                    <w:gridCol w:w="711"/>
                  </w:tblGrid>
                  <w:tr>
                    <w:trPr>
                      <w:trHeight w:val="248" w:hRule="exact"/>
                    </w:trPr>
                    <w:tc>
                      <w:tcPr>
                        <w:tcW w:w="4133" w:type="dxa"/>
                        <w:tcBorders>
                          <w:bottom w:val="single" w:sz="8" w:space="0" w:color="231F20"/>
                        </w:tcBorders>
                      </w:tcPr>
                      <w:p>
                        <w:pPr>
                          <w:pStyle w:val="TableParagraph"/>
                          <w:spacing w:line="221" w:lineRule="exact"/>
                          <w:ind w:left="50"/>
                          <w:jc w:val="left"/>
                          <w:rPr>
                            <w:b/>
                            <w:sz w:val="20"/>
                          </w:rPr>
                        </w:pPr>
                        <w:r>
                          <w:rPr>
                            <w:b/>
                            <w:color w:val="231F20"/>
                            <w:sz w:val="20"/>
                          </w:rPr>
                          <w:t>Type</w:t>
                        </w:r>
                      </w:p>
                    </w:tc>
                    <w:tc>
                      <w:tcPr>
                        <w:tcW w:w="1108" w:type="dxa"/>
                        <w:tcBorders>
                          <w:bottom w:val="single" w:sz="8" w:space="0" w:color="231F20"/>
                        </w:tcBorders>
                      </w:tcPr>
                      <w:p>
                        <w:pPr>
                          <w:pStyle w:val="TableParagraph"/>
                          <w:spacing w:line="221" w:lineRule="exact"/>
                          <w:ind w:left="55" w:right="145"/>
                          <w:jc w:val="center"/>
                          <w:rPr>
                            <w:b/>
                            <w:sz w:val="20"/>
                          </w:rPr>
                        </w:pPr>
                        <w:r>
                          <w:rPr>
                            <w:b/>
                            <w:color w:val="231F20"/>
                            <w:sz w:val="20"/>
                          </w:rPr>
                          <w:t>Seats</w:t>
                        </w:r>
                      </w:p>
                    </w:tc>
                    <w:tc>
                      <w:tcPr>
                        <w:tcW w:w="944" w:type="dxa"/>
                        <w:tcBorders>
                          <w:bottom w:val="single" w:sz="8" w:space="0" w:color="231F20"/>
                        </w:tcBorders>
                      </w:tcPr>
                      <w:p>
                        <w:pPr>
                          <w:pStyle w:val="TableParagraph"/>
                          <w:spacing w:line="221" w:lineRule="exact"/>
                          <w:ind w:left="147" w:right="312"/>
                          <w:jc w:val="center"/>
                          <w:rPr>
                            <w:b/>
                            <w:sz w:val="20"/>
                          </w:rPr>
                        </w:pPr>
                        <w:r>
                          <w:rPr>
                            <w:b/>
                            <w:color w:val="231F20"/>
                            <w:sz w:val="20"/>
                          </w:rPr>
                          <w:t>(Yrs)</w:t>
                        </w:r>
                      </w:p>
                    </w:tc>
                    <w:tc>
                      <w:tcPr>
                        <w:tcW w:w="928" w:type="dxa"/>
                        <w:tcBorders>
                          <w:bottom w:val="single" w:sz="8" w:space="0" w:color="231F20"/>
                        </w:tcBorders>
                      </w:tcPr>
                      <w:p>
                        <w:pPr>
                          <w:pStyle w:val="TableParagraph"/>
                          <w:spacing w:line="221" w:lineRule="exact"/>
                          <w:ind w:right="113"/>
                          <w:rPr>
                            <w:b/>
                            <w:sz w:val="20"/>
                          </w:rPr>
                        </w:pPr>
                        <w:r>
                          <w:rPr>
                            <w:b/>
                            <w:color w:val="231F20"/>
                            <w:sz w:val="20"/>
                          </w:rPr>
                          <w:t>Aircraft</w:t>
                        </w:r>
                      </w:p>
                    </w:tc>
                    <w:tc>
                      <w:tcPr>
                        <w:tcW w:w="200" w:type="dxa"/>
                        <w:tcBorders>
                          <w:bottom w:val="single" w:sz="8" w:space="0" w:color="231F20"/>
                        </w:tcBorders>
                      </w:tcPr>
                      <w:p>
                        <w:pPr/>
                      </w:p>
                    </w:tc>
                    <w:tc>
                      <w:tcPr>
                        <w:tcW w:w="945" w:type="dxa"/>
                        <w:tcBorders>
                          <w:bottom w:val="single" w:sz="8" w:space="0" w:color="231F20"/>
                        </w:tcBorders>
                      </w:tcPr>
                      <w:p>
                        <w:pPr>
                          <w:pStyle w:val="TableParagraph"/>
                          <w:spacing w:line="221" w:lineRule="exact"/>
                          <w:ind w:right="23"/>
                          <w:rPr>
                            <w:b/>
                            <w:sz w:val="20"/>
                          </w:rPr>
                        </w:pPr>
                        <w:r>
                          <w:rPr>
                            <w:b/>
                            <w:color w:val="231F20"/>
                            <w:sz w:val="20"/>
                          </w:rPr>
                          <w:t>Owned (1)</w:t>
                        </w:r>
                      </w:p>
                    </w:tc>
                    <w:tc>
                      <w:tcPr>
                        <w:tcW w:w="200" w:type="dxa"/>
                        <w:tcBorders>
                          <w:bottom w:val="single" w:sz="8" w:space="0" w:color="231F20"/>
                        </w:tcBorders>
                      </w:tcPr>
                      <w:p>
                        <w:pPr/>
                      </w:p>
                    </w:tc>
                    <w:tc>
                      <w:tcPr>
                        <w:tcW w:w="711" w:type="dxa"/>
                        <w:tcBorders>
                          <w:bottom w:val="single" w:sz="8" w:space="0" w:color="231F20"/>
                        </w:tcBorders>
                      </w:tcPr>
                      <w:p>
                        <w:pPr>
                          <w:pStyle w:val="TableParagraph"/>
                          <w:spacing w:line="221" w:lineRule="exact"/>
                          <w:ind w:right="55"/>
                          <w:rPr>
                            <w:b/>
                            <w:sz w:val="20"/>
                          </w:rPr>
                        </w:pPr>
                        <w:r>
                          <w:rPr>
                            <w:b/>
                            <w:color w:val="231F20"/>
                            <w:sz w:val="20"/>
                          </w:rPr>
                          <w:t>Leased</w:t>
                        </w:r>
                      </w:p>
                    </w:tc>
                  </w:tr>
                  <w:tr>
                    <w:trPr>
                      <w:trHeight w:val="304" w:hRule="exact"/>
                    </w:trPr>
                    <w:tc>
                      <w:tcPr>
                        <w:tcW w:w="4133" w:type="dxa"/>
                        <w:tcBorders>
                          <w:top w:val="single" w:sz="8" w:space="0" w:color="231F20"/>
                        </w:tcBorders>
                      </w:tcPr>
                      <w:p>
                        <w:pPr>
                          <w:pStyle w:val="TableParagraph"/>
                          <w:spacing w:before="53"/>
                          <w:ind w:left="50"/>
                          <w:jc w:val="left"/>
                          <w:rPr>
                            <w:sz w:val="20"/>
                          </w:rPr>
                        </w:pPr>
                        <w:r>
                          <w:rPr>
                            <w:color w:val="231F20"/>
                            <w:sz w:val="20"/>
                          </w:rPr>
                          <w:t>717-200   . . . . . . . . . . . . . . . . . . . . . . . . . . . . . . . . </w:t>
                        </w:r>
                      </w:p>
                    </w:tc>
                    <w:tc>
                      <w:tcPr>
                        <w:tcW w:w="1108" w:type="dxa"/>
                        <w:tcBorders>
                          <w:top w:val="single" w:sz="8" w:space="0" w:color="231F20"/>
                        </w:tcBorders>
                      </w:tcPr>
                      <w:p>
                        <w:pPr>
                          <w:pStyle w:val="TableParagraph"/>
                          <w:spacing w:before="53"/>
                          <w:ind w:left="55" w:right="145"/>
                          <w:jc w:val="center"/>
                          <w:rPr>
                            <w:sz w:val="20"/>
                          </w:rPr>
                        </w:pPr>
                        <w:r>
                          <w:rPr>
                            <w:color w:val="231F20"/>
                            <w:sz w:val="20"/>
                          </w:rPr>
                          <w:t>117</w:t>
                        </w:r>
                      </w:p>
                    </w:tc>
                    <w:tc>
                      <w:tcPr>
                        <w:tcW w:w="944" w:type="dxa"/>
                        <w:tcBorders>
                          <w:top w:val="single" w:sz="8" w:space="0" w:color="231F20"/>
                        </w:tcBorders>
                      </w:tcPr>
                      <w:p>
                        <w:pPr>
                          <w:pStyle w:val="TableParagraph"/>
                          <w:spacing w:before="53"/>
                          <w:ind w:left="147" w:right="298"/>
                          <w:jc w:val="center"/>
                          <w:rPr>
                            <w:sz w:val="20"/>
                          </w:rPr>
                        </w:pPr>
                        <w:r>
                          <w:rPr>
                            <w:color w:val="231F20"/>
                            <w:sz w:val="20"/>
                          </w:rPr>
                          <w:t>11</w:t>
                        </w:r>
                      </w:p>
                    </w:tc>
                    <w:tc>
                      <w:tcPr>
                        <w:tcW w:w="928" w:type="dxa"/>
                        <w:tcBorders>
                          <w:top w:val="single" w:sz="8" w:space="0" w:color="231F20"/>
                        </w:tcBorders>
                      </w:tcPr>
                      <w:p>
                        <w:pPr>
                          <w:pStyle w:val="TableParagraph"/>
                          <w:spacing w:before="53"/>
                          <w:ind w:right="99"/>
                          <w:rPr>
                            <w:sz w:val="20"/>
                          </w:rPr>
                        </w:pPr>
                        <w:r>
                          <w:rPr>
                            <w:color w:val="231F20"/>
                            <w:sz w:val="20"/>
                          </w:rPr>
                          <w:t>88</w:t>
                        </w:r>
                      </w:p>
                    </w:tc>
                    <w:tc>
                      <w:tcPr>
                        <w:tcW w:w="200" w:type="dxa"/>
                        <w:tcBorders>
                          <w:top w:val="single" w:sz="8" w:space="0" w:color="231F20"/>
                        </w:tcBorders>
                      </w:tcPr>
                      <w:p>
                        <w:pPr/>
                      </w:p>
                    </w:tc>
                    <w:tc>
                      <w:tcPr>
                        <w:tcW w:w="945" w:type="dxa"/>
                        <w:tcBorders>
                          <w:top w:val="single" w:sz="8" w:space="0" w:color="231F20"/>
                        </w:tcBorders>
                      </w:tcPr>
                      <w:p>
                        <w:pPr>
                          <w:pStyle w:val="TableParagraph"/>
                          <w:spacing w:before="53"/>
                          <w:ind w:right="99"/>
                          <w:rPr>
                            <w:sz w:val="20"/>
                          </w:rPr>
                        </w:pPr>
                        <w:r>
                          <w:rPr>
                            <w:color w:val="231F20"/>
                            <w:sz w:val="20"/>
                          </w:rPr>
                          <w:t>8</w:t>
                        </w:r>
                      </w:p>
                    </w:tc>
                    <w:tc>
                      <w:tcPr>
                        <w:tcW w:w="200" w:type="dxa"/>
                        <w:tcBorders>
                          <w:top w:val="single" w:sz="8" w:space="0" w:color="231F20"/>
                        </w:tcBorders>
                      </w:tcPr>
                      <w:p>
                        <w:pPr/>
                      </w:p>
                    </w:tc>
                    <w:tc>
                      <w:tcPr>
                        <w:tcW w:w="711" w:type="dxa"/>
                        <w:tcBorders>
                          <w:top w:val="single" w:sz="8" w:space="0" w:color="231F20"/>
                        </w:tcBorders>
                      </w:tcPr>
                      <w:p>
                        <w:pPr>
                          <w:pStyle w:val="TableParagraph"/>
                          <w:spacing w:before="53"/>
                          <w:ind w:right="99"/>
                          <w:rPr>
                            <w:sz w:val="20"/>
                          </w:rPr>
                        </w:pPr>
                        <w:r>
                          <w:rPr>
                            <w:color w:val="231F20"/>
                            <w:sz w:val="20"/>
                          </w:rPr>
                          <w:t>80</w:t>
                        </w:r>
                      </w:p>
                    </w:tc>
                  </w:tr>
                  <w:tr>
                    <w:trPr>
                      <w:trHeight w:val="240" w:hRule="exact"/>
                    </w:trPr>
                    <w:tc>
                      <w:tcPr>
                        <w:tcW w:w="4133" w:type="dxa"/>
                      </w:tcPr>
                      <w:p>
                        <w:pPr>
                          <w:pStyle w:val="TableParagraph"/>
                          <w:spacing w:line="229" w:lineRule="exact"/>
                          <w:ind w:left="50"/>
                          <w:jc w:val="left"/>
                          <w:rPr>
                            <w:sz w:val="20"/>
                          </w:rPr>
                        </w:pPr>
                        <w:r>
                          <w:rPr>
                            <w:color w:val="231F20"/>
                            <w:sz w:val="20"/>
                          </w:rPr>
                          <w:t>737-300   . . . . . . . . . . . . . . . . . . . . . . . . . . . . . . . . </w:t>
                        </w:r>
                      </w:p>
                    </w:tc>
                    <w:tc>
                      <w:tcPr>
                        <w:tcW w:w="1108" w:type="dxa"/>
                      </w:tcPr>
                      <w:p>
                        <w:pPr>
                          <w:pStyle w:val="TableParagraph"/>
                          <w:spacing w:line="229" w:lineRule="exact"/>
                          <w:ind w:left="55" w:right="145"/>
                          <w:jc w:val="center"/>
                          <w:rPr>
                            <w:sz w:val="20"/>
                          </w:rPr>
                        </w:pPr>
                        <w:r>
                          <w:rPr>
                            <w:color w:val="231F20"/>
                            <w:sz w:val="20"/>
                          </w:rPr>
                          <w:t>137</w:t>
                        </w:r>
                      </w:p>
                    </w:tc>
                    <w:tc>
                      <w:tcPr>
                        <w:tcW w:w="944" w:type="dxa"/>
                      </w:tcPr>
                      <w:p>
                        <w:pPr>
                          <w:pStyle w:val="TableParagraph"/>
                          <w:spacing w:line="229" w:lineRule="exact"/>
                          <w:ind w:left="147" w:right="298"/>
                          <w:jc w:val="center"/>
                          <w:rPr>
                            <w:sz w:val="20"/>
                          </w:rPr>
                        </w:pPr>
                        <w:r>
                          <w:rPr>
                            <w:color w:val="231F20"/>
                            <w:sz w:val="20"/>
                          </w:rPr>
                          <w:t>19</w:t>
                        </w:r>
                      </w:p>
                    </w:tc>
                    <w:tc>
                      <w:tcPr>
                        <w:tcW w:w="928" w:type="dxa"/>
                      </w:tcPr>
                      <w:p>
                        <w:pPr>
                          <w:pStyle w:val="TableParagraph"/>
                          <w:spacing w:line="229" w:lineRule="exact"/>
                          <w:ind w:right="99"/>
                          <w:rPr>
                            <w:sz w:val="20"/>
                          </w:rPr>
                        </w:pPr>
                        <w:r>
                          <w:rPr>
                            <w:color w:val="231F20"/>
                            <w:sz w:val="20"/>
                          </w:rPr>
                          <w:t>128</w:t>
                        </w:r>
                      </w:p>
                    </w:tc>
                    <w:tc>
                      <w:tcPr>
                        <w:tcW w:w="200" w:type="dxa"/>
                      </w:tcPr>
                      <w:p>
                        <w:pPr/>
                      </w:p>
                    </w:tc>
                    <w:tc>
                      <w:tcPr>
                        <w:tcW w:w="945" w:type="dxa"/>
                      </w:tcPr>
                      <w:p>
                        <w:pPr>
                          <w:pStyle w:val="TableParagraph"/>
                          <w:spacing w:line="229" w:lineRule="exact"/>
                          <w:ind w:right="99"/>
                          <w:rPr>
                            <w:sz w:val="20"/>
                          </w:rPr>
                        </w:pPr>
                        <w:r>
                          <w:rPr>
                            <w:color w:val="231F20"/>
                            <w:sz w:val="20"/>
                          </w:rPr>
                          <w:t>78</w:t>
                        </w:r>
                      </w:p>
                    </w:tc>
                    <w:tc>
                      <w:tcPr>
                        <w:tcW w:w="200" w:type="dxa"/>
                      </w:tcPr>
                      <w:p>
                        <w:pPr/>
                      </w:p>
                    </w:tc>
                    <w:tc>
                      <w:tcPr>
                        <w:tcW w:w="711" w:type="dxa"/>
                      </w:tcPr>
                      <w:p>
                        <w:pPr>
                          <w:pStyle w:val="TableParagraph"/>
                          <w:spacing w:line="229" w:lineRule="exact"/>
                          <w:ind w:right="99"/>
                          <w:rPr>
                            <w:sz w:val="20"/>
                          </w:rPr>
                        </w:pPr>
                        <w:r>
                          <w:rPr>
                            <w:color w:val="231F20"/>
                            <w:sz w:val="20"/>
                          </w:rPr>
                          <w:t>50</w:t>
                        </w:r>
                      </w:p>
                    </w:tc>
                  </w:tr>
                  <w:tr>
                    <w:trPr>
                      <w:trHeight w:val="240" w:hRule="exact"/>
                    </w:trPr>
                    <w:tc>
                      <w:tcPr>
                        <w:tcW w:w="4133" w:type="dxa"/>
                      </w:tcPr>
                      <w:p>
                        <w:pPr>
                          <w:pStyle w:val="TableParagraph"/>
                          <w:spacing w:line="229" w:lineRule="exact"/>
                          <w:ind w:left="50"/>
                          <w:jc w:val="left"/>
                          <w:rPr>
                            <w:sz w:val="20"/>
                          </w:rPr>
                        </w:pPr>
                        <w:r>
                          <w:rPr>
                            <w:color w:val="231F20"/>
                            <w:sz w:val="20"/>
                          </w:rPr>
                          <w:t>737-500   . . . . . . . . . . . . . . . . . . . . . . . . . . . . . . . . </w:t>
                        </w:r>
                      </w:p>
                    </w:tc>
                    <w:tc>
                      <w:tcPr>
                        <w:tcW w:w="1108" w:type="dxa"/>
                      </w:tcPr>
                      <w:p>
                        <w:pPr>
                          <w:pStyle w:val="TableParagraph"/>
                          <w:spacing w:line="229" w:lineRule="exact"/>
                          <w:ind w:left="55" w:right="145"/>
                          <w:jc w:val="center"/>
                          <w:rPr>
                            <w:sz w:val="20"/>
                          </w:rPr>
                        </w:pPr>
                        <w:r>
                          <w:rPr>
                            <w:color w:val="231F20"/>
                            <w:sz w:val="20"/>
                          </w:rPr>
                          <w:t>122</w:t>
                        </w:r>
                      </w:p>
                    </w:tc>
                    <w:tc>
                      <w:tcPr>
                        <w:tcW w:w="944" w:type="dxa"/>
                      </w:tcPr>
                      <w:p>
                        <w:pPr>
                          <w:pStyle w:val="TableParagraph"/>
                          <w:spacing w:line="229" w:lineRule="exact"/>
                          <w:ind w:left="147" w:right="298"/>
                          <w:jc w:val="center"/>
                          <w:rPr>
                            <w:sz w:val="20"/>
                          </w:rPr>
                        </w:pPr>
                        <w:r>
                          <w:rPr>
                            <w:color w:val="231F20"/>
                            <w:sz w:val="20"/>
                          </w:rPr>
                          <w:t>22</w:t>
                        </w:r>
                      </w:p>
                    </w:tc>
                    <w:tc>
                      <w:tcPr>
                        <w:tcW w:w="928" w:type="dxa"/>
                      </w:tcPr>
                      <w:p>
                        <w:pPr>
                          <w:pStyle w:val="TableParagraph"/>
                          <w:spacing w:line="229" w:lineRule="exact"/>
                          <w:ind w:right="99"/>
                          <w:rPr>
                            <w:sz w:val="20"/>
                          </w:rPr>
                        </w:pPr>
                        <w:r>
                          <w:rPr>
                            <w:color w:val="231F20"/>
                            <w:sz w:val="20"/>
                          </w:rPr>
                          <w:t>20</w:t>
                        </w:r>
                      </w:p>
                    </w:tc>
                    <w:tc>
                      <w:tcPr>
                        <w:tcW w:w="200" w:type="dxa"/>
                      </w:tcPr>
                      <w:p>
                        <w:pPr/>
                      </w:p>
                    </w:tc>
                    <w:tc>
                      <w:tcPr>
                        <w:tcW w:w="945" w:type="dxa"/>
                      </w:tcPr>
                      <w:p>
                        <w:pPr>
                          <w:pStyle w:val="TableParagraph"/>
                          <w:spacing w:line="229" w:lineRule="exact"/>
                          <w:ind w:right="99"/>
                          <w:rPr>
                            <w:sz w:val="20"/>
                          </w:rPr>
                        </w:pPr>
                        <w:r>
                          <w:rPr>
                            <w:color w:val="231F20"/>
                            <w:sz w:val="20"/>
                          </w:rPr>
                          <w:t>11</w:t>
                        </w:r>
                      </w:p>
                    </w:tc>
                    <w:tc>
                      <w:tcPr>
                        <w:tcW w:w="200" w:type="dxa"/>
                      </w:tcPr>
                      <w:p>
                        <w:pPr/>
                      </w:p>
                    </w:tc>
                    <w:tc>
                      <w:tcPr>
                        <w:tcW w:w="711" w:type="dxa"/>
                      </w:tcPr>
                      <w:p>
                        <w:pPr>
                          <w:pStyle w:val="TableParagraph"/>
                          <w:spacing w:line="229" w:lineRule="exact"/>
                          <w:ind w:right="99"/>
                          <w:rPr>
                            <w:sz w:val="20"/>
                          </w:rPr>
                        </w:pPr>
                        <w:r>
                          <w:rPr>
                            <w:color w:val="231F20"/>
                            <w:sz w:val="20"/>
                          </w:rPr>
                          <w:t>9</w:t>
                        </w:r>
                      </w:p>
                    </w:tc>
                  </w:tr>
                  <w:tr>
                    <w:trPr>
                      <w:trHeight w:val="240" w:hRule="exact"/>
                    </w:trPr>
                    <w:tc>
                      <w:tcPr>
                        <w:tcW w:w="4133" w:type="dxa"/>
                      </w:tcPr>
                      <w:p>
                        <w:pPr>
                          <w:pStyle w:val="TableParagraph"/>
                          <w:spacing w:line="229" w:lineRule="exact"/>
                          <w:ind w:left="50"/>
                          <w:jc w:val="left"/>
                          <w:rPr>
                            <w:sz w:val="20"/>
                          </w:rPr>
                        </w:pPr>
                        <w:r>
                          <w:rPr>
                            <w:color w:val="231F20"/>
                            <w:sz w:val="20"/>
                          </w:rPr>
                          <w:t>737-700   . . . . . . . . . . . . . . . . . . . . . . . . . . . . . . . . </w:t>
                        </w:r>
                      </w:p>
                    </w:tc>
                    <w:tc>
                      <w:tcPr>
                        <w:tcW w:w="1108" w:type="dxa"/>
                      </w:tcPr>
                      <w:p>
                        <w:pPr>
                          <w:pStyle w:val="TableParagraph"/>
                          <w:spacing w:line="229" w:lineRule="exact"/>
                          <w:ind w:left="56" w:right="145"/>
                          <w:jc w:val="center"/>
                          <w:rPr>
                            <w:sz w:val="20"/>
                          </w:rPr>
                        </w:pPr>
                        <w:r>
                          <w:rPr>
                            <w:color w:val="231F20"/>
                            <w:sz w:val="20"/>
                          </w:rPr>
                          <w:t>137 or 143</w:t>
                        </w:r>
                      </w:p>
                    </w:tc>
                    <w:tc>
                      <w:tcPr>
                        <w:tcW w:w="944" w:type="dxa"/>
                      </w:tcPr>
                      <w:p>
                        <w:pPr>
                          <w:pStyle w:val="TableParagraph"/>
                          <w:spacing w:line="229" w:lineRule="exact"/>
                          <w:ind w:right="51"/>
                          <w:jc w:val="center"/>
                          <w:rPr>
                            <w:sz w:val="20"/>
                          </w:rPr>
                        </w:pPr>
                        <w:r>
                          <w:rPr>
                            <w:color w:val="231F20"/>
                            <w:sz w:val="20"/>
                          </w:rPr>
                          <w:t>8</w:t>
                        </w:r>
                      </w:p>
                    </w:tc>
                    <w:tc>
                      <w:tcPr>
                        <w:tcW w:w="928" w:type="dxa"/>
                      </w:tcPr>
                      <w:p>
                        <w:pPr>
                          <w:pStyle w:val="TableParagraph"/>
                          <w:spacing w:line="229" w:lineRule="exact"/>
                          <w:ind w:right="99"/>
                          <w:rPr>
                            <w:sz w:val="20"/>
                          </w:rPr>
                        </w:pPr>
                        <w:r>
                          <w:rPr>
                            <w:color w:val="231F20"/>
                            <w:sz w:val="20"/>
                          </w:rPr>
                          <w:t>424</w:t>
                        </w:r>
                      </w:p>
                    </w:tc>
                    <w:tc>
                      <w:tcPr>
                        <w:tcW w:w="200" w:type="dxa"/>
                      </w:tcPr>
                      <w:p>
                        <w:pPr/>
                      </w:p>
                    </w:tc>
                    <w:tc>
                      <w:tcPr>
                        <w:tcW w:w="945" w:type="dxa"/>
                      </w:tcPr>
                      <w:p>
                        <w:pPr>
                          <w:pStyle w:val="TableParagraph"/>
                          <w:spacing w:line="229" w:lineRule="exact"/>
                          <w:ind w:right="99"/>
                          <w:rPr>
                            <w:sz w:val="20"/>
                          </w:rPr>
                        </w:pPr>
                        <w:r>
                          <w:rPr>
                            <w:color w:val="231F20"/>
                            <w:sz w:val="20"/>
                          </w:rPr>
                          <w:t>379</w:t>
                        </w:r>
                      </w:p>
                    </w:tc>
                    <w:tc>
                      <w:tcPr>
                        <w:tcW w:w="200" w:type="dxa"/>
                      </w:tcPr>
                      <w:p>
                        <w:pPr/>
                      </w:p>
                    </w:tc>
                    <w:tc>
                      <w:tcPr>
                        <w:tcW w:w="711" w:type="dxa"/>
                      </w:tcPr>
                      <w:p>
                        <w:pPr>
                          <w:pStyle w:val="TableParagraph"/>
                          <w:spacing w:line="229" w:lineRule="exact"/>
                          <w:ind w:right="99"/>
                          <w:rPr>
                            <w:sz w:val="20"/>
                          </w:rPr>
                        </w:pPr>
                        <w:r>
                          <w:rPr>
                            <w:color w:val="231F20"/>
                            <w:sz w:val="20"/>
                          </w:rPr>
                          <w:t>45</w:t>
                        </w:r>
                      </w:p>
                    </w:tc>
                  </w:tr>
                  <w:tr>
                    <w:trPr>
                      <w:trHeight w:val="261" w:hRule="exact"/>
                    </w:trPr>
                    <w:tc>
                      <w:tcPr>
                        <w:tcW w:w="4133" w:type="dxa"/>
                      </w:tcPr>
                      <w:p>
                        <w:pPr>
                          <w:pStyle w:val="TableParagraph"/>
                          <w:spacing w:line="229" w:lineRule="exact"/>
                          <w:ind w:left="50"/>
                          <w:jc w:val="left"/>
                          <w:rPr>
                            <w:sz w:val="20"/>
                          </w:rPr>
                        </w:pPr>
                        <w:r>
                          <w:rPr>
                            <w:color w:val="231F20"/>
                            <w:sz w:val="20"/>
                          </w:rPr>
                          <w:t>737-800   . . . . . . . . . . . . . . . . . . . . . . . . . . . . . . . . </w:t>
                        </w:r>
                      </w:p>
                    </w:tc>
                    <w:tc>
                      <w:tcPr>
                        <w:tcW w:w="1108" w:type="dxa"/>
                      </w:tcPr>
                      <w:p>
                        <w:pPr>
                          <w:pStyle w:val="TableParagraph"/>
                          <w:spacing w:line="229" w:lineRule="exact"/>
                          <w:ind w:left="55" w:right="145"/>
                          <w:jc w:val="center"/>
                          <w:rPr>
                            <w:sz w:val="20"/>
                          </w:rPr>
                        </w:pPr>
                        <w:r>
                          <w:rPr>
                            <w:color w:val="231F20"/>
                            <w:sz w:val="20"/>
                          </w:rPr>
                          <w:t>175</w:t>
                        </w:r>
                      </w:p>
                    </w:tc>
                    <w:tc>
                      <w:tcPr>
                        <w:tcW w:w="944" w:type="dxa"/>
                      </w:tcPr>
                      <w:p>
                        <w:pPr>
                          <w:pStyle w:val="TableParagraph"/>
                          <w:spacing w:line="229" w:lineRule="exact"/>
                          <w:ind w:left="147" w:right="311"/>
                          <w:jc w:val="center"/>
                          <w:rPr>
                            <w:sz w:val="20"/>
                          </w:rPr>
                        </w:pPr>
                        <w:r>
                          <w:rPr>
                            <w:color w:val="231F20"/>
                            <w:sz w:val="20"/>
                          </w:rPr>
                          <w:t>&lt;1</w:t>
                        </w:r>
                      </w:p>
                    </w:tc>
                    <w:tc>
                      <w:tcPr>
                        <w:tcW w:w="928" w:type="dxa"/>
                        <w:tcBorders>
                          <w:bottom w:val="single" w:sz="4" w:space="0" w:color="231F20"/>
                        </w:tcBorders>
                      </w:tcPr>
                      <w:p>
                        <w:pPr>
                          <w:pStyle w:val="TableParagraph"/>
                          <w:spacing w:line="229" w:lineRule="exact"/>
                          <w:ind w:right="99"/>
                          <w:rPr>
                            <w:sz w:val="20"/>
                          </w:rPr>
                        </w:pPr>
                        <w:r>
                          <w:rPr>
                            <w:color w:val="231F20"/>
                            <w:sz w:val="20"/>
                          </w:rPr>
                          <w:t>34</w:t>
                        </w:r>
                      </w:p>
                    </w:tc>
                    <w:tc>
                      <w:tcPr>
                        <w:tcW w:w="200" w:type="dxa"/>
                      </w:tcPr>
                      <w:p>
                        <w:pPr/>
                      </w:p>
                    </w:tc>
                    <w:tc>
                      <w:tcPr>
                        <w:tcW w:w="945" w:type="dxa"/>
                        <w:tcBorders>
                          <w:bottom w:val="single" w:sz="4" w:space="0" w:color="231F20"/>
                        </w:tcBorders>
                      </w:tcPr>
                      <w:p>
                        <w:pPr>
                          <w:pStyle w:val="TableParagraph"/>
                          <w:spacing w:line="229" w:lineRule="exact"/>
                          <w:ind w:right="99"/>
                          <w:rPr>
                            <w:sz w:val="20"/>
                          </w:rPr>
                        </w:pPr>
                        <w:r>
                          <w:rPr>
                            <w:color w:val="231F20"/>
                            <w:sz w:val="20"/>
                          </w:rPr>
                          <w:t>29</w:t>
                        </w:r>
                      </w:p>
                    </w:tc>
                    <w:tc>
                      <w:tcPr>
                        <w:tcW w:w="200" w:type="dxa"/>
                      </w:tcPr>
                      <w:p>
                        <w:pPr/>
                      </w:p>
                    </w:tc>
                    <w:tc>
                      <w:tcPr>
                        <w:tcW w:w="711" w:type="dxa"/>
                        <w:tcBorders>
                          <w:bottom w:val="single" w:sz="4" w:space="0" w:color="231F20"/>
                        </w:tcBorders>
                      </w:tcPr>
                      <w:p>
                        <w:pPr>
                          <w:pStyle w:val="TableParagraph"/>
                          <w:spacing w:line="229" w:lineRule="exact"/>
                          <w:ind w:right="99"/>
                          <w:rPr>
                            <w:sz w:val="20"/>
                          </w:rPr>
                        </w:pPr>
                        <w:r>
                          <w:rPr>
                            <w:color w:val="231F20"/>
                            <w:sz w:val="20"/>
                          </w:rPr>
                          <w:t>5</w:t>
                        </w:r>
                      </w:p>
                    </w:tc>
                  </w:tr>
                </w:tbl>
                <w:p>
                  <w:pPr>
                    <w:pStyle w:val="BodyText"/>
                  </w:pPr>
                </w:p>
              </w:txbxContent>
            </v:textbox>
            <w10:wrap type="none"/>
          </v:shape>
        </w:pict>
      </w:r>
      <w:r>
        <w:rPr>
          <w:color w:val="231F20"/>
        </w:rPr>
        <w:t>Average</w:t>
      </w:r>
      <w:r>
        <w:rPr>
          <w:color w:val="231F20"/>
          <w:w w:val="100"/>
        </w:rPr>
        <w:t> </w:t>
      </w:r>
      <w:r>
        <w:rPr>
          <w:color w:val="231F20"/>
        </w:rPr>
        <w:t>Age</w:t>
      </w:r>
    </w:p>
    <w:p>
      <w:pPr>
        <w:pStyle w:val="BodyText"/>
        <w:spacing w:before="9"/>
        <w:rPr>
          <w:b/>
          <w:sz w:val="26"/>
        </w:rPr>
      </w:pPr>
      <w:r>
        <w:rPr/>
        <w:br w:type="column"/>
      </w:r>
      <w:r>
        <w:rPr>
          <w:b/>
          <w:sz w:val="26"/>
        </w:rPr>
      </w:r>
    </w:p>
    <w:p>
      <w:pPr>
        <w:spacing w:before="0"/>
        <w:ind w:left="160" w:right="0" w:firstLine="0"/>
        <w:jc w:val="left"/>
        <w:rPr>
          <w:b/>
          <w:sz w:val="20"/>
        </w:rPr>
      </w:pPr>
      <w:r>
        <w:rPr>
          <w:b/>
          <w:color w:val="231F20"/>
          <w:sz w:val="20"/>
        </w:rPr>
        <w:t>Number of</w:t>
      </w:r>
    </w:p>
    <w:p>
      <w:pPr>
        <w:pStyle w:val="BodyText"/>
        <w:spacing w:before="9"/>
        <w:rPr>
          <w:b/>
          <w:sz w:val="26"/>
        </w:rPr>
      </w:pPr>
      <w:r>
        <w:rPr/>
        <w:br w:type="column"/>
      </w:r>
      <w:r>
        <w:rPr>
          <w:b/>
          <w:sz w:val="26"/>
        </w:rPr>
      </w:r>
    </w:p>
    <w:p>
      <w:pPr>
        <w:spacing w:before="0"/>
        <w:ind w:left="277" w:right="0" w:firstLine="0"/>
        <w:jc w:val="left"/>
        <w:rPr>
          <w:b/>
          <w:sz w:val="20"/>
        </w:rPr>
      </w:pPr>
      <w:r>
        <w:rPr>
          <w:b/>
          <w:color w:val="231F20"/>
          <w:sz w:val="20"/>
        </w:rPr>
        <w:t>Number</w:t>
      </w:r>
    </w:p>
    <w:p>
      <w:pPr>
        <w:pStyle w:val="BodyText"/>
        <w:spacing w:before="9"/>
        <w:rPr>
          <w:b/>
          <w:sz w:val="26"/>
        </w:rPr>
      </w:pPr>
      <w:r>
        <w:rPr/>
        <w:br w:type="column"/>
      </w:r>
      <w:r>
        <w:rPr>
          <w:b/>
          <w:sz w:val="26"/>
        </w:rPr>
      </w:r>
    </w:p>
    <w:p>
      <w:pPr>
        <w:spacing w:before="0"/>
        <w:ind w:left="276" w:right="0" w:firstLine="0"/>
        <w:jc w:val="left"/>
        <w:rPr>
          <w:b/>
          <w:sz w:val="20"/>
        </w:rPr>
      </w:pPr>
      <w:r>
        <w:rPr>
          <w:b/>
          <w:color w:val="231F20"/>
          <w:sz w:val="20"/>
        </w:rPr>
        <w:t>Number</w:t>
      </w:r>
    </w:p>
    <w:p>
      <w:pPr>
        <w:spacing w:after="0"/>
        <w:jc w:val="left"/>
        <w:rPr>
          <w:sz w:val="20"/>
        </w:rPr>
        <w:sectPr>
          <w:type w:val="continuous"/>
          <w:pgSz w:w="11880" w:h="15480"/>
          <w:pgMar w:top="1200" w:bottom="280" w:left="1220" w:right="1220"/>
          <w:cols w:num="4" w:equalWidth="0">
            <w:col w:w="6096" w:space="40"/>
            <w:col w:w="1088" w:space="40"/>
            <w:col w:w="989" w:space="40"/>
            <w:col w:w="114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8"/>
        </w:rPr>
      </w:pPr>
    </w:p>
    <w:p>
      <w:pPr>
        <w:pStyle w:val="BodyText"/>
        <w:tabs>
          <w:tab w:pos="6823" w:val="left" w:leader="none"/>
          <w:tab w:pos="7968" w:val="left" w:leader="none"/>
          <w:tab w:pos="9179" w:val="right" w:leader="none"/>
        </w:tabs>
        <w:spacing w:before="90"/>
        <w:ind w:left="160"/>
      </w:pPr>
      <w:r>
        <w:rPr/>
        <w:pict>
          <v:group style="position:absolute;margin-left:375.549988pt;margin-top:17.335932pt;width:46.9pt;height:2.5pt;mso-position-horizontal-relative:page;mso-position-vertical-relative:paragraph;z-index:1456;mso-wrap-distance-left:0;mso-wrap-distance-right:0" coordorigin="7511,347" coordsize="938,50">
            <v:line style="position:absolute" from="7516,352" to="8444,352" stroked="true" strokeweight=".5pt" strokecolor="#231f20">
              <v:stroke dashstyle="solid"/>
            </v:line>
            <v:line style="position:absolute" from="7516,392" to="8444,392" stroked="true" strokeweight=".5pt" strokecolor="#231f20">
              <v:stroke dashstyle="solid"/>
            </v:line>
            <w10:wrap type="topAndBottom"/>
          </v:group>
        </w:pict>
      </w:r>
      <w:r>
        <w:rPr/>
        <w:pict>
          <v:group style="position:absolute;margin-left:431.950012pt;margin-top:17.335932pt;width:47.75pt;height:2.5pt;mso-position-horizontal-relative:page;mso-position-vertical-relative:paragraph;z-index:1480;mso-wrap-distance-left:0;mso-wrap-distance-right:0" coordorigin="8639,347" coordsize="955,50">
            <v:line style="position:absolute" from="8644,352" to="9589,352" stroked="true" strokeweight=".5pt" strokecolor="#231f20">
              <v:stroke dashstyle="solid"/>
            </v:line>
            <v:line style="position:absolute" from="8644,392" to="9589,392" stroked="true" strokeweight=".5pt" strokecolor="#231f20">
              <v:stroke dashstyle="solid"/>
            </v:line>
            <w10:wrap type="topAndBottom"/>
          </v:group>
        </w:pict>
      </w:r>
      <w:r>
        <w:rPr/>
        <w:pict>
          <v:group style="position:absolute;margin-left:489.200012pt;margin-top:17.335932pt;width:36.050pt;height:2.5pt;mso-position-horizontal-relative:page;mso-position-vertical-relative:paragraph;z-index:1504;mso-wrap-distance-left:0;mso-wrap-distance-right:0" coordorigin="9784,347" coordsize="721,50">
            <v:line style="position:absolute" from="9789,352" to="10500,352" stroked="true" strokeweight=".5pt" strokecolor="#231f20">
              <v:stroke dashstyle="solid"/>
            </v:line>
            <v:line style="position:absolute" from="9789,392" to="10500,392" stroked="true" strokeweight=".5pt" strokecolor="#231f20">
              <v:stroke dashstyle="solid"/>
            </v:line>
            <w10:wrap type="topAndBottom"/>
          </v:group>
        </w:pict>
      </w:r>
      <w:r>
        <w:rPr>
          <w:color w:val="231F20"/>
        </w:rPr>
        <w:t>Totals  . . . . . . . . . . . . . . . . . . . . . . . . . . . . . . . .</w:t>
      </w:r>
      <w:r>
        <w:rPr>
          <w:color w:val="231F20"/>
          <w:spacing w:val="8"/>
        </w:rPr>
        <w:t> </w:t>
      </w:r>
      <w:r>
        <w:rPr>
          <w:color w:val="231F20"/>
        </w:rPr>
        <w:t>. .</w:t>
        <w:tab/>
        <w:t>694</w:t>
        <w:tab/>
        <w:t>505</w:t>
        <w:tab/>
        <w:t>189</w:t>
      </w:r>
    </w:p>
    <w:p>
      <w:pPr>
        <w:pStyle w:val="BodyText"/>
        <w:spacing w:line="249" w:lineRule="auto" w:before="171"/>
        <w:ind w:left="560" w:right="250" w:hanging="400"/>
      </w:pPr>
      <w:r>
        <w:rPr>
          <w:color w:val="231F20"/>
        </w:rPr>
        <w:t>(1) As discussed further in Note 7 to the Consolidated Financial Statements, 112 of Southwest’s and 37 of AirTran’s aircraft were pledged as collateral as of December 31, 2012.</w:t>
      </w:r>
    </w:p>
    <w:p>
      <w:pPr>
        <w:pStyle w:val="BodyText"/>
        <w:spacing w:line="249" w:lineRule="auto" w:before="148"/>
        <w:ind w:left="160" w:right="789" w:firstLine="400"/>
      </w:pPr>
      <w:r>
        <w:rPr>
          <w:color w:val="231F20"/>
        </w:rPr>
        <w:t>In total, at January 23, 2013, Southwest and AirTran firm orders, options, and purchase rights for the purchase of Boeing 737-700, 737-800, and 737 MAX aircraft were as follows:</w:t>
      </w:r>
    </w:p>
    <w:p>
      <w:pPr>
        <w:pStyle w:val="Heading3"/>
        <w:spacing w:before="148"/>
        <w:ind w:left="160"/>
      </w:pPr>
      <w:r>
        <w:rPr>
          <w:color w:val="231F20"/>
        </w:rPr>
        <w:t>737 FUTURE DELIVERY SCHEDULE</w:t>
      </w:r>
    </w:p>
    <w:p>
      <w:pPr>
        <w:spacing w:after="0"/>
        <w:sectPr>
          <w:type w:val="continuous"/>
          <w:pgSz w:w="11880" w:h="15480"/>
          <w:pgMar w:top="1200" w:bottom="280" w:left="1220" w:right="1220"/>
        </w:sectPr>
      </w:pPr>
    </w:p>
    <w:p>
      <w:pPr>
        <w:spacing w:line="200" w:lineRule="exact" w:before="143"/>
        <w:ind w:left="4928" w:right="-19" w:hanging="628"/>
        <w:jc w:val="left"/>
        <w:rPr>
          <w:b/>
          <w:sz w:val="20"/>
        </w:rPr>
      </w:pPr>
      <w:r>
        <w:rPr/>
        <w:pict>
          <v:line style="position:absolute;mso-position-horizontal-relative:page;mso-position-vertical-relative:paragraph;z-index:1528" from="248.899994pt,28.65pt" to="385.999994pt,28.65pt" stroked="true" strokeweight="1pt" strokecolor="#231f20">
            <v:stroke dashstyle="solid"/>
            <w10:wrap type="none"/>
          </v:line>
        </w:pict>
      </w:r>
      <w:r>
        <w:rPr>
          <w:b/>
          <w:color w:val="231F20"/>
          <w:sz w:val="20"/>
        </w:rPr>
        <w:t>The Boeing Company 737NG</w:t>
      </w:r>
    </w:p>
    <w:p>
      <w:pPr>
        <w:spacing w:line="200" w:lineRule="exact" w:before="143"/>
        <w:ind w:left="1009" w:right="872" w:hanging="514"/>
        <w:jc w:val="left"/>
        <w:rPr>
          <w:b/>
          <w:sz w:val="20"/>
        </w:rPr>
      </w:pPr>
      <w:r>
        <w:rPr/>
        <w:br w:type="column"/>
      </w:r>
      <w:r>
        <w:rPr>
          <w:b/>
          <w:color w:val="231F20"/>
          <w:sz w:val="20"/>
        </w:rPr>
        <w:t>The Boeing Company 737 MAX</w:t>
      </w:r>
    </w:p>
    <w:p>
      <w:pPr>
        <w:spacing w:after="0" w:line="200" w:lineRule="exact"/>
        <w:jc w:val="left"/>
        <w:rPr>
          <w:sz w:val="20"/>
        </w:rPr>
        <w:sectPr>
          <w:type w:val="continuous"/>
          <w:pgSz w:w="11880" w:h="15480"/>
          <w:pgMar w:top="1200" w:bottom="280" w:left="1220" w:right="1220"/>
          <w:cols w:num="2" w:equalWidth="0">
            <w:col w:w="6157" w:space="40"/>
            <w:col w:w="3243"/>
          </w:cols>
        </w:sectPr>
      </w:pPr>
    </w:p>
    <w:p>
      <w:pPr>
        <w:spacing w:line="215" w:lineRule="exact" w:before="53"/>
        <w:ind w:left="0" w:right="120" w:firstLine="0"/>
        <w:jc w:val="right"/>
        <w:rPr>
          <w:b/>
          <w:sz w:val="20"/>
        </w:rPr>
      </w:pPr>
      <w:r>
        <w:rPr/>
        <w:pict>
          <v:line style="position:absolute;mso-position-horizontal-relative:page;mso-position-vertical-relative:paragraph;z-index:1552" from="394pt,1.485937pt" to="490pt,1.485937pt" stroked="true" strokeweight="1pt" strokecolor="#231f20">
            <v:stroke dashstyle="solid"/>
            <w10:wrap type="none"/>
          </v:line>
        </w:pict>
      </w:r>
      <w:r>
        <w:rPr>
          <w:b/>
          <w:color w:val="231F20"/>
          <w:sz w:val="20"/>
        </w:rPr>
        <w:t>-700</w:t>
      </w:r>
    </w:p>
    <w:p>
      <w:pPr>
        <w:spacing w:line="200" w:lineRule="exact" w:before="12"/>
        <w:ind w:left="3983" w:right="-19" w:firstLine="89"/>
        <w:jc w:val="left"/>
        <w:rPr>
          <w:b/>
          <w:sz w:val="20"/>
        </w:rPr>
      </w:pPr>
      <w:r>
        <w:rPr>
          <w:b/>
          <w:color w:val="231F20"/>
          <w:sz w:val="20"/>
        </w:rPr>
        <w:t>Firm Orders</w:t>
      </w:r>
    </w:p>
    <w:p>
      <w:pPr>
        <w:spacing w:line="215" w:lineRule="exact" w:before="53"/>
        <w:ind w:left="371" w:right="0" w:firstLine="0"/>
        <w:jc w:val="left"/>
        <w:rPr>
          <w:b/>
          <w:sz w:val="20"/>
        </w:rPr>
      </w:pPr>
      <w:r>
        <w:rPr/>
        <w:br w:type="column"/>
      </w:r>
      <w:r>
        <w:rPr>
          <w:b/>
          <w:color w:val="231F20"/>
          <w:sz w:val="20"/>
        </w:rPr>
        <w:t>-800</w:t>
      </w:r>
    </w:p>
    <w:p>
      <w:pPr>
        <w:spacing w:line="200" w:lineRule="exact" w:before="0"/>
        <w:ind w:left="338" w:right="0" w:firstLine="0"/>
        <w:jc w:val="left"/>
        <w:rPr>
          <w:b/>
          <w:sz w:val="20"/>
        </w:rPr>
      </w:pPr>
      <w:r>
        <w:rPr>
          <w:b/>
          <w:color w:val="231F20"/>
          <w:sz w:val="20"/>
        </w:rPr>
        <w:t>Firm</w:t>
      </w:r>
    </w:p>
    <w:p>
      <w:pPr>
        <w:tabs>
          <w:tab w:pos="1155" w:val="left" w:leader="none"/>
        </w:tabs>
        <w:spacing w:line="215" w:lineRule="exact" w:before="0"/>
        <w:ind w:left="249"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374" w:right="0" w:firstLine="0"/>
        <w:jc w:val="left"/>
        <w:rPr>
          <w:b/>
          <w:sz w:val="20"/>
        </w:rPr>
      </w:pPr>
      <w:r>
        <w:rPr>
          <w:b/>
          <w:color w:val="231F20"/>
          <w:sz w:val="20"/>
        </w:rPr>
        <w:t>Firm</w:t>
      </w:r>
    </w:p>
    <w:p>
      <w:pPr>
        <w:tabs>
          <w:tab w:pos="1291" w:val="left" w:leader="none"/>
        </w:tabs>
        <w:spacing w:line="215" w:lineRule="exact" w:before="0"/>
        <w:ind w:left="285" w:right="0" w:firstLine="0"/>
        <w:jc w:val="left"/>
        <w:rPr>
          <w:b/>
          <w:sz w:val="20"/>
        </w:rPr>
      </w:pPr>
      <w:r>
        <w:rPr>
          <w:b/>
          <w:color w:val="231F20"/>
          <w:sz w:val="20"/>
        </w:rPr>
        <w:t>Orders</w:t>
        <w:tab/>
        <w:t>Options</w:t>
      </w:r>
    </w:p>
    <w:p>
      <w:pPr>
        <w:pStyle w:val="BodyText"/>
        <w:rPr>
          <w:b/>
          <w:sz w:val="22"/>
        </w:rPr>
      </w:pPr>
      <w:r>
        <w:rPr/>
        <w:br w:type="column"/>
      </w:r>
      <w:r>
        <w:rPr>
          <w:b/>
          <w:sz w:val="22"/>
        </w:rPr>
      </w:r>
    </w:p>
    <w:p>
      <w:pPr>
        <w:pStyle w:val="BodyText"/>
        <w:spacing w:before="4"/>
        <w:rPr>
          <w:b/>
          <w:sz w:val="17"/>
        </w:rPr>
      </w:pPr>
    </w:p>
    <w:p>
      <w:pPr>
        <w:spacing w:before="0"/>
        <w:ind w:left="246" w:right="0" w:firstLine="0"/>
        <w:jc w:val="left"/>
        <w:rPr>
          <w:b/>
          <w:sz w:val="20"/>
        </w:rPr>
      </w:pPr>
      <w:r>
        <w:rPr>
          <w:b/>
          <w:color w:val="231F20"/>
          <w:sz w:val="20"/>
        </w:rPr>
        <w:t>Total</w:t>
      </w:r>
    </w:p>
    <w:p>
      <w:pPr>
        <w:spacing w:after="0"/>
        <w:jc w:val="left"/>
        <w:rPr>
          <w:sz w:val="20"/>
        </w:rPr>
        <w:sectPr>
          <w:type w:val="continuous"/>
          <w:pgSz w:w="11880" w:h="15480"/>
          <w:pgMar w:top="1200" w:bottom="280" w:left="1220" w:right="1220"/>
          <w:cols w:num="4" w:equalWidth="0">
            <w:col w:w="4595" w:space="40"/>
            <w:col w:w="1835" w:space="40"/>
            <w:col w:w="1970" w:space="40"/>
            <w:col w:w="920"/>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4"/>
        <w:gridCol w:w="2774"/>
        <w:gridCol w:w="1208"/>
        <w:gridCol w:w="914"/>
        <w:gridCol w:w="570"/>
        <w:gridCol w:w="160"/>
        <w:gridCol w:w="880"/>
        <w:gridCol w:w="160"/>
        <w:gridCol w:w="880"/>
        <w:gridCol w:w="160"/>
        <w:gridCol w:w="590"/>
      </w:tblGrid>
      <w:tr>
        <w:trPr>
          <w:trHeight w:val="274" w:hRule="exact"/>
        </w:trPr>
        <w:tc>
          <w:tcPr>
            <w:tcW w:w="924" w:type="dxa"/>
          </w:tcPr>
          <w:p>
            <w:pPr>
              <w:pStyle w:val="TableParagraph"/>
              <w:spacing w:before="43"/>
              <w:ind w:right="73"/>
              <w:rPr>
                <w:sz w:val="20"/>
              </w:rPr>
            </w:pPr>
            <w:r>
              <w:rPr>
                <w:color w:val="231F20"/>
                <w:sz w:val="20"/>
              </w:rPr>
              <w:t>2013</w:t>
            </w:r>
          </w:p>
        </w:tc>
        <w:tc>
          <w:tcPr>
            <w:tcW w:w="2774" w:type="dxa"/>
          </w:tcPr>
          <w:p>
            <w:pPr>
              <w:pStyle w:val="TableParagraph"/>
              <w:spacing w:before="43"/>
              <w:rPr>
                <w:sz w:val="20"/>
              </w:rPr>
            </w:pPr>
            <w:r>
              <w:rPr>
                <w:color w:val="231F20"/>
                <w:sz w:val="20"/>
              </w:rPr>
              <w:t>. . . . . . . . . . . . . . . . . . . . . . . . . . . </w:t>
            </w:r>
          </w:p>
        </w:tc>
        <w:tc>
          <w:tcPr>
            <w:tcW w:w="1208" w:type="dxa"/>
            <w:tcBorders>
              <w:top w:val="single" w:sz="8" w:space="0" w:color="231F20"/>
            </w:tcBorders>
          </w:tcPr>
          <w:p>
            <w:pPr/>
          </w:p>
        </w:tc>
        <w:tc>
          <w:tcPr>
            <w:tcW w:w="914" w:type="dxa"/>
            <w:tcBorders>
              <w:top w:val="single" w:sz="8" w:space="0" w:color="231F20"/>
            </w:tcBorders>
          </w:tcPr>
          <w:p>
            <w:pPr>
              <w:pStyle w:val="TableParagraph"/>
              <w:spacing w:before="33"/>
              <w:ind w:left="324" w:right="348"/>
              <w:jc w:val="center"/>
              <w:rPr>
                <w:sz w:val="20"/>
              </w:rPr>
            </w:pPr>
            <w:r>
              <w:rPr>
                <w:color w:val="231F20"/>
                <w:sz w:val="20"/>
              </w:rPr>
              <w:t>20</w:t>
            </w:r>
          </w:p>
        </w:tc>
        <w:tc>
          <w:tcPr>
            <w:tcW w:w="570" w:type="dxa"/>
            <w:tcBorders>
              <w:top w:val="single" w:sz="8" w:space="0" w:color="231F20"/>
            </w:tcBorders>
          </w:tcPr>
          <w:p>
            <w:pPr/>
          </w:p>
        </w:tc>
        <w:tc>
          <w:tcPr>
            <w:tcW w:w="160" w:type="dxa"/>
          </w:tcPr>
          <w:p>
            <w:pPr/>
          </w:p>
        </w:tc>
        <w:tc>
          <w:tcPr>
            <w:tcW w:w="880" w:type="dxa"/>
            <w:tcBorders>
              <w:top w:val="single" w:sz="8" w:space="0" w:color="231F20"/>
            </w:tcBorders>
          </w:tcPr>
          <w:p>
            <w:pPr/>
          </w:p>
        </w:tc>
        <w:tc>
          <w:tcPr>
            <w:tcW w:w="160" w:type="dxa"/>
          </w:tcPr>
          <w:p>
            <w:pPr/>
          </w:p>
        </w:tc>
        <w:tc>
          <w:tcPr>
            <w:tcW w:w="880" w:type="dxa"/>
            <w:tcBorders>
              <w:top w:val="single" w:sz="8" w:space="0" w:color="231F20"/>
            </w:tcBorders>
          </w:tcPr>
          <w:p>
            <w:pPr/>
          </w:p>
        </w:tc>
        <w:tc>
          <w:tcPr>
            <w:tcW w:w="160" w:type="dxa"/>
          </w:tcPr>
          <w:p>
            <w:pPr/>
          </w:p>
        </w:tc>
        <w:tc>
          <w:tcPr>
            <w:tcW w:w="590" w:type="dxa"/>
            <w:tcBorders>
              <w:top w:val="single" w:sz="8" w:space="0" w:color="231F20"/>
            </w:tcBorders>
          </w:tcPr>
          <w:p>
            <w:pPr>
              <w:pStyle w:val="TableParagraph"/>
              <w:spacing w:before="33"/>
              <w:ind w:right="48"/>
              <w:rPr>
                <w:sz w:val="20"/>
              </w:rPr>
            </w:pPr>
            <w:r>
              <w:rPr>
                <w:color w:val="231F20"/>
                <w:sz w:val="20"/>
              </w:rPr>
              <w:t>20</w:t>
            </w:r>
          </w:p>
        </w:tc>
      </w:tr>
      <w:tr>
        <w:trPr>
          <w:trHeight w:val="220" w:hRule="exact"/>
        </w:trPr>
        <w:tc>
          <w:tcPr>
            <w:tcW w:w="924" w:type="dxa"/>
          </w:tcPr>
          <w:p>
            <w:pPr>
              <w:pStyle w:val="TableParagraph"/>
              <w:spacing w:line="219" w:lineRule="exact"/>
              <w:ind w:right="73"/>
              <w:rPr>
                <w:sz w:val="20"/>
              </w:rPr>
            </w:pPr>
            <w:r>
              <w:rPr>
                <w:color w:val="231F20"/>
                <w:sz w:val="20"/>
              </w:rPr>
              <w:t>2014</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right="44"/>
              <w:jc w:val="center"/>
              <w:rPr>
                <w:sz w:val="20"/>
              </w:rPr>
            </w:pPr>
            <w:r>
              <w:rPr>
                <w:color w:val="231F20"/>
                <w:sz w:val="20"/>
              </w:rPr>
              <w:t>5</w:t>
            </w:r>
          </w:p>
        </w:tc>
        <w:tc>
          <w:tcPr>
            <w:tcW w:w="914" w:type="dxa"/>
          </w:tcPr>
          <w:p>
            <w:pPr>
              <w:pStyle w:val="TableParagraph"/>
              <w:spacing w:line="219" w:lineRule="exact"/>
              <w:ind w:left="324" w:right="348"/>
              <w:jc w:val="center"/>
              <w:rPr>
                <w:sz w:val="20"/>
              </w:rPr>
            </w:pPr>
            <w:r>
              <w:rPr>
                <w:color w:val="231F20"/>
                <w:sz w:val="20"/>
              </w:rPr>
              <w:t>24</w:t>
            </w:r>
          </w:p>
        </w:tc>
        <w:tc>
          <w:tcPr>
            <w:tcW w:w="570" w:type="dxa"/>
          </w:tcPr>
          <w:p>
            <w:pPr>
              <w:pStyle w:val="TableParagraph"/>
              <w:spacing w:line="219" w:lineRule="exact"/>
              <w:rPr>
                <w:sz w:val="20"/>
              </w:rPr>
            </w:pPr>
            <w:r>
              <w:rPr>
                <w:color w:val="231F20"/>
                <w:sz w:val="20"/>
              </w:rPr>
              <w:t>15</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44</w:t>
            </w:r>
          </w:p>
        </w:tc>
      </w:tr>
      <w:tr>
        <w:trPr>
          <w:trHeight w:val="220" w:hRule="exact"/>
        </w:trPr>
        <w:tc>
          <w:tcPr>
            <w:tcW w:w="924" w:type="dxa"/>
          </w:tcPr>
          <w:p>
            <w:pPr>
              <w:pStyle w:val="TableParagraph"/>
              <w:spacing w:line="219" w:lineRule="exact"/>
              <w:ind w:right="73"/>
              <w:rPr>
                <w:sz w:val="20"/>
              </w:rPr>
            </w:pPr>
            <w:r>
              <w:rPr>
                <w:color w:val="231F20"/>
                <w:sz w:val="20"/>
              </w:rPr>
              <w:t>2015</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36</w:t>
            </w:r>
          </w:p>
        </w:tc>
        <w:tc>
          <w:tcPr>
            <w:tcW w:w="914" w:type="dxa"/>
          </w:tcPr>
          <w:p>
            <w:pPr/>
          </w:p>
        </w:tc>
        <w:tc>
          <w:tcPr>
            <w:tcW w:w="570" w:type="dxa"/>
          </w:tcPr>
          <w:p>
            <w:pPr>
              <w:pStyle w:val="TableParagraph"/>
              <w:spacing w:line="219" w:lineRule="exact"/>
              <w:rPr>
                <w:sz w:val="20"/>
              </w:rPr>
            </w:pPr>
            <w:r>
              <w:rPr>
                <w:color w:val="231F20"/>
                <w:sz w:val="20"/>
              </w:rPr>
              <w:t>12</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48</w:t>
            </w:r>
          </w:p>
        </w:tc>
      </w:tr>
      <w:tr>
        <w:trPr>
          <w:trHeight w:val="220" w:hRule="exact"/>
        </w:trPr>
        <w:tc>
          <w:tcPr>
            <w:tcW w:w="924" w:type="dxa"/>
          </w:tcPr>
          <w:p>
            <w:pPr>
              <w:pStyle w:val="TableParagraph"/>
              <w:spacing w:line="219" w:lineRule="exact"/>
              <w:ind w:right="73"/>
              <w:rPr>
                <w:sz w:val="20"/>
              </w:rPr>
            </w:pPr>
            <w:r>
              <w:rPr>
                <w:color w:val="231F20"/>
                <w:sz w:val="20"/>
              </w:rPr>
              <w:t>2016</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31</w:t>
            </w:r>
          </w:p>
        </w:tc>
        <w:tc>
          <w:tcPr>
            <w:tcW w:w="914" w:type="dxa"/>
          </w:tcPr>
          <w:p>
            <w:pPr/>
          </w:p>
        </w:tc>
        <w:tc>
          <w:tcPr>
            <w:tcW w:w="570" w:type="dxa"/>
          </w:tcPr>
          <w:p>
            <w:pPr>
              <w:pStyle w:val="TableParagraph"/>
              <w:spacing w:line="219" w:lineRule="exact"/>
              <w:rPr>
                <w:sz w:val="20"/>
              </w:rPr>
            </w:pPr>
            <w:r>
              <w:rPr>
                <w:color w:val="231F20"/>
                <w:sz w:val="20"/>
              </w:rPr>
              <w:t>12</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43</w:t>
            </w:r>
          </w:p>
        </w:tc>
      </w:tr>
      <w:tr>
        <w:trPr>
          <w:trHeight w:val="220" w:hRule="exact"/>
        </w:trPr>
        <w:tc>
          <w:tcPr>
            <w:tcW w:w="924" w:type="dxa"/>
          </w:tcPr>
          <w:p>
            <w:pPr>
              <w:pStyle w:val="TableParagraph"/>
              <w:spacing w:line="219" w:lineRule="exact"/>
              <w:ind w:right="73"/>
              <w:rPr>
                <w:sz w:val="20"/>
              </w:rPr>
            </w:pPr>
            <w:r>
              <w:rPr>
                <w:color w:val="231F20"/>
                <w:sz w:val="20"/>
              </w:rPr>
              <w:t>2017</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30</w:t>
            </w:r>
          </w:p>
        </w:tc>
        <w:tc>
          <w:tcPr>
            <w:tcW w:w="914" w:type="dxa"/>
          </w:tcPr>
          <w:p>
            <w:pPr/>
          </w:p>
        </w:tc>
        <w:tc>
          <w:tcPr>
            <w:tcW w:w="570" w:type="dxa"/>
          </w:tcPr>
          <w:p>
            <w:pPr>
              <w:pStyle w:val="TableParagraph"/>
              <w:spacing w:line="219" w:lineRule="exact"/>
              <w:rPr>
                <w:sz w:val="20"/>
              </w:rPr>
            </w:pPr>
            <w:r>
              <w:rPr>
                <w:color w:val="231F20"/>
                <w:sz w:val="20"/>
              </w:rPr>
              <w:t>25</w:t>
            </w:r>
          </w:p>
        </w:tc>
        <w:tc>
          <w:tcPr>
            <w:tcW w:w="160" w:type="dxa"/>
          </w:tcPr>
          <w:p>
            <w:pPr/>
          </w:p>
        </w:tc>
        <w:tc>
          <w:tcPr>
            <w:tcW w:w="880" w:type="dxa"/>
          </w:tcPr>
          <w:p>
            <w:pPr>
              <w:pStyle w:val="TableParagraph"/>
              <w:spacing w:line="219" w:lineRule="exact"/>
              <w:ind w:right="289"/>
              <w:rPr>
                <w:sz w:val="20"/>
              </w:rPr>
            </w:pPr>
            <w:r>
              <w:rPr>
                <w:color w:val="231F20"/>
                <w:sz w:val="20"/>
              </w:rPr>
              <w:t>4</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59</w:t>
            </w:r>
          </w:p>
        </w:tc>
      </w:tr>
      <w:tr>
        <w:trPr>
          <w:trHeight w:val="220" w:hRule="exact"/>
        </w:trPr>
        <w:tc>
          <w:tcPr>
            <w:tcW w:w="924" w:type="dxa"/>
          </w:tcPr>
          <w:p>
            <w:pPr>
              <w:pStyle w:val="TableParagraph"/>
              <w:spacing w:line="219" w:lineRule="exact"/>
              <w:ind w:right="73"/>
              <w:rPr>
                <w:sz w:val="20"/>
              </w:rPr>
            </w:pPr>
            <w:r>
              <w:rPr>
                <w:color w:val="231F20"/>
                <w:sz w:val="20"/>
              </w:rPr>
              <w:t>2018</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25</w:t>
            </w:r>
          </w:p>
        </w:tc>
        <w:tc>
          <w:tcPr>
            <w:tcW w:w="914" w:type="dxa"/>
          </w:tcPr>
          <w:p>
            <w:pPr/>
          </w:p>
        </w:tc>
        <w:tc>
          <w:tcPr>
            <w:tcW w:w="570" w:type="dxa"/>
          </w:tcPr>
          <w:p>
            <w:pPr>
              <w:pStyle w:val="TableParagraph"/>
              <w:spacing w:line="219" w:lineRule="exact"/>
              <w:rPr>
                <w:sz w:val="20"/>
              </w:rPr>
            </w:pPr>
            <w:r>
              <w:rPr>
                <w:color w:val="231F20"/>
                <w:sz w:val="20"/>
              </w:rPr>
              <w:t>28</w:t>
            </w:r>
          </w:p>
        </w:tc>
        <w:tc>
          <w:tcPr>
            <w:tcW w:w="160" w:type="dxa"/>
          </w:tcPr>
          <w:p>
            <w:pPr/>
          </w:p>
        </w:tc>
        <w:tc>
          <w:tcPr>
            <w:tcW w:w="880" w:type="dxa"/>
          </w:tcPr>
          <w:p>
            <w:pPr>
              <w:pStyle w:val="TableParagraph"/>
              <w:spacing w:line="219" w:lineRule="exact"/>
              <w:ind w:right="289"/>
              <w:rPr>
                <w:sz w:val="20"/>
              </w:rPr>
            </w:pPr>
            <w:r>
              <w:rPr>
                <w:color w:val="231F20"/>
                <w:sz w:val="20"/>
              </w:rPr>
              <w:t>15</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68</w:t>
            </w:r>
          </w:p>
        </w:tc>
      </w:tr>
      <w:tr>
        <w:trPr>
          <w:trHeight w:val="220" w:hRule="exact"/>
        </w:trPr>
        <w:tc>
          <w:tcPr>
            <w:tcW w:w="924" w:type="dxa"/>
          </w:tcPr>
          <w:p>
            <w:pPr>
              <w:pStyle w:val="TableParagraph"/>
              <w:spacing w:line="219" w:lineRule="exact"/>
              <w:ind w:right="73"/>
              <w:rPr>
                <w:sz w:val="20"/>
              </w:rPr>
            </w:pPr>
            <w:r>
              <w:rPr>
                <w:color w:val="231F20"/>
                <w:sz w:val="20"/>
              </w:rPr>
              <w:t>2019</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33</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33</w:t>
            </w:r>
          </w:p>
        </w:tc>
      </w:tr>
      <w:tr>
        <w:trPr>
          <w:trHeight w:val="220" w:hRule="exact"/>
        </w:trPr>
        <w:tc>
          <w:tcPr>
            <w:tcW w:w="924" w:type="dxa"/>
          </w:tcPr>
          <w:p>
            <w:pPr>
              <w:pStyle w:val="TableParagraph"/>
              <w:spacing w:line="219" w:lineRule="exact"/>
              <w:ind w:right="73"/>
              <w:rPr>
                <w:sz w:val="20"/>
              </w:rPr>
            </w:pPr>
            <w:r>
              <w:rPr>
                <w:color w:val="231F20"/>
                <w:sz w:val="20"/>
              </w:rPr>
              <w:t>2020</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34</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34</w:t>
            </w:r>
          </w:p>
        </w:tc>
      </w:tr>
      <w:tr>
        <w:trPr>
          <w:trHeight w:val="220" w:hRule="exact"/>
        </w:trPr>
        <w:tc>
          <w:tcPr>
            <w:tcW w:w="924" w:type="dxa"/>
          </w:tcPr>
          <w:p>
            <w:pPr>
              <w:pStyle w:val="TableParagraph"/>
              <w:spacing w:line="219" w:lineRule="exact"/>
              <w:ind w:right="73"/>
              <w:rPr>
                <w:sz w:val="20"/>
              </w:rPr>
            </w:pPr>
            <w:r>
              <w:rPr>
                <w:color w:val="231F20"/>
                <w:sz w:val="20"/>
              </w:rPr>
              <w:t>2021</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34</w:t>
            </w:r>
          </w:p>
        </w:tc>
        <w:tc>
          <w:tcPr>
            <w:tcW w:w="160" w:type="dxa"/>
          </w:tcPr>
          <w:p>
            <w:pPr/>
          </w:p>
        </w:tc>
        <w:tc>
          <w:tcPr>
            <w:tcW w:w="880" w:type="dxa"/>
          </w:tcPr>
          <w:p>
            <w:pPr>
              <w:pStyle w:val="TableParagraph"/>
              <w:spacing w:line="219" w:lineRule="exact"/>
              <w:rPr>
                <w:sz w:val="20"/>
              </w:rPr>
            </w:pPr>
            <w:r>
              <w:rPr>
                <w:color w:val="231F20"/>
                <w:sz w:val="20"/>
              </w:rPr>
              <w:t>18</w:t>
            </w:r>
          </w:p>
        </w:tc>
        <w:tc>
          <w:tcPr>
            <w:tcW w:w="160" w:type="dxa"/>
          </w:tcPr>
          <w:p>
            <w:pPr/>
          </w:p>
        </w:tc>
        <w:tc>
          <w:tcPr>
            <w:tcW w:w="590" w:type="dxa"/>
          </w:tcPr>
          <w:p>
            <w:pPr>
              <w:pStyle w:val="TableParagraph"/>
              <w:spacing w:line="219" w:lineRule="exact"/>
              <w:ind w:right="48"/>
              <w:rPr>
                <w:sz w:val="20"/>
              </w:rPr>
            </w:pPr>
            <w:r>
              <w:rPr>
                <w:color w:val="231F20"/>
                <w:sz w:val="20"/>
              </w:rPr>
              <w:t>52</w:t>
            </w:r>
          </w:p>
        </w:tc>
      </w:tr>
      <w:tr>
        <w:trPr>
          <w:trHeight w:val="220" w:hRule="exact"/>
        </w:trPr>
        <w:tc>
          <w:tcPr>
            <w:tcW w:w="924" w:type="dxa"/>
          </w:tcPr>
          <w:p>
            <w:pPr>
              <w:pStyle w:val="TableParagraph"/>
              <w:spacing w:line="219" w:lineRule="exact"/>
              <w:ind w:right="73"/>
              <w:rPr>
                <w:sz w:val="20"/>
              </w:rPr>
            </w:pPr>
            <w:r>
              <w:rPr>
                <w:color w:val="231F20"/>
                <w:sz w:val="20"/>
              </w:rPr>
              <w:t>2022</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30</w:t>
            </w:r>
          </w:p>
        </w:tc>
        <w:tc>
          <w:tcPr>
            <w:tcW w:w="160" w:type="dxa"/>
          </w:tcPr>
          <w:p>
            <w:pPr/>
          </w:p>
        </w:tc>
        <w:tc>
          <w:tcPr>
            <w:tcW w:w="880" w:type="dxa"/>
          </w:tcPr>
          <w:p>
            <w:pPr>
              <w:pStyle w:val="TableParagraph"/>
              <w:spacing w:line="219" w:lineRule="exact"/>
              <w:rPr>
                <w:sz w:val="20"/>
              </w:rPr>
            </w:pPr>
            <w:r>
              <w:rPr>
                <w:color w:val="231F20"/>
                <w:sz w:val="20"/>
              </w:rPr>
              <w:t>19</w:t>
            </w:r>
          </w:p>
        </w:tc>
        <w:tc>
          <w:tcPr>
            <w:tcW w:w="160" w:type="dxa"/>
          </w:tcPr>
          <w:p>
            <w:pPr/>
          </w:p>
        </w:tc>
        <w:tc>
          <w:tcPr>
            <w:tcW w:w="590" w:type="dxa"/>
          </w:tcPr>
          <w:p>
            <w:pPr>
              <w:pStyle w:val="TableParagraph"/>
              <w:spacing w:line="219" w:lineRule="exact"/>
              <w:ind w:right="48"/>
              <w:rPr>
                <w:sz w:val="20"/>
              </w:rPr>
            </w:pPr>
            <w:r>
              <w:rPr>
                <w:color w:val="231F20"/>
                <w:sz w:val="20"/>
              </w:rPr>
              <w:t>49</w:t>
            </w:r>
          </w:p>
        </w:tc>
      </w:tr>
      <w:tr>
        <w:trPr>
          <w:trHeight w:val="220" w:hRule="exact"/>
        </w:trPr>
        <w:tc>
          <w:tcPr>
            <w:tcW w:w="924" w:type="dxa"/>
          </w:tcPr>
          <w:p>
            <w:pPr>
              <w:pStyle w:val="TableParagraph"/>
              <w:spacing w:line="219" w:lineRule="exact"/>
              <w:ind w:right="73"/>
              <w:rPr>
                <w:sz w:val="20"/>
              </w:rPr>
            </w:pPr>
            <w:r>
              <w:rPr>
                <w:color w:val="231F20"/>
                <w:sz w:val="20"/>
              </w:rPr>
              <w:t>2023</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20" w:hRule="exact"/>
        </w:trPr>
        <w:tc>
          <w:tcPr>
            <w:tcW w:w="924" w:type="dxa"/>
          </w:tcPr>
          <w:p>
            <w:pPr>
              <w:pStyle w:val="TableParagraph"/>
              <w:spacing w:line="219" w:lineRule="exact"/>
              <w:ind w:right="73"/>
              <w:rPr>
                <w:sz w:val="20"/>
              </w:rPr>
            </w:pPr>
            <w:r>
              <w:rPr>
                <w:color w:val="231F20"/>
                <w:sz w:val="20"/>
              </w:rPr>
              <w:t>2024</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19" w:hRule="exact"/>
        </w:trPr>
        <w:tc>
          <w:tcPr>
            <w:tcW w:w="924" w:type="dxa"/>
          </w:tcPr>
          <w:p>
            <w:pPr>
              <w:pStyle w:val="TableParagraph"/>
              <w:spacing w:line="219" w:lineRule="exact"/>
              <w:ind w:right="73"/>
              <w:rPr>
                <w:sz w:val="20"/>
              </w:rPr>
            </w:pPr>
            <w:r>
              <w:rPr>
                <w:color w:val="231F20"/>
                <w:sz w:val="20"/>
              </w:rPr>
              <w:t>2025</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52" w:hRule="exact"/>
        </w:trPr>
        <w:tc>
          <w:tcPr>
            <w:tcW w:w="3698" w:type="dxa"/>
            <w:gridSpan w:val="2"/>
          </w:tcPr>
          <w:p>
            <w:pPr>
              <w:pStyle w:val="TableParagraph"/>
              <w:spacing w:line="219" w:lineRule="exact"/>
              <w:ind w:left="50"/>
              <w:jc w:val="left"/>
              <w:rPr>
                <w:sz w:val="20"/>
              </w:rPr>
            </w:pPr>
            <w:r>
              <w:rPr>
                <w:color w:val="231F20"/>
                <w:sz w:val="20"/>
              </w:rPr>
              <w:t>Through 2027  . . . . . . . . . . . . . . . . . . . . . . . . </w:t>
            </w:r>
          </w:p>
        </w:tc>
        <w:tc>
          <w:tcPr>
            <w:tcW w:w="1208" w:type="dxa"/>
            <w:tcBorders>
              <w:bottom w:val="single" w:sz="4" w:space="0" w:color="231F20"/>
            </w:tcBorders>
          </w:tcPr>
          <w:p>
            <w:pPr/>
          </w:p>
        </w:tc>
        <w:tc>
          <w:tcPr>
            <w:tcW w:w="914" w:type="dxa"/>
            <w:tcBorders>
              <w:bottom w:val="single" w:sz="4" w:space="0" w:color="231F20"/>
            </w:tcBorders>
          </w:tcPr>
          <w:p>
            <w:pPr/>
          </w:p>
        </w:tc>
        <w:tc>
          <w:tcPr>
            <w:tcW w:w="570" w:type="dxa"/>
            <w:tcBorders>
              <w:bottom w:val="single" w:sz="4" w:space="0" w:color="231F20"/>
            </w:tcBorders>
          </w:tcPr>
          <w:p>
            <w:pPr/>
          </w:p>
        </w:tc>
        <w:tc>
          <w:tcPr>
            <w:tcW w:w="1040" w:type="dxa"/>
            <w:gridSpan w:val="2"/>
            <w:tcBorders>
              <w:bottom w:val="single" w:sz="4" w:space="0" w:color="231F20"/>
            </w:tcBorders>
          </w:tcPr>
          <w:p>
            <w:pPr/>
          </w:p>
        </w:tc>
        <w:tc>
          <w:tcPr>
            <w:tcW w:w="1040" w:type="dxa"/>
            <w:gridSpan w:val="2"/>
            <w:tcBorders>
              <w:bottom w:val="single" w:sz="4" w:space="0" w:color="231F20"/>
            </w:tcBorders>
          </w:tcPr>
          <w:p>
            <w:pPr>
              <w:pStyle w:val="TableParagraph"/>
              <w:spacing w:line="219" w:lineRule="exact"/>
              <w:rPr>
                <w:sz w:val="20"/>
              </w:rPr>
            </w:pPr>
            <w:r>
              <w:rPr>
                <w:color w:val="231F20"/>
                <w:sz w:val="20"/>
              </w:rPr>
              <w:t>44</w:t>
            </w:r>
          </w:p>
        </w:tc>
        <w:tc>
          <w:tcPr>
            <w:tcW w:w="750" w:type="dxa"/>
            <w:gridSpan w:val="2"/>
            <w:tcBorders>
              <w:bottom w:val="single" w:sz="4" w:space="0" w:color="231F20"/>
            </w:tcBorders>
          </w:tcPr>
          <w:p>
            <w:pPr>
              <w:pStyle w:val="TableParagraph"/>
              <w:spacing w:line="219" w:lineRule="exact"/>
              <w:ind w:left="499"/>
              <w:jc w:val="left"/>
              <w:rPr>
                <w:sz w:val="20"/>
              </w:rPr>
            </w:pPr>
            <w:r>
              <w:rPr>
                <w:color w:val="231F20"/>
                <w:sz w:val="20"/>
              </w:rPr>
              <w:t>44</w:t>
            </w:r>
          </w:p>
        </w:tc>
      </w:tr>
      <w:tr>
        <w:trPr>
          <w:trHeight w:val="340" w:hRule="exact"/>
        </w:trPr>
        <w:tc>
          <w:tcPr>
            <w:tcW w:w="3698" w:type="dxa"/>
            <w:gridSpan w:val="2"/>
          </w:tcPr>
          <w:p>
            <w:pPr>
              <w:pStyle w:val="TableParagraph"/>
              <w:spacing w:before="58"/>
              <w:ind w:left="850"/>
              <w:jc w:val="left"/>
              <w:rPr>
                <w:sz w:val="20"/>
              </w:rPr>
            </w:pPr>
            <w:r>
              <w:rPr>
                <w:b/>
                <w:color w:val="231F20"/>
                <w:sz w:val="20"/>
              </w:rPr>
              <w:t>Total  </w:t>
            </w:r>
            <w:r>
              <w:rPr>
                <w:color w:val="231F20"/>
                <w:sz w:val="20"/>
              </w:rPr>
              <w:t>. . . . . . . . . . . . . . . . . . . . . . . </w:t>
            </w:r>
          </w:p>
        </w:tc>
        <w:tc>
          <w:tcPr>
            <w:tcW w:w="1208" w:type="dxa"/>
            <w:tcBorders>
              <w:top w:val="single" w:sz="4" w:space="0" w:color="231F20"/>
              <w:bottom w:val="double" w:sz="7" w:space="0" w:color="231F20"/>
            </w:tcBorders>
          </w:tcPr>
          <w:p>
            <w:pPr>
              <w:pStyle w:val="TableParagraph"/>
              <w:spacing w:before="53"/>
              <w:ind w:left="330"/>
              <w:jc w:val="left"/>
              <w:rPr>
                <w:b/>
                <w:sz w:val="20"/>
              </w:rPr>
            </w:pPr>
            <w:r>
              <w:rPr>
                <w:b/>
                <w:color w:val="231F20"/>
                <w:sz w:val="20"/>
              </w:rPr>
              <w:t>127(a)</w:t>
            </w:r>
          </w:p>
        </w:tc>
        <w:tc>
          <w:tcPr>
            <w:tcW w:w="914" w:type="dxa"/>
            <w:tcBorders>
              <w:top w:val="single" w:sz="4" w:space="0" w:color="231F20"/>
              <w:bottom w:val="double" w:sz="7" w:space="0" w:color="231F20"/>
            </w:tcBorders>
          </w:tcPr>
          <w:p>
            <w:pPr>
              <w:pStyle w:val="TableParagraph"/>
              <w:spacing w:before="53"/>
              <w:ind w:left="324" w:right="348"/>
              <w:jc w:val="center"/>
              <w:rPr>
                <w:b/>
                <w:sz w:val="20"/>
              </w:rPr>
            </w:pPr>
            <w:r>
              <w:rPr>
                <w:b/>
                <w:color w:val="231F20"/>
                <w:sz w:val="20"/>
              </w:rPr>
              <w:t>44</w:t>
            </w:r>
          </w:p>
        </w:tc>
        <w:tc>
          <w:tcPr>
            <w:tcW w:w="570" w:type="dxa"/>
            <w:tcBorders>
              <w:top w:val="single" w:sz="4" w:space="0" w:color="231F20"/>
              <w:bottom w:val="double" w:sz="7" w:space="0" w:color="231F20"/>
            </w:tcBorders>
          </w:tcPr>
          <w:p>
            <w:pPr>
              <w:pStyle w:val="TableParagraph"/>
              <w:spacing w:before="53"/>
              <w:rPr>
                <w:b/>
                <w:sz w:val="20"/>
              </w:rPr>
            </w:pPr>
            <w:r>
              <w:rPr>
                <w:b/>
                <w:color w:val="231F20"/>
                <w:sz w:val="20"/>
              </w:rPr>
              <w:t>92</w:t>
            </w:r>
          </w:p>
        </w:tc>
        <w:tc>
          <w:tcPr>
            <w:tcW w:w="1040" w:type="dxa"/>
            <w:gridSpan w:val="2"/>
            <w:tcBorders>
              <w:top w:val="single" w:sz="4" w:space="0" w:color="231F20"/>
              <w:bottom w:val="double" w:sz="7" w:space="0" w:color="231F20"/>
            </w:tcBorders>
          </w:tcPr>
          <w:p>
            <w:pPr>
              <w:pStyle w:val="TableParagraph"/>
              <w:spacing w:before="53"/>
              <w:ind w:left="449"/>
              <w:jc w:val="left"/>
              <w:rPr>
                <w:b/>
                <w:sz w:val="20"/>
              </w:rPr>
            </w:pPr>
            <w:r>
              <w:rPr>
                <w:b/>
                <w:color w:val="231F20"/>
                <w:sz w:val="20"/>
              </w:rPr>
              <w:t>150(b)</w:t>
            </w:r>
          </w:p>
        </w:tc>
        <w:tc>
          <w:tcPr>
            <w:tcW w:w="1040" w:type="dxa"/>
            <w:gridSpan w:val="2"/>
            <w:tcBorders>
              <w:top w:val="single" w:sz="4" w:space="0" w:color="231F20"/>
              <w:bottom w:val="double" w:sz="7" w:space="0" w:color="231F20"/>
            </w:tcBorders>
          </w:tcPr>
          <w:p>
            <w:pPr>
              <w:pStyle w:val="TableParagraph"/>
              <w:spacing w:before="53"/>
              <w:ind w:right="-1"/>
              <w:rPr>
                <w:b/>
                <w:sz w:val="20"/>
              </w:rPr>
            </w:pPr>
            <w:r>
              <w:rPr>
                <w:b/>
                <w:color w:val="231F20"/>
                <w:sz w:val="20"/>
              </w:rPr>
              <w:t>150</w:t>
            </w:r>
          </w:p>
        </w:tc>
        <w:tc>
          <w:tcPr>
            <w:tcW w:w="750" w:type="dxa"/>
            <w:gridSpan w:val="2"/>
            <w:tcBorders>
              <w:top w:val="single" w:sz="4" w:space="0" w:color="231F20"/>
              <w:bottom w:val="double" w:sz="7" w:space="0" w:color="231F20"/>
            </w:tcBorders>
          </w:tcPr>
          <w:p>
            <w:pPr>
              <w:pStyle w:val="TableParagraph"/>
              <w:spacing w:before="53"/>
              <w:ind w:left="400"/>
              <w:jc w:val="left"/>
              <w:rPr>
                <w:b/>
                <w:sz w:val="20"/>
              </w:rPr>
            </w:pPr>
            <w:r>
              <w:rPr>
                <w:b/>
                <w:color w:val="231F20"/>
                <w:sz w:val="20"/>
              </w:rPr>
              <w:t>563</w:t>
            </w:r>
          </w:p>
        </w:tc>
      </w:tr>
      <w:tr>
        <w:trPr>
          <w:trHeight w:val="180" w:hRule="exact"/>
        </w:trPr>
        <w:tc>
          <w:tcPr>
            <w:tcW w:w="3698" w:type="dxa"/>
            <w:gridSpan w:val="2"/>
            <w:tcBorders>
              <w:bottom w:val="single" w:sz="4" w:space="0" w:color="231F20"/>
            </w:tcBorders>
          </w:tcPr>
          <w:p>
            <w:pPr/>
          </w:p>
        </w:tc>
        <w:tc>
          <w:tcPr>
            <w:tcW w:w="1208" w:type="dxa"/>
            <w:tcBorders>
              <w:top w:val="double" w:sz="7" w:space="0" w:color="231F20"/>
            </w:tcBorders>
          </w:tcPr>
          <w:p>
            <w:pPr/>
          </w:p>
        </w:tc>
        <w:tc>
          <w:tcPr>
            <w:tcW w:w="914" w:type="dxa"/>
            <w:tcBorders>
              <w:top w:val="double" w:sz="7" w:space="0" w:color="231F20"/>
            </w:tcBorders>
          </w:tcPr>
          <w:p>
            <w:pPr/>
          </w:p>
        </w:tc>
        <w:tc>
          <w:tcPr>
            <w:tcW w:w="570" w:type="dxa"/>
            <w:tcBorders>
              <w:top w:val="double" w:sz="7" w:space="0" w:color="231F20"/>
            </w:tcBorders>
          </w:tcPr>
          <w:p>
            <w:pPr/>
          </w:p>
        </w:tc>
        <w:tc>
          <w:tcPr>
            <w:tcW w:w="1040" w:type="dxa"/>
            <w:gridSpan w:val="2"/>
            <w:tcBorders>
              <w:top w:val="double" w:sz="7" w:space="0" w:color="231F20"/>
            </w:tcBorders>
          </w:tcPr>
          <w:p>
            <w:pPr/>
          </w:p>
        </w:tc>
        <w:tc>
          <w:tcPr>
            <w:tcW w:w="1040" w:type="dxa"/>
            <w:gridSpan w:val="2"/>
            <w:tcBorders>
              <w:top w:val="double" w:sz="7" w:space="0" w:color="231F20"/>
            </w:tcBorders>
          </w:tcPr>
          <w:p>
            <w:pPr/>
          </w:p>
        </w:tc>
        <w:tc>
          <w:tcPr>
            <w:tcW w:w="750" w:type="dxa"/>
            <w:gridSpan w:val="2"/>
            <w:tcBorders>
              <w:top w:val="double" w:sz="7" w:space="0" w:color="231F20"/>
            </w:tcBorders>
          </w:tcPr>
          <w:p>
            <w:pPr/>
          </w:p>
        </w:tc>
      </w:tr>
    </w:tbl>
    <w:p>
      <w:pPr>
        <w:pStyle w:val="ListParagraph"/>
        <w:numPr>
          <w:ilvl w:val="0"/>
          <w:numId w:val="7"/>
        </w:numPr>
        <w:tabs>
          <w:tab w:pos="560" w:val="left" w:leader="none"/>
        </w:tabs>
        <w:spacing w:line="240" w:lineRule="auto" w:before="48" w:after="0"/>
        <w:ind w:left="56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7"/>
        </w:numPr>
        <w:tabs>
          <w:tab w:pos="560" w:val="left" w:leader="none"/>
        </w:tabs>
        <w:spacing w:line="249" w:lineRule="auto" w:before="9" w:after="0"/>
        <w:ind w:left="560" w:right="249" w:hanging="400"/>
        <w:jc w:val="left"/>
        <w:rPr>
          <w:sz w:val="20"/>
        </w:rPr>
      </w:pPr>
      <w:r>
        <w:rPr>
          <w:color w:val="231F20"/>
          <w:sz w:val="20"/>
        </w:rPr>
        <w:t>The Company has the right, under certain conditions, including Boeing’s decision to manufacture a MAX 7 aircraft, to substitute MAX 7 aircraft in place of future MAX 8</w:t>
      </w:r>
      <w:r>
        <w:rPr>
          <w:color w:val="231F20"/>
          <w:spacing w:val="6"/>
          <w:sz w:val="20"/>
        </w:rPr>
        <w:t> </w:t>
      </w:r>
      <w:r>
        <w:rPr>
          <w:color w:val="231F20"/>
          <w:sz w:val="20"/>
        </w:rPr>
        <w:t>deliveries.</w:t>
      </w:r>
    </w:p>
    <w:p>
      <w:pPr>
        <w:spacing w:after="0" w:line="249" w:lineRule="auto"/>
        <w:jc w:val="left"/>
        <w:rPr>
          <w:sz w:val="20"/>
        </w:rPr>
        <w:sectPr>
          <w:type w:val="continuous"/>
          <w:pgSz w:w="11880" w:h="15480"/>
          <w:pgMar w:top="1200" w:bottom="280" w:left="1220" w:right="1220"/>
        </w:sectPr>
      </w:pPr>
    </w:p>
    <w:p>
      <w:pPr>
        <w:pStyle w:val="Heading3"/>
        <w:spacing w:before="73"/>
      </w:pPr>
      <w:r>
        <w:rPr>
          <w:color w:val="231F20"/>
        </w:rPr>
        <w:t>Ground Facilities and Services</w:t>
      </w:r>
    </w:p>
    <w:p>
      <w:pPr>
        <w:pStyle w:val="BodyText"/>
        <w:spacing w:before="1"/>
        <w:rPr>
          <w:b/>
          <w:sz w:val="18"/>
        </w:rPr>
      </w:pPr>
    </w:p>
    <w:p>
      <w:pPr>
        <w:pStyle w:val="BodyText"/>
        <w:spacing w:line="249" w:lineRule="auto"/>
        <w:ind w:left="100" w:right="101" w:firstLine="490"/>
      </w:pPr>
      <w:r>
        <w:rPr>
          <w:color w:val="231F20"/>
        </w:rPr>
        <w:t>Each of Southwest and AirTran either leases or pays a usage fee for terminal passenger service facilities at each of the airports it serves, to which various leasehold improvements have been made. Southwest leases the land and structures on a longterm basis for its aircraft maintenance centers (located at Dallas Love Field, Houston Hobby, Phoenix Sky Harbor, and Chicago Midway), its flight training center at Dallas Love Field (which houses nine 737 simulators), and its main corporate headquarters building, also located at Dallas Love Field. AirTran leases the land and structures on a longterm basis for its aircraft maintenance centers located at Hartsfield- Jackson Atlanta International Airport and Orlando International Airport. During 2012, the Company commenced construction of a new, owned, energy-efficient, modern building designed to house certain operational and training functions, including its 24-hour operations. This additional headquarters building will be located across the street from the Company’s current headquarters building on land owned by the Company. Completion of construction is projected for late 2013 with occupancy beginning in 2014.</w:t>
      </w:r>
    </w:p>
    <w:p>
      <w:pPr>
        <w:pStyle w:val="BodyText"/>
        <w:spacing w:before="3"/>
        <w:rPr>
          <w:sz w:val="17"/>
        </w:rPr>
      </w:pPr>
    </w:p>
    <w:p>
      <w:pPr>
        <w:pStyle w:val="BodyText"/>
        <w:spacing w:line="249" w:lineRule="auto" w:before="1"/>
        <w:ind w:left="100" w:right="113"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Major construction commenced during 2010. New ticketing and checkin areas opened during fourth quarter 2012 and 12 new gates and new concession areas are expected to open in second quarter 2013. Full completion of the project is scheduled for the second half of 2014. The LFMP is discussed in more detail below under “Management’s Discussion and Analysis of Financial Condition and Results of Operations” and in Note 4 to the Consolidated Financial Statements.</w:t>
      </w:r>
    </w:p>
    <w:p>
      <w:pPr>
        <w:pStyle w:val="BodyText"/>
        <w:spacing w:before="4"/>
        <w:rPr>
          <w:sz w:val="17"/>
        </w:rPr>
      </w:pPr>
    </w:p>
    <w:p>
      <w:pPr>
        <w:pStyle w:val="BodyText"/>
        <w:spacing w:line="249" w:lineRule="auto"/>
        <w:ind w:left="100" w:right="163" w:firstLine="490"/>
      </w:pPr>
      <w:r>
        <w:rPr>
          <w:color w:val="231F20"/>
        </w:rPr>
        <w:t>As of December 31, 2012, Southwest operated six Customer Support and Services centers. The centers located in San Antonio, Chicago, Albuquerque, and Oklahoma City occupy leased space. The Company owns its Houston and Phoenix centers. The Company opened its new expanded Customer Support and Services center in San Antonio in June 2012, replacing an older facility, and creating more than 300 local jobs. AirTran currently leases office space in Atlanta for use as a reservations center, a reservations center in Savannah, Georgia, a warehouse and engine repair facility in Atlanta, and a reservations center in Carrollton, Georgia. The Company announced in November 2012 that it intends to consolidate the Atlanta, Savannah and Carrollton reservations centers into a new Atlanta reservations center, located in currently leased space, beginning in May 2013. The Atlanta Customer Support and Services center will become the seventh Southwest call center. The Company intends to close the current Atlanta call center in May 2013 and the Savannah and Carrollton call centers on</w:t>
      </w:r>
    </w:p>
    <w:p>
      <w:pPr>
        <w:pStyle w:val="BodyText"/>
        <w:ind w:left="100"/>
      </w:pPr>
      <w:r>
        <w:rPr>
          <w:color w:val="231F20"/>
        </w:rPr>
        <w:t>July 31, 2013.</w:t>
      </w:r>
    </w:p>
    <w:p>
      <w:pPr>
        <w:pStyle w:val="BodyText"/>
        <w:spacing w:before="1"/>
        <w:rPr>
          <w:sz w:val="18"/>
        </w:rPr>
      </w:pPr>
    </w:p>
    <w:p>
      <w:pPr>
        <w:pStyle w:val="BodyText"/>
        <w:spacing w:line="249" w:lineRule="auto"/>
        <w:ind w:left="100" w:right="68"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4"/>
        <w:rPr>
          <w:sz w:val="17"/>
        </w:rPr>
      </w:pPr>
    </w:p>
    <w:p>
      <w:pPr>
        <w:tabs>
          <w:tab w:pos="1179" w:val="left" w:leader="none"/>
        </w:tabs>
        <w:spacing w:before="0"/>
        <w:ind w:left="10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2"/>
        <w:rPr>
          <w:b/>
          <w:i/>
          <w:sz w:val="18"/>
        </w:rPr>
      </w:pPr>
    </w:p>
    <w:p>
      <w:pPr>
        <w:pStyle w:val="BodyText"/>
        <w:spacing w:line="249" w:lineRule="auto"/>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before="1"/>
        <w:ind w:left="100"/>
      </w:pPr>
      <w:r>
        <w:rPr>
          <w:color w:val="231F20"/>
        </w:rPr>
        <w:t>$15-per-bag fees for the first item of checked luggage in violation of Section 1 of the Sherman Act. The initial</w:t>
      </w:r>
    </w:p>
    <w:p>
      <w:pPr>
        <w:spacing w:after="0"/>
        <w:sectPr>
          <w:pgSz w:w="11880" w:h="15480"/>
          <w:pgMar w:header="0" w:footer="1253" w:top="1240" w:bottom="1440" w:left="1280" w:right="1280"/>
        </w:sectPr>
      </w:pPr>
    </w:p>
    <w:p>
      <w:pPr>
        <w:pStyle w:val="BodyText"/>
        <w:spacing w:line="249" w:lineRule="auto" w:before="73"/>
        <w:ind w:left="100"/>
      </w:pPr>
      <w:r>
        <w:rPr>
          <w:color w:val="231F20"/>
        </w:rPr>
        <w:t>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85"/>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original period for fact and expert discovery was scheduled to end on February 25, 2011, but on February 3, 2012, the Court granted plaintiffs’ motion for supplemental discovery because Delta discovered that it had not produced certain electronic documents. The period for supplemental discovery against AirTran ended on May 3, 2012, but discovery disputes between plaintiffs and Delta have continued. On June 18, 2012, the parties filed a Stipulation and Order that plaintiffs have abandoned their claim that AirTran and Delta conspired to reduce capacity. AirTran and Delta moved for summary judgment on all of plaintiffs’ remaining claims on August 31, 2012. The plaintiffs filed motions to compel Delta to produce additional documents and for sanctions based on alleged failures to produce electronic data. On November 19, 2012, the Court ordered plaintiffs to appoint an expert to examine Delta’s production of electronic data and suspended the briefing schedule for the summary judgment motion until the expert has completed his work. It is AirTran’s understanding that the expert’s work is ongoing. AirTran denies all allegations of wrongdoing, including those in the Consolidated Amended Complaint, and intends to defend vigorously any and all such 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bookmarkStart w:name="Item 4. Mine Safety Disclosures" w:id="8"/>
      <w:bookmarkEnd w:id="8"/>
      <w:r>
        <w:rPr/>
      </w: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89"/>
        <w:ind w:left="590"/>
      </w:pPr>
      <w:r>
        <w:rPr>
          <w:color w:val="231F20"/>
        </w:rPr>
        <w:t>Not applicable.</w:t>
      </w:r>
    </w:p>
    <w:p>
      <w:pPr>
        <w:spacing w:after="0"/>
        <w:sectPr>
          <w:pgSz w:w="11880" w:h="15480"/>
          <w:pgMar w:header="0" w:footer="1253" w:top="1240" w:bottom="1440" w:left="1280" w:right="1280"/>
        </w:sectPr>
      </w:pPr>
    </w:p>
    <w:p>
      <w:pPr>
        <w:pStyle w:val="Heading3"/>
        <w:spacing w:before="73"/>
        <w:ind w:right="98"/>
        <w:jc w:val="center"/>
      </w:pPr>
      <w:r>
        <w:rPr>
          <w:color w:val="231F20"/>
        </w:rPr>
        <w:t>EXECUTIVE OFFICERS OF THE REGISTRANT</w:t>
      </w:r>
    </w:p>
    <w:p>
      <w:pPr>
        <w:pStyle w:val="BodyText"/>
        <w:spacing w:before="191"/>
        <w:ind w:left="609"/>
      </w:pPr>
      <w:r>
        <w:rPr>
          <w:color w:val="231F20"/>
        </w:rPr>
        <w:t>The following information regarding the Company’s executive officers is as of February 1, 2013.</w:t>
      </w:r>
    </w:p>
    <w:p>
      <w:pPr>
        <w:pStyle w:val="Heading3"/>
        <w:tabs>
          <w:tab w:pos="2479" w:val="left" w:leader="none"/>
          <w:tab w:pos="8672" w:val="left" w:leader="none"/>
        </w:tabs>
        <w:spacing w:before="151"/>
        <w:ind w:left="119"/>
      </w:pPr>
      <w:r>
        <w:rPr/>
        <w:pict>
          <v:line style="position:absolute;mso-position-horizontal-relative:page;mso-position-vertical-relative:paragraph;z-index:1600" from="69pt,20.385925pt" to="179pt,20.385925pt" stroked="true" strokeweight="1pt" strokecolor="#231f20">
            <v:stroke dashstyle="solid"/>
            <w10:wrap type="none"/>
          </v:line>
        </w:pict>
      </w:r>
      <w:r>
        <w:rPr/>
        <w:pict>
          <v:line style="position:absolute;mso-position-horizontal-relative:page;mso-position-vertical-relative:paragraph;z-index:1624" from="187pt,20.385925pt" to="477pt,20.385925pt" stroked="true" strokeweight="1pt" strokecolor="#231f20">
            <v:stroke dashstyle="solid"/>
            <w10:wrap type="none"/>
          </v:line>
        </w:pict>
      </w:r>
      <w:r>
        <w:rPr/>
        <w:pict>
          <v:line style="position:absolute;mso-position-horizontal-relative:page;mso-position-vertical-relative:paragraph;z-index:1648" from="485pt,20.385925pt" to="525pt,20.385925pt" stroked="true" strokeweight="1pt" strokecolor="#231f20">
            <v:stroke dashstyle="solid"/>
            <w10:wrap type="none"/>
          </v:line>
        </w:pict>
      </w:r>
      <w:r>
        <w:rPr>
          <w:color w:val="231F20"/>
        </w:rPr>
        <w:t>Name</w:t>
        <w:tab/>
        <w:t>Position</w:t>
        <w:tab/>
        <w:t>Age</w:t>
      </w:r>
    </w:p>
    <w:p>
      <w:pPr>
        <w:pStyle w:val="BodyText"/>
        <w:tabs>
          <w:tab w:pos="9159" w:val="right" w:leader="none"/>
        </w:tabs>
        <w:spacing w:before="89"/>
        <w:ind w:left="120"/>
      </w:pPr>
      <w:r>
        <w:rPr>
          <w:color w:val="231F20"/>
        </w:rPr>
        <w:t>Gary C. Kelly  . . . . . . . . . .   Chairman of the Board, President, &amp; Chief</w:t>
      </w:r>
      <w:r>
        <w:rPr>
          <w:color w:val="231F20"/>
          <w:spacing w:val="33"/>
        </w:rPr>
        <w:t> </w:t>
      </w:r>
      <w:r>
        <w:rPr>
          <w:color w:val="231F20"/>
        </w:rPr>
        <w:t>Executive</w:t>
      </w:r>
      <w:r>
        <w:rPr>
          <w:color w:val="231F20"/>
          <w:spacing w:val="1"/>
        </w:rPr>
        <w:t> </w:t>
      </w:r>
      <w:r>
        <w:rPr>
          <w:color w:val="231F20"/>
        </w:rPr>
        <w:t>Officer</w:t>
        <w:tab/>
        <w:t>57</w:t>
      </w:r>
    </w:p>
    <w:p>
      <w:pPr>
        <w:pStyle w:val="BodyText"/>
        <w:tabs>
          <w:tab w:pos="9159" w:val="right" w:leader="none"/>
        </w:tabs>
        <w:spacing w:before="9"/>
        <w:ind w:left="120"/>
      </w:pPr>
      <w:r>
        <w:rPr>
          <w:color w:val="231F20"/>
        </w:rPr>
        <w:t>Robert E. Jordan  . . . . . . . .   Executive Vice President &amp; Chief</w:t>
      </w:r>
      <w:r>
        <w:rPr>
          <w:color w:val="231F20"/>
          <w:spacing w:val="10"/>
        </w:rPr>
        <w:t> </w:t>
      </w:r>
      <w:r>
        <w:rPr>
          <w:color w:val="231F20"/>
        </w:rPr>
        <w:t>Commercial</w:t>
      </w:r>
      <w:r>
        <w:rPr>
          <w:color w:val="231F20"/>
          <w:spacing w:val="2"/>
        </w:rPr>
        <w:t> </w:t>
      </w:r>
      <w:r>
        <w:rPr>
          <w:color w:val="231F20"/>
        </w:rPr>
        <w:t>Officer</w:t>
        <w:tab/>
        <w:t>52</w:t>
      </w:r>
    </w:p>
    <w:p>
      <w:pPr>
        <w:pStyle w:val="BodyText"/>
        <w:tabs>
          <w:tab w:pos="9159" w:val="right" w:leader="none"/>
        </w:tabs>
        <w:spacing w:before="9"/>
        <w:ind w:left="120"/>
      </w:pPr>
      <w:r>
        <w:rPr>
          <w:color w:val="231F20"/>
        </w:rPr>
        <w:t>Jeff Lamb   . . . . . . . . . . . . .   Executive Vice President &amp; Chief People &amp;</w:t>
      </w:r>
      <w:r>
        <w:rPr>
          <w:color w:val="231F20"/>
          <w:spacing w:val="-5"/>
        </w:rPr>
        <w:t> </w:t>
      </w:r>
      <w:r>
        <w:rPr>
          <w:color w:val="231F20"/>
        </w:rPr>
        <w:t>Administrative</w:t>
      </w:r>
      <w:r>
        <w:rPr>
          <w:color w:val="231F20"/>
          <w:spacing w:val="3"/>
        </w:rPr>
        <w:t> </w:t>
      </w:r>
      <w:r>
        <w:rPr>
          <w:color w:val="231F20"/>
        </w:rPr>
        <w:t>Officer</w:t>
        <w:tab/>
        <w:t>50</w:t>
      </w:r>
    </w:p>
    <w:p>
      <w:pPr>
        <w:pStyle w:val="BodyText"/>
        <w:tabs>
          <w:tab w:pos="9159" w:val="right" w:leader="none"/>
        </w:tabs>
        <w:spacing w:before="9"/>
        <w:ind w:left="120"/>
      </w:pPr>
      <w:r>
        <w:rPr>
          <w:color w:val="231F20"/>
        </w:rPr>
        <w:t>Ron Ricks  . . . . . . . . . . . . .   Executive Vice President &amp; Chief Legal &amp;</w:t>
      </w:r>
      <w:r>
        <w:rPr>
          <w:color w:val="231F20"/>
          <w:spacing w:val="22"/>
        </w:rPr>
        <w:t> </w:t>
      </w:r>
      <w:r>
        <w:rPr>
          <w:color w:val="231F20"/>
        </w:rPr>
        <w:t>Regulatory</w:t>
      </w:r>
      <w:r>
        <w:rPr>
          <w:color w:val="231F20"/>
          <w:spacing w:val="1"/>
        </w:rPr>
        <w:t> </w:t>
      </w:r>
      <w:r>
        <w:rPr>
          <w:color w:val="231F20"/>
        </w:rPr>
        <w:t>Officer</w:t>
        <w:tab/>
        <w:t>63</w:t>
      </w:r>
    </w:p>
    <w:p>
      <w:pPr>
        <w:pStyle w:val="BodyText"/>
        <w:tabs>
          <w:tab w:pos="9159" w:val="right" w:leader="none"/>
        </w:tabs>
        <w:spacing w:before="9"/>
        <w:ind w:left="120"/>
      </w:pPr>
      <w:r>
        <w:rPr>
          <w:color w:val="231F20"/>
        </w:rPr>
        <w:t>Michael G. Van de Ven   . .   Executive Vice President &amp; Chief</w:t>
      </w:r>
      <w:r>
        <w:rPr>
          <w:color w:val="231F20"/>
          <w:spacing w:val="4"/>
        </w:rPr>
        <w:t> </w:t>
      </w:r>
      <w:r>
        <w:rPr>
          <w:color w:val="231F20"/>
        </w:rPr>
        <w:t>Operating</w:t>
      </w:r>
      <w:r>
        <w:rPr>
          <w:color w:val="231F20"/>
          <w:spacing w:val="1"/>
        </w:rPr>
        <w:t> </w:t>
      </w:r>
      <w:r>
        <w:rPr>
          <w:color w:val="231F20"/>
        </w:rPr>
        <w:t>Officer</w:t>
        <w:tab/>
        <w:t>51</w:t>
      </w:r>
    </w:p>
    <w:p>
      <w:pPr>
        <w:pStyle w:val="BodyText"/>
        <w:tabs>
          <w:tab w:pos="9159" w:val="right" w:leader="none"/>
        </w:tabs>
        <w:spacing w:before="9"/>
        <w:ind w:left="120"/>
      </w:pPr>
      <w:r>
        <w:rPr>
          <w:color w:val="231F20"/>
        </w:rPr>
        <w:t>Tammy Romo  . . . . . . . . . .   Senior Vice President Finance &amp; Chief</w:t>
      </w:r>
      <w:r>
        <w:rPr>
          <w:color w:val="231F20"/>
          <w:spacing w:val="-1"/>
        </w:rPr>
        <w:t> </w:t>
      </w:r>
      <w:r>
        <w:rPr>
          <w:color w:val="231F20"/>
        </w:rPr>
        <w:t>Financial</w:t>
      </w:r>
      <w:r>
        <w:rPr>
          <w:color w:val="231F20"/>
          <w:spacing w:val="1"/>
        </w:rPr>
        <w:t> </w:t>
      </w:r>
      <w:r>
        <w:rPr>
          <w:color w:val="231F20"/>
        </w:rPr>
        <w:t>Officer</w:t>
        <w:tab/>
        <w:t>50</w:t>
      </w:r>
    </w:p>
    <w:p>
      <w:pPr>
        <w:pStyle w:val="BodyText"/>
        <w:spacing w:before="191"/>
        <w:ind w:left="610"/>
      </w:pPr>
      <w:r>
        <w:rPr>
          <w:color w:val="231F20"/>
        </w:rPr>
        <w:t>Set forth below is a description of the background of each of the Company’s executive officers.</w:t>
      </w:r>
    </w:p>
    <w:p>
      <w:pPr>
        <w:pStyle w:val="BodyText"/>
        <w:spacing w:line="249" w:lineRule="auto" w:before="191"/>
        <w:ind w:left="120" w:right="271"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83"/>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before="1"/>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83"/>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line="249" w:lineRule="auto" w:before="183"/>
        <w:ind w:left="120" w:right="205" w:firstLine="490"/>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w:t>
      </w:r>
    </w:p>
    <w:p>
      <w:pPr>
        <w:pStyle w:val="BodyText"/>
        <w:spacing w:line="249" w:lineRule="auto" w:before="1"/>
        <w:ind w:left="120" w:right="649"/>
        <w:jc w:val="both"/>
      </w:pPr>
      <w:r>
        <w:rPr>
          <w:color w:val="231F20"/>
        </w:rPr>
        <w:t>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line="249" w:lineRule="auto" w:before="183"/>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83"/>
        <w:ind w:left="120" w:right="193" w:firstLine="490"/>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w:t>
      </w:r>
    </w:p>
    <w:p>
      <w:pPr>
        <w:spacing w:after="0" w:line="249" w:lineRule="auto"/>
        <w:sectPr>
          <w:pgSz w:w="11880" w:h="15480"/>
          <w:pgMar w:header="0" w:footer="1253" w:top="1240" w:bottom="1440" w:left="1260" w:right="1260"/>
        </w:sectPr>
      </w:pPr>
    </w:p>
    <w:p>
      <w:pPr>
        <w:pStyle w:val="BodyText"/>
        <w:spacing w:line="249" w:lineRule="auto" w:before="73"/>
        <w:ind w:left="100" w:right="92"/>
      </w:pPr>
      <w:r>
        <w:rPr>
          <w:color w:val="231F20"/>
        </w:rPr>
        <w:t>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9" w:lineRule="auto"/>
        <w:sectPr>
          <w:pgSz w:w="11880" w:h="15480"/>
          <w:pgMar w:header="0" w:footer="1253" w:top="1240" w:bottom="1440" w:left="1280" w:right="1640"/>
        </w:sectPr>
      </w:pPr>
    </w:p>
    <w:p>
      <w:pPr>
        <w:pStyle w:val="Heading3"/>
        <w:spacing w:before="73"/>
        <w:ind w:left="390" w:right="332"/>
        <w:jc w:val="center"/>
      </w:pPr>
      <w:bookmarkStart w:name="_TOC_250015" w:id="9"/>
      <w:bookmarkStart w:name="PART II" w:id="10"/>
      <w:r>
        <w:rPr>
          <w:b w:val="0"/>
        </w:rPr>
      </w:r>
      <w:bookmarkEnd w:id="9"/>
      <w:r>
        <w:rPr>
          <w:color w:val="231F20"/>
        </w:rPr>
        <w:t>PART II</w:t>
      </w:r>
    </w:p>
    <w:p>
      <w:pPr>
        <w:pStyle w:val="Heading4"/>
        <w:tabs>
          <w:tab w:pos="1239" w:val="left" w:leader="none"/>
        </w:tabs>
        <w:spacing w:line="249" w:lineRule="auto" w:before="189"/>
        <w:ind w:left="1240" w:right="245" w:hanging="1080"/>
      </w:pPr>
      <w:bookmarkStart w:name="_TOC_250014" w:id="11"/>
      <w:bookmarkStart w:name="Item 5. Market for Registrant's Common E" w:id="12"/>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11"/>
      <w:r>
        <w:rPr>
          <w:color w:val="231F20"/>
        </w:rPr>
        <w:t> Equity Securities</w:t>
      </w:r>
    </w:p>
    <w:p>
      <w:pPr>
        <w:pStyle w:val="BodyText"/>
        <w:spacing w:line="249" w:lineRule="auto" w:before="180"/>
        <w:ind w:left="160" w:right="169" w:firstLine="49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rPr>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90"/>
        <w:gridCol w:w="110"/>
        <w:gridCol w:w="950"/>
        <w:gridCol w:w="160"/>
        <w:gridCol w:w="750"/>
        <w:gridCol w:w="160"/>
        <w:gridCol w:w="750"/>
      </w:tblGrid>
      <w:tr>
        <w:trPr>
          <w:trHeight w:val="248" w:hRule="exact"/>
        </w:trPr>
        <w:tc>
          <w:tcPr>
            <w:tcW w:w="6290" w:type="dxa"/>
            <w:tcBorders>
              <w:bottom w:val="single" w:sz="8" w:space="0" w:color="231F20"/>
            </w:tcBorders>
          </w:tcPr>
          <w:p>
            <w:pPr>
              <w:pStyle w:val="TableParagraph"/>
              <w:spacing w:line="221" w:lineRule="exact"/>
              <w:ind w:left="50"/>
              <w:jc w:val="left"/>
              <w:rPr>
                <w:b/>
                <w:sz w:val="20"/>
              </w:rPr>
            </w:pPr>
            <w:r>
              <w:rPr>
                <w:b/>
                <w:color w:val="231F20"/>
                <w:sz w:val="20"/>
              </w:rPr>
              <w:t>Period</w:t>
            </w:r>
          </w:p>
        </w:tc>
        <w:tc>
          <w:tcPr>
            <w:tcW w:w="110" w:type="dxa"/>
          </w:tcPr>
          <w:p>
            <w:pPr/>
          </w:p>
        </w:tc>
        <w:tc>
          <w:tcPr>
            <w:tcW w:w="950" w:type="dxa"/>
            <w:tcBorders>
              <w:bottom w:val="single" w:sz="8" w:space="0" w:color="231F20"/>
            </w:tcBorders>
          </w:tcPr>
          <w:p>
            <w:pPr>
              <w:pStyle w:val="TableParagraph"/>
              <w:spacing w:line="221" w:lineRule="exact"/>
              <w:ind w:right="85"/>
              <w:rPr>
                <w:b/>
                <w:sz w:val="20"/>
              </w:rPr>
            </w:pPr>
            <w:r>
              <w:rPr>
                <w:b/>
                <w:color w:val="231F20"/>
                <w:w w:val="95"/>
                <w:sz w:val="20"/>
              </w:rPr>
              <w:t>Dividend</w:t>
            </w:r>
          </w:p>
        </w:tc>
        <w:tc>
          <w:tcPr>
            <w:tcW w:w="160" w:type="dxa"/>
          </w:tcPr>
          <w:p>
            <w:pPr/>
          </w:p>
        </w:tc>
        <w:tc>
          <w:tcPr>
            <w:tcW w:w="750" w:type="dxa"/>
            <w:tcBorders>
              <w:bottom w:val="single" w:sz="8" w:space="0" w:color="231F20"/>
            </w:tcBorders>
          </w:tcPr>
          <w:p>
            <w:pPr>
              <w:pStyle w:val="TableParagraph"/>
              <w:spacing w:line="221" w:lineRule="exact"/>
              <w:ind w:left="162"/>
              <w:jc w:val="left"/>
              <w:rPr>
                <w:b/>
                <w:sz w:val="20"/>
              </w:rPr>
            </w:pPr>
            <w:r>
              <w:rPr>
                <w:b/>
                <w:color w:val="231F20"/>
                <w:sz w:val="20"/>
              </w:rPr>
              <w:t>High</w:t>
            </w:r>
          </w:p>
        </w:tc>
        <w:tc>
          <w:tcPr>
            <w:tcW w:w="160" w:type="dxa"/>
          </w:tcPr>
          <w:p>
            <w:pPr/>
          </w:p>
        </w:tc>
        <w:tc>
          <w:tcPr>
            <w:tcW w:w="750" w:type="dxa"/>
            <w:tcBorders>
              <w:bottom w:val="single" w:sz="8" w:space="0" w:color="231F20"/>
            </w:tcBorders>
          </w:tcPr>
          <w:p>
            <w:pPr>
              <w:pStyle w:val="TableParagraph"/>
              <w:spacing w:line="221" w:lineRule="exact"/>
              <w:ind w:left="187"/>
              <w:jc w:val="left"/>
              <w:rPr>
                <w:b/>
                <w:sz w:val="20"/>
              </w:rPr>
            </w:pPr>
            <w:r>
              <w:rPr>
                <w:b/>
                <w:color w:val="231F20"/>
                <w:sz w:val="20"/>
              </w:rPr>
              <w:t>Low</w:t>
            </w:r>
          </w:p>
        </w:tc>
      </w:tr>
      <w:tr>
        <w:trPr>
          <w:trHeight w:val="305" w:hRule="exact"/>
        </w:trPr>
        <w:tc>
          <w:tcPr>
            <w:tcW w:w="6290" w:type="dxa"/>
            <w:tcBorders>
              <w:top w:val="single" w:sz="8" w:space="0" w:color="231F20"/>
            </w:tcBorders>
          </w:tcPr>
          <w:p>
            <w:pPr>
              <w:pStyle w:val="TableParagraph"/>
              <w:spacing w:before="53"/>
              <w:ind w:left="50"/>
              <w:jc w:val="left"/>
              <w:rPr>
                <w:b/>
                <w:sz w:val="20"/>
              </w:rPr>
            </w:pPr>
            <w:r>
              <w:rPr>
                <w:b/>
                <w:color w:val="231F20"/>
                <w:sz w:val="20"/>
              </w:rPr>
              <w:t>2012</w:t>
            </w:r>
          </w:p>
        </w:tc>
        <w:tc>
          <w:tcPr>
            <w:tcW w:w="110" w:type="dxa"/>
          </w:tcPr>
          <w:p>
            <w:pPr/>
          </w:p>
        </w:tc>
        <w:tc>
          <w:tcPr>
            <w:tcW w:w="950" w:type="dxa"/>
            <w:tcBorders>
              <w:top w:val="single" w:sz="8" w:space="0" w:color="231F20"/>
            </w:tcBorders>
          </w:tcPr>
          <w:p>
            <w:pPr/>
          </w:p>
        </w:tc>
        <w:tc>
          <w:tcPr>
            <w:tcW w:w="160" w:type="dxa"/>
          </w:tcPr>
          <w:p>
            <w:pPr/>
          </w:p>
        </w:tc>
        <w:tc>
          <w:tcPr>
            <w:tcW w:w="750" w:type="dxa"/>
            <w:tcBorders>
              <w:top w:val="single" w:sz="8" w:space="0" w:color="231F20"/>
            </w:tcBorders>
          </w:tcPr>
          <w:p>
            <w:pPr/>
          </w:p>
        </w:tc>
        <w:tc>
          <w:tcPr>
            <w:tcW w:w="160" w:type="dxa"/>
          </w:tcPr>
          <w:p>
            <w:pPr/>
          </w:p>
        </w:tc>
        <w:tc>
          <w:tcPr>
            <w:tcW w:w="750" w:type="dxa"/>
            <w:tcBorders>
              <w:top w:val="single" w:sz="8" w:space="0" w:color="231F20"/>
            </w:tcBorders>
          </w:tcPr>
          <w:p>
            <w:pPr/>
          </w:p>
        </w:tc>
      </w:tr>
      <w:tr>
        <w:trPr>
          <w:trHeight w:val="239" w:hRule="exact"/>
        </w:trPr>
        <w:tc>
          <w:tcPr>
            <w:tcW w:w="6290" w:type="dxa"/>
          </w:tcPr>
          <w:p>
            <w:pPr>
              <w:pStyle w:val="TableParagraph"/>
              <w:spacing w:line="229" w:lineRule="exact"/>
              <w:rPr>
                <w:sz w:val="20"/>
              </w:rPr>
            </w:pPr>
            <w:r>
              <w:rPr>
                <w:color w:val="231F20"/>
                <w:sz w:val="20"/>
              </w:rPr>
              <w:t>1st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  0.00450</w:t>
            </w:r>
          </w:p>
        </w:tc>
        <w:tc>
          <w:tcPr>
            <w:tcW w:w="160" w:type="dxa"/>
          </w:tcPr>
          <w:p>
            <w:pPr/>
          </w:p>
        </w:tc>
        <w:tc>
          <w:tcPr>
            <w:tcW w:w="750" w:type="dxa"/>
          </w:tcPr>
          <w:p>
            <w:pPr>
              <w:pStyle w:val="TableParagraph"/>
              <w:spacing w:line="229" w:lineRule="exact"/>
              <w:ind w:right="99"/>
              <w:rPr>
                <w:sz w:val="20"/>
              </w:rPr>
            </w:pPr>
            <w:r>
              <w:rPr>
                <w:color w:val="231F20"/>
                <w:sz w:val="20"/>
              </w:rPr>
              <w:t>$  10.05</w:t>
            </w:r>
          </w:p>
        </w:tc>
        <w:tc>
          <w:tcPr>
            <w:tcW w:w="160" w:type="dxa"/>
          </w:tcPr>
          <w:p>
            <w:pPr/>
          </w:p>
        </w:tc>
        <w:tc>
          <w:tcPr>
            <w:tcW w:w="750" w:type="dxa"/>
          </w:tcPr>
          <w:p>
            <w:pPr>
              <w:pStyle w:val="TableParagraph"/>
              <w:spacing w:line="229" w:lineRule="exact"/>
              <w:ind w:right="99"/>
              <w:rPr>
                <w:sz w:val="20"/>
              </w:rPr>
            </w:pPr>
            <w:r>
              <w:rPr>
                <w:color w:val="231F20"/>
                <w:sz w:val="20"/>
              </w:rPr>
              <w:t>$    8.03</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9.42</w:t>
            </w:r>
          </w:p>
        </w:tc>
        <w:tc>
          <w:tcPr>
            <w:tcW w:w="160" w:type="dxa"/>
          </w:tcPr>
          <w:p>
            <w:pPr/>
          </w:p>
        </w:tc>
        <w:tc>
          <w:tcPr>
            <w:tcW w:w="750" w:type="dxa"/>
          </w:tcPr>
          <w:p>
            <w:pPr>
              <w:pStyle w:val="TableParagraph"/>
              <w:spacing w:line="229" w:lineRule="exact"/>
              <w:ind w:right="99"/>
              <w:rPr>
                <w:sz w:val="20"/>
              </w:rPr>
            </w:pPr>
            <w:r>
              <w:rPr>
                <w:color w:val="231F20"/>
                <w:sz w:val="20"/>
              </w:rPr>
              <w:t>7.76</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9.82</w:t>
            </w:r>
          </w:p>
        </w:tc>
        <w:tc>
          <w:tcPr>
            <w:tcW w:w="160" w:type="dxa"/>
          </w:tcPr>
          <w:p>
            <w:pPr/>
          </w:p>
        </w:tc>
        <w:tc>
          <w:tcPr>
            <w:tcW w:w="750" w:type="dxa"/>
          </w:tcPr>
          <w:p>
            <w:pPr>
              <w:pStyle w:val="TableParagraph"/>
              <w:spacing w:line="229" w:lineRule="exact"/>
              <w:ind w:right="99"/>
              <w:rPr>
                <w:sz w:val="20"/>
              </w:rPr>
            </w:pPr>
            <w:r>
              <w:rPr>
                <w:color w:val="231F20"/>
                <w:sz w:val="20"/>
              </w:rPr>
              <w:t>8.45</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10.61</w:t>
            </w:r>
          </w:p>
        </w:tc>
        <w:tc>
          <w:tcPr>
            <w:tcW w:w="160" w:type="dxa"/>
          </w:tcPr>
          <w:p>
            <w:pPr/>
          </w:p>
        </w:tc>
        <w:tc>
          <w:tcPr>
            <w:tcW w:w="750" w:type="dxa"/>
          </w:tcPr>
          <w:p>
            <w:pPr>
              <w:pStyle w:val="TableParagraph"/>
              <w:spacing w:line="229" w:lineRule="exact"/>
              <w:ind w:right="99"/>
              <w:rPr>
                <w:sz w:val="20"/>
              </w:rPr>
            </w:pPr>
            <w:r>
              <w:rPr>
                <w:color w:val="231F20"/>
                <w:sz w:val="20"/>
              </w:rPr>
              <w:t>8.68</w:t>
            </w:r>
          </w:p>
        </w:tc>
      </w:tr>
      <w:tr>
        <w:trPr>
          <w:trHeight w:val="482" w:hRule="exact"/>
        </w:trPr>
        <w:tc>
          <w:tcPr>
            <w:tcW w:w="6290" w:type="dxa"/>
          </w:tcPr>
          <w:p>
            <w:pPr>
              <w:pStyle w:val="TableParagraph"/>
              <w:spacing w:before="8"/>
              <w:jc w:val="left"/>
              <w:rPr>
                <w:sz w:val="21"/>
              </w:rPr>
            </w:pPr>
          </w:p>
          <w:p>
            <w:pPr>
              <w:pStyle w:val="TableParagraph"/>
              <w:ind w:left="50"/>
              <w:jc w:val="left"/>
              <w:rPr>
                <w:b/>
                <w:sz w:val="20"/>
              </w:rPr>
            </w:pPr>
            <w:r>
              <w:rPr>
                <w:b/>
                <w:color w:val="231F20"/>
                <w:sz w:val="20"/>
              </w:rPr>
              <w:t>2011</w:t>
            </w:r>
          </w:p>
        </w:tc>
        <w:tc>
          <w:tcPr>
            <w:tcW w:w="110" w:type="dxa"/>
          </w:tcPr>
          <w:p>
            <w:pPr/>
          </w:p>
        </w:tc>
        <w:tc>
          <w:tcPr>
            <w:tcW w:w="950" w:type="dxa"/>
          </w:tcPr>
          <w:p>
            <w:pPr/>
          </w:p>
        </w:tc>
        <w:tc>
          <w:tcPr>
            <w:tcW w:w="160" w:type="dxa"/>
          </w:tcPr>
          <w:p>
            <w:pPr/>
          </w:p>
        </w:tc>
        <w:tc>
          <w:tcPr>
            <w:tcW w:w="750" w:type="dxa"/>
          </w:tcPr>
          <w:p>
            <w:pPr/>
          </w:p>
        </w:tc>
        <w:tc>
          <w:tcPr>
            <w:tcW w:w="160" w:type="dxa"/>
          </w:tcPr>
          <w:p>
            <w:pPr/>
          </w:p>
        </w:tc>
        <w:tc>
          <w:tcPr>
            <w:tcW w:w="750" w:type="dxa"/>
          </w:tcPr>
          <w:p>
            <w:pPr/>
          </w:p>
        </w:tc>
      </w:tr>
      <w:tr>
        <w:trPr>
          <w:trHeight w:val="249" w:hRule="exact"/>
        </w:trPr>
        <w:tc>
          <w:tcPr>
            <w:tcW w:w="6290" w:type="dxa"/>
          </w:tcPr>
          <w:p>
            <w:pPr>
              <w:pStyle w:val="TableParagraph"/>
              <w:spacing w:line="219" w:lineRule="exact"/>
              <w:rPr>
                <w:sz w:val="20"/>
              </w:rPr>
            </w:pPr>
            <w:r>
              <w:rPr>
                <w:color w:val="231F20"/>
                <w:sz w:val="20"/>
              </w:rPr>
              <w:t>1st Quarter   . . . . . . . . . . . . . . . . . . . . . . . . . . . . . . . . . . . . . . . . . . . . . . . . </w:t>
            </w:r>
          </w:p>
        </w:tc>
        <w:tc>
          <w:tcPr>
            <w:tcW w:w="1060" w:type="dxa"/>
            <w:gridSpan w:val="2"/>
          </w:tcPr>
          <w:p>
            <w:pPr>
              <w:pStyle w:val="TableParagraph"/>
              <w:spacing w:line="219" w:lineRule="exact"/>
              <w:ind w:left="110"/>
              <w:jc w:val="left"/>
              <w:rPr>
                <w:sz w:val="20"/>
              </w:rPr>
            </w:pPr>
            <w:r>
              <w:rPr>
                <w:color w:val="231F20"/>
                <w:sz w:val="20"/>
              </w:rPr>
              <w:t>$  0.00450</w:t>
            </w:r>
          </w:p>
        </w:tc>
        <w:tc>
          <w:tcPr>
            <w:tcW w:w="910" w:type="dxa"/>
            <w:gridSpan w:val="2"/>
          </w:tcPr>
          <w:p>
            <w:pPr>
              <w:pStyle w:val="TableParagraph"/>
              <w:spacing w:line="219" w:lineRule="exact"/>
              <w:ind w:left="160"/>
              <w:jc w:val="left"/>
              <w:rPr>
                <w:sz w:val="20"/>
              </w:rPr>
            </w:pPr>
            <w:r>
              <w:rPr>
                <w:color w:val="231F20"/>
                <w:sz w:val="20"/>
              </w:rPr>
              <w:t>$  13.59</w:t>
            </w:r>
          </w:p>
        </w:tc>
        <w:tc>
          <w:tcPr>
            <w:tcW w:w="910" w:type="dxa"/>
            <w:gridSpan w:val="2"/>
          </w:tcPr>
          <w:p>
            <w:pPr>
              <w:pStyle w:val="TableParagraph"/>
              <w:spacing w:line="219" w:lineRule="exact"/>
              <w:ind w:left="160"/>
              <w:jc w:val="left"/>
              <w:rPr>
                <w:sz w:val="20"/>
              </w:rPr>
            </w:pPr>
            <w:r>
              <w:rPr>
                <w:color w:val="231F20"/>
                <w:sz w:val="20"/>
              </w:rPr>
              <w:t>$  11.41</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360"/>
              <w:jc w:val="left"/>
              <w:rPr>
                <w:sz w:val="20"/>
              </w:rPr>
            </w:pPr>
            <w:r>
              <w:rPr>
                <w:color w:val="231F20"/>
                <w:sz w:val="20"/>
              </w:rPr>
              <w:t>12.87</w:t>
            </w:r>
          </w:p>
        </w:tc>
        <w:tc>
          <w:tcPr>
            <w:tcW w:w="910" w:type="dxa"/>
            <w:gridSpan w:val="2"/>
          </w:tcPr>
          <w:p>
            <w:pPr>
              <w:pStyle w:val="TableParagraph"/>
              <w:spacing w:line="229" w:lineRule="exact"/>
              <w:ind w:left="360"/>
              <w:jc w:val="left"/>
              <w:rPr>
                <w:sz w:val="20"/>
              </w:rPr>
            </w:pPr>
            <w:r>
              <w:rPr>
                <w:color w:val="231F20"/>
                <w:sz w:val="20"/>
              </w:rPr>
              <w:t>10.68</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360"/>
              <w:jc w:val="left"/>
              <w:rPr>
                <w:sz w:val="20"/>
              </w:rPr>
            </w:pPr>
            <w:r>
              <w:rPr>
                <w:color w:val="231F20"/>
                <w:sz w:val="20"/>
              </w:rPr>
              <w:t>11.65</w:t>
            </w:r>
          </w:p>
        </w:tc>
        <w:tc>
          <w:tcPr>
            <w:tcW w:w="910" w:type="dxa"/>
            <w:gridSpan w:val="2"/>
          </w:tcPr>
          <w:p>
            <w:pPr>
              <w:pStyle w:val="TableParagraph"/>
              <w:spacing w:line="229" w:lineRule="exact"/>
              <w:ind w:left="460"/>
              <w:jc w:val="left"/>
              <w:rPr>
                <w:sz w:val="20"/>
              </w:rPr>
            </w:pPr>
            <w:r>
              <w:rPr>
                <w:color w:val="231F20"/>
                <w:sz w:val="20"/>
              </w:rPr>
              <w:t>7.79</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460"/>
              <w:jc w:val="left"/>
              <w:rPr>
                <w:sz w:val="20"/>
              </w:rPr>
            </w:pPr>
            <w:r>
              <w:rPr>
                <w:color w:val="231F20"/>
                <w:sz w:val="20"/>
              </w:rPr>
              <w:t>9.28</w:t>
            </w:r>
          </w:p>
        </w:tc>
        <w:tc>
          <w:tcPr>
            <w:tcW w:w="910" w:type="dxa"/>
            <w:gridSpan w:val="2"/>
          </w:tcPr>
          <w:p>
            <w:pPr>
              <w:pStyle w:val="TableParagraph"/>
              <w:spacing w:line="229" w:lineRule="exact"/>
              <w:ind w:left="460"/>
              <w:jc w:val="left"/>
              <w:rPr>
                <w:sz w:val="20"/>
              </w:rPr>
            </w:pPr>
            <w:r>
              <w:rPr>
                <w:color w:val="231F20"/>
                <w:sz w:val="20"/>
              </w:rPr>
              <w:t>7.15</w:t>
            </w:r>
          </w:p>
        </w:tc>
      </w:tr>
    </w:tbl>
    <w:p>
      <w:pPr>
        <w:pStyle w:val="BodyText"/>
        <w:spacing w:line="249" w:lineRule="auto" w:before="190"/>
        <w:ind w:left="160" w:right="169" w:firstLine="49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4, 2013, there were approximately 13,687 holders of record of the Company’s common stock.</w:t>
      </w:r>
    </w:p>
    <w:p>
      <w:pPr>
        <w:spacing w:after="0" w:line="249" w:lineRule="auto"/>
        <w:sectPr>
          <w:pgSz w:w="11880" w:h="15480"/>
          <w:pgMar w:header="0" w:footer="1253" w:top="1240" w:bottom="1440" w:left="1220" w:right="1280"/>
        </w:sectPr>
      </w:pPr>
    </w:p>
    <w:p>
      <w:pPr>
        <w:pStyle w:val="Heading3"/>
        <w:spacing w:before="73"/>
        <w:ind w:left="1981" w:right="1943"/>
        <w:jc w:val="center"/>
      </w:pPr>
      <w:r>
        <w:rPr>
          <w:color w:val="231F20"/>
        </w:rPr>
        <w:t>Stock Performance Graph</w:t>
      </w:r>
    </w:p>
    <w:p>
      <w:pPr>
        <w:spacing w:line="249" w:lineRule="auto" w:before="189"/>
        <w:ind w:left="100" w:right="22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0"/>
        <w:ind w:left="100" w:right="134" w:firstLine="490"/>
      </w:pPr>
      <w:r>
        <w:rPr>
          <w:color w:val="231F20"/>
        </w:rPr>
        <w:t>The following graph compares the cumulative total shareholder return on the Company’s common stock over the five-year period ended December 31, 2012, with the cumulative total return during such period of the Standard and Poor’s 500 Stock Index and the NYSE ARCA Airline Index. The comparison assumes $100 was invested on December 31, 2007, in the Company’s common stock and in each of the foregoing indices and assumes reinvestment of dividends. The stock performance shown on the graph below represents historical stock performance and is not necessarily indicative of future stock price performance.</w:t>
      </w:r>
    </w:p>
    <w:p>
      <w:pPr>
        <w:spacing w:line="249" w:lineRule="auto" w:before="165"/>
        <w:ind w:left="2686" w:right="1943" w:firstLine="0"/>
        <w:jc w:val="center"/>
        <w:rPr>
          <w:rFonts w:ascii="Arial"/>
          <w:b/>
          <w:sz w:val="16"/>
        </w:rPr>
      </w:pPr>
      <w:r>
        <w:rPr>
          <w:rFonts w:ascii="Arial"/>
          <w:b/>
          <w:color w:val="231F20"/>
          <w:sz w:val="16"/>
        </w:rPr>
        <w:t>COMPARISON OF FIVE-YEAR CUMULATIVE TOTAL RETURN</w:t>
      </w:r>
      <w:r>
        <w:rPr>
          <w:rFonts w:ascii="Arial"/>
          <w:b/>
          <w:color w:val="231F20"/>
          <w:w w:val="99"/>
          <w:sz w:val="16"/>
        </w:rPr>
        <w:t> </w:t>
      </w:r>
      <w:r>
        <w:rPr>
          <w:rFonts w:ascii="Arial"/>
          <w:b/>
          <w:color w:val="231F20"/>
          <w:sz w:val="16"/>
        </w:rPr>
        <w:t>AMONG SOUTHWEST AIRLINES CO., S&amp;P 500 INDEX,</w:t>
      </w:r>
    </w:p>
    <w:p>
      <w:pPr>
        <w:spacing w:before="0"/>
        <w:ind w:left="2683" w:right="1943" w:firstLine="0"/>
        <w:jc w:val="center"/>
        <w:rPr>
          <w:rFonts w:ascii="Arial"/>
          <w:b/>
          <w:sz w:val="16"/>
        </w:rPr>
      </w:pPr>
      <w:r>
        <w:rPr>
          <w:rFonts w:ascii="Arial"/>
          <w:b/>
          <w:color w:val="231F20"/>
          <w:sz w:val="16"/>
        </w:rPr>
        <w:t>AND NYSE ARCA AIRLINE INDEX</w:t>
      </w:r>
    </w:p>
    <w:p>
      <w:pPr>
        <w:spacing w:before="87"/>
        <w:ind w:left="788" w:right="0" w:firstLine="0"/>
        <w:jc w:val="left"/>
        <w:rPr>
          <w:rFonts w:ascii="Arial"/>
          <w:sz w:val="14"/>
        </w:rPr>
      </w:pPr>
      <w:r>
        <w:rPr/>
        <w:pict>
          <v:group style="position:absolute;margin-left:123.738998pt;margin-top:8.232322pt;width:379.7pt;height:234.55pt;mso-position-horizontal-relative:page;mso-position-vertical-relative:paragraph;z-index:1696" coordorigin="2475,165" coordsize="7594,4691">
            <v:rect style="position:absolute;left:2520;top:172;width:7540;height:4611" filled="true" fillcolor="#cfd0d2" stroked="false">
              <v:fill type="solid"/>
            </v:rect>
            <v:rect style="position:absolute;left:2520;top:172;width:7540;height:4611" filled="false" stroked="true" strokeweight=".75pt" strokecolor="#231f20">
              <v:stroke dashstyle="solid"/>
            </v:rect>
            <v:shape style="position:absolute;left:2480;top:172;width:7581;height:4678" coordorigin="2480,172" coordsize="7581,4678" path="m9465,4850l9465,4783m8206,4850l8206,4783m6947,4850l6947,4783m5688,4850l5688,4783m3170,4850l3170,4783m4429,4850l4429,4783m10060,4850l10060,4783m2480,172l2541,172m2480,1325l2541,1325m2480,2478l2541,2478m2480,3631l2541,3631m2480,4783l2541,4783m2532,172l10060,172m2532,1325l10060,1325m3272,2478l10060,2478m2532,2478l3072,2478m2532,3631l10060,3631m2532,4783l10060,4783e" filled="false" stroked="true" strokeweight=".5pt" strokecolor="#231f20">
              <v:path arrowok="t"/>
              <v:stroke dashstyle="solid"/>
            </v:shape>
            <v:rect style="position:absolute;left:7510;top:3976;width:2411;height:680" filled="true" fillcolor="#ffffff" stroked="false">
              <v:fill type="solid"/>
            </v:rect>
            <v:shape style="position:absolute;left:7681;top:4015;width:414;height:173" type="#_x0000_t75" stroked="false">
              <v:imagedata r:id="rId9" o:title=""/>
            </v:shape>
            <v:shape style="position:absolute;left:7691;top:4318;width:394;height:2" coordorigin="7691,4318" coordsize="394,0" path="m7962,4318l8084,4318m7691,4318l7813,4318e" filled="false" stroked="true" strokeweight="1pt" strokecolor="#888a8c">
              <v:path arrowok="t"/>
              <v:stroke dashstyle="solid"/>
            </v:shape>
            <v:rect style="position:absolute;left:7813;top:4243;width:150;height:150" filled="true" fillcolor="#888a8c" stroked="false">
              <v:fill type="solid"/>
            </v:rect>
            <v:rect style="position:absolute;left:7813;top:4243;width:150;height:150" filled="false" stroked="true" strokeweight="1pt" strokecolor="#888a8c">
              <v:stroke dashstyle="solid"/>
            </v:rect>
            <v:shape style="position:absolute;left:7681;top:4450;width:415;height:170" type="#_x0000_t75" stroked="false">
              <v:imagedata r:id="rId10" o:title=""/>
            </v:shape>
            <v:shape style="position:absolute;left:3172;top:2312;width:6308;height:873" coordorigin="3172,2312" coordsize="6308,873" path="m3172,2480l4433,3185,5695,2864,6956,2633,8217,2596,9479,2312e" filled="false" stroked="true" strokeweight="1.095pt" strokecolor="#888a8c">
              <v:path arrowok="t"/>
              <v:stroke dashstyle="solid"/>
            </v:shape>
            <v:rect style="position:absolute;left:3072;top:2380;width:200;height:200" filled="true" fillcolor="#939598" stroked="false">
              <v:fill type="solid"/>
            </v:rect>
            <v:rect style="position:absolute;left:3072;top:2380;width:200;height:200" filled="false" stroked="true" strokeweight=".548pt" strokecolor="#939598">
              <v:stroke dashstyle="solid"/>
            </v:rect>
            <v:rect style="position:absolute;left:4333;top:3085;width:200;height:200" filled="true" fillcolor="#939598" stroked="false">
              <v:fill type="solid"/>
            </v:rect>
            <v:rect style="position:absolute;left:4333;top:3085;width:200;height:200" filled="false" stroked="true" strokeweight=".548pt" strokecolor="#939598">
              <v:stroke dashstyle="solid"/>
            </v:rect>
            <v:rect style="position:absolute;left:5595;top:2764;width:200;height:200" filled="true" fillcolor="#939598" stroked="false">
              <v:fill type="solid"/>
            </v:rect>
            <v:rect style="position:absolute;left:5595;top:2764;width:200;height:200" filled="false" stroked="true" strokeweight=".548pt" strokecolor="#939598">
              <v:stroke dashstyle="solid"/>
            </v:rect>
            <v:rect style="position:absolute;left:6856;top:2533;width:200;height:200" filled="true" fillcolor="#939598" stroked="false">
              <v:fill type="solid"/>
            </v:rect>
            <v:rect style="position:absolute;left:6856;top:2533;width:200;height:200" filled="false" stroked="true" strokeweight=".548pt" strokecolor="#939598">
              <v:stroke dashstyle="solid"/>
            </v:rect>
            <v:rect style="position:absolute;left:8118;top:2496;width:200;height:200" filled="true" fillcolor="#939598" stroked="false">
              <v:fill type="solid"/>
            </v:rect>
            <v:rect style="position:absolute;left:8118;top:2496;width:200;height:200" filled="false" stroked="true" strokeweight=".548pt" strokecolor="#939598">
              <v:stroke dashstyle="solid"/>
            </v:rect>
            <v:rect style="position:absolute;left:9379;top:2212;width:200;height:200" filled="true" fillcolor="#939598" stroked="false">
              <v:fill type="solid"/>
            </v:rect>
            <v:rect style="position:absolute;left:9379;top:2212;width:200;height:200" filled="false" stroked="true" strokeweight=".548pt" strokecolor="#939598">
              <v:stroke dashstyle="solid"/>
            </v:rect>
            <v:shape style="position:absolute;left:3172;top:1718;width:6308;height:1314" coordorigin="3172,1718" coordsize="6308,1314" path="m3172,2480l4433,3032,5695,2480,6956,1718,8217,2538,9479,1834e" filled="false" stroked="true" strokeweight="1.095pt" strokecolor="#6a6b6e">
              <v:path arrowok="t"/>
              <v:stroke dashstyle="solid"/>
            </v:shape>
            <v:shape style="position:absolute;left:3066;top:2375;width:211;height:211" type="#_x0000_t75" stroked="false">
              <v:imagedata r:id="rId11" o:title=""/>
            </v:shape>
            <v:shape style="position:absolute;left:4328;top:2927;width:211;height:211" type="#_x0000_t75" stroked="false">
              <v:imagedata r:id="rId11" o:title=""/>
            </v:shape>
            <v:shape style="position:absolute;left:5589;top:2375;width:211;height:211" type="#_x0000_t75" stroked="false">
              <v:imagedata r:id="rId11" o:title=""/>
            </v:shape>
            <v:shape style="position:absolute;left:6851;top:1613;width:211;height:211" type="#_x0000_t75" stroked="false">
              <v:imagedata r:id="rId12" o:title=""/>
            </v:shape>
            <v:shape style="position:absolute;left:8112;top:2433;width:211;height:211" type="#_x0000_t75" stroked="false">
              <v:imagedata r:id="rId13" o:title=""/>
            </v:shape>
            <v:shape style="position:absolute;left:9373;top:1728;width:211;height:211" type="#_x0000_t75" stroked="false">
              <v:imagedata r:id="rId14" o:title=""/>
            </v:shape>
            <v:shape style="position:absolute;left:3172;top:2349;width:6308;height:684" coordorigin="3172,2349" coordsize="6308,684" path="m3172,2480l4433,3032,5695,2596,6956,2349,8217,3032,9479,2769e" filled="false" stroked="true" strokeweight="1.095pt" strokecolor="#231f20">
              <v:path arrowok="t"/>
              <v:stroke dashstyle="solid"/>
            </v:shape>
            <v:shape style="position:absolute;left:3066;top:2375;width:211;height:211" type="#_x0000_t75" stroked="false">
              <v:imagedata r:id="rId15" o:title=""/>
            </v:shape>
            <v:shape style="position:absolute;left:4328;top:2927;width:211;height:211" type="#_x0000_t75" stroked="false">
              <v:imagedata r:id="rId16" o:title=""/>
            </v:shape>
            <v:shape style="position:absolute;left:5589;top:2491;width:211;height:211" type="#_x0000_t75" stroked="false">
              <v:imagedata r:id="rId17" o:title=""/>
            </v:shape>
            <v:shape style="position:absolute;left:6851;top:2243;width:211;height:211" type="#_x0000_t75" stroked="false">
              <v:imagedata r:id="rId18" o:title=""/>
            </v:shape>
            <v:shape style="position:absolute;left:8112;top:2927;width:211;height:211" type="#_x0000_t75" stroked="false">
              <v:imagedata r:id="rId19" o:title=""/>
            </v:shape>
            <v:shape style="position:absolute;left:9373;top:2664;width:211;height:211" type="#_x0000_t75" stroked="false">
              <v:imagedata r:id="rId20" o:title=""/>
            </v:shape>
            <v:shape style="position:absolute;left:7510;top:3976;width:2411;height:680" type="#_x0000_t202" filled="false" stroked="true" strokeweight=".5pt" strokecolor="#231f20">
              <v:textbox inset="0,0,0,0">
                <w:txbxContent>
                  <w:p>
                    <w:pPr>
                      <w:spacing w:line="324" w:lineRule="auto" w:before="36"/>
                      <w:ind w:left="612" w:right="46" w:firstLine="0"/>
                      <w:jc w:val="left"/>
                      <w:rPr>
                        <w:rFonts w:ascii="Arial"/>
                        <w:sz w:val="14"/>
                      </w:rPr>
                    </w:pPr>
                    <w:r>
                      <w:rPr>
                        <w:rFonts w:ascii="Arial"/>
                        <w:color w:val="231F20"/>
                        <w:w w:val="105"/>
                        <w:sz w:val="14"/>
                      </w:rPr>
                      <w:t>Southwest Airlines Co. S&amp;P 500</w:t>
                    </w:r>
                  </w:p>
                  <w:p>
                    <w:pPr>
                      <w:spacing w:before="0"/>
                      <w:ind w:left="612" w:right="0" w:firstLine="0"/>
                      <w:jc w:val="left"/>
                      <w:rPr>
                        <w:rFonts w:ascii="Arial"/>
                        <w:sz w:val="14"/>
                      </w:rPr>
                    </w:pPr>
                    <w:r>
                      <w:rPr>
                        <w:rFonts w:ascii="Arial"/>
                        <w:color w:val="231F20"/>
                        <w:w w:val="105"/>
                        <w:sz w:val="14"/>
                      </w:rPr>
                      <w:t>NYSE ARCA Airline</w:t>
                    </w:r>
                  </w:p>
                </w:txbxContent>
              </v:textbox>
              <v:stroke dashstyle="solid"/>
              <w10:wrap type="none"/>
            </v:shape>
            <w10:wrap type="none"/>
          </v:group>
        </w:pict>
      </w:r>
      <w:r>
        <w:rPr>
          <w:rFonts w:ascii="Arial"/>
          <w:color w:val="231F20"/>
          <w:sz w:val="14"/>
        </w:rPr>
        <w:t>$200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before="113"/>
        <w:ind w:left="788" w:right="0" w:firstLine="0"/>
        <w:jc w:val="left"/>
        <w:rPr>
          <w:rFonts w:ascii="Arial"/>
          <w:sz w:val="14"/>
        </w:rPr>
      </w:pPr>
      <w:r>
        <w:rPr/>
        <w:pict>
          <v:shape style="position:absolute;margin-left:89.002022pt;margin-top:4.345572pt;width:11.2pt;height:128.7pt;mso-position-horizontal-relative:page;mso-position-vertical-relative:paragraph;z-index:1720" type="#_x0000_t202" filled="false" stroked="false">
            <v:textbox inset="0,0,0,0" style="layout-flow:vertical;mso-layout-flow-alt:bottom-to-top">
              <w:txbxContent>
                <w:p>
                  <w:pPr>
                    <w:spacing w:before="20"/>
                    <w:ind w:left="20" w:right="-659" w:firstLine="0"/>
                    <w:jc w:val="left"/>
                    <w:rPr>
                      <w:rFonts w:ascii="Arial"/>
                      <w:b/>
                      <w:sz w:val="16"/>
                    </w:rPr>
                  </w:pPr>
                  <w:r>
                    <w:rPr>
                      <w:rFonts w:ascii="Arial"/>
                      <w:b/>
                      <w:color w:val="231F20"/>
                      <w:w w:val="100"/>
                      <w:sz w:val="16"/>
                    </w:rPr>
                    <w:t>Total</w:t>
                  </w:r>
                  <w:r>
                    <w:rPr>
                      <w:rFonts w:ascii="Arial"/>
                      <w:b/>
                      <w:color w:val="231F20"/>
                      <w:sz w:val="16"/>
                    </w:rPr>
                    <w:t> Cum</w:t>
                  </w:r>
                  <w:r>
                    <w:rPr>
                      <w:rFonts w:ascii="Arial"/>
                      <w:b/>
                      <w:color w:val="231F20"/>
                      <w:w w:val="100"/>
                      <w:sz w:val="16"/>
                    </w:rPr>
                    <w:t>ulative</w:t>
                  </w:r>
                  <w:r>
                    <w:rPr>
                      <w:rFonts w:ascii="Arial"/>
                      <w:b/>
                      <w:color w:val="231F20"/>
                      <w:sz w:val="16"/>
                    </w:rPr>
                    <w:t> Return - Dollars</w:t>
                  </w:r>
                </w:p>
              </w:txbxContent>
            </v:textbox>
            <w10:wrap type="none"/>
          </v:shape>
        </w:pict>
      </w:r>
      <w:r>
        <w:rPr>
          <w:rFonts w:ascii="Arial"/>
          <w:color w:val="231F20"/>
          <w:sz w:val="14"/>
        </w:rPr>
        <w:t>$150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6"/>
        </w:rPr>
      </w:pPr>
    </w:p>
    <w:p>
      <w:pPr>
        <w:spacing w:before="113"/>
        <w:ind w:left="788" w:right="0" w:firstLine="0"/>
        <w:jc w:val="left"/>
        <w:rPr>
          <w:rFonts w:ascii="Arial"/>
          <w:sz w:val="14"/>
        </w:rPr>
      </w:pPr>
      <w:r>
        <w:rPr>
          <w:rFonts w:ascii="Arial"/>
          <w:color w:val="231F20"/>
          <w:sz w:val="14"/>
        </w:rPr>
        <w:t>$100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6"/>
        </w:rPr>
      </w:pPr>
    </w:p>
    <w:p>
      <w:pPr>
        <w:spacing w:before="112"/>
        <w:ind w:left="868" w:right="0" w:firstLine="0"/>
        <w:jc w:val="left"/>
        <w:rPr>
          <w:rFonts w:ascii="Arial"/>
          <w:sz w:val="14"/>
        </w:rPr>
      </w:pPr>
      <w:r>
        <w:rPr>
          <w:rFonts w:ascii="Arial"/>
          <w:color w:val="231F20"/>
          <w:sz w:val="14"/>
        </w:rPr>
        <w:t>$50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before="113"/>
        <w:ind w:left="947" w:right="0" w:firstLine="0"/>
        <w:jc w:val="left"/>
        <w:rPr>
          <w:rFonts w:ascii="Arial"/>
          <w:sz w:val="14"/>
        </w:rPr>
      </w:pPr>
      <w:r>
        <w:rPr>
          <w:rFonts w:ascii="Arial"/>
          <w:color w:val="231F20"/>
          <w:sz w:val="14"/>
        </w:rPr>
        <w:t>$0</w:t>
      </w:r>
    </w:p>
    <w:p>
      <w:pPr>
        <w:tabs>
          <w:tab w:pos="2871" w:val="left" w:leader="none"/>
          <w:tab w:pos="4130" w:val="left" w:leader="none"/>
          <w:tab w:pos="5389" w:val="left" w:leader="none"/>
          <w:tab w:pos="6648" w:val="left" w:leader="none"/>
          <w:tab w:pos="7906" w:val="left" w:leader="none"/>
        </w:tabs>
        <w:spacing w:before="96"/>
        <w:ind w:left="1612" w:right="0" w:firstLine="0"/>
        <w:jc w:val="left"/>
        <w:rPr>
          <w:rFonts w:ascii="Arial"/>
          <w:sz w:val="14"/>
        </w:rPr>
      </w:pPr>
      <w:r>
        <w:rPr>
          <w:rFonts w:ascii="Arial"/>
          <w:color w:val="231F20"/>
          <w:sz w:val="14"/>
        </w:rPr>
        <w:t>12/31/07</w:t>
        <w:tab/>
        <w:t>12/31/08</w:t>
        <w:tab/>
        <w:t>12/31/09</w:t>
        <w:tab/>
        <w:t>12/31/10</w:t>
        <w:tab/>
        <w:t>12/31/11</w:t>
        <w:tab/>
        <w:t>12/31/12</w:t>
      </w:r>
    </w:p>
    <w:p>
      <w:pPr>
        <w:pStyle w:val="BodyText"/>
        <w:spacing w:before="9"/>
        <w:rPr>
          <w:rFonts w:ascii="Arial"/>
          <w:sz w:val="25"/>
        </w:rPr>
      </w:pPr>
    </w:p>
    <w:tbl>
      <w:tblPr>
        <w:tblW w:w="0" w:type="auto"/>
        <w:jc w:val="left"/>
        <w:tblInd w:w="1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768"/>
        <w:gridCol w:w="872"/>
        <w:gridCol w:w="872"/>
        <w:gridCol w:w="872"/>
        <w:gridCol w:w="872"/>
        <w:gridCol w:w="872"/>
        <w:gridCol w:w="862"/>
      </w:tblGrid>
      <w:tr>
        <w:trPr>
          <w:trHeight w:val="250" w:hRule="exact"/>
        </w:trPr>
        <w:tc>
          <w:tcPr>
            <w:tcW w:w="3768" w:type="dxa"/>
          </w:tcPr>
          <w:p>
            <w:pPr/>
          </w:p>
        </w:tc>
        <w:tc>
          <w:tcPr>
            <w:tcW w:w="872" w:type="dxa"/>
          </w:tcPr>
          <w:p>
            <w:pPr>
              <w:pStyle w:val="TableParagraph"/>
              <w:spacing w:before="3"/>
              <w:ind w:left="90"/>
              <w:jc w:val="left"/>
              <w:rPr>
                <w:b/>
                <w:sz w:val="20"/>
              </w:rPr>
            </w:pPr>
            <w:r>
              <w:rPr>
                <w:b/>
                <w:color w:val="231F20"/>
                <w:sz w:val="20"/>
              </w:rPr>
              <w:t>12/31/07</w:t>
            </w:r>
          </w:p>
        </w:tc>
        <w:tc>
          <w:tcPr>
            <w:tcW w:w="872" w:type="dxa"/>
          </w:tcPr>
          <w:p>
            <w:pPr>
              <w:pStyle w:val="TableParagraph"/>
              <w:spacing w:before="3"/>
              <w:ind w:left="90"/>
              <w:jc w:val="left"/>
              <w:rPr>
                <w:b/>
                <w:sz w:val="20"/>
              </w:rPr>
            </w:pPr>
            <w:r>
              <w:rPr>
                <w:b/>
                <w:color w:val="231F20"/>
                <w:sz w:val="20"/>
              </w:rPr>
              <w:t>12/31/08</w:t>
            </w:r>
          </w:p>
        </w:tc>
        <w:tc>
          <w:tcPr>
            <w:tcW w:w="872" w:type="dxa"/>
          </w:tcPr>
          <w:p>
            <w:pPr>
              <w:pStyle w:val="TableParagraph"/>
              <w:spacing w:before="3"/>
              <w:ind w:left="90"/>
              <w:jc w:val="left"/>
              <w:rPr>
                <w:b/>
                <w:sz w:val="20"/>
              </w:rPr>
            </w:pPr>
            <w:r>
              <w:rPr>
                <w:b/>
                <w:color w:val="231F20"/>
                <w:sz w:val="20"/>
              </w:rPr>
              <w:t>12/31/09</w:t>
            </w:r>
          </w:p>
        </w:tc>
        <w:tc>
          <w:tcPr>
            <w:tcW w:w="872" w:type="dxa"/>
          </w:tcPr>
          <w:p>
            <w:pPr>
              <w:pStyle w:val="TableParagraph"/>
              <w:spacing w:before="3"/>
              <w:ind w:left="90"/>
              <w:jc w:val="left"/>
              <w:rPr>
                <w:b/>
                <w:sz w:val="20"/>
              </w:rPr>
            </w:pPr>
            <w:r>
              <w:rPr>
                <w:b/>
                <w:color w:val="231F20"/>
                <w:sz w:val="20"/>
              </w:rPr>
              <w:t>12/31/10</w:t>
            </w:r>
          </w:p>
        </w:tc>
        <w:tc>
          <w:tcPr>
            <w:tcW w:w="872" w:type="dxa"/>
          </w:tcPr>
          <w:p>
            <w:pPr>
              <w:pStyle w:val="TableParagraph"/>
              <w:spacing w:before="3"/>
              <w:ind w:left="90"/>
              <w:jc w:val="left"/>
              <w:rPr>
                <w:b/>
                <w:sz w:val="20"/>
              </w:rPr>
            </w:pPr>
            <w:r>
              <w:rPr>
                <w:b/>
                <w:color w:val="231F20"/>
                <w:sz w:val="20"/>
              </w:rPr>
              <w:t>12/31/11</w:t>
            </w:r>
          </w:p>
        </w:tc>
        <w:tc>
          <w:tcPr>
            <w:tcW w:w="862" w:type="dxa"/>
          </w:tcPr>
          <w:p>
            <w:pPr>
              <w:pStyle w:val="TableParagraph"/>
              <w:spacing w:before="3"/>
              <w:ind w:left="90"/>
              <w:jc w:val="left"/>
              <w:rPr>
                <w:b/>
                <w:sz w:val="20"/>
              </w:rPr>
            </w:pPr>
            <w:r>
              <w:rPr>
                <w:b/>
                <w:color w:val="231F20"/>
                <w:sz w:val="20"/>
              </w:rPr>
              <w:t>12/31/12</w:t>
            </w:r>
          </w:p>
        </w:tc>
      </w:tr>
      <w:tr>
        <w:trPr>
          <w:trHeight w:val="300" w:hRule="exact"/>
        </w:trPr>
        <w:tc>
          <w:tcPr>
            <w:tcW w:w="3768" w:type="dxa"/>
          </w:tcPr>
          <w:p>
            <w:pPr>
              <w:pStyle w:val="TableParagraph"/>
              <w:spacing w:before="53"/>
              <w:ind w:left="110"/>
              <w:jc w:val="left"/>
              <w:rPr>
                <w:b/>
                <w:sz w:val="20"/>
              </w:rPr>
            </w:pPr>
            <w:r>
              <w:rPr>
                <w:b/>
                <w:color w:val="231F20"/>
                <w:sz w:val="20"/>
              </w:rPr>
              <w:t>Southwest Airlines Co.</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72" w:type="dxa"/>
          </w:tcPr>
          <w:p>
            <w:pPr>
              <w:pStyle w:val="TableParagraph"/>
              <w:tabs>
                <w:tab w:pos="465" w:val="left" w:leader="none"/>
              </w:tabs>
              <w:spacing w:before="53"/>
              <w:ind w:left="90"/>
              <w:jc w:val="left"/>
              <w:rPr>
                <w:sz w:val="20"/>
              </w:rPr>
            </w:pPr>
            <w:r>
              <w:rPr>
                <w:color w:val="231F20"/>
                <w:sz w:val="20"/>
              </w:rPr>
              <w:t>$</w:t>
              <w:tab/>
              <w:t>94</w:t>
            </w:r>
          </w:p>
        </w:tc>
        <w:tc>
          <w:tcPr>
            <w:tcW w:w="872" w:type="dxa"/>
          </w:tcPr>
          <w:p>
            <w:pPr>
              <w:pStyle w:val="TableParagraph"/>
              <w:spacing w:before="53"/>
              <w:ind w:left="90"/>
              <w:jc w:val="left"/>
              <w:rPr>
                <w:sz w:val="20"/>
              </w:rPr>
            </w:pPr>
            <w:r>
              <w:rPr>
                <w:color w:val="231F20"/>
                <w:sz w:val="20"/>
              </w:rPr>
              <w:t>$   107</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62" w:type="dxa"/>
          </w:tcPr>
          <w:p>
            <w:pPr>
              <w:pStyle w:val="TableParagraph"/>
              <w:tabs>
                <w:tab w:pos="465" w:val="left" w:leader="none"/>
              </w:tabs>
              <w:spacing w:before="53"/>
              <w:ind w:left="90"/>
              <w:jc w:val="left"/>
              <w:rPr>
                <w:sz w:val="20"/>
              </w:rPr>
            </w:pPr>
            <w:r>
              <w:rPr>
                <w:color w:val="231F20"/>
                <w:sz w:val="20"/>
              </w:rPr>
              <w:t>$</w:t>
              <w:tab/>
              <w:t>85</w:t>
            </w:r>
          </w:p>
        </w:tc>
      </w:tr>
      <w:tr>
        <w:trPr>
          <w:trHeight w:val="300" w:hRule="exact"/>
        </w:trPr>
        <w:tc>
          <w:tcPr>
            <w:tcW w:w="3768" w:type="dxa"/>
          </w:tcPr>
          <w:p>
            <w:pPr>
              <w:pStyle w:val="TableParagraph"/>
              <w:spacing w:before="53"/>
              <w:ind w:left="110"/>
              <w:jc w:val="left"/>
              <w:rPr>
                <w:b/>
                <w:sz w:val="20"/>
              </w:rPr>
            </w:pPr>
            <w:r>
              <w:rPr>
                <w:b/>
                <w:color w:val="231F20"/>
                <w:sz w:val="20"/>
              </w:rPr>
              <w:t>S&amp;P 500</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63</w:t>
            </w:r>
          </w:p>
        </w:tc>
        <w:tc>
          <w:tcPr>
            <w:tcW w:w="872" w:type="dxa"/>
          </w:tcPr>
          <w:p>
            <w:pPr>
              <w:pStyle w:val="TableParagraph"/>
              <w:tabs>
                <w:tab w:pos="465" w:val="left" w:leader="none"/>
              </w:tabs>
              <w:spacing w:before="53"/>
              <w:ind w:left="90"/>
              <w:jc w:val="left"/>
              <w:rPr>
                <w:sz w:val="20"/>
              </w:rPr>
            </w:pPr>
            <w:r>
              <w:rPr>
                <w:color w:val="231F20"/>
                <w:sz w:val="20"/>
              </w:rPr>
              <w:t>$</w:t>
              <w:tab/>
              <w:t>80</w:t>
            </w:r>
          </w:p>
        </w:tc>
        <w:tc>
          <w:tcPr>
            <w:tcW w:w="872" w:type="dxa"/>
          </w:tcPr>
          <w:p>
            <w:pPr>
              <w:pStyle w:val="TableParagraph"/>
              <w:tabs>
                <w:tab w:pos="465" w:val="left" w:leader="none"/>
              </w:tabs>
              <w:spacing w:before="53"/>
              <w:ind w:left="90"/>
              <w:jc w:val="left"/>
              <w:rPr>
                <w:sz w:val="20"/>
              </w:rPr>
            </w:pPr>
            <w:r>
              <w:rPr>
                <w:color w:val="231F20"/>
                <w:sz w:val="20"/>
              </w:rPr>
              <w:t>$</w:t>
              <w:tab/>
              <w:t>92</w:t>
            </w:r>
          </w:p>
        </w:tc>
        <w:tc>
          <w:tcPr>
            <w:tcW w:w="872" w:type="dxa"/>
          </w:tcPr>
          <w:p>
            <w:pPr>
              <w:pStyle w:val="TableParagraph"/>
              <w:tabs>
                <w:tab w:pos="415" w:val="left" w:leader="none"/>
              </w:tabs>
              <w:spacing w:before="53"/>
              <w:ind w:left="90"/>
              <w:jc w:val="left"/>
              <w:rPr>
                <w:sz w:val="20"/>
              </w:rPr>
            </w:pPr>
            <w:r>
              <w:rPr>
                <w:color w:val="231F20"/>
                <w:sz w:val="20"/>
              </w:rPr>
              <w:t>$</w:t>
              <w:tab/>
              <w:t>94</w:t>
            </w:r>
          </w:p>
        </w:tc>
        <w:tc>
          <w:tcPr>
            <w:tcW w:w="862" w:type="dxa"/>
          </w:tcPr>
          <w:p>
            <w:pPr>
              <w:pStyle w:val="TableParagraph"/>
              <w:spacing w:before="53"/>
              <w:ind w:left="90"/>
              <w:jc w:val="left"/>
              <w:rPr>
                <w:sz w:val="20"/>
              </w:rPr>
            </w:pPr>
            <w:r>
              <w:rPr>
                <w:color w:val="231F20"/>
                <w:sz w:val="20"/>
              </w:rPr>
              <w:t>$   109</w:t>
            </w:r>
          </w:p>
        </w:tc>
      </w:tr>
      <w:tr>
        <w:trPr>
          <w:trHeight w:val="300" w:hRule="exact"/>
        </w:trPr>
        <w:tc>
          <w:tcPr>
            <w:tcW w:w="3768" w:type="dxa"/>
          </w:tcPr>
          <w:p>
            <w:pPr>
              <w:pStyle w:val="TableParagraph"/>
              <w:spacing w:before="53"/>
              <w:ind w:left="110"/>
              <w:jc w:val="left"/>
              <w:rPr>
                <w:b/>
                <w:sz w:val="20"/>
              </w:rPr>
            </w:pPr>
            <w:r>
              <w:rPr>
                <w:b/>
                <w:color w:val="231F20"/>
                <w:sz w:val="20"/>
              </w:rPr>
              <w:t>NYSE ARCA Airline</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spacing w:before="53"/>
              <w:ind w:left="90"/>
              <w:jc w:val="left"/>
              <w:rPr>
                <w:sz w:val="20"/>
              </w:rPr>
            </w:pPr>
            <w:r>
              <w:rPr>
                <w:color w:val="231F20"/>
                <w:sz w:val="20"/>
              </w:rPr>
              <w:t>$   140</w:t>
            </w:r>
          </w:p>
        </w:tc>
        <w:tc>
          <w:tcPr>
            <w:tcW w:w="872" w:type="dxa"/>
          </w:tcPr>
          <w:p>
            <w:pPr>
              <w:pStyle w:val="TableParagraph"/>
              <w:tabs>
                <w:tab w:pos="415" w:val="left" w:leader="none"/>
              </w:tabs>
              <w:spacing w:before="53"/>
              <w:ind w:left="90"/>
              <w:jc w:val="left"/>
              <w:rPr>
                <w:sz w:val="20"/>
              </w:rPr>
            </w:pPr>
            <w:r>
              <w:rPr>
                <w:color w:val="231F20"/>
                <w:sz w:val="20"/>
              </w:rPr>
              <w:t>$</w:t>
              <w:tab/>
              <w:t>97</w:t>
            </w:r>
          </w:p>
        </w:tc>
        <w:tc>
          <w:tcPr>
            <w:tcW w:w="862" w:type="dxa"/>
          </w:tcPr>
          <w:p>
            <w:pPr>
              <w:pStyle w:val="TableParagraph"/>
              <w:spacing w:before="53"/>
              <w:ind w:left="90"/>
              <w:jc w:val="left"/>
              <w:rPr>
                <w:sz w:val="20"/>
              </w:rPr>
            </w:pPr>
            <w:r>
              <w:rPr>
                <w:color w:val="231F20"/>
                <w:sz w:val="20"/>
              </w:rPr>
              <w:t>$   134</w:t>
            </w:r>
          </w:p>
        </w:tc>
      </w:tr>
    </w:tbl>
    <w:p>
      <w:pPr>
        <w:spacing w:after="0"/>
        <w:jc w:val="left"/>
        <w:rPr>
          <w:sz w:val="20"/>
        </w:rPr>
        <w:sectPr>
          <w:pgSz w:w="11880" w:h="15480"/>
          <w:pgMar w:header="0" w:footer="1253" w:top="1240" w:bottom="1440" w:left="1280" w:right="1320"/>
        </w:sectPr>
      </w:pPr>
    </w:p>
    <w:p>
      <w:pPr>
        <w:pStyle w:val="Heading3"/>
        <w:spacing w:before="73"/>
        <w:ind w:left="120"/>
      </w:pPr>
      <w:r>
        <w:rPr>
          <w:color w:val="231F20"/>
        </w:rPr>
        <w:t>Issuer Repurchases</w:t>
      </w:r>
    </w:p>
    <w:p>
      <w:pPr>
        <w:pStyle w:val="BodyText"/>
        <w:rPr>
          <w:b/>
          <w:sz w:val="22"/>
        </w:rPr>
      </w:pPr>
      <w:r>
        <w:rPr/>
        <w:br w:type="column"/>
      </w:r>
      <w:r>
        <w:rPr>
          <w:b/>
          <w:sz w:val="22"/>
        </w:rPr>
      </w:r>
    </w:p>
    <w:p>
      <w:pPr>
        <w:pStyle w:val="BodyText"/>
        <w:spacing w:before="4"/>
        <w:rPr>
          <w:b/>
          <w:sz w:val="17"/>
        </w:rPr>
      </w:pPr>
    </w:p>
    <w:p>
      <w:pPr>
        <w:pStyle w:val="BodyText"/>
        <w:spacing w:before="1"/>
        <w:ind w:left="120"/>
      </w:pPr>
      <w:r>
        <w:rPr>
          <w:color w:val="231F20"/>
        </w:rPr>
        <w:t>Issuer Purchases of Equity Securities (1)</w:t>
      </w:r>
    </w:p>
    <w:p>
      <w:pPr>
        <w:pStyle w:val="Heading3"/>
        <w:tabs>
          <w:tab w:pos="2266" w:val="left" w:leader="none"/>
          <w:tab w:pos="3661" w:val="left" w:leader="none"/>
          <w:tab w:pos="5328" w:val="left" w:leader="none"/>
        </w:tabs>
        <w:spacing w:line="249" w:lineRule="auto" w:before="10"/>
        <w:ind w:left="4725" w:right="249" w:hanging="3448"/>
      </w:pPr>
      <w:r>
        <w:rPr>
          <w:color w:val="231F20"/>
        </w:rPr>
        <w:t>(a)</w:t>
        <w:tab/>
        <w:t>(b)</w:t>
        <w:tab/>
        <w:t>(c)</w:t>
        <w:tab/>
        <w:tab/>
        <w:t>(d) Maximum</w:t>
      </w:r>
      <w:r>
        <w:rPr>
          <w:color w:val="231F20"/>
          <w:spacing w:val="1"/>
        </w:rPr>
        <w:t> </w:t>
      </w:r>
      <w:r>
        <w:rPr>
          <w:color w:val="231F20"/>
        </w:rPr>
        <w:t>dollar</w:t>
      </w:r>
    </w:p>
    <w:p>
      <w:pPr>
        <w:spacing w:after="0" w:line="249" w:lineRule="auto"/>
        <w:sectPr>
          <w:pgSz w:w="11880" w:h="15480"/>
          <w:pgMar w:header="0" w:footer="1253" w:top="1240" w:bottom="1440" w:left="1260" w:right="1260"/>
          <w:cols w:num="2" w:equalWidth="0">
            <w:col w:w="1782" w:space="1150"/>
            <w:col w:w="6428"/>
          </w:cols>
        </w:sectPr>
      </w:pPr>
    </w:p>
    <w:p>
      <w:pPr>
        <w:pStyle w:val="BodyText"/>
        <w:rPr>
          <w:b/>
          <w:sz w:val="22"/>
        </w:rPr>
      </w:pPr>
    </w:p>
    <w:p>
      <w:pPr>
        <w:pStyle w:val="BodyText"/>
        <w:rPr>
          <w:b/>
          <w:sz w:val="22"/>
        </w:rPr>
      </w:pPr>
    </w:p>
    <w:p>
      <w:pPr>
        <w:pStyle w:val="BodyText"/>
        <w:rPr>
          <w:b/>
          <w:sz w:val="22"/>
        </w:rPr>
      </w:pPr>
    </w:p>
    <w:p>
      <w:pPr>
        <w:pStyle w:val="BodyText"/>
        <w:spacing w:before="6"/>
        <w:rPr>
          <w:b/>
          <w:sz w:val="17"/>
        </w:rPr>
      </w:pPr>
    </w:p>
    <w:p>
      <w:pPr>
        <w:spacing w:before="0"/>
        <w:ind w:left="1542" w:right="0" w:firstLine="0"/>
        <w:jc w:val="left"/>
        <w:rPr>
          <w:b/>
          <w:sz w:val="20"/>
        </w:rPr>
      </w:pPr>
      <w:r>
        <w:rPr/>
        <w:pict>
          <v:line style="position:absolute;mso-position-horizontal-relative:page;mso-position-vertical-relative:paragraph;z-index:1840" from="525pt,12.835938pt" to="69pt,12.835938pt" stroked="true" strokeweight="1pt" strokecolor="#231f20">
            <v:stroke dashstyle="solid"/>
            <w10:wrap type="none"/>
          </v:line>
        </w:pict>
      </w:r>
      <w:r>
        <w:rPr>
          <w:b/>
          <w:color w:val="231F20"/>
          <w:sz w:val="20"/>
        </w:rPr>
        <w:t>Period</w:t>
      </w:r>
    </w:p>
    <w:p>
      <w:pPr>
        <w:pStyle w:val="BodyText"/>
        <w:spacing w:before="89"/>
        <w:ind w:left="120"/>
      </w:pPr>
      <w:r>
        <w:rPr>
          <w:color w:val="231F20"/>
        </w:rPr>
        <w:t>October 1, 2012 through October 31,</w:t>
      </w:r>
    </w:p>
    <w:p>
      <w:pPr>
        <w:pStyle w:val="BodyText"/>
        <w:rPr>
          <w:sz w:val="22"/>
        </w:rPr>
      </w:pPr>
      <w:r>
        <w:rPr/>
        <w:br w:type="column"/>
      </w:r>
      <w:r>
        <w:rPr>
          <w:sz w:val="22"/>
        </w:rPr>
      </w:r>
    </w:p>
    <w:p>
      <w:pPr>
        <w:pStyle w:val="BodyText"/>
        <w:spacing w:before="9"/>
        <w:rPr>
          <w:sz w:val="19"/>
        </w:rPr>
      </w:pPr>
    </w:p>
    <w:p>
      <w:pPr>
        <w:pStyle w:val="Heading3"/>
        <w:spacing w:line="249" w:lineRule="auto"/>
        <w:ind w:left="120"/>
        <w:jc w:val="center"/>
      </w:pPr>
      <w:r>
        <w:rPr>
          <w:color w:val="231F20"/>
        </w:rPr>
        <w:t>Total number</w:t>
      </w:r>
      <w:r>
        <w:rPr>
          <w:color w:val="231F20"/>
          <w:w w:val="99"/>
        </w:rPr>
        <w:t> </w:t>
      </w:r>
      <w:r>
        <w:rPr>
          <w:color w:val="231F20"/>
        </w:rPr>
        <w:t>of shares purchased</w:t>
      </w:r>
    </w:p>
    <w:p>
      <w:pPr>
        <w:pStyle w:val="BodyText"/>
        <w:spacing w:before="10"/>
        <w:rPr>
          <w:b/>
        </w:rPr>
      </w:pPr>
      <w:r>
        <w:rPr/>
        <w:br w:type="column"/>
      </w:r>
      <w:r>
        <w:rPr>
          <w:b/>
        </w:rPr>
      </w:r>
    </w:p>
    <w:p>
      <w:pPr>
        <w:spacing w:line="249" w:lineRule="auto" w:before="1"/>
        <w:ind w:left="5" w:right="0" w:firstLine="0"/>
        <w:jc w:val="center"/>
        <w:rPr>
          <w:b/>
          <w:sz w:val="20"/>
        </w:rPr>
      </w:pPr>
      <w:r>
        <w:rPr>
          <w:b/>
          <w:color w:val="231F20"/>
          <w:sz w:val="20"/>
        </w:rPr>
        <w:t>Average price paid per</w:t>
      </w:r>
      <w:r>
        <w:rPr>
          <w:b/>
          <w:color w:val="231F20"/>
          <w:w w:val="100"/>
          <w:sz w:val="20"/>
        </w:rPr>
        <w:t> </w:t>
      </w:r>
      <w:r>
        <w:rPr>
          <w:b/>
          <w:color w:val="231F20"/>
          <w:sz w:val="20"/>
        </w:rPr>
        <w:t>share</w:t>
      </w:r>
    </w:p>
    <w:p>
      <w:pPr>
        <w:spacing w:line="249" w:lineRule="auto" w:before="1"/>
        <w:ind w:left="120" w:right="0" w:hanging="1"/>
        <w:jc w:val="center"/>
        <w:rPr>
          <w:b/>
          <w:sz w:val="20"/>
        </w:rPr>
      </w:pPr>
      <w:r>
        <w:rPr/>
        <w:br w:type="column"/>
      </w:r>
      <w:r>
        <w:rPr>
          <w:b/>
          <w:color w:val="231F20"/>
          <w:sz w:val="20"/>
        </w:rPr>
        <w:t>Total number of shares purchased as part of publicly announced plans or programs</w:t>
      </w:r>
    </w:p>
    <w:p>
      <w:pPr>
        <w:spacing w:line="249" w:lineRule="auto" w:before="1"/>
        <w:ind w:left="30" w:right="143" w:firstLine="0"/>
        <w:jc w:val="center"/>
        <w:rPr>
          <w:b/>
          <w:sz w:val="20"/>
        </w:rPr>
      </w:pPr>
      <w:r>
        <w:rPr/>
        <w:br w:type="column"/>
      </w:r>
      <w:r>
        <w:rPr>
          <w:b/>
          <w:color w:val="231F20"/>
          <w:sz w:val="20"/>
        </w:rPr>
        <w:t>value of shares that</w:t>
      </w:r>
      <w:r>
        <w:rPr>
          <w:b/>
          <w:color w:val="231F20"/>
          <w:w w:val="99"/>
          <w:sz w:val="20"/>
        </w:rPr>
        <w:t> </w:t>
      </w:r>
      <w:r>
        <w:rPr>
          <w:b/>
          <w:color w:val="231F20"/>
          <w:sz w:val="20"/>
        </w:rPr>
        <w:t>may yet be purchased</w:t>
      </w:r>
    </w:p>
    <w:p>
      <w:pPr>
        <w:spacing w:line="249" w:lineRule="auto" w:before="1"/>
        <w:ind w:left="194" w:right="308" w:firstLine="0"/>
        <w:jc w:val="center"/>
        <w:rPr>
          <w:b/>
          <w:sz w:val="20"/>
        </w:rPr>
      </w:pPr>
      <w:r>
        <w:rPr>
          <w:b/>
          <w:color w:val="231F20"/>
          <w:sz w:val="20"/>
        </w:rPr>
        <w:t>under the plans</w:t>
      </w:r>
      <w:r>
        <w:rPr>
          <w:b/>
          <w:color w:val="231F20"/>
          <w:w w:val="99"/>
          <w:sz w:val="20"/>
        </w:rPr>
        <w:t> </w:t>
      </w:r>
      <w:r>
        <w:rPr>
          <w:b/>
          <w:color w:val="231F20"/>
          <w:sz w:val="20"/>
        </w:rPr>
        <w:t>or programs</w:t>
      </w:r>
    </w:p>
    <w:p>
      <w:pPr>
        <w:spacing w:after="0" w:line="249" w:lineRule="auto"/>
        <w:jc w:val="center"/>
        <w:rPr>
          <w:sz w:val="20"/>
        </w:rPr>
        <w:sectPr>
          <w:type w:val="continuous"/>
          <w:pgSz w:w="11880" w:h="15480"/>
          <w:pgMar w:top="1200" w:bottom="280" w:left="1260" w:right="1260"/>
          <w:cols w:num="5" w:equalWidth="0">
            <w:col w:w="3084" w:space="530"/>
            <w:col w:w="1304" w:space="40"/>
            <w:col w:w="722" w:space="130"/>
            <w:col w:w="1672" w:space="40"/>
            <w:col w:w="1838"/>
          </w:cols>
        </w:sectPr>
      </w:pPr>
    </w:p>
    <w:p>
      <w:pPr>
        <w:pStyle w:val="BodyText"/>
        <w:tabs>
          <w:tab w:pos="4425" w:val="left" w:leader="none"/>
          <w:tab w:pos="4937" w:val="left" w:leader="none"/>
          <w:tab w:pos="5246" w:val="left" w:leader="none"/>
          <w:tab w:pos="6805" w:val="left" w:leader="none"/>
          <w:tab w:pos="7526" w:val="left" w:leader="none"/>
          <w:tab w:pos="7933" w:val="left" w:leader="none"/>
        </w:tabs>
        <w:spacing w:before="9"/>
        <w:ind w:left="320"/>
      </w:pPr>
      <w:r>
        <w:rPr>
          <w:color w:val="231F20"/>
        </w:rPr>
        <w:t>2012 . . . . . . . . . . . . . . . . . . . . . . . . . .</w:t>
      </w:r>
      <w:r>
        <w:rPr>
          <w:color w:val="231F20"/>
          <w:spacing w:val="14"/>
        </w:rPr>
        <w:t> </w:t>
      </w:r>
      <w:r>
        <w:rPr>
          <w:color w:val="231F20"/>
        </w:rPr>
        <w:t>. .</w:t>
        <w:tab/>
        <w:t>—</w:t>
        <w:tab/>
        <w:t>$</w:t>
        <w:tab/>
        <w:t>—</w:t>
        <w:tab/>
        <w:t>—</w:t>
        <w:tab/>
        <w:t>$</w:t>
        <w:tab/>
        <w:t>450,014,922</w:t>
      </w:r>
    </w:p>
    <w:p>
      <w:pPr>
        <w:pStyle w:val="BodyText"/>
        <w:spacing w:before="9"/>
        <w:ind w:left="120"/>
      </w:pPr>
      <w:r>
        <w:rPr>
          <w:color w:val="231F20"/>
        </w:rPr>
        <w:t>November 1, 2012 through November 30,</w:t>
      </w:r>
    </w:p>
    <w:p>
      <w:pPr>
        <w:pStyle w:val="BodyText"/>
        <w:tabs>
          <w:tab w:pos="3925" w:val="left" w:leader="none"/>
          <w:tab w:pos="4937" w:val="left" w:leader="none"/>
          <w:tab w:pos="6305" w:val="left" w:leader="none"/>
          <w:tab w:pos="7526" w:val="left" w:leader="none"/>
          <w:tab w:pos="7933" w:val="left" w:leader="none"/>
        </w:tabs>
        <w:spacing w:before="9"/>
        <w:ind w:left="320"/>
      </w:pPr>
      <w:r>
        <w:rPr>
          <w:color w:val="231F20"/>
        </w:rPr>
        <w:t>2012 . . . . . . . . . . . . . . . . . . . . . . . . . .</w:t>
      </w:r>
      <w:r>
        <w:rPr>
          <w:color w:val="231F20"/>
          <w:spacing w:val="14"/>
        </w:rPr>
        <w:t> </w:t>
      </w:r>
      <w:r>
        <w:rPr>
          <w:color w:val="231F20"/>
        </w:rPr>
        <w:t>. .</w:t>
        <w:tab/>
        <w:t>8,135,598</w:t>
        <w:tab/>
        <w:t>$  </w:t>
      </w:r>
      <w:r>
        <w:rPr>
          <w:color w:val="231F20"/>
          <w:spacing w:val="9"/>
        </w:rPr>
        <w:t> </w:t>
      </w:r>
      <w:r>
        <w:rPr>
          <w:color w:val="231F20"/>
        </w:rPr>
        <w:t>9.22</w:t>
        <w:tab/>
        <w:t>8,135,598</w:t>
        <w:tab/>
        <w:t>$</w:t>
        <w:tab/>
        <w:t>375,015,828</w:t>
      </w:r>
    </w:p>
    <w:p>
      <w:pPr>
        <w:pStyle w:val="BodyText"/>
        <w:spacing w:before="9"/>
        <w:ind w:left="120"/>
      </w:pPr>
      <w:r>
        <w:rPr>
          <w:color w:val="231F20"/>
        </w:rPr>
        <w:t>December 1, 2012 through December 31,</w:t>
      </w:r>
    </w:p>
    <w:p>
      <w:pPr>
        <w:pStyle w:val="BodyText"/>
        <w:tabs>
          <w:tab w:pos="4425" w:val="left" w:leader="none"/>
          <w:tab w:pos="4937" w:val="left" w:leader="none"/>
          <w:tab w:pos="5246" w:val="left" w:leader="none"/>
          <w:tab w:pos="6805" w:val="left" w:leader="none"/>
          <w:tab w:pos="7526" w:val="left" w:leader="none"/>
          <w:tab w:pos="7933" w:val="left" w:leader="none"/>
        </w:tabs>
        <w:spacing w:before="9"/>
        <w:ind w:left="320"/>
      </w:pPr>
      <w:r>
        <w:rPr/>
        <w:pict>
          <v:line style="position:absolute;mso-position-horizontal-relative:page;mso-position-vertical-relative:paragraph;z-index:1744;mso-wrap-distance-left:0;mso-wrap-distance-right:0" from="249.699997pt,13.535937pt" to="308.899997pt,13.535937pt" stroked="true" strokeweight=".5pt" strokecolor="#231f20">
            <v:stroke dashstyle="solid"/>
            <w10:wrap type="topAndBottom"/>
          </v:line>
        </w:pict>
      </w:r>
      <w:r>
        <w:rPr/>
        <w:pict>
          <v:line style="position:absolute;mso-position-horizontal-relative:page;mso-position-vertical-relative:paragraph;z-index:1768;mso-wrap-distance-left:0;mso-wrap-distance-right:0" from="358.25pt,13.535937pt" to="438.35pt,13.535937pt" stroked="true" strokeweight=".5pt" strokecolor="#231f20">
            <v:stroke dashstyle="solid"/>
            <w10:wrap type="topAndBottom"/>
          </v:line>
        </w:pict>
      </w:r>
      <w:r>
        <w:rPr>
          <w:color w:val="231F20"/>
        </w:rPr>
        <w:t>2012 . . . . . . . . . . . . . . . . . . . . . . . . . .</w:t>
      </w:r>
      <w:r>
        <w:rPr>
          <w:color w:val="231F20"/>
          <w:spacing w:val="14"/>
        </w:rPr>
        <w:t> </w:t>
      </w:r>
      <w:r>
        <w:rPr>
          <w:color w:val="231F20"/>
        </w:rPr>
        <w:t>. .</w:t>
        <w:tab/>
        <w:t>—</w:t>
        <w:tab/>
        <w:t>$</w:t>
        <w:tab/>
        <w:t>—</w:t>
        <w:tab/>
        <w:t>—</w:t>
        <w:tab/>
        <w:t>$</w:t>
        <w:tab/>
        <w:t>375,015,828</w:t>
      </w:r>
    </w:p>
    <w:p>
      <w:pPr>
        <w:pStyle w:val="BodyText"/>
        <w:tabs>
          <w:tab w:pos="3925" w:val="left" w:leader="none"/>
          <w:tab w:pos="6305" w:val="left" w:leader="none"/>
        </w:tabs>
        <w:spacing w:before="24" w:after="26"/>
        <w:ind w:left="520"/>
      </w:pPr>
      <w:r>
        <w:rPr>
          <w:color w:val="231F20"/>
        </w:rPr>
        <w:t>Total   . . . . . . . . . . . . . . . . . . . . . . .</w:t>
      </w:r>
      <w:r>
        <w:rPr>
          <w:color w:val="231F20"/>
          <w:spacing w:val="-9"/>
        </w:rPr>
        <w:t> </w:t>
      </w:r>
      <w:r>
        <w:rPr>
          <w:color w:val="231F20"/>
        </w:rPr>
        <w:t>. .</w:t>
        <w:tab/>
        <w:t>8,135,598</w:t>
        <w:tab/>
        <w:t>8,135,598</w:t>
      </w:r>
    </w:p>
    <w:p>
      <w:pPr>
        <w:tabs>
          <w:tab w:pos="5900" w:val="left" w:leader="none"/>
        </w:tabs>
        <w:spacing w:line="50" w:lineRule="exact"/>
        <w:ind w:left="3729" w:right="0" w:firstLine="0"/>
        <w:rPr>
          <w:sz w:val="5"/>
        </w:rPr>
      </w:pPr>
      <w:r>
        <w:rPr>
          <w:position w:val="0"/>
          <w:sz w:val="5"/>
        </w:rPr>
        <w:pict>
          <v:group style="width:59.7pt;height:2.5pt;mso-position-horizontal-relative:char;mso-position-vertical-relative:line" coordorigin="0,0" coordsize="1194,50">
            <v:line style="position:absolute" from="5,5" to="1189,5" stroked="true" strokeweight=".5pt" strokecolor="#231f20">
              <v:stroke dashstyle="solid"/>
            </v:line>
            <v:line style="position:absolute" from="5,45" to="1189,45" stroked="true" strokeweight=".5pt" strokecolor="#231f20">
              <v:stroke dashstyle="solid"/>
            </v:line>
          </v:group>
        </w:pict>
      </w:r>
      <w:r>
        <w:rPr>
          <w:position w:val="0"/>
          <w:sz w:val="5"/>
        </w:rPr>
      </w:r>
      <w:r>
        <w:rPr>
          <w:position w:val="0"/>
          <w:sz w:val="5"/>
        </w:rPr>
        <w:tab/>
      </w:r>
      <w:r>
        <w:rPr>
          <w:position w:val="0"/>
          <w:sz w:val="5"/>
        </w:rPr>
        <w:pict>
          <v:group style="width:80.6pt;height:2.5pt;mso-position-horizontal-relative:char;mso-position-vertical-relative:line" coordorigin="0,0" coordsize="1612,50">
            <v:line style="position:absolute" from="5,5" to="1607,5" stroked="true" strokeweight=".5pt" strokecolor="#231f20">
              <v:stroke dashstyle="solid"/>
            </v:line>
            <v:line style="position:absolute" from="5,45" to="1607,45" stroked="true" strokeweight=".5pt" strokecolor="#231f20">
              <v:stroke dashstyle="solid"/>
            </v:line>
          </v:group>
        </w:pict>
      </w:r>
      <w:r>
        <w:rPr>
          <w:position w:val="0"/>
          <w:sz w:val="5"/>
        </w:rPr>
      </w:r>
    </w:p>
    <w:p>
      <w:pPr>
        <w:pStyle w:val="BodyText"/>
        <w:spacing w:before="6"/>
        <w:rPr>
          <w:sz w:val="12"/>
        </w:rPr>
      </w:pPr>
    </w:p>
    <w:p>
      <w:pPr>
        <w:pStyle w:val="ListParagraph"/>
        <w:numPr>
          <w:ilvl w:val="1"/>
          <w:numId w:val="7"/>
        </w:numPr>
        <w:tabs>
          <w:tab w:pos="520" w:val="left" w:leader="none"/>
        </w:tabs>
        <w:spacing w:line="249" w:lineRule="auto" w:before="89" w:after="0"/>
        <w:ind w:left="520" w:right="117" w:hanging="400"/>
        <w:jc w:val="both"/>
        <w:rPr>
          <w:sz w:val="20"/>
        </w:rPr>
      </w:pPr>
      <w:r>
        <w:rPr>
          <w:color w:val="231F20"/>
          <w:sz w:val="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up to $500 million of the Company’s common stock following such authorization. On May 16, 2012, the Company’s Board of Directors increased the previous share repurchase authorization by an additional $500 million. Repurchases are made in accordance with applicable securities laws in the open market or in private transactions from time to time, depending on market conditions, and may be discontinued at any</w:t>
      </w:r>
      <w:r>
        <w:rPr>
          <w:color w:val="231F20"/>
          <w:spacing w:val="6"/>
          <w:sz w:val="20"/>
        </w:rPr>
        <w:t> </w:t>
      </w:r>
      <w:r>
        <w:rPr>
          <w:color w:val="231F20"/>
          <w:sz w:val="20"/>
        </w:rPr>
        <w:t>time.</w:t>
      </w:r>
    </w:p>
    <w:p>
      <w:pPr>
        <w:spacing w:after="0" w:line="249" w:lineRule="auto"/>
        <w:jc w:val="both"/>
        <w:rPr>
          <w:sz w:val="20"/>
        </w:rPr>
        <w:sectPr>
          <w:type w:val="continuous"/>
          <w:pgSz w:w="11880" w:h="15480"/>
          <w:pgMar w:top="1200" w:bottom="280" w:left="1260" w:right="1260"/>
        </w:sectPr>
      </w:pPr>
    </w:p>
    <w:p>
      <w:pPr>
        <w:tabs>
          <w:tab w:pos="1239" w:val="left" w:leader="none"/>
        </w:tabs>
        <w:spacing w:before="73"/>
        <w:ind w:left="160" w:right="0" w:firstLine="0"/>
        <w:jc w:val="left"/>
        <w:rPr>
          <w:b/>
          <w:i/>
          <w:sz w:val="20"/>
        </w:rPr>
      </w:pPr>
      <w:bookmarkStart w:name="Item 6. Selected Financial Data" w:id="13"/>
      <w:bookmarkEnd w:id="13"/>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148"/>
        <w:ind w:left="160" w:right="320" w:firstLine="490"/>
      </w:pPr>
      <w:r>
        <w:rPr/>
        <w:pict>
          <v:line style="position:absolute;mso-position-horizontal-relative:page;mso-position-vertical-relative:paragraph;z-index:-356752" from="255pt,221.435928pt" to="309pt,221.435928pt" stroked="true" strokeweight=".5pt" strokecolor="#231f20">
            <v:stroke dashstyle="solid"/>
            <w10:wrap type="none"/>
          </v:line>
        </w:pict>
      </w:r>
      <w:r>
        <w:rPr/>
        <w:pict>
          <v:line style="position:absolute;mso-position-horizontal-relative:page;mso-position-vertical-relative:paragraph;z-index:-356728" from="317pt,221.435928pt" to="363pt,221.435928pt" stroked="true" strokeweight=".5pt" strokecolor="#231f20">
            <v:stroke dashstyle="solid"/>
            <w10:wrap type="none"/>
          </v:line>
        </w:pict>
      </w:r>
      <w:r>
        <w:rPr/>
        <w:pict>
          <v:line style="position:absolute;mso-position-horizontal-relative:page;mso-position-vertical-relative:paragraph;z-index:-356704" from="371pt,221.435928pt" to="417pt,221.435928pt" stroked="true" strokeweight=".5pt" strokecolor="#231f20">
            <v:stroke dashstyle="solid"/>
            <w10:wrap type="none"/>
          </v:line>
        </w:pict>
      </w:r>
      <w:r>
        <w:rPr/>
        <w:pict>
          <v:line style="position:absolute;mso-position-horizontal-relative:page;mso-position-vertical-relative:paragraph;z-index:-356680" from="425pt,221.435928pt" to="471pt,221.435928pt" stroked="true" strokeweight=".5pt" strokecolor="#231f20">
            <v:stroke dashstyle="solid"/>
            <w10:wrap type="none"/>
          </v:line>
        </w:pict>
      </w:r>
      <w:r>
        <w:rPr/>
        <w:pict>
          <v:line style="position:absolute;mso-position-horizontal-relative:page;mso-position-vertical-relative:paragraph;z-index:-356656" from="479pt,221.435928pt" to="525pt,221.435928pt" stroked="true" strokeweight=".5pt" strokecolor="#231f20">
            <v:stroke dashstyle="solid"/>
            <w10:wrap type="none"/>
          </v:line>
        </w:pict>
      </w:r>
      <w:r>
        <w:rPr>
          <w:color w:val="231F20"/>
        </w:rPr>
        <w:t>The following financial information for the five years ended December 31, 2012, has been derived from the Company’s Consolidated Financial Statements. This information should be read in conjunction with the Consolidated Financial Statements and related notes thereto included elsewhere herein. This financial information includes the operations of AirTran since the May 2, 2011 acquisition date, but prior to that date only includes the operations of Southwest. The Company provides the operating data below because these statistics are commonly used in the airline industry and, as such, allow readers to compare the Company’s performance against its results for prior periods, as well as against the performance of the Company’s peers.</w:t>
      </w:r>
    </w:p>
    <w:p>
      <w:pPr>
        <w:pStyle w:val="BodyText"/>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70"/>
        <w:gridCol w:w="880"/>
        <w:gridCol w:w="140"/>
        <w:gridCol w:w="1068"/>
        <w:gridCol w:w="1039"/>
        <w:gridCol w:w="993"/>
        <w:gridCol w:w="140"/>
        <w:gridCol w:w="940"/>
        <w:gridCol w:w="123"/>
      </w:tblGrid>
      <w:tr>
        <w:trPr>
          <w:trHeight w:val="204" w:hRule="exact"/>
        </w:trPr>
        <w:tc>
          <w:tcPr>
            <w:tcW w:w="4990" w:type="dxa"/>
            <w:gridSpan w:val="3"/>
          </w:tcPr>
          <w:p>
            <w:pPr/>
          </w:p>
        </w:tc>
        <w:tc>
          <w:tcPr>
            <w:tcW w:w="1068" w:type="dxa"/>
            <w:tcBorders>
              <w:bottom w:val="single" w:sz="8" w:space="0" w:color="231F20"/>
            </w:tcBorders>
          </w:tcPr>
          <w:p>
            <w:pPr>
              <w:pStyle w:val="TableParagraph"/>
              <w:spacing w:line="155" w:lineRule="exact"/>
              <w:ind w:right="10"/>
              <w:rPr>
                <w:b/>
                <w:sz w:val="14"/>
              </w:rPr>
            </w:pPr>
            <w:r>
              <w:rPr>
                <w:b/>
                <w:color w:val="231F20"/>
                <w:sz w:val="14"/>
              </w:rPr>
              <w:t>Year</w:t>
            </w:r>
          </w:p>
        </w:tc>
        <w:tc>
          <w:tcPr>
            <w:tcW w:w="1039" w:type="dxa"/>
            <w:tcBorders>
              <w:bottom w:val="single" w:sz="8" w:space="0" w:color="231F20"/>
            </w:tcBorders>
          </w:tcPr>
          <w:p>
            <w:pPr>
              <w:pStyle w:val="TableParagraph"/>
              <w:spacing w:line="155" w:lineRule="exact"/>
              <w:ind w:left="22"/>
              <w:jc w:val="left"/>
              <w:rPr>
                <w:b/>
                <w:sz w:val="14"/>
              </w:rPr>
            </w:pPr>
            <w:r>
              <w:rPr>
                <w:b/>
                <w:color w:val="231F20"/>
                <w:sz w:val="14"/>
              </w:rPr>
              <w:t>ended December</w:t>
            </w:r>
          </w:p>
        </w:tc>
        <w:tc>
          <w:tcPr>
            <w:tcW w:w="993" w:type="dxa"/>
            <w:tcBorders>
              <w:bottom w:val="single" w:sz="8" w:space="0" w:color="231F20"/>
            </w:tcBorders>
          </w:tcPr>
          <w:p>
            <w:pPr>
              <w:pStyle w:val="TableParagraph"/>
              <w:spacing w:line="155" w:lineRule="exact"/>
              <w:ind w:left="17"/>
              <w:jc w:val="left"/>
              <w:rPr>
                <w:b/>
                <w:sz w:val="14"/>
              </w:rPr>
            </w:pPr>
            <w:r>
              <w:rPr>
                <w:b/>
                <w:color w:val="231F20"/>
                <w:sz w:val="14"/>
              </w:rPr>
              <w:t>31,</w:t>
            </w:r>
          </w:p>
        </w:tc>
        <w:tc>
          <w:tcPr>
            <w:tcW w:w="1203" w:type="dxa"/>
            <w:gridSpan w:val="3"/>
          </w:tcPr>
          <w:p>
            <w:pPr/>
          </w:p>
        </w:tc>
      </w:tr>
      <w:tr>
        <w:trPr>
          <w:trHeight w:val="220" w:hRule="exact"/>
        </w:trPr>
        <w:tc>
          <w:tcPr>
            <w:tcW w:w="3970" w:type="dxa"/>
          </w:tcPr>
          <w:p>
            <w:pPr/>
          </w:p>
        </w:tc>
        <w:tc>
          <w:tcPr>
            <w:tcW w:w="880" w:type="dxa"/>
            <w:tcBorders>
              <w:top w:val="single" w:sz="8" w:space="0" w:color="231F20"/>
              <w:bottom w:val="single" w:sz="8" w:space="0" w:color="231F20"/>
            </w:tcBorders>
          </w:tcPr>
          <w:p>
            <w:pPr>
              <w:pStyle w:val="TableParagraph"/>
              <w:spacing w:line="160" w:lineRule="exact"/>
              <w:ind w:left="249"/>
              <w:jc w:val="left"/>
              <w:rPr>
                <w:b/>
                <w:sz w:val="14"/>
              </w:rPr>
            </w:pPr>
            <w:r>
              <w:rPr>
                <w:b/>
                <w:color w:val="231F20"/>
                <w:sz w:val="14"/>
              </w:rPr>
              <w:t>2012</w:t>
            </w:r>
          </w:p>
        </w:tc>
        <w:tc>
          <w:tcPr>
            <w:tcW w:w="140" w:type="dxa"/>
            <w:tcBorders>
              <w:top w:val="single" w:sz="8" w:space="0" w:color="231F20"/>
              <w:bottom w:val="single" w:sz="8" w:space="0" w:color="231F20"/>
            </w:tcBorders>
          </w:tcPr>
          <w:p>
            <w:pPr/>
          </w:p>
        </w:tc>
        <w:tc>
          <w:tcPr>
            <w:tcW w:w="1068" w:type="dxa"/>
            <w:tcBorders>
              <w:top w:val="single" w:sz="8" w:space="0" w:color="231F20"/>
              <w:bottom w:val="single" w:sz="8" w:space="0" w:color="231F20"/>
            </w:tcBorders>
          </w:tcPr>
          <w:p>
            <w:pPr>
              <w:pStyle w:val="TableParagraph"/>
              <w:spacing w:line="160" w:lineRule="exact"/>
              <w:ind w:left="339"/>
              <w:jc w:val="left"/>
              <w:rPr>
                <w:b/>
                <w:sz w:val="14"/>
              </w:rPr>
            </w:pPr>
            <w:r>
              <w:rPr>
                <w:b/>
                <w:color w:val="231F20"/>
                <w:sz w:val="14"/>
              </w:rPr>
              <w:t>2011</w:t>
            </w:r>
          </w:p>
        </w:tc>
        <w:tc>
          <w:tcPr>
            <w:tcW w:w="1039" w:type="dxa"/>
            <w:tcBorders>
              <w:top w:val="single" w:sz="8" w:space="0" w:color="231F20"/>
              <w:bottom w:val="single" w:sz="8" w:space="0" w:color="231F20"/>
            </w:tcBorders>
          </w:tcPr>
          <w:p>
            <w:pPr>
              <w:pStyle w:val="TableParagraph"/>
              <w:spacing w:line="160" w:lineRule="exact"/>
              <w:ind w:left="333" w:right="385"/>
              <w:jc w:val="center"/>
              <w:rPr>
                <w:b/>
                <w:sz w:val="14"/>
              </w:rPr>
            </w:pPr>
            <w:r>
              <w:rPr>
                <w:b/>
                <w:color w:val="231F20"/>
                <w:sz w:val="14"/>
              </w:rPr>
              <w:t>2010</w:t>
            </w:r>
          </w:p>
        </w:tc>
        <w:tc>
          <w:tcPr>
            <w:tcW w:w="993" w:type="dxa"/>
            <w:tcBorders>
              <w:top w:val="single" w:sz="8" w:space="0" w:color="231F20"/>
              <w:bottom w:val="single" w:sz="8" w:space="0" w:color="231F20"/>
            </w:tcBorders>
          </w:tcPr>
          <w:p>
            <w:pPr>
              <w:pStyle w:val="TableParagraph"/>
              <w:spacing w:line="160" w:lineRule="exact"/>
              <w:ind w:left="393"/>
              <w:jc w:val="left"/>
              <w:rPr>
                <w:b/>
                <w:sz w:val="14"/>
              </w:rPr>
            </w:pPr>
            <w:r>
              <w:rPr>
                <w:b/>
                <w:color w:val="231F20"/>
                <w:sz w:val="14"/>
              </w:rPr>
              <w:t>2009</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2008</w:t>
            </w:r>
          </w:p>
        </w:tc>
        <w:tc>
          <w:tcPr>
            <w:tcW w:w="123" w:type="dxa"/>
          </w:tcPr>
          <w:p>
            <w:pPr/>
          </w:p>
        </w:tc>
      </w:tr>
      <w:tr>
        <w:trPr>
          <w:trHeight w:val="217" w:hRule="exact"/>
        </w:trPr>
        <w:tc>
          <w:tcPr>
            <w:tcW w:w="3970" w:type="dxa"/>
          </w:tcPr>
          <w:p>
            <w:pPr>
              <w:pStyle w:val="TableParagraph"/>
              <w:spacing w:before="30"/>
              <w:ind w:left="50"/>
              <w:jc w:val="left"/>
              <w:rPr>
                <w:b/>
                <w:sz w:val="16"/>
              </w:rPr>
            </w:pPr>
            <w:r>
              <w:rPr>
                <w:b/>
                <w:color w:val="231F20"/>
                <w:sz w:val="16"/>
              </w:rPr>
              <w:t>Financial Data (in millions, except per share</w:t>
            </w:r>
          </w:p>
        </w:tc>
        <w:tc>
          <w:tcPr>
            <w:tcW w:w="880" w:type="dxa"/>
            <w:tcBorders>
              <w:top w:val="single" w:sz="8" w:space="0" w:color="231F20"/>
            </w:tcBorders>
          </w:tcPr>
          <w:p>
            <w:pPr/>
          </w:p>
        </w:tc>
        <w:tc>
          <w:tcPr>
            <w:tcW w:w="140" w:type="dxa"/>
            <w:tcBorders>
              <w:top w:val="single" w:sz="8" w:space="0" w:color="231F20"/>
            </w:tcBorders>
          </w:tcPr>
          <w:p>
            <w:pPr/>
          </w:p>
        </w:tc>
        <w:tc>
          <w:tcPr>
            <w:tcW w:w="1068" w:type="dxa"/>
            <w:tcBorders>
              <w:top w:val="single" w:sz="8" w:space="0" w:color="231F20"/>
            </w:tcBorders>
          </w:tcPr>
          <w:p>
            <w:pPr/>
          </w:p>
        </w:tc>
        <w:tc>
          <w:tcPr>
            <w:tcW w:w="1039" w:type="dxa"/>
            <w:tcBorders>
              <w:top w:val="single" w:sz="8" w:space="0" w:color="231F20"/>
            </w:tcBorders>
          </w:tcPr>
          <w:p>
            <w:pPr/>
          </w:p>
        </w:tc>
        <w:tc>
          <w:tcPr>
            <w:tcW w:w="993"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23" w:type="dxa"/>
          </w:tcPr>
          <w:p>
            <w:pPr/>
          </w:p>
        </w:tc>
      </w:tr>
      <w:tr>
        <w:trPr>
          <w:trHeight w:val="181" w:hRule="exact"/>
        </w:trPr>
        <w:tc>
          <w:tcPr>
            <w:tcW w:w="3970" w:type="dxa"/>
          </w:tcPr>
          <w:p>
            <w:pPr>
              <w:pStyle w:val="TableParagraph"/>
              <w:spacing w:line="178" w:lineRule="exact"/>
              <w:ind w:left="210"/>
              <w:jc w:val="left"/>
              <w:rPr>
                <w:b/>
                <w:sz w:val="16"/>
              </w:rPr>
            </w:pPr>
            <w:r>
              <w:rPr>
                <w:b/>
                <w:color w:val="231F20"/>
                <w:sz w:val="16"/>
              </w:rPr>
              <w:t>amounts):</w:t>
            </w:r>
          </w:p>
        </w:tc>
        <w:tc>
          <w:tcPr>
            <w:tcW w:w="880" w:type="dxa"/>
          </w:tcPr>
          <w:p>
            <w:pPr/>
          </w:p>
        </w:tc>
        <w:tc>
          <w:tcPr>
            <w:tcW w:w="140" w:type="dxa"/>
          </w:tcPr>
          <w:p>
            <w:pPr/>
          </w:p>
        </w:tc>
        <w:tc>
          <w:tcPr>
            <w:tcW w:w="1068" w:type="dxa"/>
          </w:tcPr>
          <w:p>
            <w:pPr/>
          </w:p>
        </w:tc>
        <w:tc>
          <w:tcPr>
            <w:tcW w:w="1039" w:type="dxa"/>
          </w:tcPr>
          <w:p>
            <w:pPr/>
          </w:p>
        </w:tc>
        <w:tc>
          <w:tcPr>
            <w:tcW w:w="993" w:type="dxa"/>
          </w:tcPr>
          <w:p>
            <w:pPr/>
          </w:p>
        </w:tc>
        <w:tc>
          <w:tcPr>
            <w:tcW w:w="140" w:type="dxa"/>
          </w:tcPr>
          <w:p>
            <w:pPr/>
          </w:p>
        </w:tc>
        <w:tc>
          <w:tcPr>
            <w:tcW w:w="940" w:type="dxa"/>
          </w:tcPr>
          <w:p>
            <w:pPr/>
          </w:p>
        </w:tc>
        <w:tc>
          <w:tcPr>
            <w:tcW w:w="123" w:type="dxa"/>
          </w:tcPr>
          <w:p>
            <w:pPr/>
          </w:p>
        </w:tc>
      </w:tr>
      <w:tr>
        <w:trPr>
          <w:trHeight w:val="179" w:hRule="exact"/>
        </w:trPr>
        <w:tc>
          <w:tcPr>
            <w:tcW w:w="3970" w:type="dxa"/>
          </w:tcPr>
          <w:p>
            <w:pPr>
              <w:pStyle w:val="TableParagraph"/>
              <w:spacing w:line="177" w:lineRule="exact"/>
              <w:ind w:right="19"/>
              <w:rPr>
                <w:sz w:val="16"/>
              </w:rPr>
            </w:pPr>
            <w:r>
              <w:rPr>
                <w:color w:val="231F20"/>
                <w:sz w:val="16"/>
              </w:rPr>
              <w:t>Operating revenues   . . . . . . . . . . . . . . . . . . . . . . . . . . . .  $</w:t>
            </w:r>
          </w:p>
        </w:tc>
        <w:tc>
          <w:tcPr>
            <w:tcW w:w="880" w:type="dxa"/>
          </w:tcPr>
          <w:p>
            <w:pPr>
              <w:pStyle w:val="TableParagraph"/>
              <w:spacing w:line="177" w:lineRule="exact"/>
              <w:ind w:right="59"/>
              <w:rPr>
                <w:sz w:val="16"/>
              </w:rPr>
            </w:pPr>
            <w:r>
              <w:rPr>
                <w:color w:val="231F20"/>
                <w:sz w:val="16"/>
              </w:rPr>
              <w:t>17,088</w:t>
            </w:r>
          </w:p>
        </w:tc>
        <w:tc>
          <w:tcPr>
            <w:tcW w:w="140" w:type="dxa"/>
          </w:tcPr>
          <w:p>
            <w:pPr/>
          </w:p>
        </w:tc>
        <w:tc>
          <w:tcPr>
            <w:tcW w:w="1068" w:type="dxa"/>
          </w:tcPr>
          <w:p>
            <w:pPr>
              <w:pStyle w:val="TableParagraph"/>
              <w:tabs>
                <w:tab w:pos="439" w:val="left" w:leader="none"/>
              </w:tabs>
              <w:spacing w:line="177" w:lineRule="exact"/>
              <w:jc w:val="left"/>
              <w:rPr>
                <w:sz w:val="16"/>
              </w:rPr>
            </w:pPr>
            <w:r>
              <w:rPr>
                <w:color w:val="231F20"/>
                <w:sz w:val="16"/>
              </w:rPr>
              <w:t>$</w:t>
              <w:tab/>
              <w:t>15,658</w:t>
            </w:r>
          </w:p>
        </w:tc>
        <w:tc>
          <w:tcPr>
            <w:tcW w:w="1039" w:type="dxa"/>
          </w:tcPr>
          <w:p>
            <w:pPr>
              <w:pStyle w:val="TableParagraph"/>
              <w:tabs>
                <w:tab w:pos="452" w:val="left" w:leader="none"/>
              </w:tabs>
              <w:spacing w:line="177" w:lineRule="exact"/>
              <w:ind w:left="12"/>
              <w:jc w:val="left"/>
              <w:rPr>
                <w:sz w:val="16"/>
              </w:rPr>
            </w:pPr>
            <w:r>
              <w:rPr>
                <w:color w:val="231F20"/>
                <w:sz w:val="16"/>
              </w:rPr>
              <w:t>$</w:t>
              <w:tab/>
              <w:t>12,104</w:t>
            </w:r>
          </w:p>
        </w:tc>
        <w:tc>
          <w:tcPr>
            <w:tcW w:w="993" w:type="dxa"/>
          </w:tcPr>
          <w:p>
            <w:pPr>
              <w:pStyle w:val="TableParagraph"/>
              <w:tabs>
                <w:tab w:pos="493" w:val="left" w:leader="none"/>
              </w:tabs>
              <w:spacing w:line="177" w:lineRule="exact"/>
              <w:ind w:left="53"/>
              <w:jc w:val="left"/>
              <w:rPr>
                <w:sz w:val="16"/>
              </w:rPr>
            </w:pPr>
            <w:r>
              <w:rPr>
                <w:color w:val="231F20"/>
                <w:sz w:val="16"/>
              </w:rPr>
              <w:t>$</w:t>
              <w:tab/>
              <w:t>10,350</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11,023</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Operating expenses   . . . . . . . . . . . . . . . . . . . . . . . . . . . . </w:t>
            </w:r>
          </w:p>
        </w:tc>
        <w:tc>
          <w:tcPr>
            <w:tcW w:w="880" w:type="dxa"/>
            <w:tcBorders>
              <w:bottom w:val="single" w:sz="4" w:space="0" w:color="231F20"/>
            </w:tcBorders>
          </w:tcPr>
          <w:p>
            <w:pPr>
              <w:pStyle w:val="TableParagraph"/>
              <w:spacing w:line="178" w:lineRule="exact"/>
              <w:ind w:right="59"/>
              <w:rPr>
                <w:sz w:val="16"/>
              </w:rPr>
            </w:pPr>
            <w:r>
              <w:rPr>
                <w:color w:val="231F20"/>
                <w:sz w:val="16"/>
              </w:rPr>
              <w:t>16,465</w:t>
            </w:r>
          </w:p>
        </w:tc>
        <w:tc>
          <w:tcPr>
            <w:tcW w:w="140" w:type="dxa"/>
          </w:tcPr>
          <w:p>
            <w:pPr/>
          </w:p>
        </w:tc>
        <w:tc>
          <w:tcPr>
            <w:tcW w:w="1068" w:type="dxa"/>
            <w:tcBorders>
              <w:bottom w:val="single" w:sz="4" w:space="0" w:color="231F20"/>
            </w:tcBorders>
          </w:tcPr>
          <w:p>
            <w:pPr>
              <w:pStyle w:val="TableParagraph"/>
              <w:spacing w:line="178" w:lineRule="exact"/>
              <w:ind w:left="440"/>
              <w:jc w:val="left"/>
              <w:rPr>
                <w:sz w:val="16"/>
              </w:rPr>
            </w:pPr>
            <w:r>
              <w:rPr>
                <w:color w:val="231F20"/>
                <w:sz w:val="16"/>
              </w:rPr>
              <w:t>14,965</w:t>
            </w:r>
          </w:p>
        </w:tc>
        <w:tc>
          <w:tcPr>
            <w:tcW w:w="1039" w:type="dxa"/>
            <w:tcBorders>
              <w:bottom w:val="single" w:sz="4" w:space="0" w:color="231F20"/>
            </w:tcBorders>
          </w:tcPr>
          <w:p>
            <w:pPr>
              <w:pStyle w:val="TableParagraph"/>
              <w:spacing w:line="178" w:lineRule="exact"/>
              <w:ind w:left="452"/>
              <w:jc w:val="left"/>
              <w:rPr>
                <w:sz w:val="16"/>
              </w:rPr>
            </w:pPr>
            <w:r>
              <w:rPr>
                <w:color w:val="231F20"/>
                <w:sz w:val="16"/>
              </w:rPr>
              <w:t>11,116</w:t>
            </w:r>
          </w:p>
        </w:tc>
        <w:tc>
          <w:tcPr>
            <w:tcW w:w="993" w:type="dxa"/>
            <w:tcBorders>
              <w:bottom w:val="single" w:sz="4" w:space="0" w:color="231F20"/>
            </w:tcBorders>
          </w:tcPr>
          <w:p>
            <w:pPr>
              <w:pStyle w:val="TableParagraph"/>
              <w:spacing w:line="178" w:lineRule="exact"/>
              <w:ind w:right="59"/>
              <w:rPr>
                <w:sz w:val="16"/>
              </w:rPr>
            </w:pPr>
            <w:r>
              <w:rPr>
                <w:color w:val="231F20"/>
                <w:sz w:val="16"/>
              </w:rPr>
              <w:t>10,088</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10,574</w:t>
            </w:r>
          </w:p>
        </w:tc>
        <w:tc>
          <w:tcPr>
            <w:tcW w:w="123" w:type="dxa"/>
          </w:tcPr>
          <w:p>
            <w:pPr/>
          </w:p>
        </w:tc>
      </w:tr>
      <w:tr>
        <w:trPr>
          <w:trHeight w:val="222" w:hRule="exact"/>
        </w:trPr>
        <w:tc>
          <w:tcPr>
            <w:tcW w:w="3970" w:type="dxa"/>
          </w:tcPr>
          <w:p>
            <w:pPr>
              <w:pStyle w:val="TableParagraph"/>
              <w:spacing w:before="35"/>
              <w:ind w:left="210"/>
              <w:jc w:val="left"/>
              <w:rPr>
                <w:sz w:val="16"/>
              </w:rPr>
            </w:pPr>
            <w:r>
              <w:rPr>
                <w:color w:val="231F20"/>
                <w:sz w:val="16"/>
              </w:rPr>
              <w:t>Operating income . . . . . . . . . . . . . . . . . . . . . . . . . . . . . . </w:t>
            </w:r>
          </w:p>
        </w:tc>
        <w:tc>
          <w:tcPr>
            <w:tcW w:w="880" w:type="dxa"/>
            <w:tcBorders>
              <w:top w:val="single" w:sz="4" w:space="0" w:color="231F20"/>
            </w:tcBorders>
          </w:tcPr>
          <w:p>
            <w:pPr>
              <w:pStyle w:val="TableParagraph"/>
              <w:spacing w:before="30"/>
              <w:ind w:right="59"/>
              <w:rPr>
                <w:sz w:val="16"/>
              </w:rPr>
            </w:pPr>
            <w:r>
              <w:rPr>
                <w:color w:val="231F20"/>
                <w:sz w:val="16"/>
              </w:rPr>
              <w:t>623</w:t>
            </w:r>
          </w:p>
        </w:tc>
        <w:tc>
          <w:tcPr>
            <w:tcW w:w="140" w:type="dxa"/>
          </w:tcPr>
          <w:p>
            <w:pPr/>
          </w:p>
        </w:tc>
        <w:tc>
          <w:tcPr>
            <w:tcW w:w="1068" w:type="dxa"/>
            <w:tcBorders>
              <w:top w:val="single" w:sz="4" w:space="0" w:color="231F20"/>
            </w:tcBorders>
          </w:tcPr>
          <w:p>
            <w:pPr>
              <w:pStyle w:val="TableParagraph"/>
              <w:spacing w:before="30"/>
              <w:ind w:right="185"/>
              <w:rPr>
                <w:sz w:val="16"/>
              </w:rPr>
            </w:pPr>
            <w:r>
              <w:rPr>
                <w:color w:val="231F20"/>
                <w:sz w:val="16"/>
              </w:rPr>
              <w:t>693</w:t>
            </w:r>
          </w:p>
        </w:tc>
        <w:tc>
          <w:tcPr>
            <w:tcW w:w="1039" w:type="dxa"/>
            <w:tcBorders>
              <w:top w:val="single" w:sz="4" w:space="0" w:color="231F20"/>
            </w:tcBorders>
          </w:tcPr>
          <w:p>
            <w:pPr>
              <w:pStyle w:val="TableParagraph"/>
              <w:spacing w:before="30"/>
              <w:ind w:left="652"/>
              <w:jc w:val="left"/>
              <w:rPr>
                <w:sz w:val="16"/>
              </w:rPr>
            </w:pPr>
            <w:r>
              <w:rPr>
                <w:color w:val="231F20"/>
                <w:sz w:val="16"/>
              </w:rPr>
              <w:t>988</w:t>
            </w:r>
          </w:p>
        </w:tc>
        <w:tc>
          <w:tcPr>
            <w:tcW w:w="993" w:type="dxa"/>
            <w:tcBorders>
              <w:top w:val="single" w:sz="4" w:space="0" w:color="231F20"/>
            </w:tcBorders>
          </w:tcPr>
          <w:p>
            <w:pPr>
              <w:pStyle w:val="TableParagraph"/>
              <w:spacing w:before="30"/>
              <w:ind w:right="59"/>
              <w:rPr>
                <w:sz w:val="16"/>
              </w:rPr>
            </w:pPr>
            <w:r>
              <w:rPr>
                <w:color w:val="231F20"/>
                <w:sz w:val="16"/>
              </w:rPr>
              <w:t>262</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449</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Other expenses (income) net  . . . . . . . . . . . . . . . . . . . . . </w:t>
            </w:r>
          </w:p>
        </w:tc>
        <w:tc>
          <w:tcPr>
            <w:tcW w:w="880" w:type="dxa"/>
            <w:tcBorders>
              <w:bottom w:val="single" w:sz="4" w:space="0" w:color="231F20"/>
            </w:tcBorders>
          </w:tcPr>
          <w:p>
            <w:pPr>
              <w:pStyle w:val="TableParagraph"/>
              <w:spacing w:line="178" w:lineRule="exact"/>
              <w:ind w:right="4"/>
              <w:rPr>
                <w:sz w:val="16"/>
              </w:rPr>
            </w:pPr>
            <w:r>
              <w:rPr>
                <w:color w:val="231F20"/>
                <w:sz w:val="16"/>
              </w:rPr>
              <w:t>(62)</w:t>
            </w:r>
          </w:p>
        </w:tc>
        <w:tc>
          <w:tcPr>
            <w:tcW w:w="140" w:type="dxa"/>
          </w:tcPr>
          <w:p>
            <w:pPr/>
          </w:p>
        </w:tc>
        <w:tc>
          <w:tcPr>
            <w:tcW w:w="1068" w:type="dxa"/>
            <w:tcBorders>
              <w:bottom w:val="single" w:sz="4" w:space="0" w:color="231F20"/>
            </w:tcBorders>
          </w:tcPr>
          <w:p>
            <w:pPr>
              <w:pStyle w:val="TableParagraph"/>
              <w:spacing w:line="178" w:lineRule="exact"/>
              <w:ind w:right="185"/>
              <w:rPr>
                <w:sz w:val="16"/>
              </w:rPr>
            </w:pPr>
            <w:r>
              <w:rPr>
                <w:color w:val="231F20"/>
                <w:sz w:val="16"/>
              </w:rPr>
              <w:t>370</w:t>
            </w:r>
          </w:p>
        </w:tc>
        <w:tc>
          <w:tcPr>
            <w:tcW w:w="1039" w:type="dxa"/>
            <w:tcBorders>
              <w:bottom w:val="single" w:sz="4" w:space="0" w:color="231F20"/>
            </w:tcBorders>
          </w:tcPr>
          <w:p>
            <w:pPr>
              <w:pStyle w:val="TableParagraph"/>
              <w:spacing w:line="178" w:lineRule="exact"/>
              <w:ind w:left="652"/>
              <w:jc w:val="left"/>
              <w:rPr>
                <w:sz w:val="16"/>
              </w:rPr>
            </w:pPr>
            <w:r>
              <w:rPr>
                <w:color w:val="231F20"/>
                <w:sz w:val="16"/>
              </w:rPr>
              <w:t>243</w:t>
            </w:r>
          </w:p>
        </w:tc>
        <w:tc>
          <w:tcPr>
            <w:tcW w:w="993" w:type="dxa"/>
            <w:tcBorders>
              <w:bottom w:val="single" w:sz="4" w:space="0" w:color="231F20"/>
            </w:tcBorders>
          </w:tcPr>
          <w:p>
            <w:pPr>
              <w:pStyle w:val="TableParagraph"/>
              <w:spacing w:line="178" w:lineRule="exact"/>
              <w:ind w:right="59"/>
              <w:rPr>
                <w:sz w:val="16"/>
              </w:rPr>
            </w:pPr>
            <w:r>
              <w:rPr>
                <w:color w:val="231F20"/>
                <w:sz w:val="16"/>
              </w:rPr>
              <w:t>98</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171</w:t>
            </w:r>
          </w:p>
        </w:tc>
        <w:tc>
          <w:tcPr>
            <w:tcW w:w="123" w:type="dxa"/>
          </w:tcPr>
          <w:p>
            <w:pPr/>
          </w:p>
        </w:tc>
      </w:tr>
      <w:tr>
        <w:trPr>
          <w:trHeight w:val="222" w:hRule="exact"/>
        </w:trPr>
        <w:tc>
          <w:tcPr>
            <w:tcW w:w="3970" w:type="dxa"/>
          </w:tcPr>
          <w:p>
            <w:pPr>
              <w:pStyle w:val="TableParagraph"/>
              <w:spacing w:before="35"/>
              <w:ind w:left="210"/>
              <w:jc w:val="left"/>
              <w:rPr>
                <w:sz w:val="16"/>
              </w:rPr>
            </w:pPr>
            <w:r>
              <w:rPr>
                <w:color w:val="231F20"/>
                <w:sz w:val="16"/>
              </w:rPr>
              <w:t>Income before taxes  . . . . . . . . . . . . . . . . . . . . . . . . . . . . </w:t>
            </w:r>
          </w:p>
        </w:tc>
        <w:tc>
          <w:tcPr>
            <w:tcW w:w="880" w:type="dxa"/>
            <w:tcBorders>
              <w:top w:val="single" w:sz="4" w:space="0" w:color="231F20"/>
            </w:tcBorders>
          </w:tcPr>
          <w:p>
            <w:pPr>
              <w:pStyle w:val="TableParagraph"/>
              <w:spacing w:before="30"/>
              <w:ind w:right="59"/>
              <w:rPr>
                <w:sz w:val="16"/>
              </w:rPr>
            </w:pPr>
            <w:r>
              <w:rPr>
                <w:color w:val="231F20"/>
                <w:sz w:val="16"/>
              </w:rPr>
              <w:t>685</w:t>
            </w:r>
          </w:p>
        </w:tc>
        <w:tc>
          <w:tcPr>
            <w:tcW w:w="140" w:type="dxa"/>
          </w:tcPr>
          <w:p>
            <w:pPr/>
          </w:p>
        </w:tc>
        <w:tc>
          <w:tcPr>
            <w:tcW w:w="1068" w:type="dxa"/>
            <w:tcBorders>
              <w:top w:val="single" w:sz="4" w:space="0" w:color="231F20"/>
            </w:tcBorders>
          </w:tcPr>
          <w:p>
            <w:pPr>
              <w:pStyle w:val="TableParagraph"/>
              <w:spacing w:before="30"/>
              <w:ind w:right="185"/>
              <w:rPr>
                <w:sz w:val="16"/>
              </w:rPr>
            </w:pPr>
            <w:r>
              <w:rPr>
                <w:color w:val="231F20"/>
                <w:sz w:val="16"/>
              </w:rPr>
              <w:t>323</w:t>
            </w:r>
          </w:p>
        </w:tc>
        <w:tc>
          <w:tcPr>
            <w:tcW w:w="1039" w:type="dxa"/>
            <w:tcBorders>
              <w:top w:val="single" w:sz="4" w:space="0" w:color="231F20"/>
            </w:tcBorders>
          </w:tcPr>
          <w:p>
            <w:pPr>
              <w:pStyle w:val="TableParagraph"/>
              <w:spacing w:before="30"/>
              <w:ind w:left="652"/>
              <w:jc w:val="left"/>
              <w:rPr>
                <w:sz w:val="16"/>
              </w:rPr>
            </w:pPr>
            <w:r>
              <w:rPr>
                <w:color w:val="231F20"/>
                <w:sz w:val="16"/>
              </w:rPr>
              <w:t>745</w:t>
            </w:r>
          </w:p>
        </w:tc>
        <w:tc>
          <w:tcPr>
            <w:tcW w:w="993" w:type="dxa"/>
            <w:tcBorders>
              <w:top w:val="single" w:sz="4" w:space="0" w:color="231F20"/>
            </w:tcBorders>
          </w:tcPr>
          <w:p>
            <w:pPr>
              <w:pStyle w:val="TableParagraph"/>
              <w:spacing w:before="30"/>
              <w:ind w:right="59"/>
              <w:rPr>
                <w:sz w:val="16"/>
              </w:rPr>
            </w:pPr>
            <w:r>
              <w:rPr>
                <w:color w:val="231F20"/>
                <w:sz w:val="16"/>
              </w:rPr>
              <w:t>164</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278</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Provision for income taxes . . . . . . . . . . . . . . . . . . . . . . . </w:t>
            </w:r>
          </w:p>
        </w:tc>
        <w:tc>
          <w:tcPr>
            <w:tcW w:w="880" w:type="dxa"/>
            <w:tcBorders>
              <w:bottom w:val="single" w:sz="4" w:space="0" w:color="231F20"/>
            </w:tcBorders>
          </w:tcPr>
          <w:p>
            <w:pPr>
              <w:pStyle w:val="TableParagraph"/>
              <w:spacing w:line="178" w:lineRule="exact"/>
              <w:ind w:right="59"/>
              <w:rPr>
                <w:sz w:val="16"/>
              </w:rPr>
            </w:pPr>
            <w:r>
              <w:rPr>
                <w:color w:val="231F20"/>
                <w:sz w:val="16"/>
              </w:rPr>
              <w:t>264</w:t>
            </w:r>
          </w:p>
        </w:tc>
        <w:tc>
          <w:tcPr>
            <w:tcW w:w="140" w:type="dxa"/>
          </w:tcPr>
          <w:p>
            <w:pPr/>
          </w:p>
        </w:tc>
        <w:tc>
          <w:tcPr>
            <w:tcW w:w="1068" w:type="dxa"/>
            <w:tcBorders>
              <w:bottom w:val="single" w:sz="4" w:space="0" w:color="231F20"/>
            </w:tcBorders>
          </w:tcPr>
          <w:p>
            <w:pPr>
              <w:pStyle w:val="TableParagraph"/>
              <w:spacing w:line="178" w:lineRule="exact"/>
              <w:ind w:right="185"/>
              <w:rPr>
                <w:sz w:val="16"/>
              </w:rPr>
            </w:pPr>
            <w:r>
              <w:rPr>
                <w:color w:val="231F20"/>
                <w:sz w:val="16"/>
              </w:rPr>
              <w:t>145</w:t>
            </w:r>
          </w:p>
        </w:tc>
        <w:tc>
          <w:tcPr>
            <w:tcW w:w="1039" w:type="dxa"/>
            <w:tcBorders>
              <w:bottom w:val="single" w:sz="4" w:space="0" w:color="231F20"/>
            </w:tcBorders>
          </w:tcPr>
          <w:p>
            <w:pPr>
              <w:pStyle w:val="TableParagraph"/>
              <w:spacing w:line="178" w:lineRule="exact"/>
              <w:ind w:left="652"/>
              <w:jc w:val="left"/>
              <w:rPr>
                <w:sz w:val="16"/>
              </w:rPr>
            </w:pPr>
            <w:r>
              <w:rPr>
                <w:color w:val="231F20"/>
                <w:sz w:val="16"/>
              </w:rPr>
              <w:t>286</w:t>
            </w:r>
          </w:p>
        </w:tc>
        <w:tc>
          <w:tcPr>
            <w:tcW w:w="993" w:type="dxa"/>
            <w:tcBorders>
              <w:bottom w:val="single" w:sz="4" w:space="0" w:color="231F20"/>
            </w:tcBorders>
          </w:tcPr>
          <w:p>
            <w:pPr>
              <w:pStyle w:val="TableParagraph"/>
              <w:spacing w:line="178" w:lineRule="exact"/>
              <w:ind w:right="59"/>
              <w:rPr>
                <w:sz w:val="16"/>
              </w:rPr>
            </w:pPr>
            <w:r>
              <w:rPr>
                <w:color w:val="231F20"/>
                <w:sz w:val="16"/>
              </w:rPr>
              <w:t>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100</w:t>
            </w:r>
          </w:p>
        </w:tc>
        <w:tc>
          <w:tcPr>
            <w:tcW w:w="123" w:type="dxa"/>
          </w:tcPr>
          <w:p>
            <w:pPr/>
          </w:p>
        </w:tc>
      </w:tr>
      <w:tr>
        <w:trPr>
          <w:trHeight w:val="300" w:hRule="exact"/>
        </w:trPr>
        <w:tc>
          <w:tcPr>
            <w:tcW w:w="3970" w:type="dxa"/>
          </w:tcPr>
          <w:p>
            <w:pPr>
              <w:pStyle w:val="TableParagraph"/>
              <w:spacing w:before="35"/>
              <w:ind w:right="19"/>
              <w:rPr>
                <w:sz w:val="16"/>
              </w:rPr>
            </w:pPr>
            <w:r>
              <w:rPr>
                <w:color w:val="231F20"/>
                <w:sz w:val="16"/>
              </w:rPr>
              <w:t>Net income . . . . . . . . . . . . . . . . . . . . . . . . . . . . . . . . . . .  $</w:t>
            </w:r>
          </w:p>
        </w:tc>
        <w:tc>
          <w:tcPr>
            <w:tcW w:w="880" w:type="dxa"/>
            <w:tcBorders>
              <w:top w:val="single" w:sz="4" w:space="0" w:color="231F20"/>
              <w:bottom w:val="single" w:sz="4" w:space="0" w:color="231F20"/>
            </w:tcBorders>
          </w:tcPr>
          <w:p>
            <w:pPr>
              <w:pStyle w:val="TableParagraph"/>
              <w:spacing w:before="30"/>
              <w:ind w:right="59"/>
              <w:rPr>
                <w:sz w:val="16"/>
              </w:rPr>
            </w:pPr>
            <w:r>
              <w:rPr>
                <w:color w:val="231F20"/>
                <w:sz w:val="16"/>
              </w:rPr>
              <w:t>421</w:t>
            </w:r>
          </w:p>
        </w:tc>
        <w:tc>
          <w:tcPr>
            <w:tcW w:w="140" w:type="dxa"/>
          </w:tcPr>
          <w:p>
            <w:pPr/>
          </w:p>
        </w:tc>
        <w:tc>
          <w:tcPr>
            <w:tcW w:w="1068" w:type="dxa"/>
            <w:tcBorders>
              <w:top w:val="single" w:sz="4" w:space="0" w:color="231F20"/>
              <w:bottom w:val="single" w:sz="4" w:space="0" w:color="231F20"/>
            </w:tcBorders>
          </w:tcPr>
          <w:p>
            <w:pPr>
              <w:pStyle w:val="TableParagraph"/>
              <w:tabs>
                <w:tab w:pos="639" w:val="left" w:leader="none"/>
              </w:tabs>
              <w:spacing w:before="30"/>
              <w:jc w:val="left"/>
              <w:rPr>
                <w:sz w:val="16"/>
              </w:rPr>
            </w:pPr>
            <w:r>
              <w:rPr>
                <w:color w:val="231F20"/>
                <w:sz w:val="16"/>
              </w:rPr>
              <w:t>$</w:t>
              <w:tab/>
              <w:t>178</w:t>
            </w:r>
          </w:p>
        </w:tc>
        <w:tc>
          <w:tcPr>
            <w:tcW w:w="1039" w:type="dxa"/>
            <w:tcBorders>
              <w:top w:val="single" w:sz="4" w:space="0" w:color="231F20"/>
              <w:bottom w:val="single" w:sz="4" w:space="0" w:color="231F20"/>
            </w:tcBorders>
          </w:tcPr>
          <w:p>
            <w:pPr>
              <w:pStyle w:val="TableParagraph"/>
              <w:tabs>
                <w:tab w:pos="652" w:val="left" w:leader="none"/>
              </w:tabs>
              <w:spacing w:before="30"/>
              <w:ind w:left="12"/>
              <w:jc w:val="left"/>
              <w:rPr>
                <w:sz w:val="16"/>
              </w:rPr>
            </w:pPr>
            <w:r>
              <w:rPr>
                <w:color w:val="231F20"/>
                <w:sz w:val="16"/>
              </w:rPr>
              <w:t>$</w:t>
              <w:tab/>
              <w:t>459</w:t>
            </w:r>
          </w:p>
        </w:tc>
        <w:tc>
          <w:tcPr>
            <w:tcW w:w="993" w:type="dxa"/>
            <w:tcBorders>
              <w:top w:val="single" w:sz="4" w:space="0" w:color="231F20"/>
              <w:bottom w:val="single" w:sz="4" w:space="0" w:color="231F20"/>
            </w:tcBorders>
          </w:tcPr>
          <w:p>
            <w:pPr>
              <w:pStyle w:val="TableParagraph"/>
              <w:tabs>
                <w:tab w:pos="773" w:val="left" w:leader="none"/>
              </w:tabs>
              <w:spacing w:before="30"/>
              <w:ind w:left="53"/>
              <w:jc w:val="left"/>
              <w:rPr>
                <w:sz w:val="16"/>
              </w:rPr>
            </w:pPr>
            <w:r>
              <w:rPr>
                <w:color w:val="231F20"/>
                <w:sz w:val="16"/>
              </w:rPr>
              <w:t>$</w:t>
              <w:tab/>
              <w:t>99</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178</w:t>
            </w:r>
          </w:p>
        </w:tc>
        <w:tc>
          <w:tcPr>
            <w:tcW w:w="123" w:type="dxa"/>
          </w:tcPr>
          <w:p>
            <w:pPr/>
          </w:p>
        </w:tc>
      </w:tr>
      <w:tr>
        <w:trPr>
          <w:trHeight w:val="222" w:hRule="exact"/>
        </w:trPr>
        <w:tc>
          <w:tcPr>
            <w:tcW w:w="3970" w:type="dxa"/>
          </w:tcPr>
          <w:p>
            <w:pPr>
              <w:pStyle w:val="TableParagraph"/>
              <w:spacing w:before="35"/>
              <w:ind w:right="19"/>
              <w:rPr>
                <w:sz w:val="16"/>
              </w:rPr>
            </w:pPr>
            <w:r>
              <w:rPr>
                <w:color w:val="231F20"/>
                <w:sz w:val="16"/>
              </w:rPr>
              <w:t>Net income per share, basic  . . . . . . . . . . . . . . . . . . . . . .  $</w:t>
            </w:r>
          </w:p>
        </w:tc>
        <w:tc>
          <w:tcPr>
            <w:tcW w:w="880" w:type="dxa"/>
            <w:tcBorders>
              <w:top w:val="single" w:sz="4" w:space="0" w:color="231F20"/>
            </w:tcBorders>
          </w:tcPr>
          <w:p>
            <w:pPr>
              <w:pStyle w:val="TableParagraph"/>
              <w:spacing w:before="30"/>
              <w:ind w:right="59"/>
              <w:rPr>
                <w:sz w:val="16"/>
              </w:rPr>
            </w:pPr>
            <w:r>
              <w:rPr>
                <w:color w:val="231F20"/>
                <w:sz w:val="16"/>
              </w:rPr>
              <w:t>.56</w:t>
            </w:r>
          </w:p>
        </w:tc>
        <w:tc>
          <w:tcPr>
            <w:tcW w:w="140" w:type="dxa"/>
          </w:tcPr>
          <w:p>
            <w:pPr/>
          </w:p>
        </w:tc>
        <w:tc>
          <w:tcPr>
            <w:tcW w:w="1068" w:type="dxa"/>
            <w:tcBorders>
              <w:top w:val="single" w:sz="4" w:space="0" w:color="231F20"/>
            </w:tcBorders>
          </w:tcPr>
          <w:p>
            <w:pPr>
              <w:pStyle w:val="TableParagraph"/>
              <w:tabs>
                <w:tab w:pos="679" w:val="left" w:leader="none"/>
              </w:tabs>
              <w:spacing w:before="30"/>
              <w:jc w:val="left"/>
              <w:rPr>
                <w:sz w:val="16"/>
              </w:rPr>
            </w:pPr>
            <w:r>
              <w:rPr>
                <w:color w:val="231F20"/>
                <w:sz w:val="16"/>
              </w:rPr>
              <w:t>$</w:t>
              <w:tab/>
              <w:t>.23</w:t>
            </w:r>
          </w:p>
        </w:tc>
        <w:tc>
          <w:tcPr>
            <w:tcW w:w="1039" w:type="dxa"/>
            <w:tcBorders>
              <w:top w:val="single" w:sz="4" w:space="0" w:color="231F20"/>
            </w:tcBorders>
          </w:tcPr>
          <w:p>
            <w:pPr>
              <w:pStyle w:val="TableParagraph"/>
              <w:tabs>
                <w:tab w:pos="692" w:val="left" w:leader="none"/>
              </w:tabs>
              <w:spacing w:before="30"/>
              <w:ind w:left="12"/>
              <w:jc w:val="left"/>
              <w:rPr>
                <w:sz w:val="16"/>
              </w:rPr>
            </w:pPr>
            <w:r>
              <w:rPr>
                <w:color w:val="231F20"/>
                <w:sz w:val="16"/>
              </w:rPr>
              <w:t>$</w:t>
              <w:tab/>
              <w:t>.62</w:t>
            </w:r>
          </w:p>
        </w:tc>
        <w:tc>
          <w:tcPr>
            <w:tcW w:w="993" w:type="dxa"/>
            <w:tcBorders>
              <w:top w:val="single" w:sz="4" w:space="0" w:color="231F20"/>
            </w:tcBorders>
          </w:tcPr>
          <w:p>
            <w:pPr>
              <w:pStyle w:val="TableParagraph"/>
              <w:tabs>
                <w:tab w:pos="733" w:val="left" w:leader="none"/>
              </w:tabs>
              <w:spacing w:before="30"/>
              <w:ind w:left="53"/>
              <w:jc w:val="left"/>
              <w:rPr>
                <w:sz w:val="16"/>
              </w:rPr>
            </w:pPr>
            <w:r>
              <w:rPr>
                <w:color w:val="231F20"/>
                <w:sz w:val="16"/>
              </w:rPr>
              <w:t>$</w:t>
              <w:tab/>
              <w:t>.13</w:t>
            </w:r>
          </w:p>
        </w:tc>
        <w:tc>
          <w:tcPr>
            <w:tcW w:w="140" w:type="dxa"/>
          </w:tcPr>
          <w:p>
            <w:pPr/>
          </w:p>
        </w:tc>
        <w:tc>
          <w:tcPr>
            <w:tcW w:w="940" w:type="dxa"/>
            <w:tcBorders>
              <w:top w:val="single" w:sz="4" w:space="0" w:color="231F20"/>
            </w:tcBorders>
          </w:tcPr>
          <w:p>
            <w:pPr>
              <w:pStyle w:val="TableParagraph"/>
              <w:tabs>
                <w:tab w:pos="679" w:val="left" w:leader="none"/>
              </w:tabs>
              <w:spacing w:before="30"/>
              <w:ind w:right="59"/>
              <w:rPr>
                <w:sz w:val="16"/>
              </w:rPr>
            </w:pPr>
            <w:r>
              <w:rPr>
                <w:color w:val="231F20"/>
                <w:sz w:val="16"/>
              </w:rPr>
              <w:t>$</w:t>
              <w:tab/>
              <w:t>.24</w:t>
            </w:r>
          </w:p>
        </w:tc>
        <w:tc>
          <w:tcPr>
            <w:tcW w:w="123" w:type="dxa"/>
          </w:tcPr>
          <w:p>
            <w:pPr/>
          </w:p>
        </w:tc>
      </w:tr>
      <w:tr>
        <w:trPr>
          <w:trHeight w:val="180" w:hRule="exact"/>
        </w:trPr>
        <w:tc>
          <w:tcPr>
            <w:tcW w:w="3970" w:type="dxa"/>
          </w:tcPr>
          <w:p>
            <w:pPr>
              <w:pStyle w:val="TableParagraph"/>
              <w:spacing w:line="178" w:lineRule="exact"/>
              <w:ind w:right="19"/>
              <w:rPr>
                <w:sz w:val="16"/>
              </w:rPr>
            </w:pPr>
            <w:r>
              <w:rPr>
                <w:color w:val="231F20"/>
                <w:sz w:val="16"/>
              </w:rPr>
              <w:t>Net income per share, diluted   . . . . . . . . . . . . . . . . . . . .  $</w:t>
            </w:r>
          </w:p>
        </w:tc>
        <w:tc>
          <w:tcPr>
            <w:tcW w:w="880" w:type="dxa"/>
          </w:tcPr>
          <w:p>
            <w:pPr>
              <w:pStyle w:val="TableParagraph"/>
              <w:spacing w:line="178" w:lineRule="exact"/>
              <w:ind w:right="59"/>
              <w:rPr>
                <w:sz w:val="16"/>
              </w:rPr>
            </w:pPr>
            <w:r>
              <w:rPr>
                <w:color w:val="231F20"/>
                <w:sz w:val="16"/>
              </w:rPr>
              <w:t>.56</w:t>
            </w:r>
          </w:p>
        </w:tc>
        <w:tc>
          <w:tcPr>
            <w:tcW w:w="140" w:type="dxa"/>
          </w:tcPr>
          <w:p>
            <w:pPr/>
          </w:p>
        </w:tc>
        <w:tc>
          <w:tcPr>
            <w:tcW w:w="1068" w:type="dxa"/>
          </w:tcPr>
          <w:p>
            <w:pPr>
              <w:pStyle w:val="TableParagraph"/>
              <w:tabs>
                <w:tab w:pos="679" w:val="left" w:leader="none"/>
              </w:tabs>
              <w:spacing w:line="178" w:lineRule="exact"/>
              <w:jc w:val="left"/>
              <w:rPr>
                <w:sz w:val="16"/>
              </w:rPr>
            </w:pPr>
            <w:r>
              <w:rPr>
                <w:color w:val="231F20"/>
                <w:sz w:val="16"/>
              </w:rPr>
              <w:t>$</w:t>
              <w:tab/>
              <w:t>.23</w:t>
            </w:r>
          </w:p>
        </w:tc>
        <w:tc>
          <w:tcPr>
            <w:tcW w:w="1039" w:type="dxa"/>
          </w:tcPr>
          <w:p>
            <w:pPr>
              <w:pStyle w:val="TableParagraph"/>
              <w:tabs>
                <w:tab w:pos="692" w:val="left" w:leader="none"/>
              </w:tabs>
              <w:spacing w:line="178" w:lineRule="exact"/>
              <w:ind w:left="12"/>
              <w:jc w:val="left"/>
              <w:rPr>
                <w:sz w:val="16"/>
              </w:rPr>
            </w:pPr>
            <w:r>
              <w:rPr>
                <w:color w:val="231F20"/>
                <w:sz w:val="16"/>
              </w:rPr>
              <w:t>$</w:t>
              <w:tab/>
              <w:t>.61</w:t>
            </w:r>
          </w:p>
        </w:tc>
        <w:tc>
          <w:tcPr>
            <w:tcW w:w="993" w:type="dxa"/>
          </w:tcPr>
          <w:p>
            <w:pPr>
              <w:pStyle w:val="TableParagraph"/>
              <w:tabs>
                <w:tab w:pos="733" w:val="left" w:leader="none"/>
              </w:tabs>
              <w:spacing w:line="178" w:lineRule="exact"/>
              <w:ind w:left="53"/>
              <w:jc w:val="left"/>
              <w:rPr>
                <w:sz w:val="16"/>
              </w:rPr>
            </w:pPr>
            <w:r>
              <w:rPr>
                <w:color w:val="231F20"/>
                <w:sz w:val="16"/>
              </w:rPr>
              <w:t>$</w:t>
              <w:tab/>
              <w:t>.13</w:t>
            </w:r>
          </w:p>
        </w:tc>
        <w:tc>
          <w:tcPr>
            <w:tcW w:w="140" w:type="dxa"/>
          </w:tcPr>
          <w:p>
            <w:pPr/>
          </w:p>
        </w:tc>
        <w:tc>
          <w:tcPr>
            <w:tcW w:w="940" w:type="dxa"/>
          </w:tcPr>
          <w:p>
            <w:pPr>
              <w:pStyle w:val="TableParagraph"/>
              <w:tabs>
                <w:tab w:pos="679" w:val="left" w:leader="none"/>
              </w:tabs>
              <w:spacing w:line="178" w:lineRule="exact"/>
              <w:ind w:right="59"/>
              <w:rPr>
                <w:sz w:val="16"/>
              </w:rPr>
            </w:pPr>
            <w:r>
              <w:rPr>
                <w:color w:val="231F20"/>
                <w:sz w:val="16"/>
              </w:rPr>
              <w:t>$</w:t>
              <w:tab/>
              <w:t>.24</w:t>
            </w:r>
          </w:p>
        </w:tc>
        <w:tc>
          <w:tcPr>
            <w:tcW w:w="123" w:type="dxa"/>
          </w:tcPr>
          <w:p>
            <w:pPr/>
          </w:p>
        </w:tc>
      </w:tr>
      <w:tr>
        <w:trPr>
          <w:trHeight w:val="180" w:hRule="exact"/>
        </w:trPr>
        <w:tc>
          <w:tcPr>
            <w:tcW w:w="3970" w:type="dxa"/>
          </w:tcPr>
          <w:p>
            <w:pPr>
              <w:pStyle w:val="TableParagraph"/>
              <w:spacing w:line="178" w:lineRule="exact"/>
              <w:ind w:right="18"/>
              <w:rPr>
                <w:sz w:val="16"/>
              </w:rPr>
            </w:pPr>
            <w:r>
              <w:rPr>
                <w:color w:val="231F20"/>
                <w:sz w:val="16"/>
              </w:rPr>
              <w:t>Cash dividends per common share   . . . . . . . . . . . . . . . .  $</w:t>
            </w:r>
          </w:p>
        </w:tc>
        <w:tc>
          <w:tcPr>
            <w:tcW w:w="880" w:type="dxa"/>
          </w:tcPr>
          <w:p>
            <w:pPr>
              <w:pStyle w:val="TableParagraph"/>
              <w:spacing w:line="178" w:lineRule="exact"/>
              <w:ind w:right="59"/>
              <w:rPr>
                <w:sz w:val="16"/>
              </w:rPr>
            </w:pPr>
            <w:r>
              <w:rPr>
                <w:color w:val="231F20"/>
                <w:sz w:val="16"/>
              </w:rPr>
              <w:t>.0345</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.0180</w:t>
            </w:r>
          </w:p>
        </w:tc>
        <w:tc>
          <w:tcPr>
            <w:tcW w:w="1039" w:type="dxa"/>
          </w:tcPr>
          <w:p>
            <w:pPr>
              <w:pStyle w:val="TableParagraph"/>
              <w:tabs>
                <w:tab w:pos="532" w:val="left" w:leader="none"/>
              </w:tabs>
              <w:spacing w:line="178" w:lineRule="exact"/>
              <w:ind w:left="12"/>
              <w:jc w:val="left"/>
              <w:rPr>
                <w:sz w:val="16"/>
              </w:rPr>
            </w:pPr>
            <w:r>
              <w:rPr>
                <w:color w:val="231F20"/>
                <w:sz w:val="16"/>
              </w:rPr>
              <w:t>$</w:t>
              <w:tab/>
              <w:t>.0180</w:t>
            </w:r>
          </w:p>
        </w:tc>
        <w:tc>
          <w:tcPr>
            <w:tcW w:w="993" w:type="dxa"/>
          </w:tcPr>
          <w:p>
            <w:pPr>
              <w:pStyle w:val="TableParagraph"/>
              <w:tabs>
                <w:tab w:pos="573" w:val="left" w:leader="none"/>
              </w:tabs>
              <w:spacing w:line="178" w:lineRule="exact"/>
              <w:ind w:left="53"/>
              <w:jc w:val="left"/>
              <w:rPr>
                <w:sz w:val="16"/>
              </w:rPr>
            </w:pPr>
            <w:r>
              <w:rPr>
                <w:color w:val="231F20"/>
                <w:sz w:val="16"/>
              </w:rPr>
              <w:t>$</w:t>
              <w:tab/>
              <w:t>.0180</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.0180</w:t>
            </w:r>
          </w:p>
        </w:tc>
        <w:tc>
          <w:tcPr>
            <w:tcW w:w="123" w:type="dxa"/>
          </w:tcPr>
          <w:p>
            <w:pPr/>
          </w:p>
        </w:tc>
      </w:tr>
      <w:tr>
        <w:trPr>
          <w:trHeight w:val="180" w:hRule="exact"/>
        </w:trPr>
        <w:tc>
          <w:tcPr>
            <w:tcW w:w="3970" w:type="dxa"/>
          </w:tcPr>
          <w:p>
            <w:pPr>
              <w:pStyle w:val="TableParagraph"/>
              <w:spacing w:line="178" w:lineRule="exact"/>
              <w:ind w:right="19"/>
              <w:rPr>
                <w:sz w:val="16"/>
              </w:rPr>
            </w:pPr>
            <w:r>
              <w:rPr>
                <w:color w:val="231F20"/>
                <w:sz w:val="16"/>
              </w:rPr>
              <w:t>Total assets at period-end . . . . . . . . . . . . . . . . . . . . . . . .  $</w:t>
            </w:r>
          </w:p>
        </w:tc>
        <w:tc>
          <w:tcPr>
            <w:tcW w:w="880" w:type="dxa"/>
          </w:tcPr>
          <w:p>
            <w:pPr>
              <w:pStyle w:val="TableParagraph"/>
              <w:spacing w:line="178" w:lineRule="exact"/>
              <w:ind w:right="59"/>
              <w:rPr>
                <w:sz w:val="16"/>
              </w:rPr>
            </w:pPr>
            <w:r>
              <w:rPr>
                <w:color w:val="231F20"/>
                <w:sz w:val="16"/>
              </w:rPr>
              <w:t>18,596</w:t>
            </w:r>
          </w:p>
        </w:tc>
        <w:tc>
          <w:tcPr>
            <w:tcW w:w="140" w:type="dxa"/>
          </w:tcPr>
          <w:p>
            <w:pPr/>
          </w:p>
        </w:tc>
        <w:tc>
          <w:tcPr>
            <w:tcW w:w="1068" w:type="dxa"/>
          </w:tcPr>
          <w:p>
            <w:pPr>
              <w:pStyle w:val="TableParagraph"/>
              <w:tabs>
                <w:tab w:pos="439" w:val="left" w:leader="none"/>
              </w:tabs>
              <w:spacing w:line="178" w:lineRule="exact"/>
              <w:jc w:val="left"/>
              <w:rPr>
                <w:sz w:val="16"/>
              </w:rPr>
            </w:pPr>
            <w:r>
              <w:rPr>
                <w:color w:val="231F20"/>
                <w:sz w:val="16"/>
              </w:rPr>
              <w:t>$</w:t>
              <w:tab/>
              <w:t>18,068</w:t>
            </w:r>
          </w:p>
        </w:tc>
        <w:tc>
          <w:tcPr>
            <w:tcW w:w="1039" w:type="dxa"/>
          </w:tcPr>
          <w:p>
            <w:pPr>
              <w:pStyle w:val="TableParagraph"/>
              <w:tabs>
                <w:tab w:pos="452" w:val="left" w:leader="none"/>
              </w:tabs>
              <w:spacing w:line="178" w:lineRule="exact"/>
              <w:ind w:left="12"/>
              <w:jc w:val="left"/>
              <w:rPr>
                <w:sz w:val="16"/>
              </w:rPr>
            </w:pPr>
            <w:r>
              <w:rPr>
                <w:color w:val="231F20"/>
                <w:sz w:val="16"/>
              </w:rPr>
              <w:t>$</w:t>
              <w:tab/>
              <w:t>15,463</w:t>
            </w:r>
          </w:p>
        </w:tc>
        <w:tc>
          <w:tcPr>
            <w:tcW w:w="993" w:type="dxa"/>
          </w:tcPr>
          <w:p>
            <w:pPr>
              <w:pStyle w:val="TableParagraph"/>
              <w:tabs>
                <w:tab w:pos="493" w:val="left" w:leader="none"/>
              </w:tabs>
              <w:spacing w:line="178" w:lineRule="exact"/>
              <w:ind w:left="53"/>
              <w:jc w:val="left"/>
              <w:rPr>
                <w:sz w:val="16"/>
              </w:rPr>
            </w:pPr>
            <w:r>
              <w:rPr>
                <w:color w:val="231F20"/>
                <w:sz w:val="16"/>
              </w:rPr>
              <w:t>$</w:t>
              <w:tab/>
              <w:t>14,269</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14,068</w:t>
            </w:r>
          </w:p>
        </w:tc>
        <w:tc>
          <w:tcPr>
            <w:tcW w:w="123" w:type="dxa"/>
          </w:tcPr>
          <w:p>
            <w:pPr/>
          </w:p>
        </w:tc>
      </w:tr>
      <w:tr>
        <w:trPr>
          <w:trHeight w:val="180" w:hRule="exact"/>
        </w:trPr>
        <w:tc>
          <w:tcPr>
            <w:tcW w:w="3970" w:type="dxa"/>
          </w:tcPr>
          <w:p>
            <w:pPr>
              <w:pStyle w:val="TableParagraph"/>
              <w:spacing w:line="178" w:lineRule="exact"/>
              <w:ind w:right="18"/>
              <w:rPr>
                <w:sz w:val="16"/>
              </w:rPr>
            </w:pPr>
            <w:r>
              <w:rPr>
                <w:color w:val="231F20"/>
                <w:sz w:val="16"/>
              </w:rPr>
              <w:t>Long-term obligations at period-end  . . . . . . . . . . . . . . .  $</w:t>
            </w:r>
          </w:p>
        </w:tc>
        <w:tc>
          <w:tcPr>
            <w:tcW w:w="880" w:type="dxa"/>
          </w:tcPr>
          <w:p>
            <w:pPr>
              <w:pStyle w:val="TableParagraph"/>
              <w:spacing w:line="178" w:lineRule="exact"/>
              <w:ind w:right="59"/>
              <w:rPr>
                <w:sz w:val="16"/>
              </w:rPr>
            </w:pPr>
            <w:r>
              <w:rPr>
                <w:color w:val="231F20"/>
                <w:sz w:val="16"/>
              </w:rPr>
              <w:t>2,883</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3,107</w:t>
            </w:r>
          </w:p>
        </w:tc>
        <w:tc>
          <w:tcPr>
            <w:tcW w:w="1039" w:type="dxa"/>
          </w:tcPr>
          <w:p>
            <w:pPr>
              <w:pStyle w:val="TableParagraph"/>
              <w:tabs>
                <w:tab w:pos="532" w:val="left" w:leader="none"/>
              </w:tabs>
              <w:spacing w:line="178" w:lineRule="exact"/>
              <w:ind w:left="12"/>
              <w:jc w:val="left"/>
              <w:rPr>
                <w:sz w:val="16"/>
              </w:rPr>
            </w:pPr>
            <w:r>
              <w:rPr>
                <w:color w:val="231F20"/>
                <w:sz w:val="16"/>
              </w:rPr>
              <w:t>$</w:t>
              <w:tab/>
              <w:t>2,875</w:t>
            </w:r>
          </w:p>
        </w:tc>
        <w:tc>
          <w:tcPr>
            <w:tcW w:w="993" w:type="dxa"/>
          </w:tcPr>
          <w:p>
            <w:pPr>
              <w:pStyle w:val="TableParagraph"/>
              <w:tabs>
                <w:tab w:pos="573" w:val="left" w:leader="none"/>
              </w:tabs>
              <w:spacing w:line="178" w:lineRule="exact"/>
              <w:ind w:left="53"/>
              <w:jc w:val="left"/>
              <w:rPr>
                <w:sz w:val="16"/>
              </w:rPr>
            </w:pPr>
            <w:r>
              <w:rPr>
                <w:color w:val="231F20"/>
                <w:sz w:val="16"/>
              </w:rPr>
              <w:t>$</w:t>
              <w:tab/>
              <w:t>3,325</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3,498</w:t>
            </w:r>
          </w:p>
        </w:tc>
        <w:tc>
          <w:tcPr>
            <w:tcW w:w="123" w:type="dxa"/>
          </w:tcPr>
          <w:p>
            <w:pPr/>
          </w:p>
        </w:tc>
      </w:tr>
      <w:tr>
        <w:trPr>
          <w:trHeight w:val="178" w:hRule="exact"/>
        </w:trPr>
        <w:tc>
          <w:tcPr>
            <w:tcW w:w="3970" w:type="dxa"/>
          </w:tcPr>
          <w:p>
            <w:pPr>
              <w:pStyle w:val="TableParagraph"/>
              <w:spacing w:line="178" w:lineRule="exact"/>
              <w:ind w:right="18"/>
              <w:rPr>
                <w:sz w:val="16"/>
              </w:rPr>
            </w:pPr>
            <w:r>
              <w:rPr>
                <w:color w:val="231F20"/>
                <w:sz w:val="16"/>
              </w:rPr>
              <w:t>Stockholders’ equity at period-end   . . . . . . . . . . . . . . . .  $</w:t>
            </w:r>
          </w:p>
        </w:tc>
        <w:tc>
          <w:tcPr>
            <w:tcW w:w="880" w:type="dxa"/>
          </w:tcPr>
          <w:p>
            <w:pPr>
              <w:pStyle w:val="TableParagraph"/>
              <w:spacing w:line="178" w:lineRule="exact"/>
              <w:ind w:right="59"/>
              <w:rPr>
                <w:sz w:val="16"/>
              </w:rPr>
            </w:pPr>
            <w:r>
              <w:rPr>
                <w:color w:val="231F20"/>
                <w:sz w:val="16"/>
              </w:rPr>
              <w:t>6,992</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6,877</w:t>
            </w:r>
          </w:p>
        </w:tc>
        <w:tc>
          <w:tcPr>
            <w:tcW w:w="1039" w:type="dxa"/>
          </w:tcPr>
          <w:p>
            <w:pPr>
              <w:pStyle w:val="TableParagraph"/>
              <w:tabs>
                <w:tab w:pos="532" w:val="left" w:leader="none"/>
              </w:tabs>
              <w:spacing w:line="178" w:lineRule="exact"/>
              <w:ind w:left="12"/>
              <w:jc w:val="left"/>
              <w:rPr>
                <w:sz w:val="16"/>
              </w:rPr>
            </w:pPr>
            <w:r>
              <w:rPr>
                <w:color w:val="231F20"/>
                <w:sz w:val="16"/>
              </w:rPr>
              <w:t>$</w:t>
              <w:tab/>
              <w:t>6,237</w:t>
            </w:r>
          </w:p>
        </w:tc>
        <w:tc>
          <w:tcPr>
            <w:tcW w:w="993" w:type="dxa"/>
          </w:tcPr>
          <w:p>
            <w:pPr>
              <w:pStyle w:val="TableParagraph"/>
              <w:tabs>
                <w:tab w:pos="573" w:val="left" w:leader="none"/>
              </w:tabs>
              <w:spacing w:line="178" w:lineRule="exact"/>
              <w:ind w:left="53"/>
              <w:jc w:val="left"/>
              <w:rPr>
                <w:sz w:val="16"/>
              </w:rPr>
            </w:pPr>
            <w:r>
              <w:rPr>
                <w:color w:val="231F20"/>
                <w:sz w:val="16"/>
              </w:rPr>
              <w:t>$</w:t>
              <w:tab/>
              <w:t>5,454</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4,953</w:t>
            </w:r>
          </w:p>
        </w:tc>
        <w:tc>
          <w:tcPr>
            <w:tcW w:w="123" w:type="dxa"/>
          </w:tcPr>
          <w:p>
            <w:pPr/>
          </w:p>
        </w:tc>
      </w:tr>
      <w:tr>
        <w:trPr>
          <w:trHeight w:val="181" w:hRule="exact"/>
        </w:trPr>
        <w:tc>
          <w:tcPr>
            <w:tcW w:w="3970" w:type="dxa"/>
          </w:tcPr>
          <w:p>
            <w:pPr>
              <w:pStyle w:val="TableParagraph"/>
              <w:spacing w:line="180" w:lineRule="exact"/>
              <w:ind w:left="50"/>
              <w:jc w:val="left"/>
              <w:rPr>
                <w:b/>
                <w:sz w:val="16"/>
              </w:rPr>
            </w:pPr>
            <w:r>
              <w:rPr>
                <w:b/>
                <w:color w:val="231F20"/>
                <w:sz w:val="16"/>
              </w:rPr>
              <w:t>Operating Data:</w:t>
            </w:r>
          </w:p>
        </w:tc>
        <w:tc>
          <w:tcPr>
            <w:tcW w:w="880" w:type="dxa"/>
          </w:tcPr>
          <w:p>
            <w:pPr/>
          </w:p>
        </w:tc>
        <w:tc>
          <w:tcPr>
            <w:tcW w:w="140" w:type="dxa"/>
          </w:tcPr>
          <w:p>
            <w:pPr/>
          </w:p>
        </w:tc>
        <w:tc>
          <w:tcPr>
            <w:tcW w:w="1068" w:type="dxa"/>
          </w:tcPr>
          <w:p>
            <w:pPr/>
          </w:p>
        </w:tc>
        <w:tc>
          <w:tcPr>
            <w:tcW w:w="1039" w:type="dxa"/>
          </w:tcPr>
          <w:p>
            <w:pPr/>
          </w:p>
        </w:tc>
        <w:tc>
          <w:tcPr>
            <w:tcW w:w="993" w:type="dxa"/>
          </w:tcPr>
          <w:p>
            <w:pPr/>
          </w:p>
        </w:tc>
        <w:tc>
          <w:tcPr>
            <w:tcW w:w="140" w:type="dxa"/>
          </w:tcPr>
          <w:p>
            <w:pPr/>
          </w:p>
        </w:tc>
        <w:tc>
          <w:tcPr>
            <w:tcW w:w="940" w:type="dxa"/>
          </w:tcPr>
          <w:p>
            <w:pPr/>
          </w:p>
        </w:tc>
        <w:tc>
          <w:tcPr>
            <w:tcW w:w="123" w:type="dxa"/>
          </w:tcPr>
          <w:p>
            <w:pPr/>
          </w:p>
        </w:tc>
      </w:tr>
      <w:tr>
        <w:trPr>
          <w:trHeight w:val="181" w:hRule="exact"/>
        </w:trPr>
        <w:tc>
          <w:tcPr>
            <w:tcW w:w="3970" w:type="dxa"/>
          </w:tcPr>
          <w:p>
            <w:pPr>
              <w:pStyle w:val="TableParagraph"/>
              <w:spacing w:line="175" w:lineRule="exact"/>
              <w:ind w:left="210"/>
              <w:jc w:val="left"/>
              <w:rPr>
                <w:sz w:val="16"/>
              </w:rPr>
            </w:pPr>
            <w:r>
              <w:rPr>
                <w:color w:val="231F20"/>
                <w:sz w:val="16"/>
              </w:rPr>
              <w:t>Revenue passengers carried  . . . . . . . . . . . . . . . . . . . . . . </w:t>
            </w:r>
          </w:p>
        </w:tc>
        <w:tc>
          <w:tcPr>
            <w:tcW w:w="1020" w:type="dxa"/>
            <w:gridSpan w:val="2"/>
          </w:tcPr>
          <w:p>
            <w:pPr>
              <w:pStyle w:val="TableParagraph"/>
              <w:spacing w:line="175" w:lineRule="exact"/>
              <w:ind w:left="19"/>
              <w:jc w:val="left"/>
              <w:rPr>
                <w:sz w:val="16"/>
              </w:rPr>
            </w:pPr>
            <w:r>
              <w:rPr>
                <w:color w:val="231F20"/>
                <w:sz w:val="16"/>
              </w:rPr>
              <w:t>109,346,509</w:t>
            </w:r>
          </w:p>
        </w:tc>
        <w:tc>
          <w:tcPr>
            <w:tcW w:w="1068" w:type="dxa"/>
          </w:tcPr>
          <w:p>
            <w:pPr>
              <w:pStyle w:val="TableParagraph"/>
              <w:spacing w:line="175" w:lineRule="exact"/>
              <w:ind w:left="80"/>
              <w:jc w:val="left"/>
              <w:rPr>
                <w:sz w:val="16"/>
              </w:rPr>
            </w:pPr>
            <w:r>
              <w:rPr>
                <w:color w:val="231F20"/>
                <w:sz w:val="16"/>
              </w:rPr>
              <w:t>103,973,759</w:t>
            </w:r>
          </w:p>
        </w:tc>
        <w:tc>
          <w:tcPr>
            <w:tcW w:w="1039" w:type="dxa"/>
          </w:tcPr>
          <w:p>
            <w:pPr>
              <w:pStyle w:val="TableParagraph"/>
              <w:spacing w:line="175" w:lineRule="exact"/>
              <w:ind w:left="172"/>
              <w:jc w:val="left"/>
              <w:rPr>
                <w:sz w:val="16"/>
              </w:rPr>
            </w:pPr>
            <w:r>
              <w:rPr>
                <w:color w:val="231F20"/>
                <w:sz w:val="16"/>
              </w:rPr>
              <w:t>88,191,322</w:t>
            </w:r>
          </w:p>
        </w:tc>
        <w:tc>
          <w:tcPr>
            <w:tcW w:w="1133" w:type="dxa"/>
            <w:gridSpan w:val="2"/>
          </w:tcPr>
          <w:p>
            <w:pPr>
              <w:pStyle w:val="TableParagraph"/>
              <w:spacing w:line="175" w:lineRule="exact"/>
              <w:ind w:left="213"/>
              <w:jc w:val="left"/>
              <w:rPr>
                <w:sz w:val="16"/>
              </w:rPr>
            </w:pPr>
            <w:r>
              <w:rPr>
                <w:color w:val="231F20"/>
                <w:sz w:val="16"/>
              </w:rPr>
              <w:t>86,310,229</w:t>
            </w:r>
          </w:p>
        </w:tc>
        <w:tc>
          <w:tcPr>
            <w:tcW w:w="1063" w:type="dxa"/>
            <w:gridSpan w:val="2"/>
          </w:tcPr>
          <w:p>
            <w:pPr>
              <w:pStyle w:val="TableParagraph"/>
              <w:spacing w:line="175" w:lineRule="exact"/>
              <w:ind w:left="160"/>
              <w:jc w:val="left"/>
              <w:rPr>
                <w:sz w:val="16"/>
              </w:rPr>
            </w:pPr>
            <w:r>
              <w:rPr>
                <w:color w:val="231F20"/>
                <w:sz w:val="16"/>
              </w:rPr>
              <w:t>88,529,234</w:t>
            </w:r>
          </w:p>
        </w:tc>
      </w:tr>
      <w:tr>
        <w:trPr>
          <w:trHeight w:val="180" w:hRule="exact"/>
        </w:trPr>
        <w:tc>
          <w:tcPr>
            <w:tcW w:w="3970" w:type="dxa"/>
          </w:tcPr>
          <w:p>
            <w:pPr>
              <w:pStyle w:val="TableParagraph"/>
              <w:spacing w:line="178" w:lineRule="exact"/>
              <w:ind w:left="210"/>
              <w:jc w:val="left"/>
              <w:rPr>
                <w:sz w:val="16"/>
              </w:rPr>
            </w:pPr>
            <w:r>
              <w:rPr>
                <w:color w:val="231F20"/>
                <w:sz w:val="16"/>
              </w:rPr>
              <w:t>Enplaned passengers   . . . . . . . . . . . . . . . . . . . . . . . . . . . </w:t>
            </w:r>
          </w:p>
        </w:tc>
        <w:tc>
          <w:tcPr>
            <w:tcW w:w="1020" w:type="dxa"/>
            <w:gridSpan w:val="2"/>
          </w:tcPr>
          <w:p>
            <w:pPr>
              <w:pStyle w:val="TableParagraph"/>
              <w:spacing w:line="178" w:lineRule="exact"/>
              <w:ind w:left="19"/>
              <w:jc w:val="left"/>
              <w:rPr>
                <w:sz w:val="16"/>
              </w:rPr>
            </w:pPr>
            <w:r>
              <w:rPr>
                <w:color w:val="231F20"/>
                <w:sz w:val="16"/>
              </w:rPr>
              <w:t>133,978,100</w:t>
            </w:r>
          </w:p>
        </w:tc>
        <w:tc>
          <w:tcPr>
            <w:tcW w:w="1068" w:type="dxa"/>
          </w:tcPr>
          <w:p>
            <w:pPr>
              <w:pStyle w:val="TableParagraph"/>
              <w:spacing w:line="178" w:lineRule="exact"/>
              <w:ind w:left="80"/>
              <w:jc w:val="left"/>
              <w:rPr>
                <w:sz w:val="16"/>
              </w:rPr>
            </w:pPr>
            <w:r>
              <w:rPr>
                <w:color w:val="231F20"/>
                <w:sz w:val="16"/>
              </w:rPr>
              <w:t>127,551,012</w:t>
            </w:r>
          </w:p>
        </w:tc>
        <w:tc>
          <w:tcPr>
            <w:tcW w:w="1039" w:type="dxa"/>
          </w:tcPr>
          <w:p>
            <w:pPr>
              <w:pStyle w:val="TableParagraph"/>
              <w:spacing w:line="178" w:lineRule="exact"/>
              <w:ind w:left="92"/>
              <w:jc w:val="left"/>
              <w:rPr>
                <w:sz w:val="16"/>
              </w:rPr>
            </w:pPr>
            <w:r>
              <w:rPr>
                <w:color w:val="231F20"/>
                <w:sz w:val="16"/>
              </w:rPr>
              <w:t>106,227,521</w:t>
            </w:r>
          </w:p>
        </w:tc>
        <w:tc>
          <w:tcPr>
            <w:tcW w:w="1133" w:type="dxa"/>
            <w:gridSpan w:val="2"/>
          </w:tcPr>
          <w:p>
            <w:pPr>
              <w:pStyle w:val="TableParagraph"/>
              <w:spacing w:line="178" w:lineRule="exact"/>
              <w:ind w:left="133"/>
              <w:jc w:val="left"/>
              <w:rPr>
                <w:sz w:val="16"/>
              </w:rPr>
            </w:pPr>
            <w:r>
              <w:rPr>
                <w:color w:val="231F20"/>
                <w:sz w:val="16"/>
              </w:rPr>
              <w:t>101,338,228</w:t>
            </w:r>
          </w:p>
        </w:tc>
        <w:tc>
          <w:tcPr>
            <w:tcW w:w="1063" w:type="dxa"/>
            <w:gridSpan w:val="2"/>
          </w:tcPr>
          <w:p>
            <w:pPr>
              <w:pStyle w:val="TableParagraph"/>
              <w:spacing w:line="178" w:lineRule="exact"/>
              <w:ind w:left="80"/>
              <w:jc w:val="left"/>
              <w:rPr>
                <w:sz w:val="16"/>
              </w:rPr>
            </w:pPr>
            <w:r>
              <w:rPr>
                <w:color w:val="231F20"/>
                <w:sz w:val="16"/>
              </w:rPr>
              <w:t>101,920,598</w:t>
            </w:r>
          </w:p>
        </w:tc>
      </w:tr>
      <w:tr>
        <w:trPr>
          <w:trHeight w:val="180" w:hRule="exact"/>
        </w:trPr>
        <w:tc>
          <w:tcPr>
            <w:tcW w:w="3970" w:type="dxa"/>
          </w:tcPr>
          <w:p>
            <w:pPr>
              <w:pStyle w:val="TableParagraph"/>
              <w:spacing w:line="178" w:lineRule="exact"/>
              <w:ind w:left="210"/>
              <w:jc w:val="left"/>
              <w:rPr>
                <w:sz w:val="16"/>
              </w:rPr>
            </w:pPr>
            <w:r>
              <w:rPr>
                <w:color w:val="231F20"/>
                <w:sz w:val="16"/>
              </w:rPr>
              <w:t>Revenue passenger miles (RPMs) (000s) (1) . . . . . . . . . </w:t>
            </w:r>
          </w:p>
        </w:tc>
        <w:tc>
          <w:tcPr>
            <w:tcW w:w="1020" w:type="dxa"/>
            <w:gridSpan w:val="2"/>
          </w:tcPr>
          <w:p>
            <w:pPr>
              <w:pStyle w:val="TableParagraph"/>
              <w:spacing w:line="178" w:lineRule="exact"/>
              <w:ind w:left="19"/>
              <w:jc w:val="left"/>
              <w:rPr>
                <w:sz w:val="16"/>
              </w:rPr>
            </w:pPr>
            <w:r>
              <w:rPr>
                <w:color w:val="231F20"/>
                <w:sz w:val="16"/>
              </w:rPr>
              <w:t>102,874,979</w:t>
            </w:r>
          </w:p>
        </w:tc>
        <w:tc>
          <w:tcPr>
            <w:tcW w:w="1068" w:type="dxa"/>
          </w:tcPr>
          <w:p>
            <w:pPr>
              <w:pStyle w:val="TableParagraph"/>
              <w:spacing w:line="178" w:lineRule="exact"/>
              <w:ind w:left="160"/>
              <w:jc w:val="left"/>
              <w:rPr>
                <w:sz w:val="16"/>
              </w:rPr>
            </w:pPr>
            <w:r>
              <w:rPr>
                <w:color w:val="231F20"/>
                <w:sz w:val="16"/>
              </w:rPr>
              <w:t>97,582,530</w:t>
            </w:r>
          </w:p>
        </w:tc>
        <w:tc>
          <w:tcPr>
            <w:tcW w:w="1039" w:type="dxa"/>
          </w:tcPr>
          <w:p>
            <w:pPr>
              <w:pStyle w:val="TableParagraph"/>
              <w:spacing w:line="178" w:lineRule="exact"/>
              <w:ind w:left="172"/>
              <w:jc w:val="left"/>
              <w:rPr>
                <w:sz w:val="16"/>
              </w:rPr>
            </w:pPr>
            <w:r>
              <w:rPr>
                <w:color w:val="231F20"/>
                <w:sz w:val="16"/>
              </w:rPr>
              <w:t>78,046,967</w:t>
            </w:r>
          </w:p>
        </w:tc>
        <w:tc>
          <w:tcPr>
            <w:tcW w:w="1133" w:type="dxa"/>
            <w:gridSpan w:val="2"/>
          </w:tcPr>
          <w:p>
            <w:pPr>
              <w:pStyle w:val="TableParagraph"/>
              <w:spacing w:line="178" w:lineRule="exact"/>
              <w:ind w:left="213"/>
              <w:jc w:val="left"/>
              <w:rPr>
                <w:sz w:val="16"/>
              </w:rPr>
            </w:pPr>
            <w:r>
              <w:rPr>
                <w:color w:val="231F20"/>
                <w:sz w:val="16"/>
              </w:rPr>
              <w:t>74,456,710</w:t>
            </w:r>
          </w:p>
        </w:tc>
        <w:tc>
          <w:tcPr>
            <w:tcW w:w="1063" w:type="dxa"/>
            <w:gridSpan w:val="2"/>
          </w:tcPr>
          <w:p>
            <w:pPr>
              <w:pStyle w:val="TableParagraph"/>
              <w:spacing w:line="178" w:lineRule="exact"/>
              <w:ind w:left="160"/>
              <w:jc w:val="left"/>
              <w:rPr>
                <w:sz w:val="16"/>
              </w:rPr>
            </w:pPr>
            <w:r>
              <w:rPr>
                <w:color w:val="231F20"/>
                <w:sz w:val="16"/>
              </w:rPr>
              <w:t>73,491,687</w:t>
            </w:r>
          </w:p>
        </w:tc>
      </w:tr>
      <w:tr>
        <w:trPr>
          <w:trHeight w:val="180" w:hRule="exact"/>
        </w:trPr>
        <w:tc>
          <w:tcPr>
            <w:tcW w:w="3970" w:type="dxa"/>
          </w:tcPr>
          <w:p>
            <w:pPr>
              <w:pStyle w:val="TableParagraph"/>
              <w:spacing w:line="178" w:lineRule="exact"/>
              <w:ind w:left="210"/>
              <w:jc w:val="left"/>
              <w:rPr>
                <w:sz w:val="16"/>
              </w:rPr>
            </w:pPr>
            <w:r>
              <w:rPr>
                <w:color w:val="231F20"/>
                <w:sz w:val="16"/>
              </w:rPr>
              <w:t>Available seat miles (ASMs) (000s) (2)   . . . . . . . . . . . . </w:t>
            </w:r>
          </w:p>
        </w:tc>
        <w:tc>
          <w:tcPr>
            <w:tcW w:w="1020" w:type="dxa"/>
            <w:gridSpan w:val="2"/>
          </w:tcPr>
          <w:p>
            <w:pPr>
              <w:pStyle w:val="TableParagraph"/>
              <w:spacing w:line="178" w:lineRule="exact"/>
              <w:ind w:left="19"/>
              <w:jc w:val="left"/>
              <w:rPr>
                <w:sz w:val="16"/>
              </w:rPr>
            </w:pPr>
            <w:r>
              <w:rPr>
                <w:color w:val="231F20"/>
                <w:sz w:val="16"/>
              </w:rPr>
              <w:t>128,137,110</w:t>
            </w:r>
          </w:p>
        </w:tc>
        <w:tc>
          <w:tcPr>
            <w:tcW w:w="1068" w:type="dxa"/>
          </w:tcPr>
          <w:p>
            <w:pPr>
              <w:pStyle w:val="TableParagraph"/>
              <w:spacing w:line="178" w:lineRule="exact"/>
              <w:ind w:left="80"/>
              <w:jc w:val="left"/>
              <w:rPr>
                <w:sz w:val="16"/>
              </w:rPr>
            </w:pPr>
            <w:r>
              <w:rPr>
                <w:color w:val="231F20"/>
                <w:sz w:val="16"/>
              </w:rPr>
              <w:t>120,578,736</w:t>
            </w:r>
          </w:p>
        </w:tc>
        <w:tc>
          <w:tcPr>
            <w:tcW w:w="1039" w:type="dxa"/>
          </w:tcPr>
          <w:p>
            <w:pPr>
              <w:pStyle w:val="TableParagraph"/>
              <w:spacing w:line="178" w:lineRule="exact"/>
              <w:ind w:left="172"/>
              <w:jc w:val="left"/>
              <w:rPr>
                <w:sz w:val="16"/>
              </w:rPr>
            </w:pPr>
            <w:r>
              <w:rPr>
                <w:color w:val="231F20"/>
                <w:sz w:val="16"/>
              </w:rPr>
              <w:t>98,437,092</w:t>
            </w:r>
          </w:p>
        </w:tc>
        <w:tc>
          <w:tcPr>
            <w:tcW w:w="1133" w:type="dxa"/>
            <w:gridSpan w:val="2"/>
          </w:tcPr>
          <w:p>
            <w:pPr>
              <w:pStyle w:val="TableParagraph"/>
              <w:spacing w:line="178" w:lineRule="exact"/>
              <w:ind w:left="213"/>
              <w:jc w:val="left"/>
              <w:rPr>
                <w:sz w:val="16"/>
              </w:rPr>
            </w:pPr>
            <w:r>
              <w:rPr>
                <w:color w:val="231F20"/>
                <w:sz w:val="16"/>
              </w:rPr>
              <w:t>98,001,550</w:t>
            </w:r>
          </w:p>
        </w:tc>
        <w:tc>
          <w:tcPr>
            <w:tcW w:w="1063" w:type="dxa"/>
            <w:gridSpan w:val="2"/>
          </w:tcPr>
          <w:p>
            <w:pPr>
              <w:pStyle w:val="TableParagraph"/>
              <w:spacing w:line="178" w:lineRule="exact"/>
              <w:ind w:left="80"/>
              <w:jc w:val="left"/>
              <w:rPr>
                <w:sz w:val="16"/>
              </w:rPr>
            </w:pPr>
            <w:r>
              <w:rPr>
                <w:color w:val="231F20"/>
                <w:sz w:val="16"/>
              </w:rPr>
              <w:t>103,271,343</w:t>
            </w:r>
          </w:p>
        </w:tc>
      </w:tr>
      <w:tr>
        <w:trPr>
          <w:trHeight w:val="180" w:hRule="exact"/>
        </w:trPr>
        <w:tc>
          <w:tcPr>
            <w:tcW w:w="3970" w:type="dxa"/>
          </w:tcPr>
          <w:p>
            <w:pPr>
              <w:pStyle w:val="TableParagraph"/>
              <w:spacing w:line="178" w:lineRule="exact"/>
              <w:ind w:left="210"/>
              <w:jc w:val="left"/>
              <w:rPr>
                <w:sz w:val="16"/>
              </w:rPr>
            </w:pPr>
            <w:r>
              <w:rPr>
                <w:color w:val="231F20"/>
                <w:sz w:val="16"/>
              </w:rPr>
              <w:t>Load factor (3)  . . . . . . . . . . . . . . . . . . . . . . . . . . . . . . . . </w:t>
            </w:r>
          </w:p>
        </w:tc>
        <w:tc>
          <w:tcPr>
            <w:tcW w:w="1020" w:type="dxa"/>
            <w:gridSpan w:val="2"/>
          </w:tcPr>
          <w:p>
            <w:pPr>
              <w:pStyle w:val="TableParagraph"/>
              <w:spacing w:line="178" w:lineRule="exact"/>
              <w:ind w:left="539"/>
              <w:jc w:val="left"/>
              <w:rPr>
                <w:sz w:val="16"/>
              </w:rPr>
            </w:pPr>
            <w:r>
              <w:rPr>
                <w:color w:val="231F20"/>
                <w:sz w:val="16"/>
              </w:rPr>
              <w:t>80.3%</w:t>
            </w:r>
          </w:p>
        </w:tc>
        <w:tc>
          <w:tcPr>
            <w:tcW w:w="1068" w:type="dxa"/>
          </w:tcPr>
          <w:p>
            <w:pPr>
              <w:pStyle w:val="TableParagraph"/>
              <w:spacing w:line="178" w:lineRule="exact"/>
              <w:ind w:right="52"/>
              <w:rPr>
                <w:sz w:val="16"/>
              </w:rPr>
            </w:pPr>
            <w:r>
              <w:rPr>
                <w:color w:val="231F20"/>
                <w:sz w:val="16"/>
              </w:rPr>
              <w:t>80.9%</w:t>
            </w:r>
          </w:p>
        </w:tc>
        <w:tc>
          <w:tcPr>
            <w:tcW w:w="1039" w:type="dxa"/>
          </w:tcPr>
          <w:p>
            <w:pPr>
              <w:pStyle w:val="TableParagraph"/>
              <w:spacing w:line="178" w:lineRule="exact"/>
              <w:ind w:left="612"/>
              <w:jc w:val="left"/>
              <w:rPr>
                <w:sz w:val="16"/>
              </w:rPr>
            </w:pPr>
            <w:r>
              <w:rPr>
                <w:color w:val="231F20"/>
                <w:sz w:val="16"/>
              </w:rPr>
              <w:t>79.3%</w:t>
            </w:r>
          </w:p>
        </w:tc>
        <w:tc>
          <w:tcPr>
            <w:tcW w:w="1133" w:type="dxa"/>
            <w:gridSpan w:val="2"/>
          </w:tcPr>
          <w:p>
            <w:pPr>
              <w:pStyle w:val="TableParagraph"/>
              <w:spacing w:line="178" w:lineRule="exact"/>
              <w:ind w:left="653"/>
              <w:jc w:val="left"/>
              <w:rPr>
                <w:sz w:val="16"/>
              </w:rPr>
            </w:pPr>
            <w:r>
              <w:rPr>
                <w:color w:val="231F20"/>
                <w:sz w:val="16"/>
              </w:rPr>
              <w:t>76.0%</w:t>
            </w:r>
          </w:p>
        </w:tc>
        <w:tc>
          <w:tcPr>
            <w:tcW w:w="1063" w:type="dxa"/>
            <w:gridSpan w:val="2"/>
          </w:tcPr>
          <w:p>
            <w:pPr>
              <w:pStyle w:val="TableParagraph"/>
              <w:spacing w:line="178" w:lineRule="exact"/>
              <w:ind w:left="599"/>
              <w:jc w:val="left"/>
              <w:rPr>
                <w:sz w:val="16"/>
              </w:rPr>
            </w:pPr>
            <w:r>
              <w:rPr>
                <w:color w:val="231F20"/>
                <w:sz w:val="16"/>
              </w:rPr>
              <w:t>71.2%</w:t>
            </w:r>
          </w:p>
        </w:tc>
      </w:tr>
      <w:tr>
        <w:trPr>
          <w:trHeight w:val="180" w:hRule="exact"/>
        </w:trPr>
        <w:tc>
          <w:tcPr>
            <w:tcW w:w="3970" w:type="dxa"/>
          </w:tcPr>
          <w:p>
            <w:pPr>
              <w:pStyle w:val="TableParagraph"/>
              <w:spacing w:line="178" w:lineRule="exact"/>
              <w:ind w:left="210"/>
              <w:jc w:val="left"/>
              <w:rPr>
                <w:sz w:val="16"/>
              </w:rPr>
            </w:pPr>
            <w:r>
              <w:rPr>
                <w:color w:val="231F20"/>
                <w:sz w:val="16"/>
              </w:rPr>
              <w:t>Average length of passenger haul (miles)  . . . . . . . . . . . </w:t>
            </w:r>
          </w:p>
        </w:tc>
        <w:tc>
          <w:tcPr>
            <w:tcW w:w="1020" w:type="dxa"/>
            <w:gridSpan w:val="2"/>
          </w:tcPr>
          <w:p>
            <w:pPr>
              <w:pStyle w:val="TableParagraph"/>
              <w:spacing w:line="178" w:lineRule="exact"/>
              <w:ind w:left="579"/>
              <w:jc w:val="left"/>
              <w:rPr>
                <w:sz w:val="16"/>
              </w:rPr>
            </w:pPr>
            <w:r>
              <w:rPr>
                <w:color w:val="231F20"/>
                <w:sz w:val="16"/>
              </w:rPr>
              <w:t>941</w:t>
            </w:r>
          </w:p>
        </w:tc>
        <w:tc>
          <w:tcPr>
            <w:tcW w:w="1068" w:type="dxa"/>
          </w:tcPr>
          <w:p>
            <w:pPr>
              <w:pStyle w:val="TableParagraph"/>
              <w:spacing w:line="178" w:lineRule="exact"/>
              <w:ind w:right="185"/>
              <w:rPr>
                <w:sz w:val="16"/>
              </w:rPr>
            </w:pPr>
            <w:r>
              <w:rPr>
                <w:color w:val="231F20"/>
                <w:sz w:val="16"/>
              </w:rPr>
              <w:t>939</w:t>
            </w:r>
          </w:p>
        </w:tc>
        <w:tc>
          <w:tcPr>
            <w:tcW w:w="1039" w:type="dxa"/>
          </w:tcPr>
          <w:p>
            <w:pPr>
              <w:pStyle w:val="TableParagraph"/>
              <w:spacing w:line="178" w:lineRule="exact"/>
              <w:ind w:left="652"/>
              <w:jc w:val="left"/>
              <w:rPr>
                <w:sz w:val="16"/>
              </w:rPr>
            </w:pPr>
            <w:r>
              <w:rPr>
                <w:color w:val="231F20"/>
                <w:sz w:val="16"/>
              </w:rPr>
              <w:t>885</w:t>
            </w:r>
          </w:p>
        </w:tc>
        <w:tc>
          <w:tcPr>
            <w:tcW w:w="1133" w:type="dxa"/>
            <w:gridSpan w:val="2"/>
          </w:tcPr>
          <w:p>
            <w:pPr>
              <w:pStyle w:val="TableParagraph"/>
              <w:spacing w:line="178" w:lineRule="exact"/>
              <w:ind w:left="693"/>
              <w:jc w:val="left"/>
              <w:rPr>
                <w:sz w:val="16"/>
              </w:rPr>
            </w:pPr>
            <w:r>
              <w:rPr>
                <w:color w:val="231F20"/>
                <w:sz w:val="16"/>
              </w:rPr>
              <w:t>863</w:t>
            </w:r>
          </w:p>
        </w:tc>
        <w:tc>
          <w:tcPr>
            <w:tcW w:w="1063" w:type="dxa"/>
            <w:gridSpan w:val="2"/>
          </w:tcPr>
          <w:p>
            <w:pPr>
              <w:pStyle w:val="TableParagraph"/>
              <w:spacing w:line="178" w:lineRule="exact"/>
              <w:ind w:left="639"/>
              <w:jc w:val="left"/>
              <w:rPr>
                <w:sz w:val="16"/>
              </w:rPr>
            </w:pPr>
            <w:r>
              <w:rPr>
                <w:color w:val="231F20"/>
                <w:sz w:val="16"/>
              </w:rPr>
              <w:t>830</w:t>
            </w:r>
          </w:p>
        </w:tc>
      </w:tr>
      <w:tr>
        <w:trPr>
          <w:trHeight w:val="180" w:hRule="exact"/>
        </w:trPr>
        <w:tc>
          <w:tcPr>
            <w:tcW w:w="3970" w:type="dxa"/>
          </w:tcPr>
          <w:p>
            <w:pPr>
              <w:pStyle w:val="TableParagraph"/>
              <w:spacing w:line="178" w:lineRule="exact"/>
              <w:ind w:left="210"/>
              <w:jc w:val="left"/>
              <w:rPr>
                <w:sz w:val="16"/>
              </w:rPr>
            </w:pPr>
            <w:r>
              <w:rPr>
                <w:color w:val="231F20"/>
                <w:sz w:val="16"/>
              </w:rPr>
              <w:t>Average aircraft stage length (miles) . . . . . . . . . . . . . . . </w:t>
            </w:r>
          </w:p>
        </w:tc>
        <w:tc>
          <w:tcPr>
            <w:tcW w:w="1020" w:type="dxa"/>
            <w:gridSpan w:val="2"/>
          </w:tcPr>
          <w:p>
            <w:pPr>
              <w:pStyle w:val="TableParagraph"/>
              <w:spacing w:line="178" w:lineRule="exact"/>
              <w:ind w:left="579"/>
              <w:jc w:val="left"/>
              <w:rPr>
                <w:sz w:val="16"/>
              </w:rPr>
            </w:pPr>
            <w:r>
              <w:rPr>
                <w:color w:val="231F20"/>
                <w:sz w:val="16"/>
              </w:rPr>
              <w:t>693</w:t>
            </w:r>
          </w:p>
        </w:tc>
        <w:tc>
          <w:tcPr>
            <w:tcW w:w="1068" w:type="dxa"/>
          </w:tcPr>
          <w:p>
            <w:pPr>
              <w:pStyle w:val="TableParagraph"/>
              <w:spacing w:line="178" w:lineRule="exact"/>
              <w:ind w:right="185"/>
              <w:rPr>
                <w:sz w:val="16"/>
              </w:rPr>
            </w:pPr>
            <w:r>
              <w:rPr>
                <w:color w:val="231F20"/>
                <w:sz w:val="16"/>
              </w:rPr>
              <w:t>679</w:t>
            </w:r>
          </w:p>
        </w:tc>
        <w:tc>
          <w:tcPr>
            <w:tcW w:w="1039" w:type="dxa"/>
          </w:tcPr>
          <w:p>
            <w:pPr>
              <w:pStyle w:val="TableParagraph"/>
              <w:spacing w:line="178" w:lineRule="exact"/>
              <w:ind w:left="652"/>
              <w:jc w:val="left"/>
              <w:rPr>
                <w:sz w:val="16"/>
              </w:rPr>
            </w:pPr>
            <w:r>
              <w:rPr>
                <w:color w:val="231F20"/>
                <w:sz w:val="16"/>
              </w:rPr>
              <w:t>648</w:t>
            </w:r>
          </w:p>
        </w:tc>
        <w:tc>
          <w:tcPr>
            <w:tcW w:w="1133" w:type="dxa"/>
            <w:gridSpan w:val="2"/>
          </w:tcPr>
          <w:p>
            <w:pPr>
              <w:pStyle w:val="TableParagraph"/>
              <w:spacing w:line="178" w:lineRule="exact"/>
              <w:ind w:left="693"/>
              <w:jc w:val="left"/>
              <w:rPr>
                <w:sz w:val="16"/>
              </w:rPr>
            </w:pPr>
            <w:r>
              <w:rPr>
                <w:color w:val="231F20"/>
                <w:sz w:val="16"/>
              </w:rPr>
              <w:t>639</w:t>
            </w:r>
          </w:p>
        </w:tc>
        <w:tc>
          <w:tcPr>
            <w:tcW w:w="1063" w:type="dxa"/>
            <w:gridSpan w:val="2"/>
          </w:tcPr>
          <w:p>
            <w:pPr>
              <w:pStyle w:val="TableParagraph"/>
              <w:spacing w:line="178" w:lineRule="exact"/>
              <w:ind w:left="639"/>
              <w:jc w:val="left"/>
              <w:rPr>
                <w:sz w:val="16"/>
              </w:rPr>
            </w:pPr>
            <w:r>
              <w:rPr>
                <w:color w:val="231F20"/>
                <w:sz w:val="16"/>
              </w:rPr>
              <w:t>636</w:t>
            </w:r>
          </w:p>
        </w:tc>
      </w:tr>
      <w:tr>
        <w:trPr>
          <w:trHeight w:val="180" w:hRule="exact"/>
        </w:trPr>
        <w:tc>
          <w:tcPr>
            <w:tcW w:w="3970" w:type="dxa"/>
          </w:tcPr>
          <w:p>
            <w:pPr>
              <w:pStyle w:val="TableParagraph"/>
              <w:spacing w:line="178" w:lineRule="exact"/>
              <w:ind w:left="210"/>
              <w:jc w:val="left"/>
              <w:rPr>
                <w:sz w:val="16"/>
              </w:rPr>
            </w:pPr>
            <w:r>
              <w:rPr>
                <w:color w:val="231F20"/>
                <w:sz w:val="16"/>
              </w:rPr>
              <w:t>Trips flown . . . . . . . . . . . . . . . . . . . . . . . . . . . . . . . . . . . </w:t>
            </w:r>
          </w:p>
        </w:tc>
        <w:tc>
          <w:tcPr>
            <w:tcW w:w="1020" w:type="dxa"/>
            <w:gridSpan w:val="2"/>
          </w:tcPr>
          <w:p>
            <w:pPr>
              <w:pStyle w:val="TableParagraph"/>
              <w:spacing w:line="178" w:lineRule="exact"/>
              <w:ind w:left="179"/>
              <w:jc w:val="left"/>
              <w:rPr>
                <w:sz w:val="16"/>
              </w:rPr>
            </w:pPr>
            <w:r>
              <w:rPr>
                <w:color w:val="231F20"/>
                <w:sz w:val="16"/>
              </w:rPr>
              <w:t>1,361,558</w:t>
            </w:r>
          </w:p>
        </w:tc>
        <w:tc>
          <w:tcPr>
            <w:tcW w:w="1068" w:type="dxa"/>
          </w:tcPr>
          <w:p>
            <w:pPr>
              <w:pStyle w:val="TableParagraph"/>
              <w:spacing w:line="178" w:lineRule="exact"/>
              <w:ind w:left="240"/>
              <w:jc w:val="left"/>
              <w:rPr>
                <w:sz w:val="16"/>
              </w:rPr>
            </w:pPr>
            <w:r>
              <w:rPr>
                <w:color w:val="231F20"/>
                <w:sz w:val="16"/>
              </w:rPr>
              <w:t>1,317,977</w:t>
            </w:r>
          </w:p>
        </w:tc>
        <w:tc>
          <w:tcPr>
            <w:tcW w:w="1039" w:type="dxa"/>
          </w:tcPr>
          <w:p>
            <w:pPr>
              <w:pStyle w:val="TableParagraph"/>
              <w:spacing w:line="178" w:lineRule="exact"/>
              <w:ind w:left="252"/>
              <w:jc w:val="left"/>
              <w:rPr>
                <w:sz w:val="16"/>
              </w:rPr>
            </w:pPr>
            <w:r>
              <w:rPr>
                <w:color w:val="231F20"/>
                <w:sz w:val="16"/>
              </w:rPr>
              <w:t>1,114,451</w:t>
            </w:r>
          </w:p>
        </w:tc>
        <w:tc>
          <w:tcPr>
            <w:tcW w:w="1133" w:type="dxa"/>
            <w:gridSpan w:val="2"/>
          </w:tcPr>
          <w:p>
            <w:pPr>
              <w:pStyle w:val="TableParagraph"/>
              <w:spacing w:line="178" w:lineRule="exact"/>
              <w:ind w:left="293"/>
              <w:jc w:val="left"/>
              <w:rPr>
                <w:sz w:val="16"/>
              </w:rPr>
            </w:pPr>
            <w:r>
              <w:rPr>
                <w:color w:val="231F20"/>
                <w:sz w:val="16"/>
              </w:rPr>
              <w:t>1,125,111</w:t>
            </w:r>
          </w:p>
        </w:tc>
        <w:tc>
          <w:tcPr>
            <w:tcW w:w="1063" w:type="dxa"/>
            <w:gridSpan w:val="2"/>
          </w:tcPr>
          <w:p>
            <w:pPr>
              <w:pStyle w:val="TableParagraph"/>
              <w:spacing w:line="178" w:lineRule="exact"/>
              <w:ind w:left="240"/>
              <w:jc w:val="left"/>
              <w:rPr>
                <w:sz w:val="16"/>
              </w:rPr>
            </w:pPr>
            <w:r>
              <w:rPr>
                <w:color w:val="231F20"/>
                <w:sz w:val="16"/>
              </w:rPr>
              <w:t>1,191,151</w:t>
            </w:r>
          </w:p>
        </w:tc>
      </w:tr>
      <w:tr>
        <w:trPr>
          <w:trHeight w:val="180" w:hRule="exact"/>
        </w:trPr>
        <w:tc>
          <w:tcPr>
            <w:tcW w:w="3970" w:type="dxa"/>
          </w:tcPr>
          <w:p>
            <w:pPr>
              <w:pStyle w:val="TableParagraph"/>
              <w:spacing w:line="178" w:lineRule="exact"/>
              <w:ind w:right="19"/>
              <w:rPr>
                <w:sz w:val="16"/>
              </w:rPr>
            </w:pPr>
            <w:r>
              <w:rPr>
                <w:color w:val="231F20"/>
                <w:sz w:val="16"/>
              </w:rPr>
              <w:t>Average passenger fare  . . . . . . . . . . . . . . . . . . . . . . . . .  $</w:t>
            </w:r>
          </w:p>
        </w:tc>
        <w:tc>
          <w:tcPr>
            <w:tcW w:w="1020" w:type="dxa"/>
            <w:gridSpan w:val="2"/>
          </w:tcPr>
          <w:p>
            <w:pPr>
              <w:pStyle w:val="TableParagraph"/>
              <w:spacing w:line="178" w:lineRule="exact"/>
              <w:ind w:left="379"/>
              <w:jc w:val="left"/>
              <w:rPr>
                <w:sz w:val="16"/>
              </w:rPr>
            </w:pPr>
            <w:r>
              <w:rPr>
                <w:color w:val="231F20"/>
                <w:sz w:val="16"/>
              </w:rPr>
              <w:t>147.17</w:t>
            </w:r>
          </w:p>
        </w:tc>
        <w:tc>
          <w:tcPr>
            <w:tcW w:w="1068" w:type="dxa"/>
          </w:tcPr>
          <w:p>
            <w:pPr>
              <w:pStyle w:val="TableParagraph"/>
              <w:tabs>
                <w:tab w:pos="439" w:val="left" w:leader="none"/>
              </w:tabs>
              <w:spacing w:line="178" w:lineRule="exact"/>
              <w:jc w:val="left"/>
              <w:rPr>
                <w:sz w:val="16"/>
              </w:rPr>
            </w:pPr>
            <w:r>
              <w:rPr>
                <w:color w:val="231F20"/>
                <w:sz w:val="16"/>
              </w:rPr>
              <w:t>$</w:t>
              <w:tab/>
              <w:t>141.90</w:t>
            </w:r>
          </w:p>
        </w:tc>
        <w:tc>
          <w:tcPr>
            <w:tcW w:w="1039" w:type="dxa"/>
          </w:tcPr>
          <w:p>
            <w:pPr>
              <w:pStyle w:val="TableParagraph"/>
              <w:tabs>
                <w:tab w:pos="452" w:val="left" w:leader="none"/>
              </w:tabs>
              <w:spacing w:line="178" w:lineRule="exact"/>
              <w:ind w:left="12"/>
              <w:jc w:val="left"/>
              <w:rPr>
                <w:sz w:val="16"/>
              </w:rPr>
            </w:pPr>
            <w:r>
              <w:rPr>
                <w:color w:val="231F20"/>
                <w:sz w:val="16"/>
              </w:rPr>
              <w:t>$</w:t>
              <w:tab/>
              <w:t>130.27</w:t>
            </w:r>
          </w:p>
        </w:tc>
        <w:tc>
          <w:tcPr>
            <w:tcW w:w="1133" w:type="dxa"/>
            <w:gridSpan w:val="2"/>
          </w:tcPr>
          <w:p>
            <w:pPr>
              <w:pStyle w:val="TableParagraph"/>
              <w:tabs>
                <w:tab w:pos="493" w:val="left" w:leader="none"/>
              </w:tabs>
              <w:spacing w:line="178" w:lineRule="exact"/>
              <w:ind w:left="53"/>
              <w:jc w:val="left"/>
              <w:rPr>
                <w:sz w:val="16"/>
              </w:rPr>
            </w:pPr>
            <w:r>
              <w:rPr>
                <w:color w:val="231F20"/>
                <w:sz w:val="16"/>
              </w:rPr>
              <w:t>$</w:t>
              <w:tab/>
              <w:t>114.61</w:t>
            </w:r>
          </w:p>
        </w:tc>
        <w:tc>
          <w:tcPr>
            <w:tcW w:w="1063" w:type="dxa"/>
            <w:gridSpan w:val="2"/>
          </w:tcPr>
          <w:p>
            <w:pPr>
              <w:pStyle w:val="TableParagraph"/>
              <w:tabs>
                <w:tab w:pos="439" w:val="left" w:leader="none"/>
              </w:tabs>
              <w:spacing w:line="178" w:lineRule="exact"/>
              <w:jc w:val="left"/>
              <w:rPr>
                <w:sz w:val="16"/>
              </w:rPr>
            </w:pPr>
            <w:r>
              <w:rPr>
                <w:color w:val="231F20"/>
                <w:sz w:val="16"/>
              </w:rPr>
              <w:t>$</w:t>
              <w:tab/>
              <w:t>119.16</w:t>
            </w:r>
          </w:p>
        </w:tc>
      </w:tr>
      <w:tr>
        <w:trPr>
          <w:trHeight w:val="180" w:hRule="exact"/>
        </w:trPr>
        <w:tc>
          <w:tcPr>
            <w:tcW w:w="3970" w:type="dxa"/>
          </w:tcPr>
          <w:p>
            <w:pPr>
              <w:pStyle w:val="TableParagraph"/>
              <w:spacing w:line="178" w:lineRule="exact"/>
              <w:ind w:left="210"/>
              <w:jc w:val="left"/>
              <w:rPr>
                <w:sz w:val="16"/>
              </w:rPr>
            </w:pPr>
            <w:r>
              <w:rPr>
                <w:color w:val="231F20"/>
                <w:sz w:val="16"/>
              </w:rPr>
              <w:t>Passenger revenue yield per RPM (cents) (4)  . . . . . . . . </w:t>
            </w:r>
          </w:p>
        </w:tc>
        <w:tc>
          <w:tcPr>
            <w:tcW w:w="1020" w:type="dxa"/>
            <w:gridSpan w:val="2"/>
          </w:tcPr>
          <w:p>
            <w:pPr>
              <w:pStyle w:val="TableParagraph"/>
              <w:spacing w:line="178" w:lineRule="exact"/>
              <w:ind w:left="459"/>
              <w:jc w:val="left"/>
              <w:rPr>
                <w:sz w:val="16"/>
              </w:rPr>
            </w:pPr>
            <w:r>
              <w:rPr>
                <w:color w:val="231F20"/>
                <w:sz w:val="16"/>
              </w:rPr>
              <w:t>15.64</w:t>
            </w:r>
          </w:p>
        </w:tc>
        <w:tc>
          <w:tcPr>
            <w:tcW w:w="1068" w:type="dxa"/>
          </w:tcPr>
          <w:p>
            <w:pPr>
              <w:pStyle w:val="TableParagraph"/>
              <w:spacing w:line="178" w:lineRule="exact"/>
              <w:ind w:right="185"/>
              <w:rPr>
                <w:sz w:val="16"/>
              </w:rPr>
            </w:pPr>
            <w:r>
              <w:rPr>
                <w:color w:val="231F20"/>
                <w:sz w:val="16"/>
              </w:rPr>
              <w:t>15.12</w:t>
            </w:r>
          </w:p>
        </w:tc>
        <w:tc>
          <w:tcPr>
            <w:tcW w:w="1039" w:type="dxa"/>
          </w:tcPr>
          <w:p>
            <w:pPr>
              <w:pStyle w:val="TableParagraph"/>
              <w:spacing w:line="178" w:lineRule="exact"/>
              <w:ind w:left="532"/>
              <w:jc w:val="left"/>
              <w:rPr>
                <w:sz w:val="16"/>
              </w:rPr>
            </w:pPr>
            <w:r>
              <w:rPr>
                <w:color w:val="231F20"/>
                <w:sz w:val="16"/>
              </w:rPr>
              <w:t>14.72</w:t>
            </w:r>
          </w:p>
        </w:tc>
        <w:tc>
          <w:tcPr>
            <w:tcW w:w="1133" w:type="dxa"/>
            <w:gridSpan w:val="2"/>
          </w:tcPr>
          <w:p>
            <w:pPr>
              <w:pStyle w:val="TableParagraph"/>
              <w:spacing w:line="178" w:lineRule="exact"/>
              <w:ind w:left="573"/>
              <w:jc w:val="left"/>
              <w:rPr>
                <w:sz w:val="16"/>
              </w:rPr>
            </w:pPr>
            <w:r>
              <w:rPr>
                <w:color w:val="231F20"/>
                <w:sz w:val="16"/>
              </w:rPr>
              <w:t>13.29</w:t>
            </w:r>
          </w:p>
        </w:tc>
        <w:tc>
          <w:tcPr>
            <w:tcW w:w="1063" w:type="dxa"/>
            <w:gridSpan w:val="2"/>
          </w:tcPr>
          <w:p>
            <w:pPr>
              <w:pStyle w:val="TableParagraph"/>
              <w:spacing w:line="178" w:lineRule="exact"/>
              <w:ind w:left="519"/>
              <w:jc w:val="left"/>
              <w:rPr>
                <w:sz w:val="16"/>
              </w:rPr>
            </w:pPr>
            <w:r>
              <w:rPr>
                <w:color w:val="231F20"/>
                <w:sz w:val="16"/>
              </w:rPr>
              <w:t>14.35</w:t>
            </w:r>
          </w:p>
        </w:tc>
      </w:tr>
      <w:tr>
        <w:trPr>
          <w:trHeight w:val="180" w:hRule="exact"/>
        </w:trPr>
        <w:tc>
          <w:tcPr>
            <w:tcW w:w="3970" w:type="dxa"/>
          </w:tcPr>
          <w:p>
            <w:pPr>
              <w:pStyle w:val="TableParagraph"/>
              <w:spacing w:line="178" w:lineRule="exact"/>
              <w:ind w:left="210"/>
              <w:jc w:val="left"/>
              <w:rPr>
                <w:sz w:val="16"/>
              </w:rPr>
            </w:pPr>
            <w:r>
              <w:rPr>
                <w:color w:val="231F20"/>
                <w:sz w:val="16"/>
              </w:rPr>
              <w:t>Operating revenue per ASM (cents) (5) . . . . . . . . . . . . . </w:t>
            </w:r>
          </w:p>
        </w:tc>
        <w:tc>
          <w:tcPr>
            <w:tcW w:w="1020" w:type="dxa"/>
            <w:gridSpan w:val="2"/>
          </w:tcPr>
          <w:p>
            <w:pPr>
              <w:pStyle w:val="TableParagraph"/>
              <w:spacing w:line="178" w:lineRule="exact"/>
              <w:ind w:left="459"/>
              <w:jc w:val="left"/>
              <w:rPr>
                <w:sz w:val="16"/>
              </w:rPr>
            </w:pPr>
            <w:r>
              <w:rPr>
                <w:color w:val="231F20"/>
                <w:sz w:val="16"/>
              </w:rPr>
              <w:t>13.34</w:t>
            </w:r>
          </w:p>
        </w:tc>
        <w:tc>
          <w:tcPr>
            <w:tcW w:w="1068" w:type="dxa"/>
          </w:tcPr>
          <w:p>
            <w:pPr>
              <w:pStyle w:val="TableParagraph"/>
              <w:spacing w:line="178" w:lineRule="exact"/>
              <w:ind w:right="185"/>
              <w:rPr>
                <w:sz w:val="16"/>
              </w:rPr>
            </w:pPr>
            <w:r>
              <w:rPr>
                <w:color w:val="231F20"/>
                <w:sz w:val="16"/>
              </w:rPr>
              <w:t>12.99</w:t>
            </w:r>
          </w:p>
        </w:tc>
        <w:tc>
          <w:tcPr>
            <w:tcW w:w="1039" w:type="dxa"/>
          </w:tcPr>
          <w:p>
            <w:pPr>
              <w:pStyle w:val="TableParagraph"/>
              <w:spacing w:line="178" w:lineRule="exact"/>
              <w:ind w:left="532"/>
              <w:jc w:val="left"/>
              <w:rPr>
                <w:sz w:val="16"/>
              </w:rPr>
            </w:pPr>
            <w:r>
              <w:rPr>
                <w:color w:val="231F20"/>
                <w:sz w:val="16"/>
              </w:rPr>
              <w:t>12.30</w:t>
            </w:r>
          </w:p>
        </w:tc>
        <w:tc>
          <w:tcPr>
            <w:tcW w:w="1133" w:type="dxa"/>
            <w:gridSpan w:val="2"/>
          </w:tcPr>
          <w:p>
            <w:pPr>
              <w:pStyle w:val="TableParagraph"/>
              <w:spacing w:line="178" w:lineRule="exact"/>
              <w:ind w:left="573"/>
              <w:jc w:val="left"/>
              <w:rPr>
                <w:sz w:val="16"/>
              </w:rPr>
            </w:pPr>
            <w:r>
              <w:rPr>
                <w:color w:val="231F20"/>
                <w:sz w:val="16"/>
              </w:rPr>
              <w:t>10.56</w:t>
            </w:r>
          </w:p>
        </w:tc>
        <w:tc>
          <w:tcPr>
            <w:tcW w:w="1063" w:type="dxa"/>
            <w:gridSpan w:val="2"/>
          </w:tcPr>
          <w:p>
            <w:pPr>
              <w:pStyle w:val="TableParagraph"/>
              <w:spacing w:line="178" w:lineRule="exact"/>
              <w:ind w:left="519"/>
              <w:jc w:val="left"/>
              <w:rPr>
                <w:sz w:val="16"/>
              </w:rPr>
            </w:pPr>
            <w:r>
              <w:rPr>
                <w:color w:val="231F20"/>
                <w:sz w:val="16"/>
              </w:rPr>
              <w:t>10.67</w:t>
            </w:r>
          </w:p>
        </w:tc>
      </w:tr>
      <w:tr>
        <w:trPr>
          <w:trHeight w:val="180" w:hRule="exact"/>
        </w:trPr>
        <w:tc>
          <w:tcPr>
            <w:tcW w:w="3970" w:type="dxa"/>
          </w:tcPr>
          <w:p>
            <w:pPr>
              <w:pStyle w:val="TableParagraph"/>
              <w:spacing w:line="178" w:lineRule="exact"/>
              <w:ind w:left="210"/>
              <w:jc w:val="left"/>
              <w:rPr>
                <w:sz w:val="16"/>
              </w:rPr>
            </w:pPr>
            <w:r>
              <w:rPr>
                <w:color w:val="231F20"/>
                <w:sz w:val="16"/>
              </w:rPr>
              <w:t>Passenger revenue per ASM (cents) (6) . . . . . . . . . . . . . </w:t>
            </w:r>
          </w:p>
        </w:tc>
        <w:tc>
          <w:tcPr>
            <w:tcW w:w="1020" w:type="dxa"/>
            <w:gridSpan w:val="2"/>
          </w:tcPr>
          <w:p>
            <w:pPr>
              <w:pStyle w:val="TableParagraph"/>
              <w:spacing w:line="178" w:lineRule="exact"/>
              <w:ind w:left="459"/>
              <w:jc w:val="left"/>
              <w:rPr>
                <w:sz w:val="16"/>
              </w:rPr>
            </w:pPr>
            <w:r>
              <w:rPr>
                <w:color w:val="231F20"/>
                <w:sz w:val="16"/>
              </w:rPr>
              <w:t>12.56</w:t>
            </w:r>
          </w:p>
        </w:tc>
        <w:tc>
          <w:tcPr>
            <w:tcW w:w="1068" w:type="dxa"/>
          </w:tcPr>
          <w:p>
            <w:pPr>
              <w:pStyle w:val="TableParagraph"/>
              <w:spacing w:line="178" w:lineRule="exact"/>
              <w:ind w:right="185"/>
              <w:rPr>
                <w:sz w:val="16"/>
              </w:rPr>
            </w:pPr>
            <w:r>
              <w:rPr>
                <w:color w:val="231F20"/>
                <w:sz w:val="16"/>
              </w:rPr>
              <w:t>12.24</w:t>
            </w:r>
          </w:p>
        </w:tc>
        <w:tc>
          <w:tcPr>
            <w:tcW w:w="1039" w:type="dxa"/>
          </w:tcPr>
          <w:p>
            <w:pPr>
              <w:pStyle w:val="TableParagraph"/>
              <w:spacing w:line="178" w:lineRule="exact"/>
              <w:ind w:left="532"/>
              <w:jc w:val="left"/>
              <w:rPr>
                <w:sz w:val="16"/>
              </w:rPr>
            </w:pPr>
            <w:r>
              <w:rPr>
                <w:color w:val="231F20"/>
                <w:sz w:val="16"/>
              </w:rPr>
              <w:t>11.67</w:t>
            </w:r>
          </w:p>
        </w:tc>
        <w:tc>
          <w:tcPr>
            <w:tcW w:w="1133" w:type="dxa"/>
            <w:gridSpan w:val="2"/>
          </w:tcPr>
          <w:p>
            <w:pPr>
              <w:pStyle w:val="TableParagraph"/>
              <w:spacing w:line="178" w:lineRule="exact"/>
              <w:ind w:left="573"/>
              <w:jc w:val="left"/>
              <w:rPr>
                <w:sz w:val="16"/>
              </w:rPr>
            </w:pPr>
            <w:r>
              <w:rPr>
                <w:color w:val="231F20"/>
                <w:sz w:val="16"/>
              </w:rPr>
              <w:t>10.09</w:t>
            </w:r>
          </w:p>
        </w:tc>
        <w:tc>
          <w:tcPr>
            <w:tcW w:w="1063" w:type="dxa"/>
            <w:gridSpan w:val="2"/>
          </w:tcPr>
          <w:p>
            <w:pPr>
              <w:pStyle w:val="TableParagraph"/>
              <w:spacing w:line="178" w:lineRule="exact"/>
              <w:ind w:left="519"/>
              <w:jc w:val="left"/>
              <w:rPr>
                <w:sz w:val="16"/>
              </w:rPr>
            </w:pPr>
            <w:r>
              <w:rPr>
                <w:color w:val="231F20"/>
                <w:sz w:val="16"/>
              </w:rPr>
              <w:t>10.21</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(cents) (7) . . . . . . . . . . . . </w:t>
            </w:r>
          </w:p>
        </w:tc>
        <w:tc>
          <w:tcPr>
            <w:tcW w:w="1020" w:type="dxa"/>
            <w:gridSpan w:val="2"/>
          </w:tcPr>
          <w:p>
            <w:pPr>
              <w:pStyle w:val="TableParagraph"/>
              <w:spacing w:line="178" w:lineRule="exact"/>
              <w:ind w:left="459"/>
              <w:jc w:val="left"/>
              <w:rPr>
                <w:sz w:val="16"/>
              </w:rPr>
            </w:pPr>
            <w:r>
              <w:rPr>
                <w:color w:val="231F20"/>
                <w:sz w:val="16"/>
              </w:rPr>
              <w:t>12.85</w:t>
            </w:r>
          </w:p>
        </w:tc>
        <w:tc>
          <w:tcPr>
            <w:tcW w:w="1068" w:type="dxa"/>
          </w:tcPr>
          <w:p>
            <w:pPr>
              <w:pStyle w:val="TableParagraph"/>
              <w:spacing w:line="178" w:lineRule="exact"/>
              <w:ind w:right="185"/>
              <w:rPr>
                <w:sz w:val="16"/>
              </w:rPr>
            </w:pPr>
            <w:r>
              <w:rPr>
                <w:color w:val="231F20"/>
                <w:sz w:val="16"/>
              </w:rPr>
              <w:t>12.41</w:t>
            </w:r>
          </w:p>
        </w:tc>
        <w:tc>
          <w:tcPr>
            <w:tcW w:w="1039" w:type="dxa"/>
          </w:tcPr>
          <w:p>
            <w:pPr>
              <w:pStyle w:val="TableParagraph"/>
              <w:spacing w:line="178" w:lineRule="exact"/>
              <w:ind w:left="532"/>
              <w:jc w:val="left"/>
              <w:rPr>
                <w:sz w:val="16"/>
              </w:rPr>
            </w:pPr>
            <w:r>
              <w:rPr>
                <w:color w:val="231F20"/>
                <w:sz w:val="16"/>
              </w:rPr>
              <w:t>11.29</w:t>
            </w:r>
          </w:p>
        </w:tc>
        <w:tc>
          <w:tcPr>
            <w:tcW w:w="1133" w:type="dxa"/>
            <w:gridSpan w:val="2"/>
          </w:tcPr>
          <w:p>
            <w:pPr>
              <w:pStyle w:val="TableParagraph"/>
              <w:spacing w:line="178" w:lineRule="exact"/>
              <w:ind w:left="573"/>
              <w:jc w:val="left"/>
              <w:rPr>
                <w:sz w:val="16"/>
              </w:rPr>
            </w:pPr>
            <w:r>
              <w:rPr>
                <w:color w:val="231F20"/>
                <w:sz w:val="16"/>
              </w:rPr>
              <w:t>10.29</w:t>
            </w:r>
          </w:p>
        </w:tc>
        <w:tc>
          <w:tcPr>
            <w:tcW w:w="1063" w:type="dxa"/>
            <w:gridSpan w:val="2"/>
          </w:tcPr>
          <w:p>
            <w:pPr>
              <w:pStyle w:val="TableParagraph"/>
              <w:spacing w:line="178" w:lineRule="exact"/>
              <w:ind w:left="519"/>
              <w:jc w:val="left"/>
              <w:rPr>
                <w:sz w:val="16"/>
              </w:rPr>
            </w:pPr>
            <w:r>
              <w:rPr>
                <w:color w:val="231F20"/>
                <w:sz w:val="16"/>
              </w:rPr>
              <w:t>10.24</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excluding fuel (cents)  . .</w:t>
            </w:r>
          </w:p>
        </w:tc>
        <w:tc>
          <w:tcPr>
            <w:tcW w:w="1020" w:type="dxa"/>
            <w:gridSpan w:val="2"/>
          </w:tcPr>
          <w:p>
            <w:pPr>
              <w:pStyle w:val="TableParagraph"/>
              <w:spacing w:line="178" w:lineRule="exact"/>
              <w:ind w:left="540"/>
              <w:jc w:val="left"/>
              <w:rPr>
                <w:sz w:val="16"/>
              </w:rPr>
            </w:pPr>
            <w:r>
              <w:rPr>
                <w:color w:val="231F20"/>
                <w:sz w:val="16"/>
              </w:rPr>
              <w:t>8.07</w:t>
            </w:r>
          </w:p>
        </w:tc>
        <w:tc>
          <w:tcPr>
            <w:tcW w:w="1068" w:type="dxa"/>
          </w:tcPr>
          <w:p>
            <w:pPr>
              <w:pStyle w:val="TableParagraph"/>
              <w:spacing w:line="178" w:lineRule="exact"/>
              <w:ind w:right="185"/>
              <w:rPr>
                <w:sz w:val="16"/>
              </w:rPr>
            </w:pPr>
            <w:r>
              <w:rPr>
                <w:color w:val="231F20"/>
                <w:sz w:val="16"/>
              </w:rPr>
              <w:t>7.73</w:t>
            </w:r>
          </w:p>
        </w:tc>
        <w:tc>
          <w:tcPr>
            <w:tcW w:w="1039" w:type="dxa"/>
          </w:tcPr>
          <w:p>
            <w:pPr>
              <w:pStyle w:val="TableParagraph"/>
              <w:spacing w:line="178" w:lineRule="exact"/>
              <w:ind w:left="612"/>
              <w:jc w:val="left"/>
              <w:rPr>
                <w:sz w:val="16"/>
              </w:rPr>
            </w:pPr>
            <w:r>
              <w:rPr>
                <w:color w:val="231F20"/>
                <w:sz w:val="16"/>
              </w:rPr>
              <w:t>7.61</w:t>
            </w:r>
          </w:p>
        </w:tc>
        <w:tc>
          <w:tcPr>
            <w:tcW w:w="1133" w:type="dxa"/>
            <w:gridSpan w:val="2"/>
          </w:tcPr>
          <w:p>
            <w:pPr>
              <w:pStyle w:val="TableParagraph"/>
              <w:spacing w:line="178" w:lineRule="exact"/>
              <w:ind w:left="653"/>
              <w:jc w:val="left"/>
              <w:rPr>
                <w:sz w:val="16"/>
              </w:rPr>
            </w:pPr>
            <w:r>
              <w:rPr>
                <w:color w:val="231F20"/>
                <w:sz w:val="16"/>
              </w:rPr>
              <w:t>7.18</w:t>
            </w:r>
          </w:p>
        </w:tc>
        <w:tc>
          <w:tcPr>
            <w:tcW w:w="1063" w:type="dxa"/>
            <w:gridSpan w:val="2"/>
          </w:tcPr>
          <w:p>
            <w:pPr>
              <w:pStyle w:val="TableParagraph"/>
              <w:spacing w:line="178" w:lineRule="exact"/>
              <w:ind w:left="600"/>
              <w:jc w:val="left"/>
              <w:rPr>
                <w:sz w:val="16"/>
              </w:rPr>
            </w:pPr>
            <w:r>
              <w:rPr>
                <w:color w:val="231F20"/>
                <w:sz w:val="16"/>
              </w:rPr>
              <w:t>6.64</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excluding fuel and</w:t>
            </w:r>
          </w:p>
        </w:tc>
        <w:tc>
          <w:tcPr>
            <w:tcW w:w="1020" w:type="dxa"/>
            <w:gridSpan w:val="2"/>
          </w:tcPr>
          <w:p>
            <w:pPr/>
          </w:p>
        </w:tc>
        <w:tc>
          <w:tcPr>
            <w:tcW w:w="1068" w:type="dxa"/>
          </w:tcPr>
          <w:p>
            <w:pPr/>
          </w:p>
        </w:tc>
        <w:tc>
          <w:tcPr>
            <w:tcW w:w="1039" w:type="dxa"/>
          </w:tcPr>
          <w:p>
            <w:pPr/>
          </w:p>
        </w:tc>
        <w:tc>
          <w:tcPr>
            <w:tcW w:w="1133" w:type="dxa"/>
            <w:gridSpan w:val="2"/>
          </w:tcPr>
          <w:p>
            <w:pPr/>
          </w:p>
        </w:tc>
        <w:tc>
          <w:tcPr>
            <w:tcW w:w="1063" w:type="dxa"/>
            <w:gridSpan w:val="2"/>
          </w:tcPr>
          <w:p>
            <w:pPr/>
          </w:p>
        </w:tc>
      </w:tr>
      <w:tr>
        <w:trPr>
          <w:trHeight w:val="180" w:hRule="exact"/>
        </w:trPr>
        <w:tc>
          <w:tcPr>
            <w:tcW w:w="3970" w:type="dxa"/>
          </w:tcPr>
          <w:p>
            <w:pPr>
              <w:pStyle w:val="TableParagraph"/>
              <w:spacing w:line="178" w:lineRule="exact"/>
              <w:ind w:left="370"/>
              <w:jc w:val="left"/>
              <w:rPr>
                <w:sz w:val="16"/>
              </w:rPr>
            </w:pPr>
            <w:r>
              <w:rPr>
                <w:color w:val="231F20"/>
                <w:sz w:val="16"/>
              </w:rPr>
              <w:t>profitsharing (cents)  . . . . . . . . . . . . . . . . . . . . . . . . . . </w:t>
            </w:r>
          </w:p>
        </w:tc>
        <w:tc>
          <w:tcPr>
            <w:tcW w:w="1020" w:type="dxa"/>
            <w:gridSpan w:val="2"/>
          </w:tcPr>
          <w:p>
            <w:pPr>
              <w:pStyle w:val="TableParagraph"/>
              <w:spacing w:line="178" w:lineRule="exact"/>
              <w:ind w:left="539"/>
              <w:jc w:val="left"/>
              <w:rPr>
                <w:sz w:val="16"/>
              </w:rPr>
            </w:pPr>
            <w:r>
              <w:rPr>
                <w:color w:val="231F20"/>
                <w:sz w:val="16"/>
              </w:rPr>
              <w:t>7.98</w:t>
            </w:r>
          </w:p>
        </w:tc>
        <w:tc>
          <w:tcPr>
            <w:tcW w:w="1068" w:type="dxa"/>
          </w:tcPr>
          <w:p>
            <w:pPr>
              <w:pStyle w:val="TableParagraph"/>
              <w:spacing w:line="178" w:lineRule="exact"/>
              <w:ind w:right="185"/>
              <w:rPr>
                <w:sz w:val="16"/>
              </w:rPr>
            </w:pPr>
            <w:r>
              <w:rPr>
                <w:color w:val="231F20"/>
                <w:sz w:val="16"/>
              </w:rPr>
              <w:t>7.65</w:t>
            </w:r>
          </w:p>
        </w:tc>
        <w:tc>
          <w:tcPr>
            <w:tcW w:w="1039" w:type="dxa"/>
          </w:tcPr>
          <w:p>
            <w:pPr>
              <w:pStyle w:val="TableParagraph"/>
              <w:spacing w:line="178" w:lineRule="exact"/>
              <w:ind w:left="612"/>
              <w:jc w:val="left"/>
              <w:rPr>
                <w:sz w:val="16"/>
              </w:rPr>
            </w:pPr>
            <w:r>
              <w:rPr>
                <w:color w:val="231F20"/>
                <w:sz w:val="16"/>
              </w:rPr>
              <w:t>7.45</w:t>
            </w:r>
          </w:p>
        </w:tc>
        <w:tc>
          <w:tcPr>
            <w:tcW w:w="1133" w:type="dxa"/>
            <w:gridSpan w:val="2"/>
          </w:tcPr>
          <w:p>
            <w:pPr>
              <w:pStyle w:val="TableParagraph"/>
              <w:spacing w:line="178" w:lineRule="exact"/>
              <w:ind w:left="653"/>
              <w:jc w:val="left"/>
              <w:rPr>
                <w:sz w:val="16"/>
              </w:rPr>
            </w:pPr>
            <w:r>
              <w:rPr>
                <w:color w:val="231F20"/>
                <w:sz w:val="16"/>
              </w:rPr>
              <w:t>7.15</w:t>
            </w:r>
          </w:p>
        </w:tc>
        <w:tc>
          <w:tcPr>
            <w:tcW w:w="1063" w:type="dxa"/>
            <w:gridSpan w:val="2"/>
          </w:tcPr>
          <w:p>
            <w:pPr>
              <w:pStyle w:val="TableParagraph"/>
              <w:spacing w:line="178" w:lineRule="exact"/>
              <w:ind w:left="599"/>
              <w:jc w:val="left"/>
              <w:rPr>
                <w:sz w:val="16"/>
              </w:rPr>
            </w:pPr>
            <w:r>
              <w:rPr>
                <w:color w:val="231F20"/>
                <w:sz w:val="16"/>
              </w:rPr>
              <w:t>6.56</w:t>
            </w:r>
          </w:p>
        </w:tc>
      </w:tr>
      <w:tr>
        <w:trPr>
          <w:trHeight w:val="180" w:hRule="exact"/>
        </w:trPr>
        <w:tc>
          <w:tcPr>
            <w:tcW w:w="3970" w:type="dxa"/>
          </w:tcPr>
          <w:p>
            <w:pPr>
              <w:pStyle w:val="TableParagraph"/>
              <w:spacing w:line="178" w:lineRule="exact"/>
              <w:ind w:right="18"/>
              <w:rPr>
                <w:sz w:val="16"/>
              </w:rPr>
            </w:pPr>
            <w:r>
              <w:rPr>
                <w:color w:val="231F20"/>
                <w:sz w:val="16"/>
              </w:rPr>
              <w:t>Fuel costs per gallon, including fuel tax   . . . . . . . . . . . .  $</w:t>
            </w:r>
          </w:p>
        </w:tc>
        <w:tc>
          <w:tcPr>
            <w:tcW w:w="1020" w:type="dxa"/>
            <w:gridSpan w:val="2"/>
          </w:tcPr>
          <w:p>
            <w:pPr>
              <w:pStyle w:val="TableParagraph"/>
              <w:spacing w:line="178" w:lineRule="exact"/>
              <w:ind w:left="539"/>
              <w:jc w:val="left"/>
              <w:rPr>
                <w:sz w:val="16"/>
              </w:rPr>
            </w:pPr>
            <w:r>
              <w:rPr>
                <w:color w:val="231F20"/>
                <w:sz w:val="16"/>
              </w:rPr>
              <w:t>3.30</w:t>
            </w:r>
          </w:p>
        </w:tc>
        <w:tc>
          <w:tcPr>
            <w:tcW w:w="1068" w:type="dxa"/>
          </w:tcPr>
          <w:p>
            <w:pPr>
              <w:pStyle w:val="TableParagraph"/>
              <w:tabs>
                <w:tab w:pos="599" w:val="left" w:leader="none"/>
              </w:tabs>
              <w:spacing w:line="178" w:lineRule="exact"/>
              <w:ind w:left="-1"/>
              <w:jc w:val="left"/>
              <w:rPr>
                <w:sz w:val="16"/>
              </w:rPr>
            </w:pPr>
            <w:r>
              <w:rPr>
                <w:color w:val="231F20"/>
                <w:sz w:val="16"/>
              </w:rPr>
              <w:t>$</w:t>
              <w:tab/>
              <w:t>3.19</w:t>
            </w:r>
          </w:p>
        </w:tc>
        <w:tc>
          <w:tcPr>
            <w:tcW w:w="1039" w:type="dxa"/>
          </w:tcPr>
          <w:p>
            <w:pPr>
              <w:pStyle w:val="TableParagraph"/>
              <w:tabs>
                <w:tab w:pos="612" w:val="left" w:leader="none"/>
              </w:tabs>
              <w:spacing w:line="178" w:lineRule="exact"/>
              <w:ind w:left="12"/>
              <w:jc w:val="left"/>
              <w:rPr>
                <w:sz w:val="16"/>
              </w:rPr>
            </w:pPr>
            <w:r>
              <w:rPr>
                <w:color w:val="231F20"/>
                <w:sz w:val="16"/>
              </w:rPr>
              <w:t>$</w:t>
              <w:tab/>
              <w:t>2.51</w:t>
            </w:r>
          </w:p>
        </w:tc>
        <w:tc>
          <w:tcPr>
            <w:tcW w:w="1133" w:type="dxa"/>
            <w:gridSpan w:val="2"/>
          </w:tcPr>
          <w:p>
            <w:pPr>
              <w:pStyle w:val="TableParagraph"/>
              <w:tabs>
                <w:tab w:pos="653" w:val="left" w:leader="none"/>
              </w:tabs>
              <w:spacing w:line="178" w:lineRule="exact"/>
              <w:ind w:left="53"/>
              <w:jc w:val="left"/>
              <w:rPr>
                <w:sz w:val="16"/>
              </w:rPr>
            </w:pPr>
            <w:r>
              <w:rPr>
                <w:color w:val="231F20"/>
                <w:sz w:val="16"/>
              </w:rPr>
              <w:t>$</w:t>
              <w:tab/>
              <w:t>2.12</w:t>
            </w:r>
          </w:p>
        </w:tc>
        <w:tc>
          <w:tcPr>
            <w:tcW w:w="1063" w:type="dxa"/>
            <w:gridSpan w:val="2"/>
          </w:tcPr>
          <w:p>
            <w:pPr>
              <w:pStyle w:val="TableParagraph"/>
              <w:tabs>
                <w:tab w:pos="599" w:val="left" w:leader="none"/>
              </w:tabs>
              <w:spacing w:line="178" w:lineRule="exact"/>
              <w:ind w:left="-1"/>
              <w:jc w:val="left"/>
              <w:rPr>
                <w:sz w:val="16"/>
              </w:rPr>
            </w:pPr>
            <w:r>
              <w:rPr>
                <w:color w:val="231F20"/>
                <w:sz w:val="16"/>
              </w:rPr>
              <w:t>$</w:t>
              <w:tab/>
              <w:t>2.44</w:t>
            </w:r>
          </w:p>
        </w:tc>
      </w:tr>
      <w:tr>
        <w:trPr>
          <w:trHeight w:val="180" w:hRule="exact"/>
        </w:trPr>
        <w:tc>
          <w:tcPr>
            <w:tcW w:w="3970" w:type="dxa"/>
          </w:tcPr>
          <w:p>
            <w:pPr>
              <w:pStyle w:val="TableParagraph"/>
              <w:spacing w:line="178" w:lineRule="exact"/>
              <w:ind w:left="210"/>
              <w:jc w:val="left"/>
              <w:rPr>
                <w:sz w:val="16"/>
              </w:rPr>
            </w:pPr>
            <w:r>
              <w:rPr>
                <w:color w:val="231F20"/>
                <w:sz w:val="16"/>
              </w:rPr>
              <w:t>Fuel costs per gallon, including fuel tax, economic . . . . </w:t>
            </w:r>
          </w:p>
        </w:tc>
        <w:tc>
          <w:tcPr>
            <w:tcW w:w="1020" w:type="dxa"/>
            <w:gridSpan w:val="2"/>
          </w:tcPr>
          <w:p>
            <w:pPr>
              <w:pStyle w:val="TableParagraph"/>
              <w:spacing w:line="178" w:lineRule="exact"/>
              <w:ind w:left="539"/>
              <w:jc w:val="left"/>
              <w:rPr>
                <w:sz w:val="16"/>
              </w:rPr>
            </w:pPr>
            <w:r>
              <w:rPr>
                <w:color w:val="231F20"/>
                <w:sz w:val="16"/>
              </w:rPr>
              <w:t>3.28</w:t>
            </w:r>
          </w:p>
        </w:tc>
        <w:tc>
          <w:tcPr>
            <w:tcW w:w="1068" w:type="dxa"/>
          </w:tcPr>
          <w:p>
            <w:pPr>
              <w:pStyle w:val="TableParagraph"/>
              <w:spacing w:line="178" w:lineRule="exact"/>
              <w:ind w:right="185"/>
              <w:rPr>
                <w:sz w:val="16"/>
              </w:rPr>
            </w:pPr>
            <w:r>
              <w:rPr>
                <w:color w:val="231F20"/>
                <w:sz w:val="16"/>
              </w:rPr>
              <w:t>3.19</w:t>
            </w:r>
          </w:p>
        </w:tc>
        <w:tc>
          <w:tcPr>
            <w:tcW w:w="1039" w:type="dxa"/>
          </w:tcPr>
          <w:p>
            <w:pPr>
              <w:pStyle w:val="TableParagraph"/>
              <w:spacing w:line="178" w:lineRule="exact"/>
              <w:ind w:left="612"/>
              <w:jc w:val="left"/>
              <w:rPr>
                <w:sz w:val="16"/>
              </w:rPr>
            </w:pPr>
            <w:r>
              <w:rPr>
                <w:color w:val="231F20"/>
                <w:sz w:val="16"/>
              </w:rPr>
              <w:t>2.39</w:t>
            </w:r>
          </w:p>
        </w:tc>
        <w:tc>
          <w:tcPr>
            <w:tcW w:w="1133" w:type="dxa"/>
            <w:gridSpan w:val="2"/>
          </w:tcPr>
          <w:p>
            <w:pPr>
              <w:pStyle w:val="TableParagraph"/>
              <w:spacing w:line="178" w:lineRule="exact"/>
              <w:ind w:left="653"/>
              <w:jc w:val="left"/>
              <w:rPr>
                <w:sz w:val="16"/>
              </w:rPr>
            </w:pPr>
            <w:r>
              <w:rPr>
                <w:color w:val="231F20"/>
                <w:sz w:val="16"/>
              </w:rPr>
              <w:t>1.97</w:t>
            </w:r>
          </w:p>
        </w:tc>
        <w:tc>
          <w:tcPr>
            <w:tcW w:w="1063" w:type="dxa"/>
            <w:gridSpan w:val="2"/>
          </w:tcPr>
          <w:p>
            <w:pPr>
              <w:pStyle w:val="TableParagraph"/>
              <w:spacing w:line="178" w:lineRule="exact"/>
              <w:ind w:left="599"/>
              <w:jc w:val="left"/>
              <w:rPr>
                <w:sz w:val="16"/>
              </w:rPr>
            </w:pPr>
            <w:r>
              <w:rPr>
                <w:color w:val="231F20"/>
                <w:sz w:val="16"/>
              </w:rPr>
              <w:t>2.32</w:t>
            </w:r>
          </w:p>
        </w:tc>
      </w:tr>
      <w:tr>
        <w:trPr>
          <w:trHeight w:val="180" w:hRule="exact"/>
        </w:trPr>
        <w:tc>
          <w:tcPr>
            <w:tcW w:w="3970" w:type="dxa"/>
          </w:tcPr>
          <w:p>
            <w:pPr>
              <w:pStyle w:val="TableParagraph"/>
              <w:spacing w:line="178" w:lineRule="exact"/>
              <w:ind w:left="210"/>
              <w:jc w:val="left"/>
              <w:rPr>
                <w:sz w:val="16"/>
              </w:rPr>
            </w:pPr>
            <w:r>
              <w:rPr>
                <w:color w:val="231F20"/>
                <w:sz w:val="16"/>
              </w:rPr>
              <w:t>Fuel consumed, in gallons (millions) . . . . . . . . . . . . . . . </w:t>
            </w:r>
          </w:p>
        </w:tc>
        <w:tc>
          <w:tcPr>
            <w:tcW w:w="1020" w:type="dxa"/>
            <w:gridSpan w:val="2"/>
          </w:tcPr>
          <w:p>
            <w:pPr>
              <w:pStyle w:val="TableParagraph"/>
              <w:spacing w:line="178" w:lineRule="exact"/>
              <w:ind w:left="459"/>
              <w:jc w:val="left"/>
              <w:rPr>
                <w:sz w:val="16"/>
              </w:rPr>
            </w:pPr>
            <w:r>
              <w:rPr>
                <w:color w:val="231F20"/>
                <w:sz w:val="16"/>
              </w:rPr>
              <w:t>1,847</w:t>
            </w:r>
          </w:p>
        </w:tc>
        <w:tc>
          <w:tcPr>
            <w:tcW w:w="1068" w:type="dxa"/>
          </w:tcPr>
          <w:p>
            <w:pPr>
              <w:pStyle w:val="TableParagraph"/>
              <w:spacing w:line="178" w:lineRule="exact"/>
              <w:ind w:right="185"/>
              <w:rPr>
                <w:sz w:val="16"/>
              </w:rPr>
            </w:pPr>
            <w:r>
              <w:rPr>
                <w:color w:val="231F20"/>
                <w:sz w:val="16"/>
              </w:rPr>
              <w:t>1,764</w:t>
            </w:r>
          </w:p>
        </w:tc>
        <w:tc>
          <w:tcPr>
            <w:tcW w:w="1039" w:type="dxa"/>
          </w:tcPr>
          <w:p>
            <w:pPr>
              <w:pStyle w:val="TableParagraph"/>
              <w:spacing w:line="178" w:lineRule="exact"/>
              <w:ind w:left="532"/>
              <w:jc w:val="left"/>
              <w:rPr>
                <w:sz w:val="16"/>
              </w:rPr>
            </w:pPr>
            <w:r>
              <w:rPr>
                <w:color w:val="231F20"/>
                <w:sz w:val="16"/>
              </w:rPr>
              <w:t>1,437</w:t>
            </w:r>
          </w:p>
        </w:tc>
        <w:tc>
          <w:tcPr>
            <w:tcW w:w="1133" w:type="dxa"/>
            <w:gridSpan w:val="2"/>
          </w:tcPr>
          <w:p>
            <w:pPr>
              <w:pStyle w:val="TableParagraph"/>
              <w:spacing w:line="178" w:lineRule="exact"/>
              <w:ind w:left="573"/>
              <w:jc w:val="left"/>
              <w:rPr>
                <w:sz w:val="16"/>
              </w:rPr>
            </w:pPr>
            <w:r>
              <w:rPr>
                <w:color w:val="231F20"/>
                <w:sz w:val="16"/>
              </w:rPr>
              <w:t>1,428</w:t>
            </w:r>
          </w:p>
        </w:tc>
        <w:tc>
          <w:tcPr>
            <w:tcW w:w="1063" w:type="dxa"/>
            <w:gridSpan w:val="2"/>
          </w:tcPr>
          <w:p>
            <w:pPr>
              <w:pStyle w:val="TableParagraph"/>
              <w:spacing w:line="178" w:lineRule="exact"/>
              <w:ind w:left="519"/>
              <w:jc w:val="left"/>
              <w:rPr>
                <w:sz w:val="16"/>
              </w:rPr>
            </w:pPr>
            <w:r>
              <w:rPr>
                <w:color w:val="231F20"/>
                <w:sz w:val="16"/>
              </w:rPr>
              <w:t>1,511</w:t>
            </w:r>
          </w:p>
        </w:tc>
      </w:tr>
      <w:tr>
        <w:trPr>
          <w:trHeight w:val="180" w:hRule="exact"/>
        </w:trPr>
        <w:tc>
          <w:tcPr>
            <w:tcW w:w="3970" w:type="dxa"/>
          </w:tcPr>
          <w:p>
            <w:pPr>
              <w:pStyle w:val="TableParagraph"/>
              <w:spacing w:line="178" w:lineRule="exact"/>
              <w:ind w:left="210"/>
              <w:jc w:val="left"/>
              <w:rPr>
                <w:sz w:val="16"/>
              </w:rPr>
            </w:pPr>
            <w:r>
              <w:rPr>
                <w:color w:val="231F20"/>
                <w:sz w:val="16"/>
              </w:rPr>
              <w:t>Active fulltime equivalent Employees . . . . . . . . . . . . . . </w:t>
            </w:r>
          </w:p>
        </w:tc>
        <w:tc>
          <w:tcPr>
            <w:tcW w:w="1020" w:type="dxa"/>
            <w:gridSpan w:val="2"/>
          </w:tcPr>
          <w:p>
            <w:pPr>
              <w:pStyle w:val="TableParagraph"/>
              <w:spacing w:line="178" w:lineRule="exact"/>
              <w:ind w:left="379"/>
              <w:jc w:val="left"/>
              <w:rPr>
                <w:sz w:val="16"/>
              </w:rPr>
            </w:pPr>
            <w:r>
              <w:rPr>
                <w:color w:val="231F20"/>
                <w:sz w:val="16"/>
              </w:rPr>
              <w:t>45,861</w:t>
            </w:r>
          </w:p>
        </w:tc>
        <w:tc>
          <w:tcPr>
            <w:tcW w:w="1068" w:type="dxa"/>
          </w:tcPr>
          <w:p>
            <w:pPr>
              <w:pStyle w:val="TableParagraph"/>
              <w:spacing w:line="178" w:lineRule="exact"/>
              <w:ind w:left="440"/>
              <w:jc w:val="left"/>
              <w:rPr>
                <w:sz w:val="16"/>
              </w:rPr>
            </w:pPr>
            <w:r>
              <w:rPr>
                <w:color w:val="231F20"/>
                <w:sz w:val="16"/>
              </w:rPr>
              <w:t>45,392</w:t>
            </w:r>
          </w:p>
        </w:tc>
        <w:tc>
          <w:tcPr>
            <w:tcW w:w="1039" w:type="dxa"/>
          </w:tcPr>
          <w:p>
            <w:pPr>
              <w:pStyle w:val="TableParagraph"/>
              <w:spacing w:line="178" w:lineRule="exact"/>
              <w:ind w:left="452"/>
              <w:jc w:val="left"/>
              <w:rPr>
                <w:sz w:val="16"/>
              </w:rPr>
            </w:pPr>
            <w:r>
              <w:rPr>
                <w:color w:val="231F20"/>
                <w:sz w:val="16"/>
              </w:rPr>
              <w:t>34,901</w:t>
            </w:r>
          </w:p>
        </w:tc>
        <w:tc>
          <w:tcPr>
            <w:tcW w:w="1133" w:type="dxa"/>
            <w:gridSpan w:val="2"/>
          </w:tcPr>
          <w:p>
            <w:pPr>
              <w:pStyle w:val="TableParagraph"/>
              <w:spacing w:line="178" w:lineRule="exact"/>
              <w:ind w:left="493"/>
              <w:jc w:val="left"/>
              <w:rPr>
                <w:sz w:val="16"/>
              </w:rPr>
            </w:pPr>
            <w:r>
              <w:rPr>
                <w:color w:val="231F20"/>
                <w:sz w:val="16"/>
              </w:rPr>
              <w:t>34,726</w:t>
            </w:r>
          </w:p>
        </w:tc>
        <w:tc>
          <w:tcPr>
            <w:tcW w:w="1063" w:type="dxa"/>
            <w:gridSpan w:val="2"/>
          </w:tcPr>
          <w:p>
            <w:pPr>
              <w:pStyle w:val="TableParagraph"/>
              <w:spacing w:line="178" w:lineRule="exact"/>
              <w:ind w:left="440"/>
              <w:jc w:val="left"/>
              <w:rPr>
                <w:sz w:val="16"/>
              </w:rPr>
            </w:pPr>
            <w:r>
              <w:rPr>
                <w:color w:val="231F20"/>
                <w:sz w:val="16"/>
              </w:rPr>
              <w:t>35,499</w:t>
            </w:r>
          </w:p>
        </w:tc>
      </w:tr>
      <w:tr>
        <w:trPr>
          <w:trHeight w:val="298" w:hRule="exact"/>
        </w:trPr>
        <w:tc>
          <w:tcPr>
            <w:tcW w:w="3970" w:type="dxa"/>
            <w:tcBorders>
              <w:bottom w:val="single" w:sz="4" w:space="0" w:color="231F20"/>
            </w:tcBorders>
          </w:tcPr>
          <w:p>
            <w:pPr>
              <w:pStyle w:val="TableParagraph"/>
              <w:spacing w:line="178" w:lineRule="exact"/>
              <w:ind w:left="210"/>
              <w:jc w:val="left"/>
              <w:rPr>
                <w:sz w:val="16"/>
              </w:rPr>
            </w:pPr>
            <w:r>
              <w:rPr>
                <w:color w:val="231F20"/>
                <w:sz w:val="16"/>
              </w:rPr>
              <w:t>Aircraft in service at period-end (8) . . . . . . . . . . . . . . . . </w:t>
            </w:r>
          </w:p>
        </w:tc>
        <w:tc>
          <w:tcPr>
            <w:tcW w:w="1020" w:type="dxa"/>
            <w:gridSpan w:val="2"/>
          </w:tcPr>
          <w:p>
            <w:pPr>
              <w:pStyle w:val="TableParagraph"/>
              <w:spacing w:line="178" w:lineRule="exact"/>
              <w:ind w:left="579"/>
              <w:jc w:val="left"/>
              <w:rPr>
                <w:sz w:val="16"/>
              </w:rPr>
            </w:pPr>
            <w:r>
              <w:rPr>
                <w:color w:val="231F20"/>
                <w:sz w:val="16"/>
              </w:rPr>
              <w:t>694</w:t>
            </w:r>
          </w:p>
        </w:tc>
        <w:tc>
          <w:tcPr>
            <w:tcW w:w="1068" w:type="dxa"/>
          </w:tcPr>
          <w:p>
            <w:pPr>
              <w:pStyle w:val="TableParagraph"/>
              <w:spacing w:line="178" w:lineRule="exact"/>
              <w:ind w:right="185"/>
              <w:rPr>
                <w:sz w:val="16"/>
              </w:rPr>
            </w:pPr>
            <w:r>
              <w:rPr>
                <w:color w:val="231F20"/>
                <w:sz w:val="16"/>
              </w:rPr>
              <w:t>698</w:t>
            </w:r>
          </w:p>
        </w:tc>
        <w:tc>
          <w:tcPr>
            <w:tcW w:w="1039" w:type="dxa"/>
          </w:tcPr>
          <w:p>
            <w:pPr>
              <w:pStyle w:val="TableParagraph"/>
              <w:spacing w:line="178" w:lineRule="exact"/>
              <w:ind w:left="652"/>
              <w:jc w:val="left"/>
              <w:rPr>
                <w:sz w:val="16"/>
              </w:rPr>
            </w:pPr>
            <w:r>
              <w:rPr>
                <w:color w:val="231F20"/>
                <w:sz w:val="16"/>
              </w:rPr>
              <w:t>548</w:t>
            </w:r>
          </w:p>
        </w:tc>
        <w:tc>
          <w:tcPr>
            <w:tcW w:w="1133" w:type="dxa"/>
            <w:gridSpan w:val="2"/>
          </w:tcPr>
          <w:p>
            <w:pPr>
              <w:pStyle w:val="TableParagraph"/>
              <w:spacing w:line="178" w:lineRule="exact"/>
              <w:ind w:left="693"/>
              <w:jc w:val="left"/>
              <w:rPr>
                <w:sz w:val="16"/>
              </w:rPr>
            </w:pPr>
            <w:r>
              <w:rPr>
                <w:color w:val="231F20"/>
                <w:sz w:val="16"/>
              </w:rPr>
              <w:t>537</w:t>
            </w:r>
          </w:p>
        </w:tc>
        <w:tc>
          <w:tcPr>
            <w:tcW w:w="1063" w:type="dxa"/>
            <w:gridSpan w:val="2"/>
          </w:tcPr>
          <w:p>
            <w:pPr>
              <w:pStyle w:val="TableParagraph"/>
              <w:spacing w:line="178" w:lineRule="exact"/>
              <w:ind w:left="639"/>
              <w:jc w:val="left"/>
              <w:rPr>
                <w:sz w:val="16"/>
              </w:rPr>
            </w:pPr>
            <w:r>
              <w:rPr>
                <w:color w:val="231F20"/>
                <w:sz w:val="16"/>
              </w:rPr>
              <w:t>537</w:t>
            </w:r>
          </w:p>
        </w:tc>
      </w:tr>
    </w:tbl>
    <w:p>
      <w:pPr>
        <w:pStyle w:val="ListParagraph"/>
        <w:numPr>
          <w:ilvl w:val="0"/>
          <w:numId w:val="8"/>
        </w:numPr>
        <w:tabs>
          <w:tab w:pos="480" w:val="left" w:leader="none"/>
        </w:tabs>
        <w:spacing w:line="180" w:lineRule="exact" w:before="31" w:after="0"/>
        <w:ind w:left="480" w:right="622" w:hanging="320"/>
        <w:jc w:val="left"/>
        <w:rPr>
          <w:sz w:val="16"/>
        </w:rPr>
      </w:pPr>
      <w:r>
        <w:rPr>
          <w:color w:val="231F20"/>
          <w:sz w:val="16"/>
        </w:rPr>
        <w:t>A revenue passenger mile is one paying passenger flown one mile. Also referred to as “traffic,” which is a measure of demand for</w:t>
      </w:r>
      <w:r>
        <w:rPr>
          <w:color w:val="231F20"/>
          <w:spacing w:val="-27"/>
          <w:sz w:val="16"/>
        </w:rPr>
        <w:t> </w:t>
      </w:r>
      <w:r>
        <w:rPr>
          <w:color w:val="231F20"/>
          <w:sz w:val="16"/>
        </w:rPr>
        <w:t>a given</w:t>
      </w:r>
      <w:r>
        <w:rPr>
          <w:color w:val="231F20"/>
          <w:spacing w:val="-1"/>
          <w:sz w:val="16"/>
        </w:rPr>
        <w:t> </w:t>
      </w:r>
      <w:r>
        <w:rPr>
          <w:color w:val="231F20"/>
          <w:sz w:val="16"/>
        </w:rPr>
        <w:t>period.</w:t>
      </w:r>
    </w:p>
    <w:p>
      <w:pPr>
        <w:pStyle w:val="ListParagraph"/>
        <w:numPr>
          <w:ilvl w:val="0"/>
          <w:numId w:val="8"/>
        </w:numPr>
        <w:tabs>
          <w:tab w:pos="480" w:val="left" w:leader="none"/>
        </w:tabs>
        <w:spacing w:line="180" w:lineRule="exact" w:before="0" w:after="0"/>
        <w:ind w:left="480" w:right="842" w:hanging="320"/>
        <w:jc w:val="left"/>
        <w:rPr>
          <w:sz w:val="16"/>
        </w:rPr>
      </w:pPr>
      <w:r>
        <w:rPr>
          <w:color w:val="231F20"/>
          <w:sz w:val="16"/>
        </w:rPr>
        <w:t>An 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is</w:t>
      </w:r>
      <w:r>
        <w:rPr>
          <w:color w:val="231F20"/>
          <w:spacing w:val="-1"/>
          <w:sz w:val="16"/>
        </w:rPr>
        <w:t> </w:t>
      </w:r>
      <w:r>
        <w:rPr>
          <w:color w:val="231F20"/>
          <w:sz w:val="16"/>
        </w:rPr>
        <w:t>one</w:t>
      </w:r>
      <w:r>
        <w:rPr>
          <w:color w:val="231F20"/>
          <w:spacing w:val="-1"/>
          <w:sz w:val="16"/>
        </w:rPr>
        <w:t> </w:t>
      </w:r>
      <w:r>
        <w:rPr>
          <w:color w:val="231F20"/>
          <w:sz w:val="16"/>
        </w:rPr>
        <w:t>seat</w:t>
      </w:r>
      <w:r>
        <w:rPr>
          <w:color w:val="231F20"/>
          <w:spacing w:val="-1"/>
          <w:sz w:val="16"/>
        </w:rPr>
        <w:t> </w:t>
      </w:r>
      <w:r>
        <w:rPr>
          <w:color w:val="231F20"/>
          <w:sz w:val="16"/>
        </w:rPr>
        <w:t>(empty</w:t>
      </w:r>
      <w:r>
        <w:rPr>
          <w:color w:val="231F20"/>
          <w:spacing w:val="-2"/>
          <w:sz w:val="16"/>
        </w:rPr>
        <w:t> </w:t>
      </w:r>
      <w:r>
        <w:rPr>
          <w:color w:val="231F20"/>
          <w:sz w:val="16"/>
        </w:rPr>
        <w:t>or</w:t>
      </w:r>
      <w:r>
        <w:rPr>
          <w:color w:val="231F20"/>
          <w:spacing w:val="-1"/>
          <w:sz w:val="16"/>
        </w:rPr>
        <w:t> </w:t>
      </w:r>
      <w:r>
        <w:rPr>
          <w:color w:val="231F20"/>
          <w:sz w:val="16"/>
        </w:rPr>
        <w:t>full)</w:t>
      </w:r>
      <w:r>
        <w:rPr>
          <w:color w:val="231F20"/>
          <w:spacing w:val="-2"/>
          <w:sz w:val="16"/>
        </w:rPr>
        <w:t> </w:t>
      </w:r>
      <w:r>
        <w:rPr>
          <w:color w:val="231F20"/>
          <w:sz w:val="16"/>
        </w:rPr>
        <w:t>flown</w:t>
      </w:r>
      <w:r>
        <w:rPr>
          <w:color w:val="231F20"/>
          <w:spacing w:val="-1"/>
          <w:sz w:val="16"/>
        </w:rPr>
        <w:t> </w:t>
      </w:r>
      <w:r>
        <w:rPr>
          <w:color w:val="231F20"/>
          <w:sz w:val="16"/>
        </w:rPr>
        <w:t>one</w:t>
      </w:r>
      <w:r>
        <w:rPr>
          <w:color w:val="231F20"/>
          <w:spacing w:val="-1"/>
          <w:sz w:val="16"/>
        </w:rPr>
        <w:t> </w:t>
      </w:r>
      <w:r>
        <w:rPr>
          <w:color w:val="231F20"/>
          <w:sz w:val="16"/>
        </w:rPr>
        <w:t>mile.</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“capacity,”</w:t>
      </w:r>
      <w:r>
        <w:rPr>
          <w:color w:val="231F20"/>
          <w:spacing w:val="-2"/>
          <w:sz w:val="16"/>
        </w:rPr>
        <w:t> </w:t>
      </w:r>
      <w:r>
        <w:rPr>
          <w:color w:val="231F20"/>
          <w:sz w:val="16"/>
        </w:rPr>
        <w:t>which</w:t>
      </w:r>
      <w:r>
        <w:rPr>
          <w:color w:val="231F20"/>
          <w:spacing w:val="-1"/>
          <w:sz w:val="16"/>
        </w:rPr>
        <w:t> </w:t>
      </w:r>
      <w:r>
        <w:rPr>
          <w:color w:val="231F20"/>
          <w:sz w:val="16"/>
        </w:rPr>
        <w:t>is</w:t>
      </w:r>
      <w:r>
        <w:rPr>
          <w:color w:val="231F20"/>
          <w:spacing w:val="-1"/>
          <w:sz w:val="16"/>
        </w:rPr>
        <w:t> </w:t>
      </w:r>
      <w:r>
        <w:rPr>
          <w:color w:val="231F20"/>
          <w:sz w:val="16"/>
        </w:rPr>
        <w:t>a</w:t>
      </w:r>
      <w:r>
        <w:rPr>
          <w:color w:val="231F20"/>
          <w:spacing w:val="-1"/>
          <w:sz w:val="16"/>
        </w:rPr>
        <w:t> </w:t>
      </w:r>
      <w:r>
        <w:rPr>
          <w:color w:val="231F20"/>
          <w:sz w:val="16"/>
        </w:rPr>
        <w:t>measure</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space available to carry passengers in a given</w:t>
      </w:r>
      <w:r>
        <w:rPr>
          <w:color w:val="231F20"/>
          <w:spacing w:val="-9"/>
          <w:sz w:val="16"/>
        </w:rPr>
        <w:t> </w:t>
      </w:r>
      <w:r>
        <w:rPr>
          <w:color w:val="231F20"/>
          <w:sz w:val="16"/>
        </w:rPr>
        <w:t>period.</w:t>
      </w:r>
    </w:p>
    <w:p>
      <w:pPr>
        <w:pStyle w:val="ListParagraph"/>
        <w:numPr>
          <w:ilvl w:val="0"/>
          <w:numId w:val="8"/>
        </w:numPr>
        <w:tabs>
          <w:tab w:pos="480" w:val="left" w:leader="none"/>
        </w:tabs>
        <w:spacing w:line="177" w:lineRule="exact" w:before="0" w:after="0"/>
        <w:ind w:left="48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8"/>
        </w:numPr>
        <w:tabs>
          <w:tab w:pos="480" w:val="left" w:leader="none"/>
        </w:tabs>
        <w:spacing w:line="180" w:lineRule="exact" w:before="3" w:after="0"/>
        <w:ind w:left="480" w:right="254" w:hanging="320"/>
        <w:jc w:val="left"/>
        <w:rPr>
          <w:sz w:val="16"/>
        </w:rPr>
      </w:pPr>
      <w:r>
        <w:rPr>
          <w:color w:val="231F20"/>
          <w:sz w:val="16"/>
        </w:rPr>
        <w:t>Calculated as passenger revenue divided by revenue passenger miles. Also referred to as “yield,” this is the average cost paid by a</w:t>
      </w:r>
      <w:r>
        <w:rPr>
          <w:color w:val="231F20"/>
          <w:spacing w:val="-24"/>
          <w:sz w:val="16"/>
        </w:rPr>
        <w:t> </w:t>
      </w:r>
      <w:r>
        <w:rPr>
          <w:color w:val="231F20"/>
          <w:sz w:val="16"/>
        </w:rPr>
        <w:t>paying passenger to fly one mile, which is a measure of revenue production and</w:t>
      </w:r>
      <w:r>
        <w:rPr>
          <w:color w:val="231F20"/>
          <w:spacing w:val="-16"/>
          <w:sz w:val="16"/>
        </w:rPr>
        <w:t> </w:t>
      </w:r>
      <w:r>
        <w:rPr>
          <w:color w:val="231F20"/>
          <w:sz w:val="16"/>
        </w:rPr>
        <w:t>fares.</w:t>
      </w:r>
    </w:p>
    <w:p>
      <w:pPr>
        <w:pStyle w:val="ListParagraph"/>
        <w:numPr>
          <w:ilvl w:val="0"/>
          <w:numId w:val="8"/>
        </w:numPr>
        <w:tabs>
          <w:tab w:pos="480" w:val="left" w:leader="none"/>
        </w:tabs>
        <w:spacing w:line="180" w:lineRule="exact" w:before="0" w:after="0"/>
        <w:ind w:left="480" w:right="727" w:hanging="320"/>
        <w:jc w:val="left"/>
        <w:rPr>
          <w:sz w:val="16"/>
        </w:rPr>
      </w:pPr>
      <w:r>
        <w:rPr>
          <w:color w:val="231F20"/>
          <w:sz w:val="16"/>
        </w:rPr>
        <w:t>Calculated as operating revenue divided by available seat miles. Also referred to as “operating unit revenues,” this is a measure</w:t>
      </w:r>
      <w:r>
        <w:rPr>
          <w:color w:val="231F20"/>
          <w:spacing w:val="-26"/>
          <w:sz w:val="16"/>
        </w:rPr>
        <w:t> </w:t>
      </w:r>
      <w:r>
        <w:rPr>
          <w:color w:val="231F20"/>
          <w:sz w:val="16"/>
        </w:rPr>
        <w:t>of operating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80" w:val="left" w:leader="none"/>
        </w:tabs>
        <w:spacing w:line="180" w:lineRule="exact" w:before="0" w:after="0"/>
        <w:ind w:left="480" w:right="673" w:hanging="320"/>
        <w:jc w:val="left"/>
        <w:rPr>
          <w:sz w:val="16"/>
        </w:rPr>
      </w:pPr>
      <w:r>
        <w:rPr>
          <w:color w:val="231F20"/>
          <w:sz w:val="16"/>
        </w:rPr>
        <w:t>Calculated as passenger revenue divided by available seat miles. Also referred to as “passenger unit revenues,” this is a measure</w:t>
      </w:r>
      <w:r>
        <w:rPr>
          <w:color w:val="231F20"/>
          <w:spacing w:val="-24"/>
          <w:sz w:val="16"/>
        </w:rPr>
        <w:t> </w:t>
      </w:r>
      <w:r>
        <w:rPr>
          <w:color w:val="231F20"/>
          <w:sz w:val="16"/>
        </w:rPr>
        <w:t>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80" w:val="left" w:leader="none"/>
        </w:tabs>
        <w:spacing w:line="180" w:lineRule="exact" w:before="0" w:after="0"/>
        <w:ind w:left="480" w:right="321" w:hanging="320"/>
        <w:jc w:val="left"/>
        <w:rPr>
          <w:sz w:val="16"/>
        </w:rPr>
      </w:pPr>
      <w:r>
        <w:rPr>
          <w:color w:val="231F20"/>
          <w:sz w:val="16"/>
        </w:rPr>
        <w:t>Calculated</w:t>
      </w:r>
      <w:r>
        <w:rPr>
          <w:color w:val="231F20"/>
          <w:spacing w:val="-2"/>
          <w:sz w:val="16"/>
        </w:rPr>
        <w:t> </w:t>
      </w:r>
      <w:r>
        <w:rPr>
          <w:color w:val="231F20"/>
          <w:sz w:val="16"/>
        </w:rPr>
        <w:t>as</w:t>
      </w:r>
      <w:r>
        <w:rPr>
          <w:color w:val="231F20"/>
          <w:spacing w:val="-1"/>
          <w:sz w:val="16"/>
        </w:rPr>
        <w:t> </w:t>
      </w:r>
      <w:r>
        <w:rPr>
          <w:color w:val="231F20"/>
          <w:sz w:val="16"/>
        </w:rPr>
        <w:t>operating</w:t>
      </w:r>
      <w:r>
        <w:rPr>
          <w:color w:val="231F20"/>
          <w:spacing w:val="-2"/>
          <w:sz w:val="16"/>
        </w:rPr>
        <w:t> </w:t>
      </w:r>
      <w:r>
        <w:rPr>
          <w:color w:val="231F20"/>
          <w:sz w:val="16"/>
        </w:rPr>
        <w:t>expenses</w:t>
      </w:r>
      <w:r>
        <w:rPr>
          <w:color w:val="231F20"/>
          <w:spacing w:val="-1"/>
          <w:sz w:val="16"/>
        </w:rPr>
        <w:t> </w:t>
      </w:r>
      <w:r>
        <w:rPr>
          <w:color w:val="231F20"/>
          <w:sz w:val="16"/>
        </w:rPr>
        <w:t>divided</w:t>
      </w:r>
      <w:r>
        <w:rPr>
          <w:color w:val="231F20"/>
          <w:spacing w:val="-1"/>
          <w:sz w:val="16"/>
        </w:rPr>
        <w:t> </w:t>
      </w:r>
      <w:r>
        <w:rPr>
          <w:color w:val="231F20"/>
          <w:sz w:val="16"/>
        </w:rPr>
        <w:t>by available</w:t>
      </w:r>
      <w:r>
        <w:rPr>
          <w:color w:val="231F20"/>
          <w:spacing w:val="-2"/>
          <w:sz w:val="16"/>
        </w:rPr>
        <w:t> </w:t>
      </w:r>
      <w:r>
        <w:rPr>
          <w:color w:val="231F20"/>
          <w:sz w:val="16"/>
        </w:rPr>
        <w:t>seat</w:t>
      </w:r>
      <w:r>
        <w:rPr>
          <w:color w:val="231F20"/>
          <w:spacing w:val="-1"/>
          <w:sz w:val="16"/>
        </w:rPr>
        <w:t> </w:t>
      </w:r>
      <w:r>
        <w:rPr>
          <w:color w:val="231F20"/>
          <w:sz w:val="16"/>
        </w:rPr>
        <w:t>miles.</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“unit</w:t>
      </w:r>
      <w:r>
        <w:rPr>
          <w:color w:val="231F20"/>
          <w:spacing w:val="-1"/>
          <w:sz w:val="16"/>
        </w:rPr>
        <w:t> </w:t>
      </w:r>
      <w:r>
        <w:rPr>
          <w:color w:val="231F20"/>
          <w:sz w:val="16"/>
        </w:rPr>
        <w:t>costs”</w:t>
      </w:r>
      <w:r>
        <w:rPr>
          <w:color w:val="231F20"/>
          <w:spacing w:val="-2"/>
          <w:sz w:val="16"/>
        </w:rPr>
        <w:t> </w:t>
      </w:r>
      <w:r>
        <w:rPr>
          <w:color w:val="231F20"/>
          <w:sz w:val="16"/>
        </w:rPr>
        <w:t>or</w:t>
      </w:r>
      <w:r>
        <w:rPr>
          <w:color w:val="231F20"/>
          <w:spacing w:val="-1"/>
          <w:sz w:val="16"/>
        </w:rPr>
        <w:t> </w:t>
      </w:r>
      <w:r>
        <w:rPr>
          <w:color w:val="231F20"/>
          <w:sz w:val="16"/>
        </w:rPr>
        <w:t>“cost</w:t>
      </w:r>
      <w:r>
        <w:rPr>
          <w:color w:val="231F20"/>
          <w:spacing w:val="-1"/>
          <w:sz w:val="16"/>
        </w:rPr>
        <w:t> </w:t>
      </w:r>
      <w:r>
        <w:rPr>
          <w:color w:val="231F20"/>
          <w:sz w:val="16"/>
        </w:rPr>
        <w:t>per</w:t>
      </w:r>
      <w:r>
        <w:rPr>
          <w:color w:val="231F20"/>
          <w:spacing w:val="-1"/>
          <w:sz w:val="16"/>
        </w:rPr>
        <w:t> </w:t>
      </w:r>
      <w:r>
        <w:rPr>
          <w:color w:val="231F20"/>
          <w:sz w:val="16"/>
        </w:rPr>
        <w:t>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this</w:t>
      </w:r>
      <w:r>
        <w:rPr>
          <w:color w:val="231F20"/>
          <w:spacing w:val="-2"/>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80" w:val="left" w:leader="none"/>
        </w:tabs>
        <w:spacing w:line="179" w:lineRule="exact" w:before="0" w:after="0"/>
        <w:ind w:left="479" w:right="0" w:hanging="319"/>
        <w:jc w:val="left"/>
        <w:rPr>
          <w:sz w:val="16"/>
        </w:rPr>
      </w:pPr>
      <w:r>
        <w:rPr>
          <w:color w:val="231F20"/>
          <w:sz w:val="16"/>
        </w:rPr>
        <w:t>Includes</w:t>
      </w:r>
      <w:r>
        <w:rPr>
          <w:color w:val="231F20"/>
          <w:spacing w:val="-11"/>
          <w:sz w:val="16"/>
        </w:rPr>
        <w:t> </w:t>
      </w:r>
      <w:r>
        <w:rPr>
          <w:color w:val="231F20"/>
          <w:sz w:val="16"/>
        </w:rPr>
        <w:t>leased</w:t>
      </w:r>
      <w:r>
        <w:rPr>
          <w:color w:val="231F20"/>
          <w:spacing w:val="-10"/>
          <w:sz w:val="16"/>
        </w:rPr>
        <w:t> </w:t>
      </w:r>
      <w:r>
        <w:rPr>
          <w:color w:val="231F20"/>
          <w:sz w:val="16"/>
        </w:rPr>
        <w:t>aircraft</w:t>
      </w:r>
      <w:r>
        <w:rPr>
          <w:color w:val="231F20"/>
          <w:spacing w:val="-11"/>
          <w:sz w:val="16"/>
        </w:rPr>
        <w:t> </w:t>
      </w:r>
      <w:r>
        <w:rPr>
          <w:color w:val="231F20"/>
          <w:sz w:val="16"/>
        </w:rPr>
        <w:t>and</w:t>
      </w:r>
      <w:r>
        <w:rPr>
          <w:color w:val="231F20"/>
          <w:spacing w:val="-10"/>
          <w:sz w:val="16"/>
        </w:rPr>
        <w:t> </w:t>
      </w:r>
      <w:r>
        <w:rPr>
          <w:color w:val="231F20"/>
          <w:sz w:val="16"/>
        </w:rPr>
        <w:t>excludes</w:t>
      </w:r>
      <w:r>
        <w:rPr>
          <w:color w:val="231F20"/>
          <w:spacing w:val="-11"/>
          <w:sz w:val="16"/>
        </w:rPr>
        <w:t> </w:t>
      </w:r>
      <w:r>
        <w:rPr>
          <w:color w:val="231F20"/>
          <w:sz w:val="16"/>
        </w:rPr>
        <w:t>aircraft</w:t>
      </w:r>
      <w:r>
        <w:rPr>
          <w:color w:val="231F20"/>
          <w:spacing w:val="-11"/>
          <w:sz w:val="16"/>
        </w:rPr>
        <w:t> </w:t>
      </w:r>
      <w:r>
        <w:rPr>
          <w:color w:val="231F20"/>
          <w:sz w:val="16"/>
        </w:rPr>
        <w:t>that</w:t>
      </w:r>
      <w:r>
        <w:rPr>
          <w:color w:val="231F20"/>
          <w:spacing w:val="-11"/>
          <w:sz w:val="16"/>
        </w:rPr>
        <w:t> </w:t>
      </w:r>
      <w:r>
        <w:rPr>
          <w:color w:val="231F20"/>
          <w:sz w:val="16"/>
        </w:rPr>
        <w:t>are</w:t>
      </w:r>
      <w:r>
        <w:rPr>
          <w:color w:val="231F20"/>
          <w:spacing w:val="-11"/>
          <w:sz w:val="16"/>
        </w:rPr>
        <w:t> </w:t>
      </w:r>
      <w:r>
        <w:rPr>
          <w:color w:val="231F20"/>
          <w:sz w:val="16"/>
        </w:rPr>
        <w:t>not</w:t>
      </w:r>
      <w:r>
        <w:rPr>
          <w:color w:val="231F20"/>
          <w:spacing w:val="-11"/>
          <w:sz w:val="16"/>
        </w:rPr>
        <w:t> </w:t>
      </w:r>
      <w:r>
        <w:rPr>
          <w:color w:val="231F20"/>
          <w:sz w:val="16"/>
        </w:rPr>
        <w:t>available</w:t>
      </w:r>
      <w:r>
        <w:rPr>
          <w:color w:val="231F20"/>
          <w:spacing w:val="-11"/>
          <w:sz w:val="16"/>
        </w:rPr>
        <w:t> </w:t>
      </w:r>
      <w:r>
        <w:rPr>
          <w:color w:val="231F20"/>
          <w:sz w:val="16"/>
        </w:rPr>
        <w:t>for</w:t>
      </w:r>
      <w:r>
        <w:rPr>
          <w:color w:val="231F20"/>
          <w:spacing w:val="-11"/>
          <w:sz w:val="16"/>
        </w:rPr>
        <w:t> </w:t>
      </w:r>
      <w:r>
        <w:rPr>
          <w:color w:val="231F20"/>
          <w:sz w:val="16"/>
        </w:rPr>
        <w:t>service</w:t>
      </w:r>
      <w:r>
        <w:rPr>
          <w:color w:val="231F20"/>
          <w:spacing w:val="-11"/>
          <w:sz w:val="16"/>
        </w:rPr>
        <w:t> </w:t>
      </w:r>
      <w:r>
        <w:rPr>
          <w:color w:val="231F20"/>
          <w:sz w:val="16"/>
        </w:rPr>
        <w:t>or</w:t>
      </w:r>
      <w:r>
        <w:rPr>
          <w:color w:val="231F20"/>
          <w:spacing w:val="-11"/>
          <w:sz w:val="16"/>
        </w:rPr>
        <w:t> </w:t>
      </w:r>
      <w:r>
        <w:rPr>
          <w:color w:val="231F20"/>
          <w:sz w:val="16"/>
        </w:rPr>
        <w:t>are</w:t>
      </w:r>
      <w:r>
        <w:rPr>
          <w:color w:val="231F20"/>
          <w:spacing w:val="-11"/>
          <w:sz w:val="16"/>
        </w:rPr>
        <w:t> </w:t>
      </w:r>
      <w:r>
        <w:rPr>
          <w:color w:val="231F20"/>
          <w:sz w:val="16"/>
        </w:rPr>
        <w:t>in</w:t>
      </w:r>
      <w:r>
        <w:rPr>
          <w:color w:val="231F20"/>
          <w:spacing w:val="-10"/>
          <w:sz w:val="16"/>
        </w:rPr>
        <w:t> </w:t>
      </w:r>
      <w:r>
        <w:rPr>
          <w:color w:val="231F20"/>
          <w:sz w:val="16"/>
        </w:rPr>
        <w:t>storage,</w:t>
      </w:r>
      <w:r>
        <w:rPr>
          <w:color w:val="231F20"/>
          <w:spacing w:val="-10"/>
          <w:sz w:val="16"/>
        </w:rPr>
        <w:t> </w:t>
      </w:r>
      <w:r>
        <w:rPr>
          <w:color w:val="231F20"/>
          <w:sz w:val="16"/>
        </w:rPr>
        <w:t>held</w:t>
      </w:r>
      <w:r>
        <w:rPr>
          <w:color w:val="231F20"/>
          <w:spacing w:val="-10"/>
          <w:sz w:val="16"/>
        </w:rPr>
        <w:t> </w:t>
      </w:r>
      <w:r>
        <w:rPr>
          <w:color w:val="231F20"/>
          <w:sz w:val="16"/>
        </w:rPr>
        <w:t>for</w:t>
      </w:r>
      <w:r>
        <w:rPr>
          <w:color w:val="231F20"/>
          <w:spacing w:val="-11"/>
          <w:sz w:val="16"/>
        </w:rPr>
        <w:t> </w:t>
      </w:r>
      <w:r>
        <w:rPr>
          <w:color w:val="231F20"/>
          <w:sz w:val="16"/>
        </w:rPr>
        <w:t>sale,</w:t>
      </w:r>
      <w:r>
        <w:rPr>
          <w:color w:val="231F20"/>
          <w:spacing w:val="-10"/>
          <w:sz w:val="16"/>
        </w:rPr>
        <w:t> </w:t>
      </w:r>
      <w:r>
        <w:rPr>
          <w:color w:val="231F20"/>
          <w:sz w:val="16"/>
        </w:rPr>
        <w:t>or</w:t>
      </w:r>
      <w:r>
        <w:rPr>
          <w:color w:val="231F20"/>
          <w:spacing w:val="-11"/>
          <w:sz w:val="16"/>
        </w:rPr>
        <w:t> </w:t>
      </w:r>
      <w:r>
        <w:rPr>
          <w:color w:val="231F20"/>
          <w:sz w:val="16"/>
        </w:rPr>
        <w:t>held</w:t>
      </w:r>
      <w:r>
        <w:rPr>
          <w:color w:val="231F20"/>
          <w:spacing w:val="-10"/>
          <w:sz w:val="16"/>
        </w:rPr>
        <w:t> </w:t>
      </w:r>
      <w:r>
        <w:rPr>
          <w:color w:val="231F20"/>
          <w:sz w:val="16"/>
        </w:rPr>
        <w:t>for</w:t>
      </w:r>
      <w:r>
        <w:rPr>
          <w:color w:val="231F20"/>
          <w:spacing w:val="-11"/>
          <w:sz w:val="16"/>
        </w:rPr>
        <w:t> </w:t>
      </w:r>
      <w:r>
        <w:rPr>
          <w:color w:val="231F20"/>
          <w:sz w:val="16"/>
        </w:rPr>
        <w:t>return</w:t>
      </w:r>
      <w:r>
        <w:rPr>
          <w:color w:val="231F20"/>
          <w:spacing w:val="-10"/>
          <w:sz w:val="16"/>
        </w:rPr>
        <w:t> </w:t>
      </w:r>
      <w:r>
        <w:rPr>
          <w:color w:val="231F20"/>
          <w:sz w:val="16"/>
        </w:rPr>
        <w:t>to</w:t>
      </w:r>
      <w:r>
        <w:rPr>
          <w:color w:val="231F20"/>
          <w:spacing w:val="-10"/>
          <w:sz w:val="16"/>
        </w:rPr>
        <w:t> </w:t>
      </w:r>
      <w:r>
        <w:rPr>
          <w:color w:val="231F20"/>
          <w:sz w:val="16"/>
        </w:rPr>
        <w:t>the</w:t>
      </w:r>
      <w:r>
        <w:rPr>
          <w:color w:val="231F20"/>
          <w:spacing w:val="-11"/>
          <w:sz w:val="16"/>
        </w:rPr>
        <w:t> </w:t>
      </w:r>
      <w:r>
        <w:rPr>
          <w:color w:val="231F20"/>
          <w:sz w:val="16"/>
        </w:rPr>
        <w:t>lessor.</w:t>
      </w:r>
    </w:p>
    <w:p>
      <w:pPr>
        <w:spacing w:after="0" w:line="179" w:lineRule="exact"/>
        <w:jc w:val="left"/>
        <w:rPr>
          <w:sz w:val="16"/>
        </w:rPr>
        <w:sectPr>
          <w:pgSz w:w="11880" w:h="15480"/>
          <w:pgMar w:header="0" w:footer="1253" w:top="1240" w:bottom="1440" w:left="1220" w:right="1140"/>
        </w:sectPr>
      </w:pPr>
    </w:p>
    <w:p>
      <w:pPr>
        <w:pStyle w:val="Heading4"/>
        <w:tabs>
          <w:tab w:pos="1239" w:val="left" w:leader="none"/>
        </w:tabs>
        <w:spacing w:before="73"/>
        <w:ind w:left="160"/>
        <w:rPr>
          <w:i/>
        </w:rPr>
      </w:pPr>
      <w:bookmarkStart w:name="_TOC_250013" w:id="14"/>
      <w:bookmarkStart w:name="Item 7. Management's Discussion and Anal" w:id="15"/>
      <w:r>
        <w:rPr>
          <w:b w:val="0"/>
          <w:i w:val="0"/>
        </w:rPr>
      </w:r>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14"/>
      <w:r>
        <w:rPr>
          <w:i/>
          <w:color w:val="231F20"/>
        </w:rPr>
        <w:t>Operations</w:t>
      </w:r>
    </w:p>
    <w:p>
      <w:pPr>
        <w:spacing w:line="249" w:lineRule="auto" w:before="110"/>
        <w:ind w:left="160" w:right="94" w:firstLine="0"/>
        <w:jc w:val="left"/>
        <w:rPr>
          <w:b/>
          <w:sz w:val="20"/>
        </w:rPr>
      </w:pPr>
      <w:r>
        <w:rPr>
          <w:b/>
          <w:color w:val="231F20"/>
          <w:sz w:val="20"/>
        </w:rPr>
        <w:t>Reconciliation of Reported Amounts to non-GAAP Financial Measures (unaudited) (in millions, except per share and per ASM amounts)</w:t>
      </w:r>
    </w:p>
    <w:p>
      <w:pPr>
        <w:spacing w:before="98"/>
        <w:ind w:left="0" w:right="1823" w:firstLine="0"/>
        <w:jc w:val="right"/>
        <w:rPr>
          <w:b/>
          <w:sz w:val="16"/>
        </w:rPr>
      </w:pPr>
      <w:r>
        <w:rPr>
          <w:b/>
          <w:color w:val="231F20"/>
          <w:sz w:val="16"/>
        </w:rPr>
        <w:t>Year ended</w:t>
      </w:r>
    </w:p>
    <w:p>
      <w:pPr>
        <w:tabs>
          <w:tab w:pos="1899" w:val="left" w:leader="none"/>
        </w:tabs>
        <w:spacing w:before="15"/>
        <w:ind w:left="0" w:right="258" w:firstLine="0"/>
        <w:jc w:val="right"/>
        <w:rPr>
          <w:b/>
          <w:sz w:val="16"/>
        </w:rPr>
      </w:pPr>
      <w:r>
        <w:rPr/>
        <w:pict>
          <v:shape style="position:absolute;margin-left:66.497597pt;margin-top:11.718775pt;width:458.55pt;height:504.1pt;mso-position-horizontal-relative:page;mso-position-vertical-relative:paragraph;z-index:22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6"/>
                    <w:gridCol w:w="1057"/>
                    <w:gridCol w:w="193"/>
                    <w:gridCol w:w="980"/>
                    <w:gridCol w:w="200"/>
                    <w:gridCol w:w="845"/>
                  </w:tblGrid>
                  <w:tr>
                    <w:trPr>
                      <w:trHeight w:val="280" w:hRule="exact"/>
                    </w:trPr>
                    <w:tc>
                      <w:tcPr>
                        <w:tcW w:w="5896" w:type="dxa"/>
                      </w:tcPr>
                      <w:p>
                        <w:pPr/>
                      </w:p>
                    </w:tc>
                    <w:tc>
                      <w:tcPr>
                        <w:tcW w:w="1057" w:type="dxa"/>
                        <w:tcBorders>
                          <w:top w:val="single" w:sz="8" w:space="0" w:color="231F20"/>
                          <w:bottom w:val="single" w:sz="8" w:space="0" w:color="231F20"/>
                        </w:tcBorders>
                      </w:tcPr>
                      <w:p>
                        <w:pPr>
                          <w:pStyle w:val="TableParagraph"/>
                          <w:spacing w:before="50"/>
                          <w:ind w:left="409"/>
                          <w:jc w:val="left"/>
                          <w:rPr>
                            <w:b/>
                            <w:sz w:val="16"/>
                          </w:rPr>
                        </w:pPr>
                        <w:r>
                          <w:rPr>
                            <w:b/>
                            <w:color w:val="231F20"/>
                            <w:sz w:val="16"/>
                          </w:rPr>
                          <w:t>2012</w:t>
                        </w:r>
                      </w:p>
                    </w:tc>
                    <w:tc>
                      <w:tcPr>
                        <w:tcW w:w="193" w:type="dxa"/>
                        <w:tcBorders>
                          <w:top w:val="single" w:sz="8" w:space="0" w:color="231F20"/>
                        </w:tcBorders>
                      </w:tcPr>
                      <w:p>
                        <w:pPr/>
                      </w:p>
                    </w:tc>
                    <w:tc>
                      <w:tcPr>
                        <w:tcW w:w="980" w:type="dxa"/>
                        <w:tcBorders>
                          <w:top w:val="single" w:sz="8" w:space="0" w:color="231F20"/>
                          <w:bottom w:val="single" w:sz="8" w:space="0" w:color="231F20"/>
                        </w:tcBorders>
                      </w:tcPr>
                      <w:p>
                        <w:pPr>
                          <w:pStyle w:val="TableParagraph"/>
                          <w:spacing w:before="50"/>
                          <w:ind w:left="313" w:right="307"/>
                          <w:jc w:val="center"/>
                          <w:rPr>
                            <w:b/>
                            <w:sz w:val="16"/>
                          </w:rPr>
                        </w:pPr>
                        <w:r>
                          <w:rPr>
                            <w:b/>
                            <w:color w:val="231F20"/>
                            <w:sz w:val="16"/>
                          </w:rPr>
                          <w:t>2011</w:t>
                        </w:r>
                      </w:p>
                    </w:tc>
                    <w:tc>
                      <w:tcPr>
                        <w:tcW w:w="200" w:type="dxa"/>
                      </w:tcPr>
                      <w:p>
                        <w:pPr/>
                      </w:p>
                    </w:tc>
                    <w:tc>
                      <w:tcPr>
                        <w:tcW w:w="845" w:type="dxa"/>
                        <w:tcBorders>
                          <w:bottom w:val="single" w:sz="8" w:space="0" w:color="231F20"/>
                        </w:tcBorders>
                      </w:tcPr>
                      <w:p>
                        <w:pPr>
                          <w:pStyle w:val="TableParagraph"/>
                          <w:spacing w:before="60"/>
                          <w:ind w:right="158"/>
                          <w:rPr>
                            <w:b/>
                            <w:sz w:val="16"/>
                          </w:rPr>
                        </w:pPr>
                        <w:r>
                          <w:rPr>
                            <w:b/>
                            <w:color w:val="231F20"/>
                            <w:w w:val="95"/>
                            <w:sz w:val="16"/>
                          </w:rPr>
                          <w:t>Change</w:t>
                        </w:r>
                      </w:p>
                    </w:tc>
                  </w:tr>
                  <w:tr>
                    <w:trPr>
                      <w:trHeight w:val="274" w:hRule="exact"/>
                    </w:trPr>
                    <w:tc>
                      <w:tcPr>
                        <w:tcW w:w="5896" w:type="dxa"/>
                      </w:tcPr>
                      <w:p>
                        <w:pPr>
                          <w:pStyle w:val="TableParagraph"/>
                          <w:spacing w:before="71"/>
                          <w:ind w:left="40" w:right="64"/>
                          <w:jc w:val="center"/>
                          <w:rPr>
                            <w:sz w:val="16"/>
                          </w:rPr>
                        </w:pPr>
                        <w:r>
                          <w:rPr>
                            <w:b/>
                            <w:color w:val="231F20"/>
                            <w:sz w:val="16"/>
                          </w:rPr>
                          <w:t>Fuel and oil expense, unhedged </w:t>
                        </w:r>
                        <w:r>
                          <w:rPr>
                            <w:color w:val="231F20"/>
                            <w:sz w:val="16"/>
                          </w:rPr>
                          <w:t>. . . . . . . . . . . . . . . . . . . . . . . . . . . . . . . . . . . . . . . . . . . . . </w:t>
                        </w:r>
                      </w:p>
                    </w:tc>
                    <w:tc>
                      <w:tcPr>
                        <w:tcW w:w="1057" w:type="dxa"/>
                        <w:tcBorders>
                          <w:top w:val="single" w:sz="8"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5,963</w:t>
                        </w:r>
                      </w:p>
                    </w:tc>
                    <w:tc>
                      <w:tcPr>
                        <w:tcW w:w="193" w:type="dxa"/>
                      </w:tcPr>
                      <w:p>
                        <w:pPr/>
                      </w:p>
                    </w:tc>
                    <w:tc>
                      <w:tcPr>
                        <w:tcW w:w="980" w:type="dxa"/>
                        <w:tcBorders>
                          <w:top w:val="single" w:sz="8" w:space="0" w:color="231F20"/>
                        </w:tcBorders>
                      </w:tcPr>
                      <w:p>
                        <w:pPr>
                          <w:pStyle w:val="TableParagraph"/>
                          <w:tabs>
                            <w:tab w:pos="559" w:val="left" w:leader="none"/>
                          </w:tabs>
                          <w:spacing w:before="61"/>
                          <w:jc w:val="left"/>
                          <w:rPr>
                            <w:sz w:val="16"/>
                          </w:rPr>
                        </w:pPr>
                        <w:r>
                          <w:rPr>
                            <w:color w:val="231F20"/>
                            <w:sz w:val="16"/>
                          </w:rPr>
                          <w:t>$</w:t>
                          <w:tab/>
                          <w:t>5,580</w:t>
                        </w:r>
                      </w:p>
                    </w:tc>
                    <w:tc>
                      <w:tcPr>
                        <w:tcW w:w="200" w:type="dxa"/>
                      </w:tcPr>
                      <w:p>
                        <w:pPr/>
                      </w:p>
                    </w:tc>
                    <w:tc>
                      <w:tcPr>
                        <w:tcW w:w="845" w:type="dxa"/>
                        <w:tcBorders>
                          <w:top w:val="single" w:sz="8" w:space="0" w:color="231F20"/>
                        </w:tcBorders>
                      </w:tcPr>
                      <w:p>
                        <w:pPr/>
                      </w:p>
                    </w:tc>
                  </w:tr>
                  <w:tr>
                    <w:trPr>
                      <w:trHeight w:val="233" w:hRule="exact"/>
                    </w:trPr>
                    <w:tc>
                      <w:tcPr>
                        <w:tcW w:w="5896" w:type="dxa"/>
                      </w:tcPr>
                      <w:p>
                        <w:pPr>
                          <w:pStyle w:val="TableParagraph"/>
                          <w:spacing w:before="8"/>
                          <w:ind w:left="40" w:right="64"/>
                          <w:jc w:val="center"/>
                          <w:rPr>
                            <w:sz w:val="16"/>
                          </w:rPr>
                        </w:pPr>
                        <w:r>
                          <w:rPr>
                            <w:color w:val="231F20"/>
                            <w:sz w:val="16"/>
                          </w:rPr>
                          <w:t>Add: Fuel hedge losses included in Fuel and oil expense  . . . . . . . . . . . . . . . . . . . . . . . . . . </w:t>
                        </w:r>
                      </w:p>
                    </w:tc>
                    <w:tc>
                      <w:tcPr>
                        <w:tcW w:w="1057" w:type="dxa"/>
                        <w:tcBorders>
                          <w:bottom w:val="single" w:sz="4" w:space="0" w:color="231F20"/>
                        </w:tcBorders>
                      </w:tcPr>
                      <w:p>
                        <w:pPr>
                          <w:pStyle w:val="TableParagraph"/>
                          <w:spacing w:before="8"/>
                          <w:ind w:right="58"/>
                          <w:rPr>
                            <w:sz w:val="16"/>
                          </w:rPr>
                        </w:pPr>
                        <w:r>
                          <w:rPr>
                            <w:color w:val="231F20"/>
                            <w:sz w:val="16"/>
                          </w:rPr>
                          <w:t>157</w:t>
                        </w:r>
                      </w:p>
                    </w:tc>
                    <w:tc>
                      <w:tcPr>
                        <w:tcW w:w="193" w:type="dxa"/>
                      </w:tcPr>
                      <w:p>
                        <w:pPr/>
                      </w:p>
                    </w:tc>
                    <w:tc>
                      <w:tcPr>
                        <w:tcW w:w="980" w:type="dxa"/>
                        <w:tcBorders>
                          <w:bottom w:val="single" w:sz="4" w:space="0" w:color="231F20"/>
                        </w:tcBorders>
                      </w:tcPr>
                      <w:p>
                        <w:pPr>
                          <w:pStyle w:val="TableParagraph"/>
                          <w:spacing w:before="8"/>
                          <w:ind w:right="58"/>
                          <w:rPr>
                            <w:sz w:val="16"/>
                          </w:rPr>
                        </w:pPr>
                        <w:r>
                          <w:rPr>
                            <w:color w:val="231F20"/>
                            <w:sz w:val="16"/>
                          </w:rPr>
                          <w:t>64</w:t>
                        </w:r>
                      </w:p>
                    </w:tc>
                    <w:tc>
                      <w:tcPr>
                        <w:tcW w:w="200" w:type="dxa"/>
                      </w:tcPr>
                      <w:p>
                        <w:pPr/>
                      </w:p>
                    </w:tc>
                    <w:tc>
                      <w:tcPr>
                        <w:tcW w:w="845" w:type="dxa"/>
                      </w:tcPr>
                      <w:p>
                        <w:pPr/>
                      </w:p>
                    </w:tc>
                  </w:tr>
                  <w:tr>
                    <w:trPr>
                      <w:trHeight w:val="269" w:hRule="exact"/>
                    </w:trPr>
                    <w:tc>
                      <w:tcPr>
                        <w:tcW w:w="5896" w:type="dxa"/>
                      </w:tcPr>
                      <w:p>
                        <w:pPr>
                          <w:pStyle w:val="TableParagraph"/>
                          <w:spacing w:before="66"/>
                          <w:ind w:left="40" w:right="64"/>
                          <w:jc w:val="center"/>
                          <w:rPr>
                            <w:sz w:val="16"/>
                          </w:rPr>
                        </w:pPr>
                        <w:r>
                          <w:rPr>
                            <w:b/>
                            <w:color w:val="231F20"/>
                            <w:sz w:val="16"/>
                          </w:rPr>
                          <w:t>Fuel and oil expense, as reported  </w:t>
                        </w:r>
                        <w:r>
                          <w:rPr>
                            <w:color w:val="231F20"/>
                            <w:sz w:val="16"/>
                          </w:rPr>
                          <w:t>. . . . . . . . . . . . . . . . . . . . . . . . . . . . . . . . . . . . . . . . . . . </w:t>
                        </w:r>
                      </w:p>
                    </w:tc>
                    <w:tc>
                      <w:tcPr>
                        <w:tcW w:w="1057" w:type="dxa"/>
                        <w:tcBorders>
                          <w:top w:val="single" w:sz="4"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6,120</w:t>
                        </w:r>
                      </w:p>
                    </w:tc>
                    <w:tc>
                      <w:tcPr>
                        <w:tcW w:w="193" w:type="dxa"/>
                      </w:tcPr>
                      <w:p>
                        <w:pPr/>
                      </w:p>
                    </w:tc>
                    <w:tc>
                      <w:tcPr>
                        <w:tcW w:w="980" w:type="dxa"/>
                        <w:tcBorders>
                          <w:top w:val="single" w:sz="4" w:space="0" w:color="231F20"/>
                        </w:tcBorders>
                      </w:tcPr>
                      <w:p>
                        <w:pPr>
                          <w:pStyle w:val="TableParagraph"/>
                          <w:tabs>
                            <w:tab w:pos="559" w:val="left" w:leader="none"/>
                          </w:tabs>
                          <w:spacing w:before="61"/>
                          <w:jc w:val="left"/>
                          <w:rPr>
                            <w:sz w:val="16"/>
                          </w:rPr>
                        </w:pPr>
                        <w:r>
                          <w:rPr>
                            <w:color w:val="231F20"/>
                            <w:sz w:val="16"/>
                          </w:rPr>
                          <w:t>$</w:t>
                          <w:tab/>
                          <w:t>5,644</w:t>
                        </w:r>
                      </w:p>
                    </w:tc>
                    <w:tc>
                      <w:tcPr>
                        <w:tcW w:w="200" w:type="dxa"/>
                      </w:tcPr>
                      <w:p>
                        <w:pPr/>
                      </w:p>
                    </w:tc>
                    <w:tc>
                      <w:tcPr>
                        <w:tcW w:w="845" w:type="dxa"/>
                      </w:tcPr>
                      <w:p>
                        <w:pPr/>
                      </w:p>
                    </w:tc>
                  </w:tr>
                  <w:tr>
                    <w:trPr>
                      <w:trHeight w:val="233" w:hRule="exact"/>
                    </w:trPr>
                    <w:tc>
                      <w:tcPr>
                        <w:tcW w:w="5896" w:type="dxa"/>
                      </w:tcPr>
                      <w:p>
                        <w:pPr>
                          <w:pStyle w:val="TableParagraph"/>
                          <w:spacing w:before="8"/>
                          <w:ind w:left="40" w:right="64"/>
                          <w:jc w:val="center"/>
                          <w:rPr>
                            <w:sz w:val="16"/>
                          </w:rPr>
                        </w:pPr>
                        <w:r>
                          <w:rPr>
                            <w:color w:val="231F20"/>
                            <w:sz w:val="16"/>
                          </w:rPr>
                          <w:t>Deduct: Net impact from fuel contracts  . . . . . . . . . . . . . . . . . . . . . . . . . . . . . . . . . . . . . . . . </w:t>
                        </w:r>
                      </w:p>
                    </w:tc>
                    <w:tc>
                      <w:tcPr>
                        <w:tcW w:w="1057" w:type="dxa"/>
                        <w:tcBorders>
                          <w:bottom w:val="single" w:sz="4" w:space="0" w:color="231F20"/>
                        </w:tcBorders>
                      </w:tcPr>
                      <w:p>
                        <w:pPr>
                          <w:pStyle w:val="TableParagraph"/>
                          <w:spacing w:before="8"/>
                          <w:ind w:right="4"/>
                          <w:rPr>
                            <w:sz w:val="16"/>
                          </w:rPr>
                        </w:pPr>
                        <w:r>
                          <w:rPr>
                            <w:color w:val="231F20"/>
                            <w:sz w:val="16"/>
                          </w:rPr>
                          <w:t>(32)</w:t>
                        </w:r>
                      </w:p>
                    </w:tc>
                    <w:tc>
                      <w:tcPr>
                        <w:tcW w:w="193" w:type="dxa"/>
                      </w:tcPr>
                      <w:p>
                        <w:pPr/>
                      </w:p>
                    </w:tc>
                    <w:tc>
                      <w:tcPr>
                        <w:tcW w:w="980" w:type="dxa"/>
                        <w:tcBorders>
                          <w:bottom w:val="single" w:sz="4" w:space="0" w:color="231F20"/>
                        </w:tcBorders>
                      </w:tcPr>
                      <w:p>
                        <w:pPr>
                          <w:pStyle w:val="TableParagraph"/>
                          <w:spacing w:before="8"/>
                          <w:ind w:right="138"/>
                          <w:rPr>
                            <w:sz w:val="16"/>
                          </w:rPr>
                        </w:pPr>
                        <w:r>
                          <w:rPr>
                            <w:color w:val="231F20"/>
                            <w:sz w:val="16"/>
                          </w:rPr>
                          <w:t>—</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Fuel and oil expense, non-GAAP   </w:t>
                        </w:r>
                        <w:r>
                          <w:rPr>
                            <w:color w:val="231F20"/>
                            <w:sz w:val="16"/>
                          </w:rPr>
                          <w:t>. . . . . . . . . . . . . . . . . . . . . . . . . . . . . . . . . . . . . . . . . . . </w:t>
                        </w:r>
                      </w:p>
                    </w:tc>
                    <w:tc>
                      <w:tcPr>
                        <w:tcW w:w="1057" w:type="dxa"/>
                        <w:tcBorders>
                          <w:top w:val="single" w:sz="4" w:space="0" w:color="231F20"/>
                          <w:bottom w:val="single" w:sz="4"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6,088</w:t>
                        </w:r>
                      </w:p>
                    </w:tc>
                    <w:tc>
                      <w:tcPr>
                        <w:tcW w:w="193" w:type="dxa"/>
                      </w:tcPr>
                      <w:p>
                        <w:pPr/>
                      </w:p>
                    </w:tc>
                    <w:tc>
                      <w:tcPr>
                        <w:tcW w:w="980" w:type="dxa"/>
                        <w:tcBorders>
                          <w:top w:val="single" w:sz="4" w:space="0" w:color="231F20"/>
                          <w:bottom w:val="single" w:sz="4" w:space="0" w:color="231F20"/>
                        </w:tcBorders>
                      </w:tcPr>
                      <w:p>
                        <w:pPr>
                          <w:pStyle w:val="TableParagraph"/>
                          <w:tabs>
                            <w:tab w:pos="559" w:val="left" w:leader="none"/>
                          </w:tabs>
                          <w:spacing w:before="61"/>
                          <w:jc w:val="left"/>
                          <w:rPr>
                            <w:sz w:val="16"/>
                          </w:rPr>
                        </w:pPr>
                        <w:r>
                          <w:rPr>
                            <w:color w:val="231F20"/>
                            <w:sz w:val="16"/>
                          </w:rPr>
                          <w:t>$</w:t>
                          <w:tab/>
                          <w:t>5,644</w:t>
                        </w:r>
                      </w:p>
                    </w:tc>
                    <w:tc>
                      <w:tcPr>
                        <w:tcW w:w="200" w:type="dxa"/>
                      </w:tcPr>
                      <w:p>
                        <w:pPr/>
                      </w:p>
                    </w:tc>
                    <w:tc>
                      <w:tcPr>
                        <w:tcW w:w="845" w:type="dxa"/>
                      </w:tcPr>
                      <w:p>
                        <w:pPr>
                          <w:pStyle w:val="TableParagraph"/>
                          <w:spacing w:before="66"/>
                          <w:ind w:right="176"/>
                          <w:rPr>
                            <w:sz w:val="16"/>
                          </w:rPr>
                        </w:pPr>
                        <w:r>
                          <w:rPr>
                            <w:color w:val="231F20"/>
                            <w:sz w:val="16"/>
                          </w:rPr>
                          <w:t>7.9%</w:t>
                        </w:r>
                      </w:p>
                    </w:tc>
                  </w:tr>
                  <w:tr>
                    <w:trPr>
                      <w:trHeight w:val="308" w:hRule="exact"/>
                    </w:trPr>
                    <w:tc>
                      <w:tcPr>
                        <w:tcW w:w="5896" w:type="dxa"/>
                      </w:tcPr>
                      <w:p>
                        <w:pPr>
                          <w:pStyle w:val="TableParagraph"/>
                          <w:spacing w:before="100"/>
                          <w:ind w:left="40" w:right="64"/>
                          <w:jc w:val="center"/>
                          <w:rPr>
                            <w:sz w:val="16"/>
                          </w:rPr>
                        </w:pPr>
                        <w:r>
                          <w:rPr>
                            <w:b/>
                            <w:color w:val="231F20"/>
                            <w:sz w:val="16"/>
                          </w:rPr>
                          <w:t>Total operating expenses, as reported  </w:t>
                        </w:r>
                        <w:r>
                          <w:rPr>
                            <w:color w:val="231F20"/>
                            <w:sz w:val="16"/>
                          </w:rPr>
                          <w:t>. . . . . . . . . . . . . . . . . . . . . . . . . . . . . . . . . . . . . . . </w:t>
                        </w:r>
                      </w:p>
                    </w:tc>
                    <w:tc>
                      <w:tcPr>
                        <w:tcW w:w="1057" w:type="dxa"/>
                        <w:tcBorders>
                          <w:top w:val="single" w:sz="4" w:space="0" w:color="231F20"/>
                        </w:tcBorders>
                      </w:tcPr>
                      <w:p>
                        <w:pPr>
                          <w:pStyle w:val="TableParagraph"/>
                          <w:tabs>
                            <w:tab w:pos="479" w:val="left" w:leader="none"/>
                          </w:tabs>
                          <w:spacing w:before="95"/>
                          <w:ind w:right="59"/>
                          <w:rPr>
                            <w:sz w:val="16"/>
                          </w:rPr>
                        </w:pPr>
                        <w:r>
                          <w:rPr>
                            <w:color w:val="231F20"/>
                            <w:sz w:val="16"/>
                          </w:rPr>
                          <w:t>$</w:t>
                          <w:tab/>
                        </w:r>
                        <w:r>
                          <w:rPr>
                            <w:color w:val="231F20"/>
                            <w:spacing w:val="-1"/>
                            <w:sz w:val="16"/>
                          </w:rPr>
                          <w:t>16,465</w:t>
                        </w:r>
                      </w:p>
                    </w:tc>
                    <w:tc>
                      <w:tcPr>
                        <w:tcW w:w="193" w:type="dxa"/>
                      </w:tcPr>
                      <w:p>
                        <w:pPr/>
                      </w:p>
                    </w:tc>
                    <w:tc>
                      <w:tcPr>
                        <w:tcW w:w="980" w:type="dxa"/>
                        <w:tcBorders>
                          <w:top w:val="single" w:sz="4" w:space="0" w:color="231F20"/>
                        </w:tcBorders>
                      </w:tcPr>
                      <w:p>
                        <w:pPr>
                          <w:pStyle w:val="TableParagraph"/>
                          <w:tabs>
                            <w:tab w:pos="479" w:val="left" w:leader="none"/>
                          </w:tabs>
                          <w:spacing w:before="95"/>
                          <w:jc w:val="left"/>
                          <w:rPr>
                            <w:sz w:val="16"/>
                          </w:rPr>
                        </w:pPr>
                        <w:r>
                          <w:rPr>
                            <w:color w:val="231F20"/>
                            <w:sz w:val="16"/>
                          </w:rPr>
                          <w:t>$</w:t>
                          <w:tab/>
                          <w:t>14,965</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4"/>
                          <w:rPr>
                            <w:sz w:val="16"/>
                          </w:rPr>
                        </w:pPr>
                        <w:r>
                          <w:rPr>
                            <w:color w:val="231F20"/>
                            <w:sz w:val="16"/>
                          </w:rPr>
                          <w:t>(42)</w:t>
                        </w:r>
                      </w:p>
                    </w:tc>
                    <w:tc>
                      <w:tcPr>
                        <w:tcW w:w="193" w:type="dxa"/>
                      </w:tcPr>
                      <w:p>
                        <w:pPr/>
                      </w:p>
                    </w:tc>
                    <w:tc>
                      <w:tcPr>
                        <w:tcW w:w="980" w:type="dxa"/>
                      </w:tcPr>
                      <w:p>
                        <w:pPr>
                          <w:pStyle w:val="TableParagraph"/>
                          <w:spacing w:before="5"/>
                          <w:jc w:val="left"/>
                          <w:rPr>
                            <w:sz w:val="18"/>
                          </w:rPr>
                        </w:pPr>
                      </w:p>
                      <w:p>
                        <w:pPr>
                          <w:pStyle w:val="TableParagraph"/>
                          <w:spacing w:before="1"/>
                          <w:ind w:right="58"/>
                          <w:rPr>
                            <w:sz w:val="16"/>
                          </w:rPr>
                        </w:pPr>
                        <w:r>
                          <w:rPr>
                            <w:color w:val="231F20"/>
                            <w:sz w:val="16"/>
                          </w:rPr>
                          <w:t>35</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10</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(35)</w:t>
                        </w:r>
                      </w:p>
                    </w:tc>
                    <w:tc>
                      <w:tcPr>
                        <w:tcW w:w="200" w:type="dxa"/>
                      </w:tcPr>
                      <w:p>
                        <w:pPr/>
                      </w:p>
                    </w:tc>
                    <w:tc>
                      <w:tcPr>
                        <w:tcW w:w="845" w:type="dxa"/>
                      </w:tcPr>
                      <w:p>
                        <w:pPr/>
                      </w:p>
                    </w:tc>
                  </w:tr>
                  <w:tr>
                    <w:trPr>
                      <w:trHeight w:val="220" w:hRule="exact"/>
                    </w:trPr>
                    <w:tc>
                      <w:tcPr>
                        <w:tcW w:w="5896" w:type="dxa"/>
                      </w:tcPr>
                      <w:p>
                        <w:pPr>
                          <w:pStyle w:val="TableParagraph"/>
                          <w:spacing w:before="13"/>
                          <w:ind w:left="40" w:right="64"/>
                          <w:jc w:val="center"/>
                          <w:rPr>
                            <w:sz w:val="16"/>
                          </w:rPr>
                        </w:pPr>
                        <w:r>
                          <w:rPr>
                            <w:color w:val="231F20"/>
                            <w:sz w:val="16"/>
                          </w:rPr>
                          <w:t>Deduct: Acquisition and integration costs, net (a)  . . . . . . . . . . . . . . . . . . . . . . . . . . . . . . . . </w:t>
                        </w:r>
                      </w:p>
                    </w:tc>
                    <w:tc>
                      <w:tcPr>
                        <w:tcW w:w="1057" w:type="dxa"/>
                      </w:tcPr>
                      <w:p>
                        <w:pPr>
                          <w:pStyle w:val="TableParagraph"/>
                          <w:spacing w:before="13"/>
                          <w:ind w:right="4"/>
                          <w:rPr>
                            <w:sz w:val="16"/>
                          </w:rPr>
                        </w:pPr>
                        <w:r>
                          <w:rPr>
                            <w:color w:val="231F20"/>
                            <w:sz w:val="16"/>
                          </w:rPr>
                          <w:t>(183)</w:t>
                        </w:r>
                      </w:p>
                    </w:tc>
                    <w:tc>
                      <w:tcPr>
                        <w:tcW w:w="193" w:type="dxa"/>
                      </w:tcPr>
                      <w:p>
                        <w:pPr/>
                      </w:p>
                    </w:tc>
                    <w:tc>
                      <w:tcPr>
                        <w:tcW w:w="980" w:type="dxa"/>
                      </w:tcPr>
                      <w:p>
                        <w:pPr>
                          <w:pStyle w:val="TableParagraph"/>
                          <w:spacing w:before="13"/>
                          <w:ind w:right="4"/>
                          <w:rPr>
                            <w:sz w:val="16"/>
                          </w:rPr>
                        </w:pPr>
                        <w:r>
                          <w:rPr>
                            <w:color w:val="231F20"/>
                            <w:sz w:val="16"/>
                          </w:rPr>
                          <w:t>(132)</w:t>
                        </w:r>
                      </w:p>
                    </w:tc>
                    <w:tc>
                      <w:tcPr>
                        <w:tcW w:w="200" w:type="dxa"/>
                      </w:tcPr>
                      <w:p>
                        <w:pPr/>
                      </w:p>
                    </w:tc>
                    <w:tc>
                      <w:tcPr>
                        <w:tcW w:w="845" w:type="dxa"/>
                      </w:tcPr>
                      <w:p>
                        <w:pPr/>
                      </w:p>
                    </w:tc>
                  </w:tr>
                  <w:tr>
                    <w:trPr>
                      <w:trHeight w:val="238" w:hRule="exact"/>
                    </w:trPr>
                    <w:tc>
                      <w:tcPr>
                        <w:tcW w:w="5896" w:type="dxa"/>
                      </w:tcPr>
                      <w:p>
                        <w:pPr>
                          <w:pStyle w:val="TableParagraph"/>
                          <w:spacing w:before="13"/>
                          <w:ind w:left="40" w:right="64"/>
                          <w:jc w:val="center"/>
                          <w:rPr>
                            <w:sz w:val="16"/>
                          </w:rPr>
                        </w:pPr>
                        <w:r>
                          <w:rPr>
                            <w:color w:val="231F20"/>
                            <w:sz w:val="16"/>
                          </w:rPr>
                          <w:t>Deduct: Asset impairment, net of profitsharing . . . . . . . . . . . . . . . . . . . . . . . . . . . . . . . . . . </w:t>
                        </w:r>
                      </w:p>
                    </w:tc>
                    <w:tc>
                      <w:tcPr>
                        <w:tcW w:w="1057" w:type="dxa"/>
                        <w:tcBorders>
                          <w:bottom w:val="single" w:sz="4" w:space="0" w:color="231F20"/>
                        </w:tcBorders>
                      </w:tcPr>
                      <w:p>
                        <w:pPr>
                          <w:pStyle w:val="TableParagraph"/>
                          <w:spacing w:before="13"/>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13"/>
                          <w:ind w:right="4"/>
                          <w:rPr>
                            <w:sz w:val="16"/>
                          </w:rPr>
                        </w:pPr>
                        <w:r>
                          <w:rPr>
                            <w:color w:val="231F20"/>
                            <w:sz w:val="16"/>
                          </w:rPr>
                          <w:t>(14)</w:t>
                        </w:r>
                      </w:p>
                    </w:tc>
                    <w:tc>
                      <w:tcPr>
                        <w:tcW w:w="200" w:type="dxa"/>
                      </w:tcPr>
                      <w:p>
                        <w:pPr/>
                      </w:p>
                    </w:tc>
                    <w:tc>
                      <w:tcPr>
                        <w:tcW w:w="845" w:type="dxa"/>
                      </w:tcPr>
                      <w:p>
                        <w:pPr/>
                      </w:p>
                    </w:tc>
                  </w:tr>
                  <w:tr>
                    <w:trPr>
                      <w:trHeight w:val="320" w:hRule="exact"/>
                    </w:trPr>
                    <w:tc>
                      <w:tcPr>
                        <w:tcW w:w="5896" w:type="dxa"/>
                      </w:tcPr>
                      <w:p>
                        <w:pPr>
                          <w:pStyle w:val="TableParagraph"/>
                          <w:spacing w:before="55"/>
                          <w:ind w:left="40" w:right="64"/>
                          <w:jc w:val="center"/>
                          <w:rPr>
                            <w:sz w:val="16"/>
                          </w:rPr>
                        </w:pPr>
                        <w:r>
                          <w:rPr>
                            <w:b/>
                            <w:color w:val="231F20"/>
                            <w:sz w:val="16"/>
                          </w:rPr>
                          <w:t>Total operating expenses, non-GAAP   </w:t>
                        </w:r>
                        <w:r>
                          <w:rPr>
                            <w:color w:val="231F20"/>
                            <w:sz w:val="16"/>
                          </w:rPr>
                          <w:t>. . . . . . . . . . . . . . . . . . . . . . . . . . . . . . . . . . . . . . . </w:t>
                        </w:r>
                      </w:p>
                    </w:tc>
                    <w:tc>
                      <w:tcPr>
                        <w:tcW w:w="1057" w:type="dxa"/>
                        <w:tcBorders>
                          <w:top w:val="single" w:sz="4" w:space="0" w:color="231F20"/>
                          <w:bottom w:val="single" w:sz="4" w:space="0" w:color="231F20"/>
                        </w:tcBorders>
                      </w:tcPr>
                      <w:p>
                        <w:pPr>
                          <w:pStyle w:val="TableParagraph"/>
                          <w:tabs>
                            <w:tab w:pos="479" w:val="left" w:leader="none"/>
                          </w:tabs>
                          <w:spacing w:before="50"/>
                          <w:ind w:right="59"/>
                          <w:rPr>
                            <w:sz w:val="16"/>
                          </w:rPr>
                        </w:pPr>
                        <w:r>
                          <w:rPr>
                            <w:color w:val="231F20"/>
                            <w:sz w:val="16"/>
                          </w:rPr>
                          <w:t>$</w:t>
                          <w:tab/>
                        </w:r>
                        <w:r>
                          <w:rPr>
                            <w:color w:val="231F20"/>
                            <w:spacing w:val="-1"/>
                            <w:sz w:val="16"/>
                          </w:rPr>
                          <w:t>16,250</w:t>
                        </w:r>
                      </w:p>
                    </w:tc>
                    <w:tc>
                      <w:tcPr>
                        <w:tcW w:w="193" w:type="dxa"/>
                      </w:tcPr>
                      <w:p>
                        <w:pPr/>
                      </w:p>
                    </w:tc>
                    <w:tc>
                      <w:tcPr>
                        <w:tcW w:w="980" w:type="dxa"/>
                        <w:tcBorders>
                          <w:top w:val="single" w:sz="4" w:space="0" w:color="231F20"/>
                          <w:bottom w:val="single" w:sz="4" w:space="0" w:color="231F20"/>
                        </w:tcBorders>
                      </w:tcPr>
                      <w:p>
                        <w:pPr>
                          <w:pStyle w:val="TableParagraph"/>
                          <w:tabs>
                            <w:tab w:pos="479" w:val="left" w:leader="none"/>
                          </w:tabs>
                          <w:spacing w:before="50"/>
                          <w:jc w:val="left"/>
                          <w:rPr>
                            <w:sz w:val="16"/>
                          </w:rPr>
                        </w:pPr>
                        <w:r>
                          <w:rPr>
                            <w:color w:val="231F20"/>
                            <w:sz w:val="16"/>
                          </w:rPr>
                          <w:t>$</w:t>
                          <w:tab/>
                          <w:t>14,819</w:t>
                        </w:r>
                      </w:p>
                    </w:tc>
                    <w:tc>
                      <w:tcPr>
                        <w:tcW w:w="200" w:type="dxa"/>
                      </w:tcPr>
                      <w:p>
                        <w:pPr/>
                      </w:p>
                    </w:tc>
                    <w:tc>
                      <w:tcPr>
                        <w:tcW w:w="845" w:type="dxa"/>
                      </w:tcPr>
                      <w:p>
                        <w:pPr>
                          <w:pStyle w:val="TableParagraph"/>
                          <w:spacing w:before="55"/>
                          <w:ind w:right="176"/>
                          <w:rPr>
                            <w:sz w:val="16"/>
                          </w:rPr>
                        </w:pPr>
                        <w:r>
                          <w:rPr>
                            <w:color w:val="231F20"/>
                            <w:sz w:val="16"/>
                          </w:rPr>
                          <w:t>9.7%</w:t>
                        </w:r>
                      </w:p>
                    </w:tc>
                  </w:tr>
                  <w:tr>
                    <w:trPr>
                      <w:trHeight w:val="303" w:hRule="exact"/>
                    </w:trPr>
                    <w:tc>
                      <w:tcPr>
                        <w:tcW w:w="5896" w:type="dxa"/>
                      </w:tcPr>
                      <w:p>
                        <w:pPr>
                          <w:pStyle w:val="TableParagraph"/>
                          <w:spacing w:before="100"/>
                          <w:ind w:left="40" w:right="64"/>
                          <w:jc w:val="center"/>
                          <w:rPr>
                            <w:sz w:val="16"/>
                          </w:rPr>
                        </w:pPr>
                        <w:r>
                          <w:rPr>
                            <w:b/>
                            <w:color w:val="231F20"/>
                            <w:sz w:val="16"/>
                          </w:rPr>
                          <w:t>Operating income, as reported  </w:t>
                        </w:r>
                        <w:r>
                          <w:rPr>
                            <w:color w:val="231F20"/>
                            <w:sz w:val="16"/>
                          </w:rPr>
                          <w:t>. . . . . . . . . . . . . . . . . . . . . . . . . . . . . . . . . . . . . . . . . . . . . </w:t>
                        </w:r>
                      </w:p>
                    </w:tc>
                    <w:tc>
                      <w:tcPr>
                        <w:tcW w:w="1057" w:type="dxa"/>
                        <w:tcBorders>
                          <w:top w:val="single" w:sz="4" w:space="0" w:color="231F20"/>
                        </w:tcBorders>
                      </w:tcPr>
                      <w:p>
                        <w:pPr>
                          <w:pStyle w:val="TableParagraph"/>
                          <w:tabs>
                            <w:tab w:pos="679" w:val="left" w:leader="none"/>
                          </w:tabs>
                          <w:spacing w:before="95"/>
                          <w:ind w:right="58"/>
                          <w:rPr>
                            <w:sz w:val="16"/>
                          </w:rPr>
                        </w:pPr>
                        <w:r>
                          <w:rPr>
                            <w:color w:val="231F20"/>
                            <w:sz w:val="16"/>
                          </w:rPr>
                          <w:t>$</w:t>
                          <w:tab/>
                          <w:t>623</w:t>
                        </w:r>
                      </w:p>
                    </w:tc>
                    <w:tc>
                      <w:tcPr>
                        <w:tcW w:w="193" w:type="dxa"/>
                      </w:tcPr>
                      <w:p>
                        <w:pPr/>
                      </w:p>
                    </w:tc>
                    <w:tc>
                      <w:tcPr>
                        <w:tcW w:w="980" w:type="dxa"/>
                        <w:tcBorders>
                          <w:top w:val="single" w:sz="4" w:space="0" w:color="231F20"/>
                        </w:tcBorders>
                      </w:tcPr>
                      <w:p>
                        <w:pPr>
                          <w:pStyle w:val="TableParagraph"/>
                          <w:tabs>
                            <w:tab w:pos="679" w:val="left" w:leader="none"/>
                          </w:tabs>
                          <w:spacing w:before="95"/>
                          <w:jc w:val="left"/>
                          <w:rPr>
                            <w:sz w:val="16"/>
                          </w:rPr>
                        </w:pPr>
                        <w:r>
                          <w:rPr>
                            <w:color w:val="231F20"/>
                            <w:sz w:val="16"/>
                          </w:rPr>
                          <w:t>$</w:t>
                          <w:tab/>
                          <w:t>693</w:t>
                        </w:r>
                      </w:p>
                    </w:tc>
                    <w:tc>
                      <w:tcPr>
                        <w:tcW w:w="200" w:type="dxa"/>
                      </w:tcPr>
                      <w:p>
                        <w:pPr/>
                      </w:p>
                    </w:tc>
                    <w:tc>
                      <w:tcPr>
                        <w:tcW w:w="845" w:type="dxa"/>
                      </w:tcPr>
                      <w:p>
                        <w:pPr/>
                      </w:p>
                    </w:tc>
                  </w:tr>
                  <w:tr>
                    <w:trPr>
                      <w:trHeight w:val="410" w:hRule="exact"/>
                    </w:trPr>
                    <w:tc>
                      <w:tcPr>
                        <w:tcW w:w="5896" w:type="dxa"/>
                      </w:tcPr>
                      <w:p>
                        <w:pPr>
                          <w:pStyle w:val="TableParagraph"/>
                          <w:spacing w:line="261" w:lineRule="auto" w:before="8"/>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1"/>
                          <w:jc w:val="left"/>
                          <w:rPr>
                            <w:sz w:val="18"/>
                          </w:rPr>
                        </w:pPr>
                      </w:p>
                      <w:p>
                        <w:pPr>
                          <w:pStyle w:val="TableParagraph"/>
                          <w:ind w:right="58"/>
                          <w:rPr>
                            <w:sz w:val="16"/>
                          </w:rPr>
                        </w:pPr>
                        <w:r>
                          <w:rPr>
                            <w:color w:val="231F20"/>
                            <w:sz w:val="16"/>
                          </w:rPr>
                          <w:t>42</w:t>
                        </w:r>
                      </w:p>
                    </w:tc>
                    <w:tc>
                      <w:tcPr>
                        <w:tcW w:w="193" w:type="dxa"/>
                      </w:tcPr>
                      <w:p>
                        <w:pPr/>
                      </w:p>
                    </w:tc>
                    <w:tc>
                      <w:tcPr>
                        <w:tcW w:w="980" w:type="dxa"/>
                      </w:tcPr>
                      <w:p>
                        <w:pPr>
                          <w:pStyle w:val="TableParagraph"/>
                          <w:spacing w:before="1"/>
                          <w:jc w:val="left"/>
                          <w:rPr>
                            <w:sz w:val="18"/>
                          </w:rPr>
                        </w:pPr>
                      </w:p>
                      <w:p>
                        <w:pPr>
                          <w:pStyle w:val="TableParagraph"/>
                          <w:ind w:right="4"/>
                          <w:rPr>
                            <w:sz w:val="16"/>
                          </w:rPr>
                        </w:pPr>
                        <w:r>
                          <w:rPr>
                            <w:color w:val="231F20"/>
                            <w:sz w:val="16"/>
                          </w:rPr>
                          <w:t>(35)</w:t>
                        </w:r>
                      </w:p>
                    </w:tc>
                    <w:tc>
                      <w:tcPr>
                        <w:tcW w:w="200" w:type="dxa"/>
                      </w:tcPr>
                      <w:p>
                        <w:pPr/>
                      </w:p>
                    </w:tc>
                    <w:tc>
                      <w:tcPr>
                        <w:tcW w:w="845" w:type="dxa"/>
                      </w:tcPr>
                      <w:p>
                        <w:pPr/>
                      </w:p>
                    </w:tc>
                  </w:tr>
                  <w:tr>
                    <w:trPr>
                      <w:trHeight w:val="411" w:hRule="exact"/>
                    </w:trPr>
                    <w:tc>
                      <w:tcPr>
                        <w:tcW w:w="5896" w:type="dxa"/>
                      </w:tcPr>
                      <w:p>
                        <w:pPr>
                          <w:pStyle w:val="TableParagraph"/>
                          <w:spacing w:line="261" w:lineRule="auto" w:before="9"/>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2"/>
                          <w:jc w:val="left"/>
                          <w:rPr>
                            <w:sz w:val="18"/>
                          </w:rPr>
                        </w:pPr>
                      </w:p>
                      <w:p>
                        <w:pPr>
                          <w:pStyle w:val="TableParagraph"/>
                          <w:ind w:right="4"/>
                          <w:rPr>
                            <w:sz w:val="16"/>
                          </w:rPr>
                        </w:pPr>
                        <w:r>
                          <w:rPr>
                            <w:color w:val="231F20"/>
                            <w:sz w:val="16"/>
                          </w:rPr>
                          <w:t>(10)</w:t>
                        </w:r>
                      </w:p>
                    </w:tc>
                    <w:tc>
                      <w:tcPr>
                        <w:tcW w:w="193" w:type="dxa"/>
                      </w:tcPr>
                      <w:p>
                        <w:pPr/>
                      </w:p>
                    </w:tc>
                    <w:tc>
                      <w:tcPr>
                        <w:tcW w:w="980" w:type="dxa"/>
                      </w:tcPr>
                      <w:p>
                        <w:pPr>
                          <w:pStyle w:val="TableParagraph"/>
                          <w:spacing w:before="2"/>
                          <w:jc w:val="left"/>
                          <w:rPr>
                            <w:sz w:val="18"/>
                          </w:rPr>
                        </w:pPr>
                      </w:p>
                      <w:p>
                        <w:pPr>
                          <w:pStyle w:val="TableParagraph"/>
                          <w:ind w:right="58"/>
                          <w:rPr>
                            <w:sz w:val="16"/>
                          </w:rPr>
                        </w:pPr>
                        <w:r>
                          <w:rPr>
                            <w:color w:val="231F20"/>
                            <w:sz w:val="16"/>
                          </w:rPr>
                          <w:t>35</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Acquisition and integration costs, net (a)  . . . . . . . . . . . . . . . . . . . . . . . . . . . . . . . . . . </w:t>
                        </w:r>
                      </w:p>
                    </w:tc>
                    <w:tc>
                      <w:tcPr>
                        <w:tcW w:w="1057" w:type="dxa"/>
                      </w:tcPr>
                      <w:p>
                        <w:pPr>
                          <w:pStyle w:val="TableParagraph"/>
                          <w:spacing w:before="9"/>
                          <w:ind w:right="58"/>
                          <w:rPr>
                            <w:sz w:val="16"/>
                          </w:rPr>
                        </w:pPr>
                        <w:r>
                          <w:rPr>
                            <w:color w:val="231F20"/>
                            <w:sz w:val="16"/>
                          </w:rPr>
                          <w:t>183</w:t>
                        </w:r>
                      </w:p>
                    </w:tc>
                    <w:tc>
                      <w:tcPr>
                        <w:tcW w:w="193" w:type="dxa"/>
                      </w:tcPr>
                      <w:p>
                        <w:pPr/>
                      </w:p>
                    </w:tc>
                    <w:tc>
                      <w:tcPr>
                        <w:tcW w:w="980" w:type="dxa"/>
                      </w:tcPr>
                      <w:p>
                        <w:pPr>
                          <w:pStyle w:val="TableParagraph"/>
                          <w:spacing w:before="9"/>
                          <w:ind w:right="58"/>
                          <w:rPr>
                            <w:sz w:val="16"/>
                          </w:rPr>
                        </w:pPr>
                        <w:r>
                          <w:rPr>
                            <w:color w:val="231F20"/>
                            <w:sz w:val="16"/>
                          </w:rPr>
                          <w:t>132</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Asset impairment, net of profitsharing  . . . . . . . . . . . . . . . . . . . . . . . . . . . . . . . . . . . . </w:t>
                        </w:r>
                      </w:p>
                    </w:tc>
                    <w:tc>
                      <w:tcPr>
                        <w:tcW w:w="1057" w:type="dxa"/>
                        <w:tcBorders>
                          <w:bottom w:val="single" w:sz="4" w:space="0" w:color="231F20"/>
                        </w:tcBorders>
                      </w:tcPr>
                      <w:p>
                        <w:pPr>
                          <w:pStyle w:val="TableParagraph"/>
                          <w:spacing w:before="9"/>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14</w:t>
                        </w:r>
                      </w:p>
                    </w:tc>
                    <w:tc>
                      <w:tcPr>
                        <w:tcW w:w="200" w:type="dxa"/>
                      </w:tcPr>
                      <w:p>
                        <w:pPr/>
                      </w:p>
                    </w:tc>
                    <w:tc>
                      <w:tcPr>
                        <w:tcW w:w="845" w:type="dxa"/>
                      </w:tcPr>
                      <w:p>
                        <w:pPr/>
                      </w:p>
                    </w:tc>
                  </w:tr>
                  <w:tr>
                    <w:trPr>
                      <w:trHeight w:val="320" w:hRule="exact"/>
                    </w:trPr>
                    <w:tc>
                      <w:tcPr>
                        <w:tcW w:w="5896" w:type="dxa"/>
                      </w:tcPr>
                      <w:p>
                        <w:pPr>
                          <w:pStyle w:val="TableParagraph"/>
                          <w:spacing w:before="55"/>
                          <w:ind w:left="40" w:right="64"/>
                          <w:jc w:val="center"/>
                          <w:rPr>
                            <w:sz w:val="16"/>
                          </w:rPr>
                        </w:pPr>
                        <w:r>
                          <w:rPr>
                            <w:b/>
                            <w:color w:val="231F20"/>
                            <w:sz w:val="16"/>
                          </w:rPr>
                          <w:t>Operating income, non-GAAP  </w:t>
                        </w:r>
                        <w:r>
                          <w:rPr>
                            <w:color w:val="231F20"/>
                            <w:sz w:val="16"/>
                          </w:rPr>
                          <w:t>. . . . . . . . . . . . . . . . . . . . . . . . . . . . . . . . . . . . . . . . . . . . . </w:t>
                        </w:r>
                      </w:p>
                    </w:tc>
                    <w:tc>
                      <w:tcPr>
                        <w:tcW w:w="1057" w:type="dxa"/>
                        <w:tcBorders>
                          <w:top w:val="single" w:sz="4" w:space="0" w:color="231F20"/>
                          <w:bottom w:val="single" w:sz="4" w:space="0" w:color="231F20"/>
                        </w:tcBorders>
                      </w:tcPr>
                      <w:p>
                        <w:pPr>
                          <w:pStyle w:val="TableParagraph"/>
                          <w:tabs>
                            <w:tab w:pos="679" w:val="left" w:leader="none"/>
                          </w:tabs>
                          <w:spacing w:before="50"/>
                          <w:ind w:right="58"/>
                          <w:rPr>
                            <w:sz w:val="16"/>
                          </w:rPr>
                        </w:pPr>
                        <w:r>
                          <w:rPr>
                            <w:color w:val="231F20"/>
                            <w:sz w:val="16"/>
                          </w:rPr>
                          <w:t>$</w:t>
                          <w:tab/>
                          <w:t>838</w:t>
                        </w:r>
                      </w:p>
                    </w:tc>
                    <w:tc>
                      <w:tcPr>
                        <w:tcW w:w="193" w:type="dxa"/>
                      </w:tcPr>
                      <w:p>
                        <w:pPr/>
                      </w:p>
                    </w:tc>
                    <w:tc>
                      <w:tcPr>
                        <w:tcW w:w="980" w:type="dxa"/>
                        <w:tcBorders>
                          <w:top w:val="single" w:sz="4" w:space="0" w:color="231F20"/>
                          <w:bottom w:val="single" w:sz="4" w:space="0" w:color="231F20"/>
                        </w:tcBorders>
                      </w:tcPr>
                      <w:p>
                        <w:pPr>
                          <w:pStyle w:val="TableParagraph"/>
                          <w:tabs>
                            <w:tab w:pos="679" w:val="left" w:leader="none"/>
                          </w:tabs>
                          <w:spacing w:before="50"/>
                          <w:jc w:val="left"/>
                          <w:rPr>
                            <w:sz w:val="16"/>
                          </w:rPr>
                        </w:pPr>
                        <w:r>
                          <w:rPr>
                            <w:color w:val="231F20"/>
                            <w:sz w:val="16"/>
                          </w:rPr>
                          <w:t>$</w:t>
                          <w:tab/>
                          <w:t>839</w:t>
                        </w:r>
                      </w:p>
                    </w:tc>
                    <w:tc>
                      <w:tcPr>
                        <w:tcW w:w="200" w:type="dxa"/>
                      </w:tcPr>
                      <w:p>
                        <w:pPr/>
                      </w:p>
                    </w:tc>
                    <w:tc>
                      <w:tcPr>
                        <w:tcW w:w="845" w:type="dxa"/>
                      </w:tcPr>
                      <w:p>
                        <w:pPr>
                          <w:pStyle w:val="TableParagraph"/>
                          <w:spacing w:before="55"/>
                          <w:ind w:right="123"/>
                          <w:rPr>
                            <w:sz w:val="16"/>
                          </w:rPr>
                        </w:pPr>
                        <w:r>
                          <w:rPr>
                            <w:color w:val="231F20"/>
                            <w:sz w:val="16"/>
                          </w:rPr>
                          <w:t>(0.1)%</w:t>
                        </w:r>
                      </w:p>
                    </w:tc>
                  </w:tr>
                  <w:tr>
                    <w:trPr>
                      <w:trHeight w:val="303" w:hRule="exact"/>
                    </w:trPr>
                    <w:tc>
                      <w:tcPr>
                        <w:tcW w:w="5896" w:type="dxa"/>
                      </w:tcPr>
                      <w:p>
                        <w:pPr>
                          <w:pStyle w:val="TableParagraph"/>
                          <w:spacing w:before="100"/>
                          <w:ind w:left="40" w:right="64"/>
                          <w:jc w:val="center"/>
                          <w:rPr>
                            <w:sz w:val="16"/>
                          </w:rPr>
                        </w:pPr>
                        <w:r>
                          <w:rPr>
                            <w:b/>
                            <w:color w:val="231F20"/>
                            <w:sz w:val="16"/>
                          </w:rPr>
                          <w:t>Net income, as reported  </w:t>
                        </w:r>
                        <w:r>
                          <w:rPr>
                            <w:color w:val="231F20"/>
                            <w:sz w:val="16"/>
                          </w:rPr>
                          <w:t>. . . . . . . . . . . . . . . . . . . . . . . . . . . . . . . . . . . . . . . . . . . . . . . . . . . </w:t>
                        </w:r>
                      </w:p>
                    </w:tc>
                    <w:tc>
                      <w:tcPr>
                        <w:tcW w:w="1057" w:type="dxa"/>
                        <w:tcBorders>
                          <w:top w:val="single" w:sz="4" w:space="0" w:color="231F20"/>
                        </w:tcBorders>
                      </w:tcPr>
                      <w:p>
                        <w:pPr>
                          <w:pStyle w:val="TableParagraph"/>
                          <w:tabs>
                            <w:tab w:pos="679" w:val="left" w:leader="none"/>
                          </w:tabs>
                          <w:spacing w:before="95"/>
                          <w:ind w:right="59"/>
                          <w:rPr>
                            <w:sz w:val="16"/>
                          </w:rPr>
                        </w:pPr>
                        <w:r>
                          <w:rPr>
                            <w:color w:val="231F20"/>
                            <w:sz w:val="16"/>
                          </w:rPr>
                          <w:t>$</w:t>
                          <w:tab/>
                          <w:t>421</w:t>
                        </w:r>
                      </w:p>
                    </w:tc>
                    <w:tc>
                      <w:tcPr>
                        <w:tcW w:w="193" w:type="dxa"/>
                      </w:tcPr>
                      <w:p>
                        <w:pPr/>
                      </w:p>
                    </w:tc>
                    <w:tc>
                      <w:tcPr>
                        <w:tcW w:w="980" w:type="dxa"/>
                        <w:tcBorders>
                          <w:top w:val="single" w:sz="4" w:space="0" w:color="231F20"/>
                        </w:tcBorders>
                      </w:tcPr>
                      <w:p>
                        <w:pPr>
                          <w:pStyle w:val="TableParagraph"/>
                          <w:tabs>
                            <w:tab w:pos="679" w:val="left" w:leader="none"/>
                          </w:tabs>
                          <w:spacing w:before="95"/>
                          <w:jc w:val="left"/>
                          <w:rPr>
                            <w:sz w:val="16"/>
                          </w:rPr>
                        </w:pPr>
                        <w:r>
                          <w:rPr>
                            <w:color w:val="231F20"/>
                            <w:sz w:val="16"/>
                          </w:rPr>
                          <w:t>$</w:t>
                          <w:tab/>
                          <w:t>178</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Add (Deduct): Mark-to-market impact from fuel contracts settling in future periods . . . . . </w:t>
                        </w:r>
                      </w:p>
                    </w:tc>
                    <w:tc>
                      <w:tcPr>
                        <w:tcW w:w="1057" w:type="dxa"/>
                      </w:tcPr>
                      <w:p>
                        <w:pPr>
                          <w:pStyle w:val="TableParagraph"/>
                          <w:spacing w:before="8"/>
                          <w:ind w:right="4"/>
                          <w:rPr>
                            <w:sz w:val="16"/>
                          </w:rPr>
                        </w:pPr>
                        <w:r>
                          <w:rPr>
                            <w:color w:val="231F20"/>
                            <w:sz w:val="16"/>
                          </w:rPr>
                          <w:t>(221)</w:t>
                        </w:r>
                      </w:p>
                    </w:tc>
                    <w:tc>
                      <w:tcPr>
                        <w:tcW w:w="193" w:type="dxa"/>
                      </w:tcPr>
                      <w:p>
                        <w:pPr/>
                      </w:p>
                    </w:tc>
                    <w:tc>
                      <w:tcPr>
                        <w:tcW w:w="980" w:type="dxa"/>
                      </w:tcPr>
                      <w:p>
                        <w:pPr>
                          <w:pStyle w:val="TableParagraph"/>
                          <w:spacing w:before="8"/>
                          <w:ind w:right="59"/>
                          <w:rPr>
                            <w:sz w:val="16"/>
                          </w:rPr>
                        </w:pPr>
                        <w:r>
                          <w:rPr>
                            <w:color w:val="231F20"/>
                            <w:sz w:val="16"/>
                          </w:rPr>
                          <w:t>21</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Ineffectiveness from fuel hedges settling in future periods   . . . . . . . . . . . . . . . . . . . . </w:t>
                        </w:r>
                      </w:p>
                    </w:tc>
                    <w:tc>
                      <w:tcPr>
                        <w:tcW w:w="1057" w:type="dxa"/>
                      </w:tcPr>
                      <w:p>
                        <w:pPr>
                          <w:pStyle w:val="TableParagraph"/>
                          <w:spacing w:before="9"/>
                          <w:ind w:right="58"/>
                          <w:rPr>
                            <w:sz w:val="16"/>
                          </w:rPr>
                        </w:pPr>
                        <w:r>
                          <w:rPr>
                            <w:color w:val="231F20"/>
                            <w:sz w:val="16"/>
                          </w:rPr>
                          <w:t>42</w:t>
                        </w:r>
                      </w:p>
                    </w:tc>
                    <w:tc>
                      <w:tcPr>
                        <w:tcW w:w="193" w:type="dxa"/>
                      </w:tcPr>
                      <w:p>
                        <w:pPr/>
                      </w:p>
                    </w:tc>
                    <w:tc>
                      <w:tcPr>
                        <w:tcW w:w="980" w:type="dxa"/>
                      </w:tcPr>
                      <w:p>
                        <w:pPr>
                          <w:pStyle w:val="TableParagraph"/>
                          <w:spacing w:before="9"/>
                          <w:ind w:right="58"/>
                          <w:rPr>
                            <w:sz w:val="16"/>
                          </w:rPr>
                        </w:pPr>
                        <w:r>
                          <w:rPr>
                            <w:color w:val="231F20"/>
                            <w:sz w:val="16"/>
                          </w:rPr>
                          <w:t>33</w:t>
                        </w:r>
                      </w:p>
                    </w:tc>
                    <w:tc>
                      <w:tcPr>
                        <w:tcW w:w="200" w:type="dxa"/>
                      </w:tcPr>
                      <w:p>
                        <w:pPr/>
                      </w:p>
                    </w:tc>
                    <w:tc>
                      <w:tcPr>
                        <w:tcW w:w="845" w:type="dxa"/>
                      </w:tcPr>
                      <w:p>
                        <w:pPr/>
                      </w:p>
                    </w:tc>
                  </w:tr>
                  <w:tr>
                    <w:trPr>
                      <w:trHeight w:val="411" w:hRule="exact"/>
                    </w:trPr>
                    <w:tc>
                      <w:tcPr>
                        <w:tcW w:w="5896" w:type="dxa"/>
                      </w:tcPr>
                      <w:p>
                        <w:pPr>
                          <w:pStyle w:val="TableParagraph"/>
                          <w:spacing w:line="261" w:lineRule="auto" w:before="9"/>
                          <w:ind w:left="210" w:hanging="160"/>
                          <w:jc w:val="left"/>
                          <w:rPr>
                            <w:sz w:val="16"/>
                          </w:rPr>
                        </w:pPr>
                        <w:r>
                          <w:rPr>
                            <w:color w:val="231F20"/>
                            <w:sz w:val="16"/>
                          </w:rPr>
                          <w:t>Add (Deduct): Other net impact of fuel contracts settling in the current or a prior period (excluding reclassifications) . . . . . . . . . . . . . . . . . . . . . . . . . . . . . . . . . . . . . . . . . . . . . . . </w:t>
                        </w:r>
                      </w:p>
                    </w:tc>
                    <w:tc>
                      <w:tcPr>
                        <w:tcW w:w="1057" w:type="dxa"/>
                      </w:tcPr>
                      <w:p>
                        <w:pPr>
                          <w:pStyle w:val="TableParagraph"/>
                          <w:spacing w:before="2"/>
                          <w:jc w:val="left"/>
                          <w:rPr>
                            <w:sz w:val="18"/>
                          </w:rPr>
                        </w:pPr>
                      </w:p>
                      <w:p>
                        <w:pPr>
                          <w:pStyle w:val="TableParagraph"/>
                          <w:ind w:right="4"/>
                          <w:rPr>
                            <w:sz w:val="16"/>
                          </w:rPr>
                        </w:pPr>
                        <w:r>
                          <w:rPr>
                            <w:color w:val="231F20"/>
                            <w:sz w:val="16"/>
                          </w:rPr>
                          <w:t>(10)</w:t>
                        </w:r>
                      </w:p>
                    </w:tc>
                    <w:tc>
                      <w:tcPr>
                        <w:tcW w:w="193" w:type="dxa"/>
                      </w:tcPr>
                      <w:p>
                        <w:pPr/>
                      </w:p>
                    </w:tc>
                    <w:tc>
                      <w:tcPr>
                        <w:tcW w:w="980" w:type="dxa"/>
                      </w:tcPr>
                      <w:p>
                        <w:pPr>
                          <w:pStyle w:val="TableParagraph"/>
                          <w:spacing w:before="2"/>
                          <w:jc w:val="left"/>
                          <w:rPr>
                            <w:sz w:val="18"/>
                          </w:rPr>
                        </w:pPr>
                      </w:p>
                      <w:p>
                        <w:pPr>
                          <w:pStyle w:val="TableParagraph"/>
                          <w:ind w:right="58"/>
                          <w:rPr>
                            <w:sz w:val="16"/>
                          </w:rPr>
                        </w:pPr>
                        <w:r>
                          <w:rPr>
                            <w:color w:val="231F20"/>
                            <w:sz w:val="16"/>
                          </w:rPr>
                          <w:t>35</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(Deduct): Income tax impact of fuel contracts . . . . . . . . . . . . . . . . . . . . . . . . . . . . . . . </w:t>
                        </w:r>
                      </w:p>
                    </w:tc>
                    <w:tc>
                      <w:tcPr>
                        <w:tcW w:w="1057" w:type="dxa"/>
                      </w:tcPr>
                      <w:p>
                        <w:pPr>
                          <w:pStyle w:val="TableParagraph"/>
                          <w:spacing w:before="9"/>
                          <w:ind w:right="58"/>
                          <w:rPr>
                            <w:sz w:val="16"/>
                          </w:rPr>
                        </w:pPr>
                        <w:r>
                          <w:rPr>
                            <w:color w:val="231F20"/>
                            <w:sz w:val="16"/>
                          </w:rPr>
                          <w:t>73</w:t>
                        </w:r>
                      </w:p>
                    </w:tc>
                    <w:tc>
                      <w:tcPr>
                        <w:tcW w:w="193" w:type="dxa"/>
                      </w:tcPr>
                      <w:p>
                        <w:pPr/>
                      </w:p>
                    </w:tc>
                    <w:tc>
                      <w:tcPr>
                        <w:tcW w:w="980" w:type="dxa"/>
                      </w:tcPr>
                      <w:p>
                        <w:pPr>
                          <w:pStyle w:val="TableParagraph"/>
                          <w:spacing w:before="9"/>
                          <w:ind w:right="4"/>
                          <w:rPr>
                            <w:sz w:val="16"/>
                          </w:rPr>
                        </w:pPr>
                        <w:r>
                          <w:rPr>
                            <w:color w:val="231F20"/>
                            <w:sz w:val="16"/>
                          </w:rPr>
                          <w:t>(31)</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Acquisition and integration costs, net (b)  . . . . . . . . . . . . . . . . . . . . . . . . . . . . . . . . . . </w:t>
                        </w:r>
                      </w:p>
                    </w:tc>
                    <w:tc>
                      <w:tcPr>
                        <w:tcW w:w="1057" w:type="dxa"/>
                      </w:tcPr>
                      <w:p>
                        <w:pPr>
                          <w:pStyle w:val="TableParagraph"/>
                          <w:spacing w:before="9"/>
                          <w:ind w:right="58"/>
                          <w:rPr>
                            <w:sz w:val="16"/>
                          </w:rPr>
                        </w:pPr>
                        <w:r>
                          <w:rPr>
                            <w:color w:val="231F20"/>
                            <w:sz w:val="16"/>
                          </w:rPr>
                          <w:t>112</w:t>
                        </w:r>
                      </w:p>
                    </w:tc>
                    <w:tc>
                      <w:tcPr>
                        <w:tcW w:w="193" w:type="dxa"/>
                      </w:tcPr>
                      <w:p>
                        <w:pPr/>
                      </w:p>
                    </w:tc>
                    <w:tc>
                      <w:tcPr>
                        <w:tcW w:w="980" w:type="dxa"/>
                      </w:tcPr>
                      <w:p>
                        <w:pPr>
                          <w:pStyle w:val="TableParagraph"/>
                          <w:spacing w:before="9"/>
                          <w:ind w:right="58"/>
                          <w:rPr>
                            <w:sz w:val="16"/>
                          </w:rPr>
                        </w:pPr>
                        <w:r>
                          <w:rPr>
                            <w:color w:val="231F20"/>
                            <w:sz w:val="16"/>
                          </w:rPr>
                          <w:t>85</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Asset impairment, net (b)  . . . . . . . . . . . . . . . . . . . . . . . . . . . . . . . . . . . . . . . . . . . . . . </w:t>
                        </w:r>
                      </w:p>
                    </w:tc>
                    <w:tc>
                      <w:tcPr>
                        <w:tcW w:w="1057" w:type="dxa"/>
                        <w:tcBorders>
                          <w:bottom w:val="single" w:sz="4" w:space="0" w:color="231F20"/>
                        </w:tcBorders>
                      </w:tcPr>
                      <w:p>
                        <w:pPr>
                          <w:pStyle w:val="TableParagraph"/>
                          <w:spacing w:before="9"/>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9</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Net income, non-GAAP  </w:t>
                        </w:r>
                        <w:r>
                          <w:rPr>
                            <w:color w:val="231F20"/>
                            <w:sz w:val="16"/>
                          </w:rPr>
                          <w:t>. . . . . . . . . . . . . . . . . . . . . . . . . . . . . . . . . . . . . . . . . . . . . . . . . . . </w:t>
                        </w:r>
                      </w:p>
                    </w:tc>
                    <w:tc>
                      <w:tcPr>
                        <w:tcW w:w="1057" w:type="dxa"/>
                        <w:tcBorders>
                          <w:top w:val="single" w:sz="4" w:space="0" w:color="231F20"/>
                          <w:bottom w:val="single" w:sz="4" w:space="0" w:color="231F20"/>
                        </w:tcBorders>
                      </w:tcPr>
                      <w:p>
                        <w:pPr>
                          <w:pStyle w:val="TableParagraph"/>
                          <w:tabs>
                            <w:tab w:pos="679" w:val="left" w:leader="none"/>
                          </w:tabs>
                          <w:spacing w:before="61"/>
                          <w:ind w:right="59"/>
                          <w:rPr>
                            <w:sz w:val="16"/>
                          </w:rPr>
                        </w:pPr>
                        <w:r>
                          <w:rPr>
                            <w:color w:val="231F20"/>
                            <w:sz w:val="16"/>
                          </w:rPr>
                          <w:t>$</w:t>
                          <w:tab/>
                          <w:t>417</w:t>
                        </w:r>
                      </w:p>
                    </w:tc>
                    <w:tc>
                      <w:tcPr>
                        <w:tcW w:w="193" w:type="dxa"/>
                      </w:tcPr>
                      <w:p>
                        <w:pPr/>
                      </w:p>
                    </w:tc>
                    <w:tc>
                      <w:tcPr>
                        <w:tcW w:w="980" w:type="dxa"/>
                        <w:tcBorders>
                          <w:top w:val="single" w:sz="4" w:space="0" w:color="231F20"/>
                          <w:bottom w:val="single" w:sz="4" w:space="0" w:color="231F20"/>
                        </w:tcBorders>
                      </w:tcPr>
                      <w:p>
                        <w:pPr>
                          <w:pStyle w:val="TableParagraph"/>
                          <w:tabs>
                            <w:tab w:pos="679" w:val="left" w:leader="none"/>
                          </w:tabs>
                          <w:spacing w:before="61"/>
                          <w:jc w:val="left"/>
                          <w:rPr>
                            <w:sz w:val="16"/>
                          </w:rPr>
                        </w:pPr>
                        <w:r>
                          <w:rPr>
                            <w:color w:val="231F20"/>
                            <w:sz w:val="16"/>
                          </w:rPr>
                          <w:t>$</w:t>
                          <w:tab/>
                          <w:t>330</w:t>
                        </w:r>
                      </w:p>
                    </w:tc>
                    <w:tc>
                      <w:tcPr>
                        <w:tcW w:w="200" w:type="dxa"/>
                      </w:tcPr>
                      <w:p>
                        <w:pPr/>
                      </w:p>
                    </w:tc>
                    <w:tc>
                      <w:tcPr>
                        <w:tcW w:w="845" w:type="dxa"/>
                      </w:tcPr>
                      <w:p>
                        <w:pPr>
                          <w:pStyle w:val="TableParagraph"/>
                          <w:spacing w:before="66"/>
                          <w:ind w:right="176"/>
                          <w:rPr>
                            <w:sz w:val="16"/>
                          </w:rPr>
                        </w:pPr>
                        <w:r>
                          <w:rPr>
                            <w:color w:val="231F20"/>
                            <w:sz w:val="16"/>
                          </w:rPr>
                          <w:t>26.4%</w:t>
                        </w:r>
                      </w:p>
                    </w:tc>
                  </w:tr>
                  <w:tr>
                    <w:trPr>
                      <w:trHeight w:val="303" w:hRule="exact"/>
                    </w:trPr>
                    <w:tc>
                      <w:tcPr>
                        <w:tcW w:w="5896" w:type="dxa"/>
                      </w:tcPr>
                      <w:p>
                        <w:pPr>
                          <w:pStyle w:val="TableParagraph"/>
                          <w:spacing w:before="100"/>
                          <w:ind w:left="40" w:right="64"/>
                          <w:jc w:val="center"/>
                          <w:rPr>
                            <w:sz w:val="16"/>
                          </w:rPr>
                        </w:pPr>
                        <w:r>
                          <w:rPr>
                            <w:b/>
                            <w:color w:val="231F20"/>
                            <w:sz w:val="16"/>
                          </w:rPr>
                          <w:t>Net income per share, diluted, as reported   </w:t>
                        </w:r>
                        <w:r>
                          <w:rPr>
                            <w:color w:val="231F20"/>
                            <w:sz w:val="16"/>
                          </w:rPr>
                          <w:t>. . . . . . . . . . . . . . . . . . . . . . . . . . . . . . . . . . . </w:t>
                        </w:r>
                      </w:p>
                    </w:tc>
                    <w:tc>
                      <w:tcPr>
                        <w:tcW w:w="1057" w:type="dxa"/>
                        <w:tcBorders>
                          <w:top w:val="single" w:sz="4" w:space="0" w:color="231F20"/>
                        </w:tcBorders>
                      </w:tcPr>
                      <w:p>
                        <w:pPr>
                          <w:pStyle w:val="TableParagraph"/>
                          <w:tabs>
                            <w:tab w:pos="639" w:val="left" w:leader="none"/>
                          </w:tabs>
                          <w:spacing w:before="95"/>
                          <w:ind w:right="58"/>
                          <w:rPr>
                            <w:sz w:val="16"/>
                          </w:rPr>
                        </w:pPr>
                        <w:r>
                          <w:rPr>
                            <w:color w:val="231F20"/>
                            <w:sz w:val="16"/>
                          </w:rPr>
                          <w:t>$</w:t>
                          <w:tab/>
                        </w:r>
                        <w:r>
                          <w:rPr>
                            <w:color w:val="231F20"/>
                            <w:spacing w:val="-1"/>
                            <w:sz w:val="16"/>
                          </w:rPr>
                          <w:t>0.56</w:t>
                        </w:r>
                      </w:p>
                    </w:tc>
                    <w:tc>
                      <w:tcPr>
                        <w:tcW w:w="193" w:type="dxa"/>
                      </w:tcPr>
                      <w:p>
                        <w:pPr/>
                      </w:p>
                    </w:tc>
                    <w:tc>
                      <w:tcPr>
                        <w:tcW w:w="980" w:type="dxa"/>
                        <w:tcBorders>
                          <w:top w:val="single" w:sz="4" w:space="0" w:color="231F20"/>
                        </w:tcBorders>
                      </w:tcPr>
                      <w:p>
                        <w:pPr>
                          <w:pStyle w:val="TableParagraph"/>
                          <w:tabs>
                            <w:tab w:pos="639" w:val="left" w:leader="none"/>
                          </w:tabs>
                          <w:spacing w:before="95"/>
                          <w:jc w:val="left"/>
                          <w:rPr>
                            <w:sz w:val="16"/>
                          </w:rPr>
                        </w:pPr>
                        <w:r>
                          <w:rPr>
                            <w:color w:val="231F20"/>
                            <w:sz w:val="16"/>
                          </w:rPr>
                          <w:t>$</w:t>
                          <w:tab/>
                          <w:t>0.23</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Add (Deduct): Net impact from fuel contracts . . . . . . . . . . . . . . . . . . . . . . . . . . . . . . . . . . . </w:t>
                        </w:r>
                      </w:p>
                    </w:tc>
                    <w:tc>
                      <w:tcPr>
                        <w:tcW w:w="1057" w:type="dxa"/>
                      </w:tcPr>
                      <w:p>
                        <w:pPr>
                          <w:pStyle w:val="TableParagraph"/>
                          <w:spacing w:before="8"/>
                          <w:ind w:right="4"/>
                          <w:rPr>
                            <w:sz w:val="16"/>
                          </w:rPr>
                        </w:pPr>
                        <w:r>
                          <w:rPr>
                            <w:color w:val="231F20"/>
                            <w:sz w:val="16"/>
                          </w:rPr>
                          <w:t>(0.15)</w:t>
                        </w:r>
                      </w:p>
                    </w:tc>
                    <w:tc>
                      <w:tcPr>
                        <w:tcW w:w="193" w:type="dxa"/>
                      </w:tcPr>
                      <w:p>
                        <w:pPr/>
                      </w:p>
                    </w:tc>
                    <w:tc>
                      <w:tcPr>
                        <w:tcW w:w="980" w:type="dxa"/>
                      </w:tcPr>
                      <w:p>
                        <w:pPr>
                          <w:pStyle w:val="TableParagraph"/>
                          <w:spacing w:before="8"/>
                          <w:ind w:right="58"/>
                          <w:rPr>
                            <w:sz w:val="16"/>
                          </w:rPr>
                        </w:pPr>
                        <w:r>
                          <w:rPr>
                            <w:color w:val="231F20"/>
                            <w:sz w:val="16"/>
                          </w:rPr>
                          <w:t>0.07</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Impact of special items, net (b)  . . . . . . . . . . . . . . . . . . . . . . . . . . . . . . . . . . . . . . . . . . </w:t>
                        </w:r>
                      </w:p>
                    </w:tc>
                    <w:tc>
                      <w:tcPr>
                        <w:tcW w:w="1057" w:type="dxa"/>
                        <w:tcBorders>
                          <w:bottom w:val="single" w:sz="4" w:space="0" w:color="231F20"/>
                        </w:tcBorders>
                      </w:tcPr>
                      <w:p>
                        <w:pPr>
                          <w:pStyle w:val="TableParagraph"/>
                          <w:spacing w:before="9"/>
                          <w:ind w:right="58"/>
                          <w:rPr>
                            <w:sz w:val="16"/>
                          </w:rPr>
                        </w:pPr>
                        <w:r>
                          <w:rPr>
                            <w:color w:val="231F20"/>
                            <w:sz w:val="16"/>
                          </w:rPr>
                          <w:t>0.15</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0.13</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Net income per share, diluted, non-GAAP   </w:t>
                        </w:r>
                        <w:r>
                          <w:rPr>
                            <w:color w:val="231F20"/>
                            <w:sz w:val="16"/>
                          </w:rPr>
                          <w:t>. . . . . . . . . . . . . . . . . . . . . . . . . . . . . . . . . . . </w:t>
                        </w:r>
                      </w:p>
                    </w:tc>
                    <w:tc>
                      <w:tcPr>
                        <w:tcW w:w="1057" w:type="dxa"/>
                        <w:tcBorders>
                          <w:top w:val="single" w:sz="4" w:space="0" w:color="231F20"/>
                          <w:bottom w:val="single" w:sz="4" w:space="0" w:color="231F20"/>
                        </w:tcBorders>
                      </w:tcPr>
                      <w:p>
                        <w:pPr>
                          <w:pStyle w:val="TableParagraph"/>
                          <w:tabs>
                            <w:tab w:pos="639" w:val="left" w:leader="none"/>
                          </w:tabs>
                          <w:spacing w:before="61"/>
                          <w:ind w:right="58"/>
                          <w:rPr>
                            <w:sz w:val="16"/>
                          </w:rPr>
                        </w:pPr>
                        <w:r>
                          <w:rPr>
                            <w:color w:val="231F20"/>
                            <w:sz w:val="16"/>
                          </w:rPr>
                          <w:t>$</w:t>
                          <w:tab/>
                        </w:r>
                        <w:r>
                          <w:rPr>
                            <w:color w:val="231F20"/>
                            <w:spacing w:val="-1"/>
                            <w:sz w:val="16"/>
                          </w:rPr>
                          <w:t>0.56</w:t>
                        </w:r>
                      </w:p>
                    </w:tc>
                    <w:tc>
                      <w:tcPr>
                        <w:tcW w:w="193" w:type="dxa"/>
                      </w:tcPr>
                      <w:p>
                        <w:pPr/>
                      </w:p>
                    </w:tc>
                    <w:tc>
                      <w:tcPr>
                        <w:tcW w:w="980" w:type="dxa"/>
                        <w:tcBorders>
                          <w:top w:val="single" w:sz="4" w:space="0" w:color="231F20"/>
                          <w:bottom w:val="single" w:sz="4" w:space="0" w:color="231F20"/>
                        </w:tcBorders>
                      </w:tcPr>
                      <w:p>
                        <w:pPr>
                          <w:pStyle w:val="TableParagraph"/>
                          <w:tabs>
                            <w:tab w:pos="639" w:val="left" w:leader="none"/>
                          </w:tabs>
                          <w:spacing w:before="61"/>
                          <w:jc w:val="left"/>
                          <w:rPr>
                            <w:sz w:val="16"/>
                          </w:rPr>
                        </w:pPr>
                        <w:r>
                          <w:rPr>
                            <w:color w:val="231F20"/>
                            <w:sz w:val="16"/>
                          </w:rPr>
                          <w:t>$</w:t>
                          <w:tab/>
                          <w:t>0.43</w:t>
                        </w:r>
                      </w:p>
                    </w:tc>
                    <w:tc>
                      <w:tcPr>
                        <w:tcW w:w="200" w:type="dxa"/>
                      </w:tcPr>
                      <w:p>
                        <w:pPr/>
                      </w:p>
                    </w:tc>
                    <w:tc>
                      <w:tcPr>
                        <w:tcW w:w="845" w:type="dxa"/>
                      </w:tcPr>
                      <w:p>
                        <w:pPr>
                          <w:pStyle w:val="TableParagraph"/>
                          <w:spacing w:before="66"/>
                          <w:ind w:right="176"/>
                          <w:rPr>
                            <w:sz w:val="16"/>
                          </w:rPr>
                        </w:pPr>
                        <w:r>
                          <w:rPr>
                            <w:color w:val="231F20"/>
                            <w:sz w:val="16"/>
                          </w:rPr>
                          <w:t>30.2%</w:t>
                        </w:r>
                      </w:p>
                    </w:tc>
                  </w:tr>
                  <w:tr>
                    <w:trPr>
                      <w:trHeight w:val="303" w:hRule="exact"/>
                    </w:trPr>
                    <w:tc>
                      <w:tcPr>
                        <w:tcW w:w="5896" w:type="dxa"/>
                      </w:tcPr>
                      <w:p>
                        <w:pPr>
                          <w:pStyle w:val="TableParagraph"/>
                          <w:spacing w:before="100"/>
                          <w:ind w:left="40" w:right="64"/>
                          <w:jc w:val="center"/>
                          <w:rPr>
                            <w:sz w:val="16"/>
                          </w:rPr>
                        </w:pPr>
                        <w:r>
                          <w:rPr>
                            <w:b/>
                            <w:color w:val="231F20"/>
                            <w:sz w:val="16"/>
                          </w:rPr>
                          <w:t>Operating expenses per ASM (cents)  </w:t>
                        </w:r>
                        <w:r>
                          <w:rPr>
                            <w:color w:val="231F20"/>
                            <w:sz w:val="16"/>
                          </w:rPr>
                          <w:t>. . . . . . . . . . . . . . . . . . . . . . . . . . . . . . . . . . . . . . . . </w:t>
                        </w:r>
                      </w:p>
                    </w:tc>
                    <w:tc>
                      <w:tcPr>
                        <w:tcW w:w="1057" w:type="dxa"/>
                        <w:tcBorders>
                          <w:top w:val="single" w:sz="4" w:space="0" w:color="231F20"/>
                        </w:tcBorders>
                      </w:tcPr>
                      <w:p>
                        <w:pPr>
                          <w:pStyle w:val="TableParagraph"/>
                          <w:spacing w:before="95"/>
                          <w:ind w:right="58"/>
                          <w:rPr>
                            <w:sz w:val="16"/>
                          </w:rPr>
                        </w:pPr>
                        <w:r>
                          <w:rPr>
                            <w:color w:val="231F20"/>
                            <w:sz w:val="16"/>
                          </w:rPr>
                          <w:t>12.85</w:t>
                        </w:r>
                      </w:p>
                    </w:tc>
                    <w:tc>
                      <w:tcPr>
                        <w:tcW w:w="193" w:type="dxa"/>
                      </w:tcPr>
                      <w:p>
                        <w:pPr/>
                      </w:p>
                    </w:tc>
                    <w:tc>
                      <w:tcPr>
                        <w:tcW w:w="980" w:type="dxa"/>
                        <w:tcBorders>
                          <w:top w:val="single" w:sz="4" w:space="0" w:color="231F20"/>
                        </w:tcBorders>
                      </w:tcPr>
                      <w:p>
                        <w:pPr>
                          <w:pStyle w:val="TableParagraph"/>
                          <w:spacing w:before="95"/>
                          <w:ind w:right="58"/>
                          <w:rPr>
                            <w:sz w:val="16"/>
                          </w:rPr>
                        </w:pPr>
                        <w:r>
                          <w:rPr>
                            <w:color w:val="231F20"/>
                            <w:sz w:val="16"/>
                          </w:rPr>
                          <w:t>12.41</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Deduct: Fuel expense divided by ASMs (cents)   . . . . . . . . . . . . . . . . . . . . . . . . . . . . . . . . . </w:t>
                        </w:r>
                      </w:p>
                    </w:tc>
                    <w:tc>
                      <w:tcPr>
                        <w:tcW w:w="1057" w:type="dxa"/>
                      </w:tcPr>
                      <w:p>
                        <w:pPr>
                          <w:pStyle w:val="TableParagraph"/>
                          <w:spacing w:before="8"/>
                          <w:ind w:right="4"/>
                          <w:rPr>
                            <w:sz w:val="16"/>
                          </w:rPr>
                        </w:pPr>
                        <w:r>
                          <w:rPr>
                            <w:color w:val="231F20"/>
                            <w:sz w:val="16"/>
                          </w:rPr>
                          <w:t>(4.78)</w:t>
                        </w:r>
                      </w:p>
                    </w:tc>
                    <w:tc>
                      <w:tcPr>
                        <w:tcW w:w="193" w:type="dxa"/>
                      </w:tcPr>
                      <w:p>
                        <w:pPr/>
                      </w:p>
                    </w:tc>
                    <w:tc>
                      <w:tcPr>
                        <w:tcW w:w="980" w:type="dxa"/>
                      </w:tcPr>
                      <w:p>
                        <w:pPr>
                          <w:pStyle w:val="TableParagraph"/>
                          <w:spacing w:before="8"/>
                          <w:ind w:right="4"/>
                          <w:rPr>
                            <w:sz w:val="16"/>
                          </w:rPr>
                        </w:pPr>
                        <w:r>
                          <w:rPr>
                            <w:color w:val="231F20"/>
                            <w:sz w:val="16"/>
                          </w:rPr>
                          <w:t>(4.68)</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Deduct: Impact of special items, net (cents) (a) . . . . . . . . . . . . . . . . . . . . . . . . . . . . . . . . . . </w:t>
                        </w:r>
                      </w:p>
                    </w:tc>
                    <w:tc>
                      <w:tcPr>
                        <w:tcW w:w="1057" w:type="dxa"/>
                        <w:tcBorders>
                          <w:bottom w:val="single" w:sz="4" w:space="0" w:color="231F20"/>
                        </w:tcBorders>
                      </w:tcPr>
                      <w:p>
                        <w:pPr>
                          <w:pStyle w:val="TableParagraph"/>
                          <w:spacing w:before="9"/>
                          <w:ind w:right="4"/>
                          <w:rPr>
                            <w:sz w:val="16"/>
                          </w:rPr>
                        </w:pPr>
                        <w:r>
                          <w:rPr>
                            <w:color w:val="231F20"/>
                            <w:sz w:val="16"/>
                          </w:rPr>
                          <w:t>(0.14)</w:t>
                        </w:r>
                      </w:p>
                    </w:tc>
                    <w:tc>
                      <w:tcPr>
                        <w:tcW w:w="193" w:type="dxa"/>
                      </w:tcPr>
                      <w:p>
                        <w:pPr/>
                      </w:p>
                    </w:tc>
                    <w:tc>
                      <w:tcPr>
                        <w:tcW w:w="980" w:type="dxa"/>
                        <w:tcBorders>
                          <w:bottom w:val="single" w:sz="4" w:space="0" w:color="231F20"/>
                        </w:tcBorders>
                      </w:tcPr>
                      <w:p>
                        <w:pPr>
                          <w:pStyle w:val="TableParagraph"/>
                          <w:spacing w:before="9"/>
                          <w:ind w:right="4"/>
                          <w:rPr>
                            <w:sz w:val="16"/>
                          </w:rPr>
                        </w:pPr>
                        <w:r>
                          <w:rPr>
                            <w:color w:val="231F20"/>
                            <w:sz w:val="16"/>
                          </w:rPr>
                          <w:t>(0.12)</w:t>
                        </w:r>
                      </w:p>
                    </w:tc>
                    <w:tc>
                      <w:tcPr>
                        <w:tcW w:w="200" w:type="dxa"/>
                      </w:tcPr>
                      <w:p>
                        <w:pPr/>
                      </w:p>
                    </w:tc>
                    <w:tc>
                      <w:tcPr>
                        <w:tcW w:w="845" w:type="dxa"/>
                      </w:tcPr>
                      <w:p>
                        <w:pPr/>
                      </w:p>
                    </w:tc>
                  </w:tr>
                  <w:tr>
                    <w:trPr>
                      <w:trHeight w:val="511" w:hRule="exact"/>
                    </w:trPr>
                    <w:tc>
                      <w:tcPr>
                        <w:tcW w:w="5896" w:type="dxa"/>
                      </w:tcPr>
                      <w:p>
                        <w:pPr>
                          <w:pStyle w:val="TableParagraph"/>
                          <w:spacing w:before="66"/>
                          <w:ind w:left="50"/>
                          <w:jc w:val="left"/>
                          <w:rPr>
                            <w:b/>
                            <w:sz w:val="16"/>
                          </w:rPr>
                        </w:pPr>
                        <w:r>
                          <w:rPr>
                            <w:b/>
                            <w:color w:val="231F20"/>
                            <w:sz w:val="16"/>
                          </w:rPr>
                          <w:t>Operating expenses per ASM, non-GAAP, excluding fuel and special items</w:t>
                        </w:r>
                      </w:p>
                      <w:p>
                        <w:pPr>
                          <w:pStyle w:val="TableParagraph"/>
                          <w:spacing w:before="15"/>
                          <w:ind w:left="210"/>
                          <w:jc w:val="left"/>
                          <w:rPr>
                            <w:sz w:val="16"/>
                          </w:rPr>
                        </w:pPr>
                        <w:r>
                          <w:rPr>
                            <w:b/>
                            <w:color w:val="231F20"/>
                            <w:sz w:val="16"/>
                          </w:rPr>
                          <w:t>(cents)   </w:t>
                        </w:r>
                        <w:r>
                          <w:rPr>
                            <w:color w:val="231F20"/>
                            <w:sz w:val="16"/>
                          </w:rPr>
                          <w:t>. . . . . . . . . . . . . . . . . . . . . . . . . . . . . . . . . . . . . . . . . . . . . . . . . . . . . . . . . . . . . . . </w:t>
                        </w:r>
                      </w:p>
                    </w:tc>
                    <w:tc>
                      <w:tcPr>
                        <w:tcW w:w="1057" w:type="dxa"/>
                        <w:tcBorders>
                          <w:top w:val="single" w:sz="4" w:space="0" w:color="231F20"/>
                        </w:tcBorders>
                      </w:tcPr>
                      <w:p>
                        <w:pPr>
                          <w:pStyle w:val="TableParagraph"/>
                          <w:spacing w:before="8"/>
                          <w:jc w:val="left"/>
                          <w:rPr>
                            <w:sz w:val="22"/>
                          </w:rPr>
                        </w:pPr>
                      </w:p>
                      <w:p>
                        <w:pPr>
                          <w:pStyle w:val="TableParagraph"/>
                          <w:ind w:right="59"/>
                          <w:rPr>
                            <w:sz w:val="16"/>
                          </w:rPr>
                        </w:pPr>
                        <w:r>
                          <w:rPr>
                            <w:color w:val="231F20"/>
                            <w:sz w:val="16"/>
                          </w:rPr>
                          <w:t>7.93</w:t>
                        </w:r>
                      </w:p>
                    </w:tc>
                    <w:tc>
                      <w:tcPr>
                        <w:tcW w:w="193" w:type="dxa"/>
                      </w:tcPr>
                      <w:p>
                        <w:pPr/>
                      </w:p>
                    </w:tc>
                    <w:tc>
                      <w:tcPr>
                        <w:tcW w:w="980" w:type="dxa"/>
                        <w:tcBorders>
                          <w:top w:val="single" w:sz="4" w:space="0" w:color="231F20"/>
                        </w:tcBorders>
                      </w:tcPr>
                      <w:p>
                        <w:pPr>
                          <w:pStyle w:val="TableParagraph"/>
                          <w:spacing w:before="8"/>
                          <w:jc w:val="left"/>
                          <w:rPr>
                            <w:sz w:val="22"/>
                          </w:rPr>
                        </w:pPr>
                      </w:p>
                      <w:p>
                        <w:pPr>
                          <w:pStyle w:val="TableParagraph"/>
                          <w:ind w:right="59"/>
                          <w:rPr>
                            <w:sz w:val="16"/>
                          </w:rPr>
                        </w:pPr>
                        <w:r>
                          <w:rPr>
                            <w:color w:val="231F20"/>
                            <w:sz w:val="16"/>
                          </w:rPr>
                          <w:t>7.61</w:t>
                        </w:r>
                      </w:p>
                    </w:tc>
                    <w:tc>
                      <w:tcPr>
                        <w:tcW w:w="200" w:type="dxa"/>
                      </w:tcPr>
                      <w:p>
                        <w:pPr/>
                      </w:p>
                    </w:tc>
                    <w:tc>
                      <w:tcPr>
                        <w:tcW w:w="845" w:type="dxa"/>
                      </w:tcPr>
                      <w:p>
                        <w:pPr>
                          <w:pStyle w:val="TableParagraph"/>
                          <w:spacing w:before="2"/>
                          <w:jc w:val="left"/>
                          <w:rPr>
                            <w:sz w:val="23"/>
                          </w:rPr>
                        </w:pPr>
                      </w:p>
                      <w:p>
                        <w:pPr>
                          <w:pStyle w:val="TableParagraph"/>
                          <w:ind w:right="176"/>
                          <w:rPr>
                            <w:sz w:val="16"/>
                          </w:rPr>
                        </w:pPr>
                        <w:r>
                          <w:rPr>
                            <w:color w:val="231F20"/>
                            <w:sz w:val="16"/>
                          </w:rPr>
                          <w:t>4.2%</w:t>
                        </w:r>
                      </w:p>
                    </w:tc>
                  </w:tr>
                  <w:tr>
                    <w:trPr>
                      <w:trHeight w:val="180" w:hRule="exact"/>
                    </w:trPr>
                    <w:tc>
                      <w:tcPr>
                        <w:tcW w:w="5896" w:type="dxa"/>
                      </w:tcPr>
                      <w:p>
                        <w:pPr/>
                      </w:p>
                    </w:tc>
                    <w:tc>
                      <w:tcPr>
                        <w:tcW w:w="1057" w:type="dxa"/>
                        <w:tcBorders>
                          <w:bottom w:val="single" w:sz="4" w:space="0" w:color="231F20"/>
                        </w:tcBorders>
                      </w:tcPr>
                      <w:p>
                        <w:pPr/>
                      </w:p>
                    </w:tc>
                    <w:tc>
                      <w:tcPr>
                        <w:tcW w:w="193" w:type="dxa"/>
                      </w:tcPr>
                      <w:p>
                        <w:pPr/>
                      </w:p>
                    </w:tc>
                    <w:tc>
                      <w:tcPr>
                        <w:tcW w:w="980" w:type="dxa"/>
                        <w:tcBorders>
                          <w:bottom w:val="single" w:sz="4" w:space="0" w:color="231F20"/>
                        </w:tcBorders>
                      </w:tcPr>
                      <w:p>
                        <w:pPr/>
                      </w:p>
                    </w:tc>
                    <w:tc>
                      <w:tcPr>
                        <w:tcW w:w="200" w:type="dxa"/>
                      </w:tcPr>
                      <w:p>
                        <w:pPr/>
                      </w:p>
                    </w:tc>
                    <w:tc>
                      <w:tcPr>
                        <w:tcW w:w="84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9"/>
        </w:rPr>
      </w:pPr>
      <w:r>
        <w:rPr/>
        <w:pict>
          <v:line style="position:absolute;mso-position-horizontal-relative:page;mso-position-vertical-relative:paragraph;z-index:1984;mso-wrap-distance-left:0;mso-wrap-distance-right:0" from="365.450012pt,19.261938pt" to="414.100012pt,19.261938pt" stroked="true" strokeweight=".5pt" strokecolor="#231f20">
            <v:stroke dashstyle="solid"/>
            <w10:wrap type="topAndBottom"/>
          </v:line>
        </w:pict>
      </w:r>
      <w:r>
        <w:rPr/>
        <w:pict>
          <v:line style="position:absolute;mso-position-horizontal-relative:page;mso-position-vertical-relative:paragraph;z-index:2008;mso-wrap-distance-left:0;mso-wrap-distance-right:0" from="424.100006pt,19.261938pt" to="472.750006pt,19.261938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r>
        <w:rPr/>
        <w:pict>
          <v:line style="position:absolute;mso-position-horizontal-relative:page;mso-position-vertical-relative:paragraph;z-index:2032;mso-wrap-distance-left:0;mso-wrap-distance-right:0" from="365.450012pt,14.056836pt" to="414.100012pt,14.056836pt" stroked="true" strokeweight=".5pt" strokecolor="#231f20">
            <v:stroke dashstyle="solid"/>
            <w10:wrap type="topAndBottom"/>
          </v:line>
        </w:pict>
      </w:r>
      <w:r>
        <w:rPr/>
        <w:pict>
          <v:line style="position:absolute;mso-position-horizontal-relative:page;mso-position-vertical-relative:paragraph;z-index:2056;mso-wrap-distance-left:0;mso-wrap-distance-right:0" from="424.100006pt,14.056836pt" to="472.750006pt,14.05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7"/>
        </w:rPr>
      </w:pPr>
      <w:r>
        <w:rPr/>
        <w:pict>
          <v:line style="position:absolute;mso-position-horizontal-relative:page;mso-position-vertical-relative:paragraph;z-index:2080;mso-wrap-distance-left:0;mso-wrap-distance-right:0" from="365.450012pt,12.256836pt" to="414.100012pt,12.256836pt" stroked="true" strokeweight=".5pt" strokecolor="#231f20">
            <v:stroke dashstyle="solid"/>
            <w10:wrap type="topAndBottom"/>
          </v:line>
        </w:pict>
      </w:r>
      <w:r>
        <w:rPr/>
        <w:pict>
          <v:line style="position:absolute;mso-position-horizontal-relative:page;mso-position-vertical-relative:paragraph;z-index:2104;mso-wrap-distance-left:0;mso-wrap-distance-right:0" from="424.100006pt,12.256836pt" to="472.750006pt,12.25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7"/>
        </w:rPr>
      </w:pPr>
      <w:r>
        <w:rPr/>
        <w:pict>
          <v:line style="position:absolute;mso-position-horizontal-relative:page;mso-position-vertical-relative:paragraph;z-index:2128;mso-wrap-distance-left:0;mso-wrap-distance-right:0" from="365.450012pt,12.407812pt" to="414.100012pt,12.407812pt" stroked="true" strokeweight=".5pt" strokecolor="#231f20">
            <v:stroke dashstyle="solid"/>
            <w10:wrap type="topAndBottom"/>
          </v:line>
        </w:pict>
      </w:r>
      <w:r>
        <w:rPr/>
        <w:pict>
          <v:line style="position:absolute;mso-position-horizontal-relative:page;mso-position-vertical-relative:paragraph;z-index:2152;mso-wrap-distance-left:0;mso-wrap-distance-right:0" from="424.100006pt,12.407812pt" to="472.750006pt,12.407812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11"/>
        <w:rPr>
          <w:b/>
          <w:sz w:val="26"/>
        </w:rPr>
      </w:pPr>
      <w:r>
        <w:rPr/>
        <w:pict>
          <v:line style="position:absolute;mso-position-horizontal-relative:page;mso-position-vertical-relative:paragraph;z-index:2176;mso-wrap-distance-left:0;mso-wrap-distance-right:0" from="365.450012pt,17.702930pt" to="414.100012pt,17.702930pt" stroked="true" strokeweight=".5pt" strokecolor="#231f20">
            <v:stroke dashstyle="solid"/>
            <w10:wrap type="topAndBottom"/>
          </v:line>
        </w:pict>
      </w:r>
      <w:r>
        <w:rPr/>
        <w:pict>
          <v:line style="position:absolute;mso-position-horizontal-relative:page;mso-position-vertical-relative:paragraph;z-index:2200;mso-wrap-distance-left:0;mso-wrap-distance-right:0" from="424.100006pt,17.702930pt" to="472.750006pt,17.702930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4"/>
        <w:rPr>
          <w:b/>
          <w:sz w:val="24"/>
        </w:rPr>
      </w:pPr>
      <w:r>
        <w:rPr/>
        <w:pict>
          <v:line style="position:absolute;mso-position-horizontal-relative:page;mso-position-vertical-relative:paragraph;z-index:2224;mso-wrap-distance-left:0;mso-wrap-distance-right:0" from="365.450012pt,16.203907pt" to="414.100012pt,16.203907pt" stroked="true" strokeweight=".5pt" strokecolor="#231f20">
            <v:stroke dashstyle="solid"/>
            <w10:wrap type="topAndBottom"/>
          </v:line>
        </w:pict>
      </w:r>
      <w:r>
        <w:rPr/>
        <w:pict>
          <v:line style="position:absolute;mso-position-horizontal-relative:page;mso-position-vertical-relative:paragraph;z-index:2248;mso-wrap-distance-left:0;mso-wrap-distance-right:0" from="424.100006pt,16.203907pt" to="472.750006pt,16.203907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8"/>
          <w:sz w:val="16"/>
        </w:rPr>
        <w:t> </w:t>
      </w:r>
      <w:r>
        <w:rPr>
          <w:color w:val="231F20"/>
          <w:sz w:val="16"/>
        </w:rPr>
        <w:t>earnings.</w:t>
      </w:r>
    </w:p>
    <w:p>
      <w:pPr>
        <w:pStyle w:val="ListParagraph"/>
        <w:numPr>
          <w:ilvl w:val="1"/>
          <w:numId w:val="8"/>
        </w:numPr>
        <w:tabs>
          <w:tab w:pos="480" w:val="left" w:leader="none"/>
        </w:tabs>
        <w:spacing w:line="261" w:lineRule="auto" w:before="15" w:after="0"/>
        <w:ind w:left="480" w:right="23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5"/>
          <w:sz w:val="16"/>
        </w:rPr>
        <w:t> </w:t>
      </w:r>
      <w:r>
        <w:rPr>
          <w:color w:val="231F20"/>
          <w:sz w:val="16"/>
        </w:rPr>
        <w:t>beyond.</w:t>
      </w:r>
    </w:p>
    <w:p>
      <w:pPr>
        <w:pStyle w:val="ListParagraph"/>
        <w:numPr>
          <w:ilvl w:val="1"/>
          <w:numId w:val="8"/>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21"/>
          <w:sz w:val="16"/>
        </w:rPr>
        <w:t> </w:t>
      </w:r>
      <w:r>
        <w:rPr>
          <w:color w:val="231F20"/>
          <w:sz w:val="16"/>
        </w:rPr>
        <w:t>costs.</w:t>
      </w:r>
    </w:p>
    <w:p>
      <w:pPr>
        <w:spacing w:after="0" w:line="240" w:lineRule="auto"/>
        <w:jc w:val="left"/>
        <w:rPr>
          <w:sz w:val="16"/>
        </w:rPr>
        <w:sectPr>
          <w:pgSz w:w="11880" w:h="15480"/>
          <w:pgMar w:header="0" w:footer="1253" w:top="1240" w:bottom="1440" w:left="1220" w:right="1280"/>
        </w:sectPr>
      </w:pPr>
    </w:p>
    <w:p>
      <w:pPr>
        <w:pStyle w:val="Heading3"/>
        <w:spacing w:before="73"/>
        <w:ind w:left="120"/>
      </w:pPr>
      <w:r>
        <w:rPr>
          <w:color w:val="231F20"/>
        </w:rPr>
        <w:t>Note Regarding Use of Non-GAAP Financial Measures</w:t>
      </w:r>
    </w:p>
    <w:p>
      <w:pPr>
        <w:pStyle w:val="BodyText"/>
        <w:spacing w:line="249" w:lineRule="auto" w:before="118"/>
        <w:ind w:left="120" w:right="319" w:firstLine="400"/>
      </w:pPr>
      <w:r>
        <w:rPr>
          <w:color w:val="231F20"/>
        </w:rPr>
        <w:t>The Company’s Consolidated Financial Statements are prepared in accordance with accounting principles generally accepted in the United States (GAAP). These GAAP financial statements include (i) unrealized non- 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spacing w:before="11"/>
        <w:rPr>
          <w:sz w:val="18"/>
        </w:rPr>
      </w:pPr>
    </w:p>
    <w:p>
      <w:pPr>
        <w:pStyle w:val="BodyText"/>
        <w:spacing w:line="249" w:lineRule="auto"/>
        <w:ind w:left="120" w:right="103" w:firstLine="400"/>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which the Company believes provides greater transparency to investors as supplemental information to its GAAP results. 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 quarter basis after considering all efforts in place to manage fuel expense. However, because these measures are not determined in accordance with GAAP, the measures are susceptible to varying calculations and not all companies calculate the measures in the same manner. As a result, the aforementioned measures, as presented, may not be directly comparable to similarly titled measures presented by other</w:t>
      </w:r>
      <w:r>
        <w:rPr>
          <w:color w:val="231F20"/>
          <w:spacing w:val="11"/>
        </w:rPr>
        <w:t> </w:t>
      </w:r>
      <w:r>
        <w:rPr>
          <w:color w:val="231F20"/>
        </w:rPr>
        <w:t>companies.</w:t>
      </w:r>
    </w:p>
    <w:p>
      <w:pPr>
        <w:pStyle w:val="BodyText"/>
        <w:rPr>
          <w:sz w:val="19"/>
        </w:rPr>
      </w:pPr>
    </w:p>
    <w:p>
      <w:pPr>
        <w:pStyle w:val="BodyText"/>
        <w:spacing w:line="249" w:lineRule="auto"/>
        <w:ind w:left="120" w:right="119"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19"/>
        </w:rPr>
      </w:pPr>
    </w:p>
    <w:p>
      <w:pPr>
        <w:pStyle w:val="BodyText"/>
        <w:spacing w:line="249" w:lineRule="auto"/>
        <w:ind w:left="120" w:right="162" w:firstLine="400"/>
      </w:pPr>
      <w:r>
        <w:rPr>
          <w:color w:val="231F20"/>
        </w:rPr>
        <w:t>In addition to its “economic” financial measures, as defined above, the Company has also provided other non-GAAP financial measures as a result of items that the Company believes are not indicative of its ongoing operations. These include 2012, 2011, and 2010 charges of $183 million, $134 million, and $8 million, respectively, (before the impact of profitsharing and/or taxes) related to expenses associated with the Company’s acquisition and integration of AirTran, and a 2011 charge of $17 million (before the impact of profitsharing and/ or taxes) for an asset impairment related to the Company’s decision not to equip its Classic (737-300/500) aircraft with “Required Navigation Performance” (RNP) capabilities. The Company believes that evaluation of its financial performance compared to prior and future periods can be enhanced by a presentation of results that exclude the impact of these items. As a result of the Company’s acquisition of AirTran, which closed on May 2, 2011, the Company has incurred and expects to continue to incur substantial charges associated with integration of the two companies. While the Company cannot predict the exact timing or amounts of these charges, it does expect to treat the charges as special items in its future presentation of non-GAAP results. See Note 2 to the Consolidated Financial Statements for further information on the AirTran acquisition.</w:t>
      </w:r>
    </w:p>
    <w:p>
      <w:pPr>
        <w:pStyle w:val="BodyText"/>
        <w:spacing w:before="5"/>
        <w:rPr>
          <w:sz w:val="28"/>
        </w:rPr>
      </w:pPr>
    </w:p>
    <w:p>
      <w:pPr>
        <w:pStyle w:val="Heading3"/>
        <w:ind w:left="120"/>
      </w:pPr>
      <w:r>
        <w:rPr>
          <w:color w:val="231F20"/>
        </w:rPr>
        <w:t>YEAR IN REVIEW</w:t>
      </w:r>
    </w:p>
    <w:p>
      <w:pPr>
        <w:pStyle w:val="BodyText"/>
        <w:spacing w:line="249" w:lineRule="auto" w:before="118"/>
        <w:ind w:left="119" w:right="178" w:firstLine="400"/>
      </w:pPr>
      <w:r>
        <w:rPr>
          <w:color w:val="231F20"/>
        </w:rPr>
        <w:t>For the 40</w:t>
      </w:r>
      <w:r>
        <w:rPr>
          <w:color w:val="231F20"/>
          <w:position w:val="5"/>
          <w:sz w:val="13"/>
        </w:rPr>
        <w:t>th </w:t>
      </w:r>
      <w:r>
        <w:rPr>
          <w:color w:val="231F20"/>
        </w:rPr>
        <w:t>consecutive year, the Company was profitable, earning $421 million ($.56 per share, diluted) in net income in 2012, compared to the Company’s 2011 net income of $178 million ($.23 per share, diluted). On a non-GAAP basis, the Company’s 2012 net income was $417 million ($.56 per share, diluted), which was a 26.4 percent increase versus the Company’s 2011 net income on a non-GAAP basis of $330 million ($.43 per share,</w:t>
      </w:r>
    </w:p>
    <w:p>
      <w:pPr>
        <w:spacing w:after="0" w:line="249" w:lineRule="auto"/>
        <w:sectPr>
          <w:pgSz w:w="11880" w:h="15480"/>
          <w:pgMar w:header="0" w:footer="1253" w:top="1240" w:bottom="1440" w:left="1260" w:right="1280"/>
        </w:sectPr>
      </w:pPr>
    </w:p>
    <w:p>
      <w:pPr>
        <w:pStyle w:val="BodyText"/>
        <w:spacing w:line="249" w:lineRule="auto" w:before="73"/>
        <w:ind w:left="100" w:right="233"/>
      </w:pPr>
      <w:r>
        <w:rPr>
          <w:color w:val="231F20"/>
        </w:rPr>
        <w:t>diluted). Operating income for 2012 was $623 million, which was a 10.1 percent decrease versus 2011. On a non-GAAP basis, the Company’s 2012 operating income was $838 million, which was relatively flat compared to 2011. See the previous Note Regarding Use of Non-GAAP Financial Measures. As discussed in Note 2 to the Consolidated Financial Statements, for GAAP reporting, the accompanying results of operations and cash flows contain AirTran’s results beginning as of the date of the acquisition, while results of operations and cash flows prior to the acquisition date are only the results of Southwest.</w:t>
      </w:r>
    </w:p>
    <w:p>
      <w:pPr>
        <w:pStyle w:val="BodyText"/>
        <w:spacing w:before="10"/>
      </w:pPr>
    </w:p>
    <w:p>
      <w:pPr>
        <w:pStyle w:val="BodyText"/>
        <w:spacing w:line="249" w:lineRule="auto" w:before="1"/>
        <w:ind w:left="100" w:right="335" w:firstLine="400"/>
      </w:pPr>
      <w:r>
        <w:rPr>
          <w:color w:val="231F20"/>
        </w:rPr>
        <w:t>The Company has implemented, and/or is in the midst of, several strategic initiatives that are intended to increase its revenues and reduce its unit costs, and to aid the Company with its goal of achieving pre-tax return on invested capital of 15 percent. The Company’s five major strategic initiatives include:</w:t>
      </w:r>
    </w:p>
    <w:p>
      <w:pPr>
        <w:pStyle w:val="ListParagraph"/>
        <w:numPr>
          <w:ilvl w:val="2"/>
          <w:numId w:val="8"/>
        </w:numPr>
        <w:tabs>
          <w:tab w:pos="899" w:val="left" w:leader="none"/>
          <w:tab w:pos="900" w:val="left" w:leader="none"/>
        </w:tabs>
        <w:spacing w:line="249" w:lineRule="auto" w:before="121" w:after="0"/>
        <w:ind w:left="900" w:right="545" w:hanging="300"/>
        <w:jc w:val="left"/>
        <w:rPr>
          <w:sz w:val="20"/>
        </w:rPr>
      </w:pPr>
      <w:r>
        <w:rPr>
          <w:color w:val="231F20"/>
          <w:sz w:val="20"/>
          <w:u w:val="single" w:color="231F20"/>
        </w:rPr>
        <w:t>The integration of AirTran. </w:t>
      </w:r>
      <w:r>
        <w:rPr>
          <w:color w:val="231F20"/>
          <w:sz w:val="20"/>
        </w:rPr>
        <w:t>The 2011 acquisition of AirTan increased the Company’s fleet size by 140 aircraft and expanded the Company’s network into key U.S. markets such as Atlanta</w:t>
      </w:r>
      <w:r>
        <w:rPr>
          <w:color w:val="231F20"/>
          <w:spacing w:val="3"/>
          <w:sz w:val="20"/>
        </w:rPr>
        <w:t> </w:t>
      </w:r>
      <w:r>
        <w:rPr>
          <w:color w:val="231F20"/>
          <w:sz w:val="20"/>
        </w:rPr>
        <w:t>and</w:t>
      </w:r>
    </w:p>
    <w:p>
      <w:pPr>
        <w:pStyle w:val="BodyText"/>
        <w:spacing w:line="249" w:lineRule="auto" w:before="1"/>
        <w:ind w:left="900" w:right="98"/>
      </w:pPr>
      <w:r>
        <w:rPr>
          <w:color w:val="231F20"/>
        </w:rPr>
        <w:t>Washington Reagan, and near-international locations such as the Caribbean and Mexico. The Company has been able to produce significant synergies to date and continues to expect net pre-tax annual synergies of $400 million in 2013 (excluding acquisition and integration expenses). Significant changes have been made and are underway to AirTran’s route network, including the closure of several airports that proved unsustainable, and the re-deployment of aircraft in new markets. In addition, during the  first quarter of 2012, the Company obtained a single operating certificate from the FAA. The Company has also continued the process of transferring AirTran aircraft to Southwest to be converted to the Southwest livery. As of January 24, 2013, 11 AirTran 737-700 aircraft had completed the conversion process and re-entered service as Southwest aircraft. In addition, the Company converted several AirTran airport facilities to Southwest in 2012 and plans to continue converting the remainder of AirTran’s airport facilities to</w:t>
      </w:r>
      <w:r>
        <w:rPr>
          <w:color w:val="231F20"/>
          <w:spacing w:val="5"/>
        </w:rPr>
        <w:t> </w:t>
      </w:r>
      <w:r>
        <w:rPr>
          <w:color w:val="231F20"/>
        </w:rPr>
        <w:t>Southwest.</w:t>
      </w:r>
    </w:p>
    <w:p>
      <w:pPr>
        <w:pStyle w:val="ListParagraph"/>
        <w:numPr>
          <w:ilvl w:val="2"/>
          <w:numId w:val="8"/>
        </w:numPr>
        <w:tabs>
          <w:tab w:pos="899" w:val="left" w:leader="none"/>
          <w:tab w:pos="900" w:val="left" w:leader="none"/>
        </w:tabs>
        <w:spacing w:line="249" w:lineRule="auto" w:before="118" w:after="0"/>
        <w:ind w:left="900" w:right="266" w:hanging="300"/>
        <w:jc w:val="left"/>
        <w:rPr>
          <w:sz w:val="20"/>
        </w:rPr>
      </w:pPr>
      <w:r>
        <w:rPr/>
        <w:pict>
          <v:line style="position:absolute;mso-position-horizontal-relative:page;mso-position-vertical-relative:paragraph;z-index:-356320" from="361.35pt,18.151953pt" to="109pt,18.151953pt" stroked="true" strokeweight=".5pt" strokecolor="#231f20">
            <v:stroke dashstyle="solid"/>
            <w10:wrap type="none"/>
          </v:line>
        </w:pict>
      </w:r>
      <w:r>
        <w:rPr>
          <w:color w:val="231F20"/>
          <w:sz w:val="20"/>
        </w:rPr>
        <w:t>Southwest’s All-New Rapid Rewards</w:t>
      </w:r>
      <w:r>
        <w:rPr>
          <w:color w:val="231F20"/>
          <w:position w:val="5"/>
          <w:sz w:val="15"/>
        </w:rPr>
        <w:t>® </w:t>
      </w:r>
      <w:r>
        <w:rPr>
          <w:color w:val="231F20"/>
          <w:sz w:val="20"/>
        </w:rPr>
        <w:t>frequent flyer program.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5"/>
        </w:rPr>
        <w:t>® </w:t>
      </w:r>
      <w:r>
        <w:rPr>
          <w:color w:val="231F20"/>
          <w:sz w:val="20"/>
        </w:rPr>
        <w:t>Visa credit card holders added, the number of points sold to business partners, and the number of frequent flyer points purchased by program</w:t>
      </w:r>
      <w:r>
        <w:rPr>
          <w:color w:val="231F20"/>
          <w:spacing w:val="7"/>
          <w:sz w:val="20"/>
        </w:rPr>
        <w:t> </w:t>
      </w:r>
      <w:r>
        <w:rPr>
          <w:color w:val="231F20"/>
          <w:sz w:val="20"/>
        </w:rPr>
        <w:t>members.</w:t>
      </w:r>
    </w:p>
    <w:p>
      <w:pPr>
        <w:pStyle w:val="ListParagraph"/>
        <w:numPr>
          <w:ilvl w:val="2"/>
          <w:numId w:val="8"/>
        </w:numPr>
        <w:tabs>
          <w:tab w:pos="899" w:val="left" w:leader="none"/>
          <w:tab w:pos="900" w:val="left" w:leader="none"/>
        </w:tabs>
        <w:spacing w:line="249" w:lineRule="auto" w:before="121" w:after="0"/>
        <w:ind w:left="900" w:right="228" w:hanging="300"/>
        <w:jc w:val="left"/>
        <w:rPr>
          <w:sz w:val="20"/>
        </w:rPr>
      </w:pPr>
      <w:r>
        <w:rPr>
          <w:color w:val="231F20"/>
          <w:sz w:val="20"/>
          <w:u w:val="single" w:color="231F20"/>
        </w:rPr>
        <w:t>Fleet modernization. </w:t>
      </w:r>
      <w:r>
        <w:rPr>
          <w:color w:val="231F20"/>
          <w:sz w:val="20"/>
        </w:rPr>
        <w:t>The Company entered into an agreement in 2011 to be the launch customer for Boeing’s new, more fuel-efficient 737 MAX aircraft, which is expected to enter service in 2017. The Company placed firm orders for 150 Boeing 737 MAX aircraft and also added Boeing 737NG aircraft to its existing firm order book at that time. The 737 MAX is expected to reduce CO2 emissions and improve fuel burn by an additional 10 to 11 percent over today’s most fuel-efficient, single-aisle airplane. In January 2012, the Company also announced its plans to retrofit its 737-700 fleet with an updated cabin interior. </w:t>
      </w:r>
      <w:r>
        <w:rPr>
          <w:i/>
          <w:color w:val="231F20"/>
          <w:sz w:val="20"/>
        </w:rPr>
        <w:t>Evolve: The New Southwest Experienc</w:t>
      </w:r>
      <w:r>
        <w:rPr>
          <w:color w:val="231F20"/>
          <w:sz w:val="20"/>
        </w:rPr>
        <w:t>e is intended to enhance Customer comfort, personal space, and the overall travel experience, while improving fleet efficiency and being environmentally responsible. By maximizing the space inside the plane, </w:t>
      </w:r>
      <w:r>
        <w:rPr>
          <w:i/>
          <w:color w:val="231F20"/>
          <w:sz w:val="20"/>
        </w:rPr>
        <w:t>Evolve </w:t>
      </w:r>
      <w:r>
        <w:rPr>
          <w:color w:val="231F20"/>
          <w:sz w:val="20"/>
        </w:rPr>
        <w:t>allows for the added benefit of six additional seats on each 737-700 aircraft, along with more climate-friendly and cost- effective materials. These retrofits for Southwest 737-700 aircraft began in March 2012 and are expected to be completed in 2013. AirTran aircraft that are transitioned to the Southwest fleet are also expected to receive the new </w:t>
      </w:r>
      <w:r>
        <w:rPr>
          <w:i/>
          <w:color w:val="231F20"/>
          <w:sz w:val="20"/>
        </w:rPr>
        <w:t>Evolve </w:t>
      </w:r>
      <w:r>
        <w:rPr>
          <w:color w:val="231F20"/>
          <w:sz w:val="20"/>
        </w:rPr>
        <w:t>interior. As of January 24, 2013, 270 of the Company’s 737-700 aircraft had been converted to the </w:t>
      </w:r>
      <w:r>
        <w:rPr>
          <w:i/>
          <w:color w:val="231F20"/>
          <w:sz w:val="20"/>
        </w:rPr>
        <w:t>Evolve </w:t>
      </w:r>
      <w:r>
        <w:rPr>
          <w:color w:val="231F20"/>
          <w:sz w:val="20"/>
        </w:rPr>
        <w:t>interior, including 11 transitioned AirTran aircraft. The Company has also made the decision to retrofit 78 of its 737-300 fleet with </w:t>
      </w:r>
      <w:r>
        <w:rPr>
          <w:i/>
          <w:color w:val="231F20"/>
          <w:sz w:val="20"/>
        </w:rPr>
        <w:t>Evolve</w:t>
      </w:r>
      <w:r>
        <w:rPr>
          <w:color w:val="231F20"/>
          <w:sz w:val="20"/>
        </w:rPr>
        <w:t>, which it also expects to complete in</w:t>
      </w:r>
      <w:r>
        <w:rPr>
          <w:color w:val="231F20"/>
          <w:spacing w:val="2"/>
          <w:sz w:val="20"/>
        </w:rPr>
        <w:t> </w:t>
      </w:r>
      <w:r>
        <w:rPr>
          <w:color w:val="231F20"/>
          <w:sz w:val="20"/>
        </w:rPr>
        <w:t>2013.</w:t>
      </w:r>
    </w:p>
    <w:p>
      <w:pPr>
        <w:pStyle w:val="ListParagraph"/>
        <w:numPr>
          <w:ilvl w:val="2"/>
          <w:numId w:val="8"/>
        </w:numPr>
        <w:tabs>
          <w:tab w:pos="900" w:val="left" w:leader="none"/>
        </w:tabs>
        <w:spacing w:line="249" w:lineRule="auto" w:before="121" w:after="0"/>
        <w:ind w:left="900" w:right="286" w:hanging="300"/>
        <w:jc w:val="both"/>
        <w:rPr>
          <w:sz w:val="20"/>
        </w:rPr>
      </w:pPr>
      <w:r>
        <w:rPr>
          <w:color w:val="231F20"/>
          <w:sz w:val="20"/>
          <w:u w:val="single" w:color="231F20"/>
        </w:rPr>
        <w:t>The addition of a larger aircraft, the Boeing 737-800, to Southwest’s fleet. </w:t>
      </w:r>
      <w:r>
        <w:rPr>
          <w:color w:val="231F20"/>
          <w:sz w:val="20"/>
        </w:rPr>
        <w:t>To further support its fleet modernization efforts, the Company received a total of 34 Boeing 737-800s during 2012. The Boeing 737-800 (i) is better suited for potential new destinations, including near-international</w:t>
      </w:r>
      <w:r>
        <w:rPr>
          <w:color w:val="231F20"/>
          <w:spacing w:val="12"/>
          <w:sz w:val="20"/>
        </w:rPr>
        <w:t> </w:t>
      </w:r>
      <w:r>
        <w:rPr>
          <w:color w:val="231F20"/>
          <w:sz w:val="20"/>
        </w:rPr>
        <w:t>locations,</w:t>
      </w:r>
    </w:p>
    <w:p>
      <w:pPr>
        <w:pStyle w:val="BodyText"/>
        <w:spacing w:line="249" w:lineRule="auto" w:before="1"/>
        <w:ind w:left="900"/>
      </w:pPr>
      <w:r>
        <w:rPr>
          <w:color w:val="231F20"/>
        </w:rPr>
        <w:t>(ii) provides the Company with the opportunity to generate additional revenue by replacing current aircraft on specified routes and locations that are restricted due to space constraints or slot controls (a “slot” is the right of an air carrier, pursuant to regulations of the FAA, to operate a takeoff or landing at</w:t>
      </w:r>
    </w:p>
    <w:p>
      <w:pPr>
        <w:spacing w:after="0" w:line="249" w:lineRule="auto"/>
        <w:sectPr>
          <w:pgSz w:w="11880" w:h="15480"/>
          <w:pgMar w:header="0" w:footer="1253" w:top="1240" w:bottom="1440" w:left="1280" w:right="1280"/>
        </w:sectPr>
      </w:pPr>
    </w:p>
    <w:p>
      <w:pPr>
        <w:pStyle w:val="BodyText"/>
        <w:spacing w:line="249" w:lineRule="auto" w:before="73"/>
        <w:ind w:left="900"/>
      </w:pPr>
      <w:r>
        <w:rPr>
          <w:color w:val="231F20"/>
        </w:rPr>
        <w:t>a specific time at certain airports), and (iii) operates at a lower unit cost than aircraft in the Company’s existing fleet.</w:t>
      </w:r>
    </w:p>
    <w:p>
      <w:pPr>
        <w:pStyle w:val="ListParagraph"/>
        <w:numPr>
          <w:ilvl w:val="2"/>
          <w:numId w:val="8"/>
        </w:numPr>
        <w:tabs>
          <w:tab w:pos="899" w:val="left" w:leader="none"/>
          <w:tab w:pos="900" w:val="left" w:leader="none"/>
        </w:tabs>
        <w:spacing w:line="249" w:lineRule="auto" w:before="80" w:after="0"/>
        <w:ind w:left="900" w:right="173" w:hanging="300"/>
        <w:jc w:val="left"/>
        <w:rPr>
          <w:sz w:val="20"/>
        </w:rPr>
      </w:pPr>
      <w:r>
        <w:rPr>
          <w:color w:val="231F20"/>
          <w:sz w:val="20"/>
          <w:u w:val="single" w:color="231F20"/>
        </w:rPr>
        <w:t>New Reservation System and International Capabilities. </w:t>
      </w:r>
      <w:r>
        <w:rPr>
          <w:color w:val="231F20"/>
          <w:sz w:val="20"/>
        </w:rPr>
        <w:t>The Company has entered into a contract with Amadeus IT Group to implement Amadeus’ Altea reservations solution to support the Company’s international service. The Amadeus technology is expected to support Southwest’s operation of international flights, which are expected to begin in 2014. The contract also provides the option for Southwest to migrate its domestic business to Amadeus in the</w:t>
      </w:r>
      <w:r>
        <w:rPr>
          <w:color w:val="231F20"/>
          <w:spacing w:val="5"/>
          <w:sz w:val="20"/>
        </w:rPr>
        <w:t> </w:t>
      </w:r>
      <w:r>
        <w:rPr>
          <w:color w:val="231F20"/>
          <w:sz w:val="20"/>
        </w:rPr>
        <w:t>future.</w:t>
      </w:r>
    </w:p>
    <w:p>
      <w:pPr>
        <w:pStyle w:val="BodyText"/>
        <w:spacing w:line="249" w:lineRule="auto" w:before="160"/>
        <w:ind w:left="100" w:right="101" w:firstLine="400"/>
      </w:pPr>
      <w:r>
        <w:rPr>
          <w:color w:val="231F20"/>
        </w:rPr>
        <w:t>In addition, during fourth quarter 2012, the Company announced incremental revenue initiatives designed to increase revenues during 2013 and future periods. The Company announced that it will increase the amount Customers pay for its Early Bird product from $10 per one-way ticket to $12.50 per one-way ticket, effective by the end of the first quarter of 2013. The Company also announced, beginning in February 2013, it will increase the fees charged for certain checked baggage. On AirTran flights, the charge for a Customer’s first checked bag will increase to $25, and second checked bag will cost $35. On Southwest flights, a Customer will still be able to check up to two bags, up to 50 pounds each, free of charge, but the charge for a third or subsequent checked bag, or for any bag in excess of 50 pounds, will increase to $75 each. Southwest also plans to tighten the flexibility associated with its most restrictive tickets. Currently, Customers that don’t show up for their scheduled flight retain the full value paid for their tickets and can reuse such funds for up to a year after the original flight date. At some point during 2013, the Company plans to implement a service charge for a Customer to reuse the full value paid for such tickets unless that Customer calls ahead and cancels or re-books their ticket prior to the originally scheduled flight time. One of the Company’s goals in making such a change is to change Customers’ behavior by having them call ahead and cancel or re-book their flight, which would enable the Company to then attempt to re- sell that empty seat prior to the flight departure. During January 2013, the Company began selling open premium boarding positions systemwide at the gate for a $40 charge per flight.</w:t>
      </w:r>
    </w:p>
    <w:p>
      <w:pPr>
        <w:pStyle w:val="BodyText"/>
        <w:spacing w:line="249" w:lineRule="auto" w:before="160"/>
        <w:ind w:left="100" w:right="274" w:firstLine="400"/>
      </w:pPr>
      <w:r>
        <w:rPr>
          <w:color w:val="231F20"/>
        </w:rPr>
        <w:t>The Company has continued working towards creating connecting capabilities between the Southwest and AirTran reservations systems to allow Customers to book connecting itineraries between the two carriers. Full deployment of connecting capabilities is expected to occur in early 2013. During 2012, the Company continued to optimize and align the Southwest and AirTran networks, launched booking tools to allow Customers of both airlines to book flights on either carrier via southwest.com or airtran.com, and continued to work on integrating the frequent flyer programs of the carriers. The efforts underway to fully integrate AirTran’s network and schedule with Southwest’s are expected to be a multi-year undertaking, but one that the Company believes will yield significant financial benefits.</w:t>
      </w:r>
    </w:p>
    <w:p>
      <w:pPr>
        <w:pStyle w:val="BodyText"/>
        <w:spacing w:line="249" w:lineRule="auto" w:before="160"/>
        <w:ind w:left="100" w:right="107" w:firstLine="400"/>
      </w:pPr>
      <w:r>
        <w:rPr>
          <w:color w:val="231F20"/>
        </w:rPr>
        <w:t>During 2012, the Company also continued its progress towards integrating Southwest’s and AirTran’s unionized workforce. Southwest’s Aircraft Mechanics, represented by the Aircraft Mechanics Fraternal Association (“AMFA”), and the Aircraft Mechanics and Inspectors at AirTran, represented by the International Brotherhood of Teamsters, Local 528 (“IBT 528”), voted to ratify their Seniority Integration Agreement, which integrates the two groups’ seniority lists. Further, the International Association of Machinists and Aerospace Workers, AFL-CIO (“IAM 142”), which represents the Customer Service Agents and Customer Representatives at both Southwest and AirTran, reached a decision regarding the methodology for integrating the seniority lists of the two workgroups. The decision by IAM 142 was not subject to a vote by the respective workgroups. In addition, a settlement agreement was reached for integrating the seniority lists of Material Specialists at Southwest and AirTran. As a result of these agreements, all Southwest and AirTran union workgroup seniority integration methodologies have now been resolved. The Company’s Pilots, Flight Attendants, Flight Instructors, Dispatchers, and Ramp, Operations, Provisioning, and Freight Agents have also successfully completed the seniority integration negotiation process.</w:t>
      </w:r>
    </w:p>
    <w:p>
      <w:pPr>
        <w:pStyle w:val="BodyText"/>
        <w:spacing w:line="249" w:lineRule="auto" w:before="160"/>
        <w:ind w:left="100" w:right="125" w:firstLine="490"/>
      </w:pPr>
      <w:r>
        <w:rPr>
          <w:color w:val="231F20"/>
        </w:rPr>
        <w:t>As discussed above, the Company currently believes the acquisition of AirTran has the potential to yield net annual synergies of approximately $400 million in 2013, not including acquisition and integration costs. The Company incurred acquisition and integration expenses of $134 million in 2011 and $183 million in 2012 and is expected to incur no more than $550 million in total acquisition and integration costs. In addition, although Southwest and AirTran are currently operated separately in many respects, their networks remain complementary</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with little route overlap. Strategically, both carriers place an emphasis on outstanding Customer Service, high quality low-cost operations, solid low-fare brands, and strong Employee cultures.</w:t>
      </w:r>
    </w:p>
    <w:p>
      <w:pPr>
        <w:pStyle w:val="BodyText"/>
        <w:spacing w:line="249" w:lineRule="auto" w:before="145"/>
        <w:ind w:left="100" w:right="103" w:firstLine="490"/>
      </w:pPr>
      <w:r>
        <w:rPr>
          <w:color w:val="231F20"/>
        </w:rPr>
        <w:t>At the current time, the Company plans to continue its route network and schedule optimization efforts, but does not intend to grow its overall fleet size for 2013. The Company currently expects to receive 20 737-800 aircraft deliveries during 2013, all of which will be new aircraft from Boeing. The Company also expects to retire some of its older 737-300s and 737-500s, as well as transition a number of 717-200s out of service as part of the Company’s lease/sublease agreement with Delta. See Note 8 to the Consolidated Financial Statements. In total, the Company expects to keep its fleet relatively flat with 2012 and expects 2013 ASMs to increase approximately two percent compared to ASMs flown during 2012.</w:t>
      </w:r>
    </w:p>
    <w:p>
      <w:pPr>
        <w:pStyle w:val="BodyText"/>
        <w:spacing w:before="10"/>
        <w:rPr>
          <w:sz w:val="18"/>
        </w:rPr>
      </w:pPr>
    </w:p>
    <w:p>
      <w:pPr>
        <w:pStyle w:val="Heading4"/>
        <w:ind w:left="300"/>
        <w:rPr>
          <w:i/>
        </w:rPr>
      </w:pPr>
      <w:r>
        <w:rPr>
          <w:i/>
          <w:color w:val="231F20"/>
        </w:rPr>
        <w:t>2012 compared with 2011</w:t>
      </w:r>
    </w:p>
    <w:p>
      <w:pPr>
        <w:pStyle w:val="BodyText"/>
        <w:spacing w:before="81"/>
        <w:ind w:left="590"/>
      </w:pPr>
      <w:r>
        <w:rPr>
          <w:color w:val="231F20"/>
        </w:rPr>
        <w:t>The Company’s net income of $421 million ($.56 per share, diluted) in 2012 increased by $243 million, or</w:t>
      </w:r>
    </w:p>
    <w:p>
      <w:pPr>
        <w:pStyle w:val="BodyText"/>
        <w:spacing w:line="249" w:lineRule="auto" w:before="9"/>
        <w:ind w:left="100" w:right="105"/>
      </w:pPr>
      <w:r>
        <w:rPr>
          <w:color w:val="231F20"/>
        </w:rPr>
        <w:t>136.5 percent, compared to its 2011 net income of $178 million ($.23 per share, diluted). The Company’s GAAP results for both years ended December 31, 2012 and 2011 were significantly impacted by the non-cash adjustments recorded as a result of the Company’s portfolio of derivative contracts utilized to hedge against jet fuel price volatility, as well as acquisition and integration costs associated with the Company’s 2011 acquisition of AirTran. As a result of the fuel hedges the Company had in place during 2012 — including those that settled during 2012 and those that will settle in future years—the Company recognized a net total of $28 million in gains allocated between Fuel and oil expense and Other (gains) losses, net, in the Consolidated Statement of Income. During 2011, the Company recognized a net total of $259 million in losses as a result of its fuel hedging activities, allocated between Fuel and oil expense and Other (gains) losses, net. Each of these totals for 2012 and 2011 include the net premium costs the Company paid to enter into a portion of its fuel derivative instruments such as option contracts which are classified as a component of Other (gains) losses, net. See Note 10 to the Consolidated Financial Statements for further information on fuel hedging and Note 2 for further information on the acquisition of AirTran. In addition, the Company’s GAAP results for the year ended December 31, 2012 included a $137 million third quarter 2012 charge associated with the Company’s agreement with Delta and Boeing Capital Corp. to lease or sublease all 88 of AirTran’s Boeing 717s to Delta. See Note 8 to the Consolidated Financial Statements for further information on this transaction. The Company’s GAAP results for the year ended December 31, 2011 included an asset impairment related to the Company’s decision not to equip its Classic (737-300/500) aircraft with Required Navigation Performance (RNP) capabilities. Excluding the impact of these items, the Company’s net income on a non-GAAP basis increased 26.4 percent for the year ended 2012 compared to 2011. This increase primarily was a result of better 2012 revenue production, which more than offset higher operating costs.</w:t>
      </w:r>
    </w:p>
    <w:p>
      <w:pPr>
        <w:pStyle w:val="BodyText"/>
        <w:spacing w:before="9"/>
        <w:rPr>
          <w:sz w:val="18"/>
        </w:rPr>
      </w:pPr>
    </w:p>
    <w:p>
      <w:pPr>
        <w:pStyle w:val="Heading3"/>
        <w:spacing w:before="1"/>
      </w:pPr>
      <w:r>
        <w:rPr>
          <w:color w:val="231F20"/>
        </w:rPr>
        <w:t>Operating revenues</w:t>
      </w:r>
    </w:p>
    <w:p>
      <w:pPr>
        <w:pStyle w:val="BodyText"/>
        <w:spacing w:line="249" w:lineRule="auto" w:before="82"/>
        <w:ind w:left="100" w:right="106" w:firstLine="490"/>
      </w:pPr>
      <w:r>
        <w:rPr>
          <w:color w:val="231F20"/>
        </w:rPr>
        <w:t>Operating revenues for 2012 increased by $1.4 billion, or 9.1 percent, compared to 2011. The majority of the increase was due to the fact that 2012 results include the full year of AirTran Operating revenues, while 2011 results only include AirTran Operating revenues following the May 2, 2011 acquisition date. For the full year 2012, other than due to the inclusion of 12 months of activity versus only eight months in 2011, AirTran’s standalone operating revenues did not otherwise have a significant impact on the Company’s consolidated  results. Excluding the results of AirTran in both periods, Operating revenues for 2012 increased 5.5 percent on a dollar basis, compared to 2011, primarily due to a 5.6 percent increase in Passenger revenues. Holding other factors constant, over 60 percent of the increase in Passenger revenues was attributable to higher Passenger  yields (Passenger revenues per RPM flown), as the Company implemented fare increases in an attempt to buffer a portion of the impact of higher fuel costs. In addition to the fare increases the Company has been able to implement and other revenue management techniques, the year-over-year increase in Passenger revenues benefitted from continued optimization of the Company’s flight schedule to better match demand in certain markets and, at certain times, targeted marketing campaigns in which the Company differentiates its products and services from competitors. These increases were partially offset by a slight decrease in Southwest’s load factor, partially due to the impact of higher airfares on Customer demand. Based on bookings and revenue trends, thus far, the Company expects a solid year-over-year increase in its first quarter 2013 passenger unit</w:t>
      </w:r>
      <w:r>
        <w:rPr>
          <w:color w:val="231F20"/>
          <w:spacing w:val="11"/>
        </w:rPr>
        <w:t> </w:t>
      </w:r>
      <w:r>
        <w:rPr>
          <w:color w:val="231F20"/>
        </w:rPr>
        <w:t>revenues.</w:t>
      </w:r>
    </w:p>
    <w:p>
      <w:pPr>
        <w:spacing w:after="0" w:line="249" w:lineRule="auto"/>
        <w:sectPr>
          <w:pgSz w:w="11880" w:h="15480"/>
          <w:pgMar w:header="0" w:footer="1253" w:top="1240" w:bottom="1440" w:left="1280" w:right="1280"/>
        </w:sectPr>
      </w:pPr>
    </w:p>
    <w:p>
      <w:pPr>
        <w:pStyle w:val="BodyText"/>
        <w:spacing w:line="249" w:lineRule="auto" w:before="73"/>
        <w:ind w:left="160" w:right="328" w:firstLine="490"/>
      </w:pPr>
      <w:r>
        <w:rPr>
          <w:color w:val="231F20"/>
        </w:rPr>
        <w:t>Freight revenues for 2012 increased by $21 million, or 15.1 percent, compared to 2011, primarily due to an increase in shipments as a result of better domestic economic conditions than the prior year. The Company currently expects freight revenues for first quarter 2013 to be in line with fourth quarter 2012 freight revenues.</w:t>
      </w:r>
    </w:p>
    <w:p>
      <w:pPr>
        <w:pStyle w:val="BodyText"/>
        <w:spacing w:line="249" w:lineRule="auto" w:before="193"/>
        <w:ind w:left="160" w:right="315" w:firstLine="490"/>
      </w:pPr>
      <w:r>
        <w:rPr>
          <w:color w:val="231F20"/>
        </w:rPr>
        <w:t>Other revenues for 2012 increased by $70 million, or 9.2 percent, compared to 2011, of which approximately $69 million was due to the inclusion of the full year of AirTran results in 2012, while 2011 results only include AirTran Other revenues following the acquisition date. Excluding the results of AirTran in both periods, Other revenues were relatively stable compared to 2011, as an increase in revenues from initiatives, such as the Company’s EarlyBird product, for which Customers pay a service charge to automatically receive an assigned boarding position before general checkin begins, and service charges for pets was offset by an increase in the portion of the commissions earned from programs the Company sponsors with certain business partners that were classified as Passenger revenues as opposed to Other revenues. The classification of such amounts is influenced by average fares, among other factors. See Note 1 to the Consolidated Financial Statements for further information on Southwest’s frequent flyer program. Southwest’s EarlyBird product and service charges for unaccompanied minors, pets, and excess bags contributed $219 million to Other revenues in 2012</w:t>
      </w:r>
      <w:r>
        <w:rPr>
          <w:color w:val="231F20"/>
          <w:spacing w:val="8"/>
        </w:rPr>
        <w:t> </w:t>
      </w:r>
      <w:r>
        <w:rPr>
          <w:color w:val="231F20"/>
        </w:rPr>
        <w:t>versus</w:t>
      </w:r>
    </w:p>
    <w:p>
      <w:pPr>
        <w:pStyle w:val="BodyText"/>
        <w:spacing w:before="1"/>
        <w:ind w:left="160"/>
        <w:jc w:val="both"/>
      </w:pPr>
      <w:r>
        <w:rPr>
          <w:color w:val="231F20"/>
        </w:rPr>
        <w:t>$198 million generated from these products during 2011. Other revenues for 2012 included approximately</w:t>
      </w:r>
    </w:p>
    <w:p>
      <w:pPr>
        <w:pStyle w:val="BodyText"/>
        <w:spacing w:line="249" w:lineRule="auto" w:before="9"/>
        <w:ind w:left="160" w:right="582"/>
        <w:jc w:val="both"/>
      </w:pPr>
      <w:r>
        <w:rPr>
          <w:color w:val="231F20"/>
        </w:rPr>
        <w:t>$146 million in baggage fees collected from AirTran Customers, versus approximately $110 million for 2011. The Company currently expects Other revenues in first quarter 2013 to be in line with first quarter 2012 Other revenues.</w:t>
      </w:r>
    </w:p>
    <w:p>
      <w:pPr>
        <w:pStyle w:val="BodyText"/>
        <w:rPr>
          <w:sz w:val="25"/>
        </w:rPr>
      </w:pPr>
    </w:p>
    <w:p>
      <w:pPr>
        <w:pStyle w:val="Heading3"/>
        <w:spacing w:before="1"/>
        <w:ind w:left="160"/>
        <w:jc w:val="both"/>
      </w:pPr>
      <w:r>
        <w:rPr>
          <w:color w:val="231F20"/>
        </w:rPr>
        <w:t>Operating expenses</w:t>
      </w:r>
    </w:p>
    <w:p>
      <w:pPr>
        <w:pStyle w:val="BodyText"/>
        <w:spacing w:line="249" w:lineRule="auto" w:before="106"/>
        <w:ind w:left="160" w:right="379" w:firstLine="490"/>
      </w:pPr>
      <w:r>
        <w:rPr/>
        <w:pict>
          <v:line style="position:absolute;mso-position-horizontal-relative:page;mso-position-vertical-relative:paragraph;z-index:-356296" from="241.5pt,121.735947pt" to="297.75pt,121.735947pt" stroked="true" strokeweight="1pt" strokecolor="#231f20">
            <v:stroke dashstyle="solid"/>
            <w10:wrap type="none"/>
          </v:line>
        </w:pict>
      </w:r>
      <w:r>
        <w:rPr>
          <w:color w:val="231F20"/>
        </w:rPr>
        <w:t>Operating expenses for 2012 increased by $1.5 billion, or 10.0 percent, compared to 2011, while capacity increased 6.3 percent compared to 2011. The increase in Operating expenses was primarily due to the inclusion of AirTran results for the full year 2012, while 2011 results only include AirTran Operating expenses following the acquisition date. Historically, except for changes in the price of fuel, changes in Operating expenses for airlines are largely driven by changes in capacity, or ASMs. The following table presents the Company’s Operating expenses per ASM for 2012 and 2011, followed by explanations of these changes on a per-ASM basis and/or on a dollar basis:</w:t>
      </w:r>
    </w:p>
    <w:p>
      <w:pPr>
        <w:pStyle w:val="BodyText"/>
        <w:spacing w:before="4"/>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00"/>
        <w:gridCol w:w="2640"/>
        <w:gridCol w:w="210"/>
        <w:gridCol w:w="1015"/>
        <w:gridCol w:w="335"/>
        <w:gridCol w:w="210"/>
        <w:gridCol w:w="935"/>
        <w:gridCol w:w="525"/>
      </w:tblGrid>
      <w:tr>
        <w:trPr>
          <w:trHeight w:val="450" w:hRule="exact"/>
        </w:trPr>
        <w:tc>
          <w:tcPr>
            <w:tcW w:w="3500" w:type="dxa"/>
          </w:tcPr>
          <w:p>
            <w:pPr>
              <w:pStyle w:val="TableParagraph"/>
              <w:spacing w:before="5"/>
              <w:jc w:val="left"/>
              <w:rPr>
                <w:sz w:val="18"/>
              </w:rPr>
            </w:pPr>
          </w:p>
          <w:p>
            <w:pPr>
              <w:pStyle w:val="TableParagraph"/>
              <w:ind w:left="50"/>
              <w:jc w:val="left"/>
              <w:rPr>
                <w:sz w:val="18"/>
              </w:rPr>
            </w:pPr>
            <w:r>
              <w:rPr>
                <w:color w:val="231F20"/>
                <w:sz w:val="18"/>
              </w:rPr>
              <w:t>(in cents, except for percentages)</w:t>
            </w:r>
          </w:p>
        </w:tc>
        <w:tc>
          <w:tcPr>
            <w:tcW w:w="2640" w:type="dxa"/>
            <w:tcBorders>
              <w:bottom w:val="single" w:sz="8" w:space="0" w:color="231F20"/>
            </w:tcBorders>
          </w:tcPr>
          <w:p>
            <w:pPr>
              <w:pStyle w:val="TableParagraph"/>
              <w:tabs>
                <w:tab w:pos="1806" w:val="left" w:leader="none"/>
              </w:tabs>
              <w:spacing w:line="254" w:lineRule="auto"/>
              <w:ind w:left="382" w:right="373" w:hanging="97"/>
              <w:jc w:val="left"/>
              <w:rPr>
                <w:b/>
                <w:sz w:val="18"/>
              </w:rPr>
            </w:pPr>
            <w:r>
              <w:rPr>
                <w:b/>
                <w:color w:val="231F20"/>
                <w:sz w:val="18"/>
              </w:rPr>
              <w:t>Year ended December 31, 2012</w:t>
              <w:tab/>
              <w:t>2011</w:t>
            </w:r>
          </w:p>
        </w:tc>
        <w:tc>
          <w:tcPr>
            <w:tcW w:w="210" w:type="dxa"/>
          </w:tcPr>
          <w:p>
            <w:pPr/>
          </w:p>
        </w:tc>
        <w:tc>
          <w:tcPr>
            <w:tcW w:w="1015" w:type="dxa"/>
            <w:tcBorders>
              <w:bottom w:val="single" w:sz="8" w:space="0" w:color="231F20"/>
            </w:tcBorders>
          </w:tcPr>
          <w:p>
            <w:pPr>
              <w:pStyle w:val="TableParagraph"/>
              <w:spacing w:line="199" w:lineRule="exact"/>
              <w:ind w:left="264"/>
              <w:jc w:val="left"/>
              <w:rPr>
                <w:b/>
                <w:sz w:val="18"/>
              </w:rPr>
            </w:pPr>
            <w:r>
              <w:rPr>
                <w:b/>
                <w:color w:val="231F20"/>
                <w:sz w:val="18"/>
              </w:rPr>
              <w:t>Per-ASM</w:t>
            </w:r>
          </w:p>
          <w:p>
            <w:pPr>
              <w:pStyle w:val="TableParagraph"/>
              <w:spacing w:before="13"/>
              <w:ind w:left="360"/>
              <w:jc w:val="left"/>
              <w:rPr>
                <w:b/>
                <w:sz w:val="18"/>
              </w:rPr>
            </w:pPr>
            <w:r>
              <w:rPr>
                <w:b/>
                <w:color w:val="231F20"/>
                <w:sz w:val="18"/>
              </w:rPr>
              <w:t>change</w:t>
            </w:r>
          </w:p>
        </w:tc>
        <w:tc>
          <w:tcPr>
            <w:tcW w:w="335" w:type="dxa"/>
            <w:tcBorders>
              <w:bottom w:val="single" w:sz="8" w:space="0" w:color="231F20"/>
            </w:tcBorders>
          </w:tcPr>
          <w:p>
            <w:pPr/>
          </w:p>
        </w:tc>
        <w:tc>
          <w:tcPr>
            <w:tcW w:w="210" w:type="dxa"/>
          </w:tcPr>
          <w:p>
            <w:pPr/>
          </w:p>
        </w:tc>
        <w:tc>
          <w:tcPr>
            <w:tcW w:w="935" w:type="dxa"/>
            <w:tcBorders>
              <w:bottom w:val="single" w:sz="8" w:space="0" w:color="231F20"/>
            </w:tcBorders>
          </w:tcPr>
          <w:p>
            <w:pPr>
              <w:pStyle w:val="TableParagraph"/>
              <w:spacing w:line="254" w:lineRule="auto"/>
              <w:ind w:left="360" w:right="-10" w:hanging="25"/>
              <w:jc w:val="left"/>
              <w:rPr>
                <w:b/>
                <w:sz w:val="18"/>
              </w:rPr>
            </w:pPr>
            <w:r>
              <w:rPr>
                <w:b/>
                <w:color w:val="231F20"/>
                <w:sz w:val="18"/>
              </w:rPr>
              <w:t>Percent change</w:t>
            </w:r>
          </w:p>
        </w:tc>
        <w:tc>
          <w:tcPr>
            <w:tcW w:w="525" w:type="dxa"/>
            <w:tcBorders>
              <w:bottom w:val="single" w:sz="8" w:space="0" w:color="231F20"/>
            </w:tcBorders>
          </w:tcPr>
          <w:p>
            <w:pPr/>
          </w:p>
        </w:tc>
      </w:tr>
      <w:tr>
        <w:trPr>
          <w:trHeight w:val="460" w:hRule="exact"/>
        </w:trPr>
        <w:tc>
          <w:tcPr>
            <w:tcW w:w="3500" w:type="dxa"/>
          </w:tcPr>
          <w:p>
            <w:pPr>
              <w:pStyle w:val="TableParagraph"/>
              <w:jc w:val="left"/>
              <w:rPr>
                <w:sz w:val="21"/>
              </w:rPr>
            </w:pPr>
          </w:p>
          <w:p>
            <w:pPr>
              <w:pStyle w:val="TableParagraph"/>
              <w:ind w:left="50"/>
              <w:jc w:val="left"/>
              <w:rPr>
                <w:sz w:val="18"/>
              </w:rPr>
            </w:pPr>
            <w:r>
              <w:rPr>
                <w:color w:val="231F20"/>
                <w:sz w:val="18"/>
              </w:rPr>
              <w:t>Salaries, wages, and benefits   . . . . . . . . . . . </w:t>
            </w:r>
          </w:p>
        </w:tc>
        <w:tc>
          <w:tcPr>
            <w:tcW w:w="2640" w:type="dxa"/>
            <w:tcBorders>
              <w:top w:val="single" w:sz="8" w:space="0" w:color="231F20"/>
            </w:tcBorders>
          </w:tcPr>
          <w:p>
            <w:pPr>
              <w:pStyle w:val="TableParagraph"/>
              <w:spacing w:before="1"/>
              <w:jc w:val="left"/>
              <w:rPr>
                <w:sz w:val="20"/>
              </w:rPr>
            </w:pPr>
          </w:p>
          <w:p>
            <w:pPr>
              <w:pStyle w:val="TableParagraph"/>
              <w:tabs>
                <w:tab w:pos="1424" w:val="left" w:leader="none"/>
              </w:tabs>
              <w:spacing w:before="1"/>
              <w:rPr>
                <w:sz w:val="18"/>
              </w:rPr>
            </w:pPr>
            <w:r>
              <w:rPr>
                <w:color w:val="231F20"/>
                <w:sz w:val="18"/>
              </w:rPr>
              <w:t>3.69¢</w:t>
              <w:tab/>
              <w:t>3.62¢</w:t>
            </w:r>
          </w:p>
        </w:tc>
        <w:tc>
          <w:tcPr>
            <w:tcW w:w="210" w:type="dxa"/>
          </w:tcPr>
          <w:p>
            <w:pPr/>
          </w:p>
        </w:tc>
        <w:tc>
          <w:tcPr>
            <w:tcW w:w="1015" w:type="dxa"/>
            <w:tcBorders>
              <w:top w:val="single" w:sz="8" w:space="0" w:color="231F20"/>
            </w:tcBorders>
          </w:tcPr>
          <w:p>
            <w:pPr/>
          </w:p>
        </w:tc>
        <w:tc>
          <w:tcPr>
            <w:tcW w:w="335" w:type="dxa"/>
            <w:tcBorders>
              <w:top w:val="single" w:sz="8" w:space="0" w:color="231F20"/>
            </w:tcBorders>
          </w:tcPr>
          <w:p>
            <w:pPr>
              <w:pStyle w:val="TableParagraph"/>
              <w:spacing w:before="1"/>
              <w:jc w:val="left"/>
              <w:rPr>
                <w:sz w:val="20"/>
              </w:rPr>
            </w:pPr>
          </w:p>
          <w:p>
            <w:pPr>
              <w:pStyle w:val="TableParagraph"/>
              <w:spacing w:before="1"/>
              <w:ind w:left="20"/>
              <w:jc w:val="center"/>
              <w:rPr>
                <w:sz w:val="18"/>
              </w:rPr>
            </w:pPr>
            <w:r>
              <w:rPr>
                <w:color w:val="231F20"/>
                <w:sz w:val="18"/>
              </w:rPr>
              <w:t>.07¢</w:t>
            </w:r>
          </w:p>
        </w:tc>
        <w:tc>
          <w:tcPr>
            <w:tcW w:w="210" w:type="dxa"/>
          </w:tcPr>
          <w:p>
            <w:pPr/>
          </w:p>
        </w:tc>
        <w:tc>
          <w:tcPr>
            <w:tcW w:w="935" w:type="dxa"/>
            <w:tcBorders>
              <w:top w:val="single" w:sz="8" w:space="0" w:color="231F20"/>
            </w:tcBorders>
          </w:tcPr>
          <w:p>
            <w:pPr/>
          </w:p>
        </w:tc>
        <w:tc>
          <w:tcPr>
            <w:tcW w:w="525" w:type="dxa"/>
            <w:tcBorders>
              <w:top w:val="single" w:sz="8" w:space="0" w:color="231F20"/>
            </w:tcBorders>
          </w:tcPr>
          <w:p>
            <w:pPr>
              <w:pStyle w:val="TableParagraph"/>
              <w:spacing w:before="1"/>
              <w:jc w:val="left"/>
              <w:rPr>
                <w:sz w:val="20"/>
              </w:rPr>
            </w:pPr>
          </w:p>
          <w:p>
            <w:pPr>
              <w:pStyle w:val="TableParagraph"/>
              <w:spacing w:before="1"/>
              <w:ind w:right="48"/>
              <w:rPr>
                <w:sz w:val="18"/>
              </w:rPr>
            </w:pPr>
            <w:r>
              <w:rPr>
                <w:color w:val="231F20"/>
                <w:sz w:val="18"/>
              </w:rPr>
              <w:t>1.9%</w:t>
            </w:r>
          </w:p>
        </w:tc>
      </w:tr>
      <w:tr>
        <w:trPr>
          <w:trHeight w:val="220" w:hRule="exact"/>
        </w:trPr>
        <w:tc>
          <w:tcPr>
            <w:tcW w:w="3500" w:type="dxa"/>
          </w:tcPr>
          <w:p>
            <w:pPr>
              <w:pStyle w:val="TableParagraph"/>
              <w:spacing w:before="1"/>
              <w:ind w:left="50"/>
              <w:jc w:val="left"/>
              <w:rPr>
                <w:sz w:val="18"/>
              </w:rPr>
            </w:pPr>
            <w:r>
              <w:rPr>
                <w:color w:val="231F20"/>
                <w:sz w:val="18"/>
              </w:rPr>
              <w:t>Fuel and oil  . . . . . . . . . . . . . . . . . . . . . . . . . </w:t>
            </w:r>
          </w:p>
        </w:tc>
        <w:tc>
          <w:tcPr>
            <w:tcW w:w="2640" w:type="dxa"/>
          </w:tcPr>
          <w:p>
            <w:pPr>
              <w:pStyle w:val="TableParagraph"/>
              <w:tabs>
                <w:tab w:pos="1424" w:val="left" w:leader="none"/>
              </w:tabs>
              <w:spacing w:before="1"/>
              <w:ind w:right="88"/>
              <w:rPr>
                <w:sz w:val="18"/>
              </w:rPr>
            </w:pPr>
            <w:r>
              <w:rPr>
                <w:color w:val="231F20"/>
                <w:sz w:val="18"/>
              </w:rPr>
              <w:t>4.78</w:t>
              <w:tab/>
              <w:t>4.68</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.10</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2.1</w:t>
            </w:r>
          </w:p>
        </w:tc>
      </w:tr>
      <w:tr>
        <w:trPr>
          <w:trHeight w:val="220" w:hRule="exact"/>
        </w:trPr>
        <w:tc>
          <w:tcPr>
            <w:tcW w:w="3500" w:type="dxa"/>
          </w:tcPr>
          <w:p>
            <w:pPr>
              <w:pStyle w:val="TableParagraph"/>
              <w:spacing w:before="1"/>
              <w:ind w:left="50"/>
              <w:jc w:val="left"/>
              <w:rPr>
                <w:sz w:val="18"/>
              </w:rPr>
            </w:pPr>
            <w:r>
              <w:rPr>
                <w:color w:val="231F20"/>
                <w:sz w:val="18"/>
              </w:rPr>
              <w:t>Maintenance materials and repairs  . . . . . . . </w:t>
            </w:r>
          </w:p>
        </w:tc>
        <w:tc>
          <w:tcPr>
            <w:tcW w:w="2640" w:type="dxa"/>
          </w:tcPr>
          <w:p>
            <w:pPr>
              <w:pStyle w:val="TableParagraph"/>
              <w:tabs>
                <w:tab w:pos="1424" w:val="left" w:leader="none"/>
              </w:tabs>
              <w:spacing w:before="1"/>
              <w:ind w:right="88"/>
              <w:rPr>
                <w:sz w:val="18"/>
              </w:rPr>
            </w:pPr>
            <w:r>
              <w:rPr>
                <w:color w:val="231F20"/>
                <w:sz w:val="18"/>
              </w:rPr>
              <w:t>.88</w:t>
              <w:tab/>
              <w:t>.79</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.09</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11.4</w:t>
            </w:r>
          </w:p>
        </w:tc>
      </w:tr>
      <w:tr>
        <w:trPr>
          <w:trHeight w:val="220" w:hRule="exact"/>
        </w:trPr>
        <w:tc>
          <w:tcPr>
            <w:tcW w:w="3500" w:type="dxa"/>
          </w:tcPr>
          <w:p>
            <w:pPr>
              <w:pStyle w:val="TableParagraph"/>
              <w:spacing w:before="1"/>
              <w:ind w:left="50"/>
              <w:jc w:val="left"/>
              <w:rPr>
                <w:sz w:val="18"/>
              </w:rPr>
            </w:pPr>
            <w:r>
              <w:rPr>
                <w:color w:val="231F20"/>
                <w:sz w:val="18"/>
              </w:rPr>
              <w:t>Aircraft rentals   . . . . . . . . . . . . . . . . . . . . . . </w:t>
            </w:r>
          </w:p>
        </w:tc>
        <w:tc>
          <w:tcPr>
            <w:tcW w:w="2640" w:type="dxa"/>
          </w:tcPr>
          <w:p>
            <w:pPr>
              <w:pStyle w:val="TableParagraph"/>
              <w:tabs>
                <w:tab w:pos="1424" w:val="left" w:leader="none"/>
              </w:tabs>
              <w:spacing w:before="1"/>
              <w:ind w:right="89"/>
              <w:rPr>
                <w:sz w:val="18"/>
              </w:rPr>
            </w:pPr>
            <w:r>
              <w:rPr>
                <w:color w:val="231F20"/>
                <w:sz w:val="18"/>
              </w:rPr>
              <w:t>.28</w:t>
              <w:tab/>
              <w:t>.26</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.02</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7.7</w:t>
            </w:r>
          </w:p>
        </w:tc>
      </w:tr>
      <w:tr>
        <w:trPr>
          <w:trHeight w:val="220" w:hRule="exact"/>
        </w:trPr>
        <w:tc>
          <w:tcPr>
            <w:tcW w:w="3500" w:type="dxa"/>
          </w:tcPr>
          <w:p>
            <w:pPr>
              <w:pStyle w:val="TableParagraph"/>
              <w:spacing w:before="1"/>
              <w:ind w:left="50"/>
              <w:jc w:val="left"/>
              <w:rPr>
                <w:sz w:val="18"/>
              </w:rPr>
            </w:pPr>
            <w:r>
              <w:rPr>
                <w:color w:val="231F20"/>
                <w:sz w:val="18"/>
              </w:rPr>
              <w:t>Landing fees and other rentals   . . . . . . . . . . </w:t>
            </w:r>
          </w:p>
        </w:tc>
        <w:tc>
          <w:tcPr>
            <w:tcW w:w="2640" w:type="dxa"/>
          </w:tcPr>
          <w:p>
            <w:pPr>
              <w:pStyle w:val="TableParagraph"/>
              <w:tabs>
                <w:tab w:pos="1424" w:val="left" w:leader="none"/>
              </w:tabs>
              <w:spacing w:before="1"/>
              <w:ind w:right="88"/>
              <w:rPr>
                <w:sz w:val="18"/>
              </w:rPr>
            </w:pPr>
            <w:r>
              <w:rPr>
                <w:color w:val="231F20"/>
                <w:sz w:val="18"/>
              </w:rPr>
              <w:t>.81</w:t>
              <w:tab/>
              <w:t>.80</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.01</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1.3</w:t>
            </w:r>
          </w:p>
        </w:tc>
      </w:tr>
      <w:tr>
        <w:trPr>
          <w:trHeight w:val="220" w:hRule="exact"/>
        </w:trPr>
        <w:tc>
          <w:tcPr>
            <w:tcW w:w="3500" w:type="dxa"/>
          </w:tcPr>
          <w:p>
            <w:pPr>
              <w:pStyle w:val="TableParagraph"/>
              <w:spacing w:before="1"/>
              <w:ind w:left="50"/>
              <w:jc w:val="left"/>
              <w:rPr>
                <w:sz w:val="18"/>
              </w:rPr>
            </w:pPr>
            <w:r>
              <w:rPr>
                <w:color w:val="231F20"/>
                <w:sz w:val="18"/>
              </w:rPr>
              <w:t>Depreciation and amortization  . . . . . . . . . . </w:t>
            </w:r>
          </w:p>
        </w:tc>
        <w:tc>
          <w:tcPr>
            <w:tcW w:w="2640" w:type="dxa"/>
          </w:tcPr>
          <w:p>
            <w:pPr>
              <w:pStyle w:val="TableParagraph"/>
              <w:tabs>
                <w:tab w:pos="1424" w:val="left" w:leader="none"/>
              </w:tabs>
              <w:spacing w:before="1"/>
              <w:ind w:right="88"/>
              <w:rPr>
                <w:sz w:val="18"/>
              </w:rPr>
            </w:pPr>
            <w:r>
              <w:rPr>
                <w:color w:val="231F20"/>
                <w:sz w:val="18"/>
              </w:rPr>
              <w:t>.66</w:t>
              <w:tab/>
              <w:t>.59</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.07</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11.9</w:t>
            </w:r>
          </w:p>
        </w:tc>
      </w:tr>
      <w:tr>
        <w:trPr>
          <w:trHeight w:val="220" w:hRule="exact"/>
        </w:trPr>
        <w:tc>
          <w:tcPr>
            <w:tcW w:w="3500" w:type="dxa"/>
          </w:tcPr>
          <w:p>
            <w:pPr>
              <w:pStyle w:val="TableParagraph"/>
              <w:spacing w:before="1"/>
              <w:ind w:left="50"/>
              <w:jc w:val="left"/>
              <w:rPr>
                <w:sz w:val="18"/>
              </w:rPr>
            </w:pPr>
            <w:r>
              <w:rPr>
                <w:color w:val="231F20"/>
                <w:sz w:val="18"/>
              </w:rPr>
              <w:t>Acquisition and integration . . . . . . . . . . . . . </w:t>
            </w:r>
          </w:p>
        </w:tc>
        <w:tc>
          <w:tcPr>
            <w:tcW w:w="2640" w:type="dxa"/>
          </w:tcPr>
          <w:p>
            <w:pPr>
              <w:pStyle w:val="TableParagraph"/>
              <w:tabs>
                <w:tab w:pos="1424" w:val="left" w:leader="none"/>
              </w:tabs>
              <w:spacing w:before="1"/>
              <w:ind w:right="89"/>
              <w:rPr>
                <w:sz w:val="18"/>
              </w:rPr>
            </w:pPr>
            <w:r>
              <w:rPr>
                <w:color w:val="231F20"/>
                <w:sz w:val="18"/>
              </w:rPr>
              <w:t>.14</w:t>
              <w:tab/>
              <w:t>.11</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.03</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27.3</w:t>
            </w:r>
          </w:p>
        </w:tc>
      </w:tr>
      <w:tr>
        <w:trPr>
          <w:trHeight w:val="245" w:hRule="exact"/>
        </w:trPr>
        <w:tc>
          <w:tcPr>
            <w:tcW w:w="3500" w:type="dxa"/>
          </w:tcPr>
          <w:p>
            <w:pPr>
              <w:pStyle w:val="TableParagraph"/>
              <w:spacing w:before="1"/>
              <w:ind w:left="50"/>
              <w:jc w:val="left"/>
              <w:rPr>
                <w:sz w:val="18"/>
              </w:rPr>
            </w:pPr>
            <w:r>
              <w:rPr>
                <w:color w:val="231F20"/>
                <w:sz w:val="18"/>
              </w:rPr>
              <w:t>Other operating expenses  . . . . . . . . . . . . . . </w:t>
            </w:r>
          </w:p>
        </w:tc>
        <w:tc>
          <w:tcPr>
            <w:tcW w:w="2640" w:type="dxa"/>
            <w:tcBorders>
              <w:bottom w:val="single" w:sz="4" w:space="0" w:color="231F20"/>
            </w:tcBorders>
          </w:tcPr>
          <w:p>
            <w:pPr>
              <w:pStyle w:val="TableParagraph"/>
              <w:tabs>
                <w:tab w:pos="1424" w:val="left" w:leader="none"/>
              </w:tabs>
              <w:spacing w:before="1"/>
              <w:ind w:right="88"/>
              <w:rPr>
                <w:sz w:val="18"/>
              </w:rPr>
            </w:pPr>
            <w:r>
              <w:rPr>
                <w:color w:val="231F20"/>
                <w:sz w:val="18"/>
              </w:rPr>
              <w:t>1.61</w:t>
              <w:tab/>
              <w:t>1.56</w:t>
            </w:r>
          </w:p>
        </w:tc>
        <w:tc>
          <w:tcPr>
            <w:tcW w:w="210" w:type="dxa"/>
          </w:tcPr>
          <w:p>
            <w:pPr/>
          </w:p>
        </w:tc>
        <w:tc>
          <w:tcPr>
            <w:tcW w:w="1015" w:type="dxa"/>
            <w:tcBorders>
              <w:bottom w:val="single" w:sz="4" w:space="0" w:color="231F20"/>
            </w:tcBorders>
          </w:tcPr>
          <w:p>
            <w:pPr/>
          </w:p>
        </w:tc>
        <w:tc>
          <w:tcPr>
            <w:tcW w:w="335" w:type="dxa"/>
            <w:tcBorders>
              <w:bottom w:val="single" w:sz="4" w:space="0" w:color="231F20"/>
            </w:tcBorders>
          </w:tcPr>
          <w:p>
            <w:pPr>
              <w:pStyle w:val="TableParagraph"/>
              <w:spacing w:before="1"/>
              <w:ind w:left="1" w:right="68"/>
              <w:jc w:val="center"/>
              <w:rPr>
                <w:sz w:val="18"/>
              </w:rPr>
            </w:pPr>
            <w:r>
              <w:rPr>
                <w:color w:val="231F20"/>
                <w:sz w:val="18"/>
              </w:rPr>
              <w:t>.05</w:t>
            </w:r>
          </w:p>
        </w:tc>
        <w:tc>
          <w:tcPr>
            <w:tcW w:w="210" w:type="dxa"/>
          </w:tcPr>
          <w:p>
            <w:pPr/>
          </w:p>
        </w:tc>
        <w:tc>
          <w:tcPr>
            <w:tcW w:w="935" w:type="dxa"/>
            <w:tcBorders>
              <w:bottom w:val="single" w:sz="4" w:space="0" w:color="231F20"/>
            </w:tcBorders>
          </w:tcPr>
          <w:p>
            <w:pPr/>
          </w:p>
        </w:tc>
        <w:tc>
          <w:tcPr>
            <w:tcW w:w="525" w:type="dxa"/>
            <w:tcBorders>
              <w:bottom w:val="single" w:sz="4" w:space="0" w:color="231F20"/>
            </w:tcBorders>
          </w:tcPr>
          <w:p>
            <w:pPr>
              <w:pStyle w:val="TableParagraph"/>
              <w:spacing w:before="1"/>
              <w:ind w:left="100"/>
              <w:jc w:val="left"/>
              <w:rPr>
                <w:sz w:val="18"/>
              </w:rPr>
            </w:pPr>
            <w:r>
              <w:rPr>
                <w:color w:val="231F20"/>
                <w:sz w:val="18"/>
              </w:rPr>
              <w:t>3.2</w:t>
            </w:r>
          </w:p>
        </w:tc>
      </w:tr>
      <w:tr>
        <w:trPr>
          <w:trHeight w:val="340" w:hRule="exact"/>
        </w:trPr>
        <w:tc>
          <w:tcPr>
            <w:tcW w:w="3500" w:type="dxa"/>
          </w:tcPr>
          <w:p>
            <w:pPr>
              <w:pStyle w:val="TableParagraph"/>
              <w:spacing w:before="57"/>
              <w:ind w:left="50"/>
              <w:jc w:val="left"/>
              <w:rPr>
                <w:sz w:val="18"/>
              </w:rPr>
            </w:pPr>
            <w:r>
              <w:rPr>
                <w:color w:val="231F20"/>
                <w:sz w:val="18"/>
              </w:rPr>
              <w:t>Total   . . . . . . . . . . . . . . . . . . . . . . . . . . . . . . </w:t>
            </w:r>
          </w:p>
        </w:tc>
        <w:tc>
          <w:tcPr>
            <w:tcW w:w="2640" w:type="dxa"/>
            <w:tcBorders>
              <w:top w:val="single" w:sz="4" w:space="0" w:color="231F20"/>
              <w:bottom w:val="single" w:sz="4" w:space="0" w:color="231F20"/>
            </w:tcBorders>
          </w:tcPr>
          <w:p>
            <w:pPr>
              <w:pStyle w:val="TableParagraph"/>
              <w:tabs>
                <w:tab w:pos="1424" w:val="left" w:leader="none"/>
              </w:tabs>
              <w:spacing w:before="52"/>
              <w:rPr>
                <w:sz w:val="18"/>
              </w:rPr>
            </w:pPr>
            <w:r>
              <w:rPr>
                <w:color w:val="231F20"/>
                <w:sz w:val="18"/>
              </w:rPr>
              <w:t>12.85¢</w:t>
              <w:tab/>
              <w:t>12.41¢</w:t>
            </w:r>
          </w:p>
        </w:tc>
        <w:tc>
          <w:tcPr>
            <w:tcW w:w="210" w:type="dxa"/>
          </w:tcPr>
          <w:p>
            <w:pPr/>
          </w:p>
        </w:tc>
        <w:tc>
          <w:tcPr>
            <w:tcW w:w="1015" w:type="dxa"/>
            <w:tcBorders>
              <w:top w:val="single" w:sz="4" w:space="0" w:color="231F20"/>
              <w:bottom w:val="single" w:sz="4" w:space="0" w:color="231F20"/>
            </w:tcBorders>
          </w:tcPr>
          <w:p>
            <w:pPr/>
          </w:p>
        </w:tc>
        <w:tc>
          <w:tcPr>
            <w:tcW w:w="335" w:type="dxa"/>
            <w:tcBorders>
              <w:top w:val="single" w:sz="4" w:space="0" w:color="231F20"/>
              <w:bottom w:val="single" w:sz="4" w:space="0" w:color="231F20"/>
            </w:tcBorders>
          </w:tcPr>
          <w:p>
            <w:pPr>
              <w:pStyle w:val="TableParagraph"/>
              <w:spacing w:before="52"/>
              <w:ind w:left="20"/>
              <w:jc w:val="center"/>
              <w:rPr>
                <w:sz w:val="18"/>
              </w:rPr>
            </w:pPr>
            <w:r>
              <w:rPr>
                <w:color w:val="231F20"/>
                <w:sz w:val="18"/>
              </w:rPr>
              <w:t>.44¢</w:t>
            </w:r>
          </w:p>
        </w:tc>
        <w:tc>
          <w:tcPr>
            <w:tcW w:w="210" w:type="dxa"/>
          </w:tcPr>
          <w:p>
            <w:pPr/>
          </w:p>
        </w:tc>
        <w:tc>
          <w:tcPr>
            <w:tcW w:w="935" w:type="dxa"/>
            <w:tcBorders>
              <w:top w:val="single" w:sz="4" w:space="0" w:color="231F20"/>
              <w:bottom w:val="single" w:sz="4" w:space="0" w:color="231F20"/>
            </w:tcBorders>
          </w:tcPr>
          <w:p>
            <w:pPr/>
          </w:p>
        </w:tc>
        <w:tc>
          <w:tcPr>
            <w:tcW w:w="525" w:type="dxa"/>
            <w:tcBorders>
              <w:top w:val="single" w:sz="4" w:space="0" w:color="231F20"/>
              <w:bottom w:val="single" w:sz="4" w:space="0" w:color="231F20"/>
            </w:tcBorders>
          </w:tcPr>
          <w:p>
            <w:pPr>
              <w:pStyle w:val="TableParagraph"/>
              <w:spacing w:before="52"/>
              <w:ind w:right="48"/>
              <w:rPr>
                <w:sz w:val="18"/>
              </w:rPr>
            </w:pPr>
            <w:r>
              <w:rPr>
                <w:color w:val="231F20"/>
                <w:sz w:val="18"/>
              </w:rPr>
              <w:t>3.5%</w:t>
            </w:r>
          </w:p>
        </w:tc>
      </w:tr>
    </w:tbl>
    <w:p>
      <w:pPr>
        <w:pStyle w:val="BodyText"/>
        <w:spacing w:before="10"/>
      </w:pPr>
    </w:p>
    <w:p>
      <w:pPr>
        <w:pStyle w:val="BodyText"/>
        <w:spacing w:line="249" w:lineRule="auto"/>
        <w:ind w:left="160" w:right="339" w:firstLine="490"/>
      </w:pPr>
      <w:r>
        <w:rPr/>
        <w:pict>
          <v:line style="position:absolute;mso-position-horizontal-relative:page;mso-position-vertical-relative:paragraph;z-index:-356272" from="241.5pt,-29.514063pt" to="297.75pt,-29.514063pt" stroked="true" strokeweight=".5pt" strokecolor="#231f20">
            <v:stroke dashstyle="solid"/>
            <w10:wrap type="none"/>
          </v:line>
        </w:pict>
      </w:r>
      <w:r>
        <w:rPr/>
        <w:pict>
          <v:shape style="position:absolute;margin-left:241.5pt;margin-top:-14.514063pt;width:56.25pt;height:2pt;mso-position-horizontal-relative:page;mso-position-vertical-relative:paragraph;z-index:-356248" coordorigin="4830,-290" coordsize="1125,40" path="m4830,-290l5955,-290m4830,-250l5955,-250e" filled="false" stroked="true" strokeweight=".5pt" strokecolor="#231f20">
            <v:path arrowok="t"/>
            <v:stroke dashstyle="solid"/>
            <w10:wrap type="none"/>
          </v:shape>
        </w:pict>
      </w:r>
      <w:r>
        <w:rPr/>
        <w:pict>
          <v:line style="position:absolute;mso-position-horizontal-relative:page;mso-position-vertical-relative:paragraph;z-index:-356224" from="312.75pt,-14.514063pt" to="369pt,-14.514063pt" stroked="true" strokeweight=".5pt" strokecolor="#231f20">
            <v:stroke dashstyle="solid"/>
            <w10:wrap type="none"/>
          </v:line>
        </w:pict>
      </w:r>
      <w:r>
        <w:rPr/>
        <w:pict>
          <v:line style="position:absolute;mso-position-horizontal-relative:page;mso-position-vertical-relative:paragraph;z-index:-356200" from="384pt,-14.514063pt" to="447pt,-14.514063pt" stroked="true" strokeweight=".5pt" strokecolor="#231f20">
            <v:stroke dashstyle="solid"/>
            <w10:wrap type="none"/>
          </v:line>
        </w:pict>
      </w:r>
      <w:r>
        <w:rPr/>
        <w:pict>
          <v:line style="position:absolute;mso-position-horizontal-relative:page;mso-position-vertical-relative:paragraph;z-index:-356176" from="462pt,-14.514063pt" to="525pt,-14.514063pt" stroked="true" strokeweight=".5pt" strokecolor="#231f20">
            <v:stroke dashstyle="solid"/>
            <w10:wrap type="none"/>
          </v:line>
        </w:pict>
      </w:r>
      <w:r>
        <w:rPr>
          <w:color w:val="231F20"/>
        </w:rPr>
        <w:t>On a per-ASM basis, the Company’s Operating expenses (unit costs) for 2012 increased 3.5 percent compared to 2011. Approximately 23 percent of this year-over-year cost per available seat mile increase was due to higher fuel costs, as the Company’s average jet fuel cost per gallon increased 3.4 percent to $3.30, including the impact of hedging activity, and approximately 20 percent was due to higher maintenance materials and repairs costs. An increase in acquisition and integration expenses (incurred by Southwest) of $77 million also contributed to the year-over-year increase in costs on both a dollar and a per-ASM basis during 2012. On a dollar basis, excluding the results for AirTran in both periods, Operating expenses increased 6.4 percent for 2012 compared to 2011, which was attributable to higher expenses in nearly every operating cost category, except for Aircraft rentals. On a non-GAAP basis, the Company’s Operating expenses per ASM for 2012, excluding fuel, increased 4.2 percent compared to 2011. Based on current cost trends, the Company expects first quarter</w:t>
      </w:r>
      <w:r>
        <w:rPr>
          <w:color w:val="231F20"/>
          <w:spacing w:val="8"/>
        </w:rPr>
        <w:t> </w:t>
      </w:r>
      <w:r>
        <w:rPr>
          <w:color w:val="231F20"/>
        </w:rPr>
        <w:t>2013</w:t>
      </w:r>
    </w:p>
    <w:p>
      <w:pPr>
        <w:spacing w:after="0" w:line="249" w:lineRule="auto"/>
        <w:sectPr>
          <w:pgSz w:w="11880" w:h="15480"/>
          <w:pgMar w:header="0" w:footer="1253" w:top="1240" w:bottom="1440" w:left="1220" w:right="1080"/>
        </w:sectPr>
      </w:pPr>
    </w:p>
    <w:p>
      <w:pPr>
        <w:pStyle w:val="BodyText"/>
        <w:spacing w:line="249" w:lineRule="auto" w:before="73"/>
        <w:ind w:left="100" w:right="510"/>
      </w:pPr>
      <w:r>
        <w:rPr>
          <w:color w:val="231F20"/>
        </w:rPr>
        <w:t>unit costs, excluding fuel, profitsharing, and special items, to increase in the five to six percent range as compared to first quarter 2012’s unit costs, excluding fuel, profitsharing, and special items. See the previous Note Regarding Use of Non-GAAP Financial Measures.</w:t>
      </w:r>
    </w:p>
    <w:p>
      <w:pPr>
        <w:pStyle w:val="BodyText"/>
        <w:spacing w:before="10"/>
      </w:pPr>
    </w:p>
    <w:p>
      <w:pPr>
        <w:pStyle w:val="BodyText"/>
        <w:spacing w:before="1"/>
        <w:ind w:left="590"/>
      </w:pPr>
      <w:r>
        <w:rPr>
          <w:color w:val="231F20"/>
        </w:rPr>
        <w:t>Salaries, wages, and benefits expense for 2012 increased by $378 million compared to 2011.</w:t>
      </w:r>
    </w:p>
    <w:p>
      <w:pPr>
        <w:pStyle w:val="BodyText"/>
        <w:spacing w:line="249" w:lineRule="auto" w:before="10"/>
        <w:ind w:left="100"/>
      </w:pPr>
      <w:r>
        <w:rPr>
          <w:color w:val="231F20"/>
        </w:rPr>
        <w:t>Approximately $139 million of this increase was due to the inclusion of the full year of AirTran results in 2012, while 2011 results only include AirTran Salaries, wages, and benefits expense following the acquisition date.</w:t>
      </w:r>
    </w:p>
    <w:p>
      <w:pPr>
        <w:pStyle w:val="BodyText"/>
        <w:spacing w:line="249" w:lineRule="auto" w:before="1"/>
        <w:ind w:left="100" w:right="99"/>
      </w:pPr>
      <w:r>
        <w:rPr>
          <w:color w:val="231F20"/>
        </w:rPr>
        <w:t>Excluding the results of AirTran in both periods, Salaries, wages, and benefits expense increased 6.0 percent on a dollar basis for 2012 compared to 2011. Approximately 64 percent of this year-over-year increase was a result of higher salaries expense and approximately 18 percent was a result of higher Employee benefits expense, both primarily due to an increase in active full-time equivalent Employees. In addition, approximately 11 percent of the increase was due to an increase in profitsharing expense resulting from higher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On a consolidated basis, Salaries, wages, and benefits expense per ASM for 2012 increased 1.9 percent compared to 2011. The majority of the per-ASM increase was due to an increase in active full-time equivalent employees. Based on current cost trends and anticipated capacity, the Company expects Salaries, wages, and benefits expense per ASM in first quarter 2013, excluding profitsharing, to increase from first quarter 2012’s Salaries, wages, and benefits expense per ASM, excluding profitsharing.</w:t>
      </w:r>
    </w:p>
    <w:p>
      <w:pPr>
        <w:pStyle w:val="BodyText"/>
        <w:spacing w:before="11"/>
      </w:pPr>
    </w:p>
    <w:p>
      <w:pPr>
        <w:pStyle w:val="BodyText"/>
        <w:spacing w:line="249" w:lineRule="auto"/>
        <w:ind w:left="100" w:right="126" w:firstLine="490"/>
      </w:pPr>
      <w:r>
        <w:rPr>
          <w:color w:val="231F20"/>
        </w:rPr>
        <w:t>Southwest’s Pilots, totaling approximately 6,000 Employees, are subject to a collective-bargaining agreement between the Company and the Southwest Airlines Pilots’ Association (“SWAPA”), which became amendable in August 2012. The Company continues to engage in discussions on a new agreement with SWAPA.</w:t>
      </w:r>
    </w:p>
    <w:p>
      <w:pPr>
        <w:pStyle w:val="BodyText"/>
        <w:spacing w:before="11"/>
      </w:pPr>
    </w:p>
    <w:p>
      <w:pPr>
        <w:pStyle w:val="BodyText"/>
        <w:spacing w:line="249" w:lineRule="auto"/>
        <w:ind w:left="100" w:right="152" w:firstLine="490"/>
      </w:pPr>
      <w:r>
        <w:rPr>
          <w:color w:val="231F20"/>
        </w:rPr>
        <w:t>Southwest’s Customer Service, Customer Support, and Services, totaling approximately 6,400 Employees, are subject to a collective-bargaining agreement between the Company and the International Association of Machinists and Aerospace Workers (“IAM”), which became amendable in October 2012. The Company continues to engage in discussions on a new agreement with IAM.</w:t>
      </w:r>
    </w:p>
    <w:p>
      <w:pPr>
        <w:pStyle w:val="BodyText"/>
        <w:spacing w:before="11"/>
      </w:pPr>
    </w:p>
    <w:p>
      <w:pPr>
        <w:pStyle w:val="BodyText"/>
        <w:spacing w:line="249" w:lineRule="auto"/>
        <w:ind w:left="100" w:right="322" w:firstLine="490"/>
      </w:pPr>
      <w:r>
        <w:rPr>
          <w:color w:val="231F20"/>
        </w:rPr>
        <w:t>Southwest’s Mechanics, totaling approximately 2,100 Employees, are subject to a collective-bargaining agreement between the Company and the Aircraft Mechanics Fraternal Association (“AMFA”), which became amendable in August 2012. The Company is currently in discussions on a new agreement with AMFA.</w:t>
      </w:r>
    </w:p>
    <w:p>
      <w:pPr>
        <w:pStyle w:val="BodyText"/>
        <w:spacing w:before="11"/>
      </w:pPr>
    </w:p>
    <w:p>
      <w:pPr>
        <w:pStyle w:val="BodyText"/>
        <w:spacing w:line="249" w:lineRule="auto"/>
        <w:ind w:left="100" w:right="154" w:firstLine="490"/>
      </w:pPr>
      <w:r>
        <w:rPr>
          <w:color w:val="231F20"/>
        </w:rPr>
        <w:t>Southwest’s Aircraft Appearance Technicians, totaling approximately 220 Employees, are subject to a collective-bargaining agreement between the Company and AMFA, which became amendable in February 2009. The Company and AMFA ratified a new contract during May 2012.</w:t>
      </w:r>
    </w:p>
    <w:p>
      <w:pPr>
        <w:pStyle w:val="BodyText"/>
        <w:spacing w:before="11"/>
      </w:pPr>
    </w:p>
    <w:p>
      <w:pPr>
        <w:pStyle w:val="BodyText"/>
        <w:spacing w:line="249" w:lineRule="auto"/>
        <w:ind w:left="100" w:right="375" w:firstLine="490"/>
      </w:pPr>
      <w:r>
        <w:rPr>
          <w:color w:val="231F20"/>
        </w:rPr>
        <w:t>Southwest’s Dispatchers, totaling approximately 200 Employees, are subject to agreements between the Company and the Transportation Workers of America, AFL-CIO, Local 550 (“TWU 550”), which became amendable in 2009. The Company and TWU ratified a new contract during June 2012.</w:t>
      </w:r>
    </w:p>
    <w:p>
      <w:pPr>
        <w:pStyle w:val="BodyText"/>
        <w:spacing w:before="11"/>
      </w:pPr>
    </w:p>
    <w:p>
      <w:pPr>
        <w:pStyle w:val="BodyText"/>
        <w:spacing w:line="249" w:lineRule="auto"/>
        <w:ind w:left="100" w:right="254" w:firstLine="490"/>
      </w:pPr>
      <w:r>
        <w:rPr>
          <w:color w:val="231F20"/>
        </w:rPr>
        <w:t>Southwest’s Ramp, Operations, Provisioning, and Freight Agents, totaling approximately 9,800 Employees, are subject to an agreement between the Company and the TWU Local 555 (“TWU 555”), which became amendable in June 2011. The Company is currently in discussions on a new agreement with TWU 555.</w:t>
      </w:r>
    </w:p>
    <w:p>
      <w:pPr>
        <w:pStyle w:val="BodyText"/>
        <w:spacing w:before="11"/>
      </w:pPr>
    </w:p>
    <w:p>
      <w:pPr>
        <w:pStyle w:val="BodyText"/>
        <w:ind w:left="590"/>
      </w:pPr>
      <w:r>
        <w:rPr>
          <w:color w:val="231F20"/>
        </w:rPr>
        <w:t>Fuel and oil expense for 2012 increased by $476 million, or 8.4 percent, compared to 2011. Approximately</w:t>
      </w:r>
    </w:p>
    <w:p>
      <w:pPr>
        <w:pStyle w:val="BodyText"/>
        <w:spacing w:line="249" w:lineRule="auto" w:before="10"/>
        <w:ind w:left="100" w:right="132"/>
      </w:pPr>
      <w:r>
        <w:rPr>
          <w:color w:val="231F20"/>
        </w:rPr>
        <w:t>$291 million of this increase was due to the inclusion of the full year of AirTran results in 2012, while the 2011 results only include AirTran fuel and oil expense following the acquisition date. Excluding the results of AirTran in both periods, Fuel and oil expense for 2012 increased 3.8 percent on a dollar basis, versus 2011. On a per- ASM basis, the Company’s 2012 Fuel and oil expense increased by 2.1 percent versus 2011. Both of these increases were primarily due to a 3.4 percent increase in the Company’s average fuel cost per gallon. As a result</w:t>
      </w:r>
    </w:p>
    <w:p>
      <w:pPr>
        <w:spacing w:after="0" w:line="249" w:lineRule="auto"/>
        <w:sectPr>
          <w:pgSz w:w="11880" w:h="15480"/>
          <w:pgMar w:header="0" w:footer="1253" w:top="1240" w:bottom="1440" w:left="1280" w:right="1300"/>
        </w:sectPr>
      </w:pPr>
    </w:p>
    <w:p>
      <w:pPr>
        <w:pStyle w:val="BodyText"/>
        <w:spacing w:line="249" w:lineRule="auto" w:before="73"/>
        <w:ind w:left="100" w:right="100"/>
      </w:pPr>
      <w:r>
        <w:rPr>
          <w:color w:val="231F20"/>
        </w:rPr>
        <w:t>of the Company’s fuel hedging program and inclusive of accounting for derivatives and hedging, the Company recognized net losses totaling $157 million in 2012 in Fuel and oil expense relating to fuel derivative instruments versus net losses of $64 million recognized in Fuel and oil expense in 2011. These totals are inclusive of cash settlements realized from the expiration/settlement of fuel derivatives, which were $125 million paid to counterparties in 2012 versus $63 million paid to counterparties for 2011. These totals exclude gains and/or losses recognized from hedge ineffectiveness and from derivatives that do not qualify for hedge accounting, which impacts are recorded as a component of Other (gains) losses, net. See Note 10 to the Consolidated Financial Statements.</w:t>
      </w:r>
    </w:p>
    <w:p>
      <w:pPr>
        <w:pStyle w:val="BodyText"/>
        <w:spacing w:before="10"/>
      </w:pPr>
    </w:p>
    <w:p>
      <w:pPr>
        <w:pStyle w:val="BodyText"/>
        <w:spacing w:line="249" w:lineRule="auto" w:before="1"/>
        <w:ind w:left="100" w:right="383" w:firstLine="490"/>
      </w:pPr>
      <w:r>
        <w:rPr>
          <w:color w:val="231F20"/>
        </w:rPr>
        <w:t>As of January 18, 2013, on an economic basis, the Company had derivative contracts in place related to expected future fuel consumption at the following levels:</w:t>
      </w:r>
    </w:p>
    <w:p>
      <w:pPr>
        <w:pStyle w:val="BodyText"/>
        <w:spacing w:before="4"/>
        <w:rPr>
          <w:sz w:val="9"/>
        </w:rPr>
      </w:pPr>
    </w:p>
    <w:p>
      <w:pPr>
        <w:spacing w:line="180" w:lineRule="exact" w:before="116"/>
        <w:ind w:left="3142" w:right="2843" w:hanging="340"/>
        <w:jc w:val="left"/>
        <w:rPr>
          <w:b/>
          <w:sz w:val="18"/>
        </w:rPr>
      </w:pPr>
      <w:r>
        <w:rPr>
          <w:b/>
          <w:color w:val="231F20"/>
          <w:sz w:val="18"/>
        </w:rPr>
        <w:t>Average percent of estimated fuel consumption covered by fuel derivative contracts at</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80"/>
        <w:gridCol w:w="1004"/>
        <w:gridCol w:w="5037"/>
      </w:tblGrid>
      <w:tr>
        <w:trPr>
          <w:trHeight w:val="240" w:hRule="exact"/>
        </w:trPr>
        <w:tc>
          <w:tcPr>
            <w:tcW w:w="1080" w:type="dxa"/>
            <w:tcBorders>
              <w:bottom w:val="single" w:sz="8" w:space="0" w:color="231F20"/>
            </w:tcBorders>
          </w:tcPr>
          <w:p>
            <w:pPr>
              <w:pStyle w:val="TableParagraph"/>
              <w:spacing w:line="182" w:lineRule="exact"/>
              <w:ind w:right="24"/>
              <w:rPr>
                <w:b/>
                <w:sz w:val="18"/>
              </w:rPr>
            </w:pPr>
            <w:r>
              <w:rPr>
                <w:b/>
                <w:color w:val="231F20"/>
                <w:sz w:val="18"/>
              </w:rPr>
              <w:t>Period</w:t>
            </w:r>
          </w:p>
        </w:tc>
        <w:tc>
          <w:tcPr>
            <w:tcW w:w="1004" w:type="dxa"/>
            <w:tcBorders>
              <w:bottom w:val="single" w:sz="8" w:space="0" w:color="231F20"/>
            </w:tcBorders>
          </w:tcPr>
          <w:p>
            <w:pPr/>
          </w:p>
        </w:tc>
        <w:tc>
          <w:tcPr>
            <w:tcW w:w="5037" w:type="dxa"/>
            <w:tcBorders>
              <w:bottom w:val="single" w:sz="8" w:space="0" w:color="231F20"/>
            </w:tcBorders>
          </w:tcPr>
          <w:p>
            <w:pPr>
              <w:pStyle w:val="TableParagraph"/>
              <w:spacing w:line="182" w:lineRule="exact"/>
              <w:ind w:left="419" w:right="601"/>
              <w:jc w:val="center"/>
              <w:rPr>
                <w:b/>
                <w:sz w:val="18"/>
              </w:rPr>
            </w:pPr>
            <w:r>
              <w:rPr>
                <w:b/>
                <w:color w:val="231F20"/>
                <w:sz w:val="18"/>
              </w:rPr>
              <w:t>varying WTI/Brent crude oil-equivalent price levels</w:t>
            </w:r>
          </w:p>
        </w:tc>
      </w:tr>
      <w:tr>
        <w:trPr>
          <w:trHeight w:val="450" w:hRule="exact"/>
        </w:trPr>
        <w:tc>
          <w:tcPr>
            <w:tcW w:w="1080" w:type="dxa"/>
            <w:tcBorders>
              <w:top w:val="single" w:sz="8" w:space="0" w:color="231F20"/>
            </w:tcBorders>
          </w:tcPr>
          <w:p>
            <w:pPr>
              <w:pStyle w:val="TableParagraph"/>
              <w:spacing w:before="9"/>
              <w:jc w:val="left"/>
              <w:rPr>
                <w:b/>
                <w:sz w:val="17"/>
              </w:rPr>
            </w:pPr>
          </w:p>
          <w:p>
            <w:pPr>
              <w:pStyle w:val="TableParagraph"/>
              <w:spacing w:before="1"/>
              <w:ind w:right="97"/>
              <w:rPr>
                <w:b/>
                <w:sz w:val="18"/>
              </w:rPr>
            </w:pPr>
            <w:r>
              <w:rPr>
                <w:b/>
                <w:color w:val="231F20"/>
                <w:sz w:val="18"/>
              </w:rPr>
              <w:t>2013</w:t>
            </w:r>
          </w:p>
        </w:tc>
        <w:tc>
          <w:tcPr>
            <w:tcW w:w="1004" w:type="dxa"/>
            <w:tcBorders>
              <w:top w:val="single" w:sz="8" w:space="0" w:color="231F20"/>
            </w:tcBorders>
          </w:tcPr>
          <w:p>
            <w:pPr>
              <w:pStyle w:val="TableParagraph"/>
              <w:spacing w:before="9"/>
              <w:jc w:val="left"/>
              <w:rPr>
                <w:b/>
                <w:sz w:val="17"/>
              </w:rPr>
            </w:pPr>
          </w:p>
          <w:p>
            <w:pPr>
              <w:pStyle w:val="TableParagraph"/>
              <w:spacing w:before="1"/>
              <w:ind w:left="25"/>
              <w:jc w:val="left"/>
              <w:rPr>
                <w:sz w:val="18"/>
              </w:rPr>
            </w:pPr>
            <w:r>
              <w:rPr>
                <w:color w:val="231F20"/>
                <w:sz w:val="18"/>
              </w:rPr>
              <w:t>. . . . . . </w:t>
            </w:r>
          </w:p>
        </w:tc>
        <w:tc>
          <w:tcPr>
            <w:tcW w:w="5037" w:type="dxa"/>
            <w:tcBorders>
              <w:top w:val="single" w:sz="8" w:space="0" w:color="231F20"/>
            </w:tcBorders>
          </w:tcPr>
          <w:p>
            <w:pPr>
              <w:pStyle w:val="TableParagraph"/>
              <w:spacing w:before="9"/>
              <w:jc w:val="left"/>
              <w:rPr>
                <w:b/>
                <w:sz w:val="17"/>
              </w:rPr>
            </w:pPr>
          </w:p>
          <w:p>
            <w:pPr>
              <w:pStyle w:val="TableParagraph"/>
              <w:spacing w:before="1"/>
              <w:ind w:left="419" w:right="600"/>
              <w:jc w:val="center"/>
              <w:rPr>
                <w:sz w:val="18"/>
              </w:rPr>
            </w:pPr>
            <w:r>
              <w:rPr>
                <w:color w:val="231F20"/>
                <w:sz w:val="18"/>
              </w:rPr>
              <w:t>less than 15%</w:t>
            </w:r>
          </w:p>
        </w:tc>
      </w:tr>
      <w:tr>
        <w:trPr>
          <w:trHeight w:val="220" w:hRule="exact"/>
        </w:trPr>
        <w:tc>
          <w:tcPr>
            <w:tcW w:w="1080" w:type="dxa"/>
          </w:tcPr>
          <w:p>
            <w:pPr>
              <w:pStyle w:val="TableParagraph"/>
              <w:spacing w:line="192" w:lineRule="exact"/>
              <w:ind w:right="97"/>
              <w:rPr>
                <w:b/>
                <w:sz w:val="18"/>
              </w:rPr>
            </w:pPr>
            <w:r>
              <w:rPr>
                <w:b/>
                <w:color w:val="231F20"/>
                <w:sz w:val="18"/>
              </w:rPr>
              <w:t>2014</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50%</w:t>
            </w:r>
          </w:p>
        </w:tc>
      </w:tr>
      <w:tr>
        <w:trPr>
          <w:trHeight w:val="220" w:hRule="exact"/>
        </w:trPr>
        <w:tc>
          <w:tcPr>
            <w:tcW w:w="1080" w:type="dxa"/>
          </w:tcPr>
          <w:p>
            <w:pPr>
              <w:pStyle w:val="TableParagraph"/>
              <w:spacing w:line="192" w:lineRule="exact"/>
              <w:ind w:right="97"/>
              <w:rPr>
                <w:b/>
                <w:sz w:val="18"/>
              </w:rPr>
            </w:pPr>
            <w:r>
              <w:rPr>
                <w:b/>
                <w:color w:val="231F20"/>
                <w:sz w:val="18"/>
              </w:rPr>
              <w:t>2015</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30%</w:t>
            </w:r>
          </w:p>
        </w:tc>
      </w:tr>
      <w:tr>
        <w:trPr>
          <w:trHeight w:val="220" w:hRule="exact"/>
        </w:trPr>
        <w:tc>
          <w:tcPr>
            <w:tcW w:w="1080" w:type="dxa"/>
          </w:tcPr>
          <w:p>
            <w:pPr>
              <w:pStyle w:val="TableParagraph"/>
              <w:spacing w:line="192" w:lineRule="exact"/>
              <w:ind w:right="99"/>
              <w:rPr>
                <w:b/>
                <w:sz w:val="18"/>
              </w:rPr>
            </w:pPr>
            <w:r>
              <w:rPr>
                <w:b/>
                <w:color w:val="231F20"/>
                <w:sz w:val="18"/>
              </w:rPr>
              <w:t>2016</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20%</w:t>
            </w:r>
          </w:p>
        </w:tc>
      </w:tr>
      <w:tr>
        <w:trPr>
          <w:trHeight w:val="210" w:hRule="exact"/>
        </w:trPr>
        <w:tc>
          <w:tcPr>
            <w:tcW w:w="1080" w:type="dxa"/>
          </w:tcPr>
          <w:p>
            <w:pPr>
              <w:pStyle w:val="TableParagraph"/>
              <w:spacing w:line="192" w:lineRule="exact"/>
              <w:ind w:right="99"/>
              <w:rPr>
                <w:b/>
                <w:sz w:val="18"/>
              </w:rPr>
            </w:pPr>
            <w:r>
              <w:rPr>
                <w:b/>
                <w:color w:val="231F20"/>
                <w:sz w:val="18"/>
              </w:rPr>
              <w:t>2017</w:t>
            </w:r>
          </w:p>
        </w:tc>
        <w:tc>
          <w:tcPr>
            <w:tcW w:w="1004" w:type="dxa"/>
          </w:tcPr>
          <w:p>
            <w:pPr>
              <w:pStyle w:val="TableParagraph"/>
              <w:spacing w:line="192" w:lineRule="exact"/>
              <w:ind w:left="24"/>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10%</w:t>
            </w:r>
          </w:p>
        </w:tc>
      </w:tr>
    </w:tbl>
    <w:p>
      <w:pPr>
        <w:pStyle w:val="BodyText"/>
        <w:spacing w:before="6"/>
        <w:rPr>
          <w:b/>
        </w:rPr>
      </w:pPr>
    </w:p>
    <w:p>
      <w:pPr>
        <w:pStyle w:val="BodyText"/>
        <w:spacing w:line="249" w:lineRule="auto"/>
        <w:ind w:left="100" w:right="112" w:firstLine="400"/>
      </w:pPr>
      <w:r>
        <w:rPr>
          <w:color w:val="231F20"/>
        </w:rPr>
        <w:t>As a result of applying hedge accounting in prior periods, the Company continues to have amounts “frozen” in Accumulated other comprehensive income (loss) (“AOCI”), and these amounts will be recognized in the Company’s Consolidated Statement of Income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2012, and the expected future periods in which these items are expected to settle and/or be recognized in earnings (in millions):</w:t>
      </w:r>
    </w:p>
    <w:p>
      <w:pPr>
        <w:pStyle w:val="BodyText"/>
        <w:spacing w:before="6"/>
        <w:rPr>
          <w:sz w:val="9"/>
        </w:rPr>
      </w:pPr>
    </w:p>
    <w:p>
      <w:pPr>
        <w:spacing w:after="0"/>
        <w:rPr>
          <w:sz w:val="9"/>
        </w:rPr>
        <w:sectPr>
          <w:pgSz w:w="11880" w:h="15480"/>
          <w:pgMar w:header="0" w:footer="1253" w:top="1240" w:bottom="1440" w:left="1280" w:right="1320"/>
        </w:sectPr>
      </w:pPr>
    </w:p>
    <w:p>
      <w:pPr>
        <w:pStyle w:val="BodyText"/>
        <w:rPr>
          <w:sz w:val="22"/>
        </w:rPr>
      </w:pPr>
    </w:p>
    <w:p>
      <w:pPr>
        <w:pStyle w:val="BodyText"/>
        <w:rPr>
          <w:sz w:val="22"/>
        </w:rPr>
      </w:pPr>
    </w:p>
    <w:p>
      <w:pPr>
        <w:pStyle w:val="Heading3"/>
        <w:spacing w:before="185"/>
        <w:ind w:left="0"/>
        <w:jc w:val="right"/>
      </w:pPr>
      <w:r>
        <w:rPr>
          <w:color w:val="231F20"/>
        </w:rPr>
        <w:t>Year</w:t>
      </w:r>
    </w:p>
    <w:p>
      <w:pPr>
        <w:spacing w:line="200" w:lineRule="exact" w:before="118"/>
        <w:ind w:left="1367" w:right="68" w:firstLine="0"/>
        <w:jc w:val="center"/>
        <w:rPr>
          <w:b/>
          <w:sz w:val="20"/>
        </w:rPr>
      </w:pPr>
      <w:r>
        <w:rPr/>
        <w:br w:type="column"/>
      </w:r>
      <w:r>
        <w:rPr>
          <w:b/>
          <w:color w:val="231F20"/>
          <w:sz w:val="20"/>
        </w:rPr>
        <w:t>Fair value (liability) of fuel derivative</w:t>
      </w:r>
      <w:r>
        <w:rPr>
          <w:b/>
          <w:color w:val="231F20"/>
          <w:spacing w:val="1"/>
          <w:sz w:val="20"/>
        </w:rPr>
        <w:t> </w:t>
      </w:r>
      <w:r>
        <w:rPr>
          <w:b/>
          <w:color w:val="231F20"/>
          <w:sz w:val="20"/>
        </w:rPr>
        <w:t>contracts</w:t>
      </w:r>
    </w:p>
    <w:p>
      <w:pPr>
        <w:spacing w:line="203" w:lineRule="exact" w:before="0"/>
        <w:ind w:left="1299" w:right="0" w:firstLine="0"/>
        <w:jc w:val="center"/>
        <w:rPr>
          <w:b/>
          <w:sz w:val="20"/>
        </w:rPr>
      </w:pPr>
      <w:r>
        <w:rPr>
          <w:b/>
          <w:color w:val="231F20"/>
          <w:sz w:val="20"/>
        </w:rPr>
        <w:t>at December 31, 2012</w:t>
      </w:r>
    </w:p>
    <w:p>
      <w:pPr>
        <w:spacing w:line="200" w:lineRule="exact" w:before="118"/>
        <w:ind w:left="986" w:right="1822" w:firstLine="0"/>
        <w:jc w:val="center"/>
        <w:rPr>
          <w:b/>
          <w:sz w:val="20"/>
        </w:rPr>
      </w:pPr>
      <w:r>
        <w:rPr/>
        <w:br w:type="column"/>
      </w:r>
      <w:r>
        <w:rPr>
          <w:b/>
          <w:color w:val="231F20"/>
          <w:sz w:val="20"/>
        </w:rPr>
        <w:t>Amount of gains (losses) deferred</w:t>
      </w:r>
    </w:p>
    <w:p>
      <w:pPr>
        <w:spacing w:line="200" w:lineRule="exact" w:before="0"/>
        <w:ind w:left="605" w:right="1441" w:firstLine="0"/>
        <w:jc w:val="center"/>
        <w:rPr>
          <w:b/>
          <w:sz w:val="20"/>
        </w:rPr>
      </w:pPr>
      <w:r>
        <w:rPr>
          <w:b/>
          <w:color w:val="231F20"/>
          <w:sz w:val="20"/>
        </w:rPr>
        <w:t>in AOCI at December 31, 2012 (net of tax)</w:t>
      </w:r>
    </w:p>
    <w:p>
      <w:pPr>
        <w:spacing w:after="0" w:line="200" w:lineRule="exact"/>
        <w:jc w:val="center"/>
        <w:rPr>
          <w:sz w:val="20"/>
        </w:rPr>
        <w:sectPr>
          <w:type w:val="continuous"/>
          <w:pgSz w:w="11880" w:h="15480"/>
          <w:pgMar w:top="1200" w:bottom="280" w:left="1280" w:right="1320"/>
          <w:cols w:num="3" w:equalWidth="0">
            <w:col w:w="1723" w:space="160"/>
            <w:col w:w="3135" w:space="40"/>
            <w:col w:w="4222"/>
          </w:cols>
        </w:sectPr>
      </w:pPr>
    </w:p>
    <w:p>
      <w:pPr>
        <w:pStyle w:val="BodyText"/>
        <w:spacing w:before="3"/>
        <w:rPr>
          <w:b/>
          <w:sz w:val="2"/>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20"/>
        <w:gridCol w:w="110"/>
        <w:gridCol w:w="2440"/>
        <w:gridCol w:w="160"/>
        <w:gridCol w:w="2540"/>
      </w:tblGrid>
      <w:tr>
        <w:trPr>
          <w:trHeight w:val="304" w:hRule="exact"/>
        </w:trPr>
        <w:tc>
          <w:tcPr>
            <w:tcW w:w="1520" w:type="dxa"/>
            <w:tcBorders>
              <w:top w:val="single" w:sz="8" w:space="0" w:color="231F20"/>
            </w:tcBorders>
          </w:tcPr>
          <w:p>
            <w:pPr>
              <w:pStyle w:val="TableParagraph"/>
              <w:spacing w:before="53"/>
              <w:rPr>
                <w:sz w:val="20"/>
              </w:rPr>
            </w:pPr>
            <w:r>
              <w:rPr>
                <w:color w:val="231F20"/>
                <w:sz w:val="20"/>
              </w:rPr>
              <w:t>2013 . . . . . . . . . . </w:t>
            </w:r>
          </w:p>
        </w:tc>
        <w:tc>
          <w:tcPr>
            <w:tcW w:w="110" w:type="dxa"/>
          </w:tcPr>
          <w:p>
            <w:pPr/>
          </w:p>
        </w:tc>
        <w:tc>
          <w:tcPr>
            <w:tcW w:w="2440" w:type="dxa"/>
            <w:tcBorders>
              <w:top w:val="single" w:sz="8" w:space="0" w:color="231F20"/>
            </w:tcBorders>
          </w:tcPr>
          <w:p>
            <w:pPr>
              <w:pStyle w:val="TableParagraph"/>
              <w:tabs>
                <w:tab w:pos="2192" w:val="left" w:leader="none"/>
              </w:tabs>
              <w:spacing w:before="53"/>
              <w:ind w:right="11"/>
              <w:rPr>
                <w:sz w:val="20"/>
              </w:rPr>
            </w:pPr>
            <w:r>
              <w:rPr>
                <w:color w:val="231F20"/>
                <w:sz w:val="20"/>
              </w:rPr>
              <w:t>$</w:t>
              <w:tab/>
              <w:t>(2)</w:t>
            </w:r>
          </w:p>
        </w:tc>
        <w:tc>
          <w:tcPr>
            <w:tcW w:w="160" w:type="dxa"/>
          </w:tcPr>
          <w:p>
            <w:pPr/>
          </w:p>
        </w:tc>
        <w:tc>
          <w:tcPr>
            <w:tcW w:w="2540" w:type="dxa"/>
            <w:tcBorders>
              <w:top w:val="single" w:sz="8" w:space="0" w:color="231F20"/>
            </w:tcBorders>
          </w:tcPr>
          <w:p>
            <w:pPr>
              <w:pStyle w:val="TableParagraph"/>
              <w:tabs>
                <w:tab w:pos="2192" w:val="left" w:leader="none"/>
              </w:tabs>
              <w:spacing w:before="53"/>
              <w:ind w:right="11"/>
              <w:rPr>
                <w:sz w:val="20"/>
              </w:rPr>
            </w:pPr>
            <w:r>
              <w:rPr>
                <w:color w:val="231F20"/>
                <w:sz w:val="20"/>
              </w:rPr>
              <w:t>$</w:t>
              <w:tab/>
              <w:t>(92)</w:t>
            </w:r>
          </w:p>
        </w:tc>
      </w:tr>
      <w:tr>
        <w:trPr>
          <w:trHeight w:val="240" w:hRule="exact"/>
        </w:trPr>
        <w:tc>
          <w:tcPr>
            <w:tcW w:w="1520" w:type="dxa"/>
          </w:tcPr>
          <w:p>
            <w:pPr>
              <w:pStyle w:val="TableParagraph"/>
              <w:spacing w:line="229" w:lineRule="exact"/>
              <w:rPr>
                <w:sz w:val="20"/>
              </w:rPr>
            </w:pPr>
            <w:r>
              <w:rPr>
                <w:color w:val="231F20"/>
                <w:sz w:val="20"/>
              </w:rPr>
              <w:t>2014 . . . . . . . . . . </w:t>
            </w:r>
          </w:p>
        </w:tc>
        <w:tc>
          <w:tcPr>
            <w:tcW w:w="110" w:type="dxa"/>
          </w:tcPr>
          <w:p>
            <w:pPr/>
          </w:p>
        </w:tc>
        <w:tc>
          <w:tcPr>
            <w:tcW w:w="2440" w:type="dxa"/>
          </w:tcPr>
          <w:p>
            <w:pPr>
              <w:pStyle w:val="TableParagraph"/>
              <w:spacing w:line="229" w:lineRule="exact"/>
              <w:ind w:right="79"/>
              <w:rPr>
                <w:sz w:val="20"/>
              </w:rPr>
            </w:pPr>
            <w:r>
              <w:rPr>
                <w:color w:val="231F20"/>
                <w:sz w:val="20"/>
              </w:rPr>
              <w:t>105</w:t>
            </w:r>
          </w:p>
        </w:tc>
        <w:tc>
          <w:tcPr>
            <w:tcW w:w="160" w:type="dxa"/>
          </w:tcPr>
          <w:p>
            <w:pPr/>
          </w:p>
        </w:tc>
        <w:tc>
          <w:tcPr>
            <w:tcW w:w="2540" w:type="dxa"/>
          </w:tcPr>
          <w:p>
            <w:pPr>
              <w:pStyle w:val="TableParagraph"/>
              <w:spacing w:line="229" w:lineRule="exact"/>
              <w:ind w:right="79"/>
              <w:rPr>
                <w:sz w:val="20"/>
              </w:rPr>
            </w:pPr>
            <w:r>
              <w:rPr>
                <w:color w:val="231F20"/>
                <w:sz w:val="20"/>
              </w:rPr>
              <w:t>44</w:t>
            </w:r>
          </w:p>
        </w:tc>
      </w:tr>
      <w:tr>
        <w:trPr>
          <w:trHeight w:val="240" w:hRule="exact"/>
        </w:trPr>
        <w:tc>
          <w:tcPr>
            <w:tcW w:w="1520" w:type="dxa"/>
          </w:tcPr>
          <w:p>
            <w:pPr>
              <w:pStyle w:val="TableParagraph"/>
              <w:spacing w:line="229" w:lineRule="exact"/>
              <w:rPr>
                <w:sz w:val="20"/>
              </w:rPr>
            </w:pPr>
            <w:r>
              <w:rPr>
                <w:color w:val="231F20"/>
                <w:sz w:val="20"/>
              </w:rPr>
              <w:t>2015 . . . . . . . . . . </w:t>
            </w:r>
          </w:p>
        </w:tc>
        <w:tc>
          <w:tcPr>
            <w:tcW w:w="110" w:type="dxa"/>
          </w:tcPr>
          <w:p>
            <w:pPr/>
          </w:p>
        </w:tc>
        <w:tc>
          <w:tcPr>
            <w:tcW w:w="2440" w:type="dxa"/>
          </w:tcPr>
          <w:p>
            <w:pPr>
              <w:pStyle w:val="TableParagraph"/>
              <w:spacing w:line="229" w:lineRule="exact"/>
              <w:ind w:right="79"/>
              <w:rPr>
                <w:sz w:val="20"/>
              </w:rPr>
            </w:pPr>
            <w:r>
              <w:rPr>
                <w:color w:val="231F20"/>
                <w:sz w:val="20"/>
              </w:rPr>
              <w:t>60</w:t>
            </w:r>
          </w:p>
        </w:tc>
        <w:tc>
          <w:tcPr>
            <w:tcW w:w="160" w:type="dxa"/>
          </w:tcPr>
          <w:p>
            <w:pPr/>
          </w:p>
        </w:tc>
        <w:tc>
          <w:tcPr>
            <w:tcW w:w="2540" w:type="dxa"/>
          </w:tcPr>
          <w:p>
            <w:pPr>
              <w:pStyle w:val="TableParagraph"/>
              <w:spacing w:line="229" w:lineRule="exact"/>
              <w:ind w:right="11"/>
              <w:rPr>
                <w:sz w:val="20"/>
              </w:rPr>
            </w:pPr>
            <w:r>
              <w:rPr>
                <w:color w:val="231F20"/>
                <w:sz w:val="20"/>
              </w:rPr>
              <w:t>(26)</w:t>
            </w:r>
          </w:p>
        </w:tc>
      </w:tr>
      <w:tr>
        <w:trPr>
          <w:trHeight w:val="240" w:hRule="exact"/>
        </w:trPr>
        <w:tc>
          <w:tcPr>
            <w:tcW w:w="1520" w:type="dxa"/>
          </w:tcPr>
          <w:p>
            <w:pPr>
              <w:pStyle w:val="TableParagraph"/>
              <w:spacing w:line="229" w:lineRule="exact"/>
              <w:rPr>
                <w:sz w:val="20"/>
              </w:rPr>
            </w:pPr>
            <w:r>
              <w:rPr>
                <w:color w:val="231F20"/>
                <w:sz w:val="20"/>
              </w:rPr>
              <w:t>2016 . . . . . . . . . . </w:t>
            </w:r>
          </w:p>
        </w:tc>
        <w:tc>
          <w:tcPr>
            <w:tcW w:w="110" w:type="dxa"/>
          </w:tcPr>
          <w:p>
            <w:pPr/>
          </w:p>
        </w:tc>
        <w:tc>
          <w:tcPr>
            <w:tcW w:w="2440" w:type="dxa"/>
          </w:tcPr>
          <w:p>
            <w:pPr>
              <w:pStyle w:val="TableParagraph"/>
              <w:spacing w:line="229" w:lineRule="exact"/>
              <w:ind w:right="79"/>
              <w:rPr>
                <w:sz w:val="20"/>
              </w:rPr>
            </w:pPr>
            <w:r>
              <w:rPr>
                <w:color w:val="231F20"/>
                <w:sz w:val="20"/>
              </w:rPr>
              <w:t>55</w:t>
            </w:r>
          </w:p>
        </w:tc>
        <w:tc>
          <w:tcPr>
            <w:tcW w:w="160" w:type="dxa"/>
          </w:tcPr>
          <w:p>
            <w:pPr/>
          </w:p>
        </w:tc>
        <w:tc>
          <w:tcPr>
            <w:tcW w:w="2540" w:type="dxa"/>
          </w:tcPr>
          <w:p>
            <w:pPr>
              <w:pStyle w:val="TableParagraph"/>
              <w:spacing w:line="229" w:lineRule="exact"/>
              <w:ind w:right="79"/>
              <w:rPr>
                <w:sz w:val="20"/>
              </w:rPr>
            </w:pPr>
            <w:r>
              <w:rPr>
                <w:color w:val="231F20"/>
                <w:sz w:val="20"/>
              </w:rPr>
              <w:t>10</w:t>
            </w:r>
          </w:p>
        </w:tc>
      </w:tr>
      <w:tr>
        <w:trPr>
          <w:trHeight w:val="261" w:hRule="exact"/>
        </w:trPr>
        <w:tc>
          <w:tcPr>
            <w:tcW w:w="1520" w:type="dxa"/>
          </w:tcPr>
          <w:p>
            <w:pPr>
              <w:pStyle w:val="TableParagraph"/>
              <w:spacing w:line="229" w:lineRule="exact"/>
              <w:rPr>
                <w:sz w:val="20"/>
              </w:rPr>
            </w:pPr>
            <w:r>
              <w:rPr>
                <w:color w:val="231F20"/>
                <w:sz w:val="20"/>
              </w:rPr>
              <w:t>2017 . . . . . . . . . . </w:t>
            </w:r>
          </w:p>
        </w:tc>
        <w:tc>
          <w:tcPr>
            <w:tcW w:w="110" w:type="dxa"/>
          </w:tcPr>
          <w:p>
            <w:pPr/>
          </w:p>
        </w:tc>
        <w:tc>
          <w:tcPr>
            <w:tcW w:w="2440" w:type="dxa"/>
            <w:tcBorders>
              <w:bottom w:val="single" w:sz="4" w:space="0" w:color="231F20"/>
            </w:tcBorders>
          </w:tcPr>
          <w:p>
            <w:pPr>
              <w:pStyle w:val="TableParagraph"/>
              <w:spacing w:line="229" w:lineRule="exact"/>
              <w:ind w:right="79"/>
              <w:rPr>
                <w:sz w:val="20"/>
              </w:rPr>
            </w:pPr>
            <w:r>
              <w:rPr>
                <w:color w:val="231F20"/>
                <w:sz w:val="20"/>
              </w:rPr>
              <w:t>1</w:t>
            </w:r>
          </w:p>
        </w:tc>
        <w:tc>
          <w:tcPr>
            <w:tcW w:w="160" w:type="dxa"/>
          </w:tcPr>
          <w:p>
            <w:pPr/>
          </w:p>
        </w:tc>
        <w:tc>
          <w:tcPr>
            <w:tcW w:w="2540" w:type="dxa"/>
            <w:tcBorders>
              <w:bottom w:val="single" w:sz="4" w:space="0" w:color="231F20"/>
            </w:tcBorders>
          </w:tcPr>
          <w:p>
            <w:pPr>
              <w:pStyle w:val="TableParagraph"/>
              <w:spacing w:line="229" w:lineRule="exact"/>
              <w:ind w:right="179"/>
              <w:rPr>
                <w:sz w:val="20"/>
              </w:rPr>
            </w:pPr>
            <w:r>
              <w:rPr>
                <w:color w:val="231F20"/>
                <w:sz w:val="20"/>
              </w:rPr>
              <w:t>—</w:t>
            </w:r>
          </w:p>
        </w:tc>
      </w:tr>
      <w:tr>
        <w:trPr>
          <w:trHeight w:val="320" w:hRule="exact"/>
        </w:trPr>
        <w:tc>
          <w:tcPr>
            <w:tcW w:w="1520" w:type="dxa"/>
          </w:tcPr>
          <w:p>
            <w:pPr>
              <w:pStyle w:val="TableParagraph"/>
              <w:spacing w:before="58"/>
              <w:rPr>
                <w:sz w:val="20"/>
              </w:rPr>
            </w:pPr>
            <w:r>
              <w:rPr>
                <w:color w:val="231F20"/>
                <w:sz w:val="20"/>
              </w:rPr>
              <w:t>Total   . . . . . . . . . </w:t>
            </w:r>
          </w:p>
        </w:tc>
        <w:tc>
          <w:tcPr>
            <w:tcW w:w="110" w:type="dxa"/>
          </w:tcPr>
          <w:p>
            <w:pPr/>
          </w:p>
        </w:tc>
        <w:tc>
          <w:tcPr>
            <w:tcW w:w="2440" w:type="dxa"/>
            <w:tcBorders>
              <w:top w:val="single" w:sz="4" w:space="0" w:color="231F20"/>
              <w:bottom w:val="single" w:sz="4" w:space="0" w:color="231F20"/>
            </w:tcBorders>
          </w:tcPr>
          <w:p>
            <w:pPr>
              <w:pStyle w:val="TableParagraph"/>
              <w:tabs>
                <w:tab w:pos="2059" w:val="left" w:leader="none"/>
              </w:tabs>
              <w:spacing w:before="53"/>
              <w:ind w:right="79"/>
              <w:rPr>
                <w:sz w:val="20"/>
              </w:rPr>
            </w:pPr>
            <w:r>
              <w:rPr>
                <w:color w:val="231F20"/>
                <w:sz w:val="20"/>
              </w:rPr>
              <w:t>$</w:t>
              <w:tab/>
              <w:t>219</w:t>
            </w:r>
          </w:p>
        </w:tc>
        <w:tc>
          <w:tcPr>
            <w:tcW w:w="160" w:type="dxa"/>
          </w:tcPr>
          <w:p>
            <w:pPr/>
          </w:p>
        </w:tc>
        <w:tc>
          <w:tcPr>
            <w:tcW w:w="2540" w:type="dxa"/>
            <w:tcBorders>
              <w:top w:val="single" w:sz="4" w:space="0" w:color="231F20"/>
              <w:bottom w:val="single" w:sz="4" w:space="0" w:color="231F20"/>
            </w:tcBorders>
          </w:tcPr>
          <w:p>
            <w:pPr>
              <w:pStyle w:val="TableParagraph"/>
              <w:tabs>
                <w:tab w:pos="2192" w:val="left" w:leader="none"/>
              </w:tabs>
              <w:spacing w:before="53"/>
              <w:ind w:right="11"/>
              <w:rPr>
                <w:sz w:val="20"/>
              </w:rPr>
            </w:pPr>
            <w:r>
              <w:rPr>
                <w:color w:val="231F20"/>
                <w:sz w:val="20"/>
              </w:rPr>
              <w:t>$</w:t>
              <w:tab/>
              <w:t>(64)</w:t>
            </w:r>
          </w:p>
        </w:tc>
      </w:tr>
    </w:tbl>
    <w:p>
      <w:pPr>
        <w:spacing w:after="0"/>
        <w:rPr>
          <w:sz w:val="20"/>
        </w:rPr>
        <w:sectPr>
          <w:type w:val="continuous"/>
          <w:pgSz w:w="11880" w:h="15480"/>
          <w:pgMar w:top="1200" w:bottom="280" w:left="1280" w:right="1320"/>
        </w:sectPr>
      </w:pPr>
    </w:p>
    <w:p>
      <w:pPr>
        <w:pStyle w:val="BodyText"/>
        <w:spacing w:line="249" w:lineRule="auto" w:before="73"/>
        <w:ind w:left="120" w:right="143" w:firstLine="400"/>
      </w:pPr>
      <w:r>
        <w:rPr>
          <w:color w:val="231F20"/>
        </w:rPr>
        <w:t>Based on forward market prices and the amounts in the above table (and excluding any other subsequent changes to the fuel hedge portfolio), the Company’s economic jet fuel costs per gallon may exceed market (i.e., unhedged) prices during some of these future periods. This could occur in periods in which unfavorable cash settlements occur associated with fuel derivatives, but would exclude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2013, remainder of 2013, and full year 2013 jet fuel prices at different Brent crude oil assumptions as of January 18, 2013, and expected premium costs associated with settling contracts in each period, respectively.</w:t>
      </w:r>
    </w:p>
    <w:p>
      <w:pPr>
        <w:pStyle w:val="BodyText"/>
        <w:spacing w:before="3"/>
        <w:rPr>
          <w:sz w:val="10"/>
        </w:rPr>
      </w:pPr>
    </w:p>
    <w:p>
      <w:pPr>
        <w:spacing w:after="0"/>
        <w:rPr>
          <w:sz w:val="10"/>
        </w:rPr>
        <w:sectPr>
          <w:pgSz w:w="11880" w:h="15480"/>
          <w:pgMar w:header="0" w:footer="1253" w:top="1240" w:bottom="1440" w:left="1260" w:right="1260"/>
        </w:sectPr>
      </w:pPr>
    </w:p>
    <w:p>
      <w:pPr>
        <w:pStyle w:val="BodyText"/>
      </w:pPr>
    </w:p>
    <w:p>
      <w:pPr>
        <w:pStyle w:val="BodyText"/>
        <w:spacing w:before="3"/>
        <w:rPr>
          <w:sz w:val="26"/>
        </w:rPr>
      </w:pPr>
    </w:p>
    <w:p>
      <w:pPr>
        <w:spacing w:line="188" w:lineRule="exact" w:before="0"/>
        <w:ind w:left="606" w:right="0" w:firstLine="0"/>
        <w:jc w:val="left"/>
        <w:rPr>
          <w:b/>
          <w:sz w:val="18"/>
        </w:rPr>
      </w:pPr>
      <w:r>
        <w:rPr/>
        <w:pict>
          <v:line style="position:absolute;mso-position-horizontal-relative:page;mso-position-vertical-relative:paragraph;z-index:2488" from="525pt,-.597278pt" to="215pt,-.597278pt" stroked="true" strokeweight="1pt" strokecolor="#231f20">
            <v:stroke dashstyle="solid"/>
            <w10:wrap type="none"/>
          </v:line>
        </w:pict>
      </w:r>
      <w:r>
        <w:rPr>
          <w:b/>
          <w:color w:val="231F20"/>
          <w:sz w:val="18"/>
        </w:rPr>
        <w:t>Average Brent Crude Oil</w:t>
      </w:r>
    </w:p>
    <w:p>
      <w:pPr>
        <w:spacing w:line="180" w:lineRule="exact" w:before="116"/>
        <w:ind w:left="714" w:right="835" w:hanging="108"/>
        <w:jc w:val="left"/>
        <w:rPr>
          <w:b/>
          <w:sz w:val="18"/>
        </w:rPr>
      </w:pPr>
      <w:r>
        <w:rPr/>
        <w:br w:type="column"/>
      </w:r>
      <w:r>
        <w:rPr>
          <w:b/>
          <w:color w:val="231F20"/>
          <w:sz w:val="18"/>
        </w:rPr>
        <w:t>Estimated difference in economic jet fuel price per gallon, above/(below) unhedged market prices, including taxes</w:t>
      </w:r>
    </w:p>
    <w:p>
      <w:pPr>
        <w:spacing w:after="0" w:line="180" w:lineRule="exact"/>
        <w:jc w:val="left"/>
        <w:rPr>
          <w:sz w:val="18"/>
        </w:rPr>
        <w:sectPr>
          <w:type w:val="continuous"/>
          <w:pgSz w:w="11880" w:h="15480"/>
          <w:pgMar w:top="1200" w:bottom="280" w:left="1260" w:right="1260"/>
          <w:cols w:num="2" w:equalWidth="0">
            <w:col w:w="2553" w:space="912"/>
            <w:col w:w="5895"/>
          </w:cols>
        </w:sectPr>
      </w:pPr>
    </w:p>
    <w:p>
      <w:pPr>
        <w:tabs>
          <w:tab w:pos="3821" w:val="left" w:leader="none"/>
          <w:tab w:pos="5559" w:val="left" w:leader="none"/>
          <w:tab w:pos="8259" w:val="left" w:leader="none"/>
        </w:tabs>
        <w:spacing w:line="198" w:lineRule="exact" w:before="0"/>
        <w:ind w:left="970" w:right="0" w:firstLine="0"/>
        <w:jc w:val="left"/>
        <w:rPr>
          <w:b/>
          <w:sz w:val="18"/>
        </w:rPr>
      </w:pPr>
      <w:r>
        <w:rPr/>
        <w:pict>
          <v:group style="position:absolute;margin-left:68.5pt;margin-top:11.471505pt;width:457pt;height:1pt;mso-position-horizontal-relative:page;mso-position-vertical-relative:paragraph;z-index:2464;mso-wrap-distance-left:0;mso-wrap-distance-right:0" coordorigin="1370,229" coordsize="9140,20">
            <v:line style="position:absolute" from="4300,239" to="1380,239" stroked="true" strokeweight="1pt" strokecolor="#231f20">
              <v:stroke dashstyle="solid"/>
            </v:line>
            <v:line style="position:absolute" from="6200,239" to="4300,239" stroked="true" strokeweight="1pt" strokecolor="#231f20">
              <v:stroke dashstyle="solid"/>
            </v:line>
            <v:line style="position:absolute" from="8600,239" to="6200,239" stroked="true" strokeweight="1pt" strokecolor="#231f20">
              <v:stroke dashstyle="solid"/>
            </v:line>
            <v:line style="position:absolute" from="10500,239" to="8600,239" stroked="true" strokeweight="1pt" strokecolor="#231f20">
              <v:stroke dashstyle="solid"/>
            </v:line>
            <w10:wrap type="topAndBottom"/>
          </v:group>
        </w:pict>
      </w:r>
      <w:r>
        <w:rPr>
          <w:b/>
          <w:color w:val="231F20"/>
          <w:sz w:val="18"/>
        </w:rPr>
        <w:t>price per barrel</w:t>
        <w:tab/>
        <w:t>1Q</w:t>
      </w:r>
      <w:r>
        <w:rPr>
          <w:b/>
          <w:color w:val="231F20"/>
          <w:spacing w:val="-1"/>
          <w:sz w:val="18"/>
        </w:rPr>
        <w:t> </w:t>
      </w:r>
      <w:r>
        <w:rPr>
          <w:b/>
          <w:color w:val="231F20"/>
          <w:sz w:val="18"/>
        </w:rPr>
        <w:t>2013</w:t>
        <w:tab/>
        <w:t>Remainder of 2013</w:t>
        <w:tab/>
        <w:t>2013</w:t>
      </w:r>
    </w:p>
    <w:p>
      <w:pPr>
        <w:pStyle w:val="BodyText"/>
        <w:spacing w:before="5"/>
        <w:rPr>
          <w:b/>
          <w:sz w:val="17"/>
        </w:rPr>
      </w:pPr>
    </w:p>
    <w:tbl>
      <w:tblPr>
        <w:tblW w:w="0" w:type="auto"/>
        <w:jc w:val="left"/>
        <w:tblInd w:w="42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99"/>
        <w:gridCol w:w="1766"/>
        <w:gridCol w:w="2172"/>
        <w:gridCol w:w="1543"/>
      </w:tblGrid>
      <w:tr>
        <w:trPr>
          <w:trHeight w:val="210" w:hRule="exact"/>
        </w:trPr>
        <w:tc>
          <w:tcPr>
            <w:tcW w:w="2999" w:type="dxa"/>
          </w:tcPr>
          <w:p>
            <w:pPr>
              <w:pStyle w:val="TableParagraph"/>
              <w:spacing w:line="199" w:lineRule="exact"/>
              <w:ind w:right="339"/>
              <w:rPr>
                <w:sz w:val="18"/>
              </w:rPr>
            </w:pPr>
            <w:r>
              <w:rPr>
                <w:b/>
                <w:color w:val="231F20"/>
                <w:sz w:val="18"/>
              </w:rPr>
              <w:t>$70  </w:t>
            </w:r>
            <w:r>
              <w:rPr>
                <w:color w:val="231F20"/>
                <w:sz w:val="18"/>
              </w:rPr>
              <w:t>. . . . . . . . . . . . . . </w:t>
            </w:r>
          </w:p>
        </w:tc>
        <w:tc>
          <w:tcPr>
            <w:tcW w:w="1766" w:type="dxa"/>
          </w:tcPr>
          <w:p>
            <w:pPr>
              <w:pStyle w:val="TableParagraph"/>
              <w:spacing w:line="199" w:lineRule="exact"/>
              <w:ind w:left="321" w:right="658"/>
              <w:jc w:val="center"/>
              <w:rPr>
                <w:sz w:val="18"/>
              </w:rPr>
            </w:pPr>
            <w:r>
              <w:rPr>
                <w:color w:val="231F20"/>
                <w:sz w:val="18"/>
              </w:rPr>
              <w:t>$0.10</w:t>
            </w:r>
          </w:p>
        </w:tc>
        <w:tc>
          <w:tcPr>
            <w:tcW w:w="2172" w:type="dxa"/>
          </w:tcPr>
          <w:p>
            <w:pPr>
              <w:pStyle w:val="TableParagraph"/>
              <w:spacing w:line="199" w:lineRule="exact"/>
              <w:ind w:left="659" w:right="637"/>
              <w:jc w:val="center"/>
              <w:rPr>
                <w:sz w:val="18"/>
              </w:rPr>
            </w:pPr>
            <w:r>
              <w:rPr>
                <w:color w:val="231F20"/>
                <w:sz w:val="18"/>
              </w:rPr>
              <w:t>$0.03</w:t>
            </w:r>
          </w:p>
        </w:tc>
        <w:tc>
          <w:tcPr>
            <w:tcW w:w="1543" w:type="dxa"/>
          </w:tcPr>
          <w:p>
            <w:pPr>
              <w:pStyle w:val="TableParagraph"/>
              <w:spacing w:line="199" w:lineRule="exact"/>
              <w:ind w:left="637" w:right="30"/>
              <w:jc w:val="center"/>
              <w:rPr>
                <w:sz w:val="18"/>
              </w:rPr>
            </w:pPr>
            <w:r>
              <w:rPr>
                <w:color w:val="231F20"/>
                <w:sz w:val="18"/>
              </w:rPr>
              <w:t>$0.05</w:t>
            </w:r>
          </w:p>
        </w:tc>
      </w:tr>
      <w:tr>
        <w:trPr>
          <w:trHeight w:val="220" w:hRule="exact"/>
        </w:trPr>
        <w:tc>
          <w:tcPr>
            <w:tcW w:w="2999" w:type="dxa"/>
          </w:tcPr>
          <w:p>
            <w:pPr>
              <w:pStyle w:val="TableParagraph"/>
              <w:spacing w:before="1"/>
              <w:ind w:right="339"/>
              <w:rPr>
                <w:sz w:val="18"/>
              </w:rPr>
            </w:pPr>
            <w:r>
              <w:rPr>
                <w:b/>
                <w:color w:val="231F20"/>
                <w:sz w:val="18"/>
              </w:rPr>
              <w:t>$80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$0.08</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$0.02</w:t>
            </w:r>
          </w:p>
        </w:tc>
      </w:tr>
      <w:tr>
        <w:trPr>
          <w:trHeight w:val="220" w:hRule="exact"/>
        </w:trPr>
        <w:tc>
          <w:tcPr>
            <w:tcW w:w="2999" w:type="dxa"/>
          </w:tcPr>
          <w:p>
            <w:pPr>
              <w:pStyle w:val="TableParagraph"/>
              <w:spacing w:before="1"/>
              <w:ind w:right="339"/>
              <w:rPr>
                <w:sz w:val="18"/>
              </w:rPr>
            </w:pPr>
            <w:r>
              <w:rPr>
                <w:b/>
                <w:color w:val="231F20"/>
                <w:sz w:val="18"/>
              </w:rPr>
              <w:t>$90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$100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Current Market (1)   </w:t>
            </w:r>
            <w:r>
              <w:rPr>
                <w:color w:val="231F20"/>
                <w:sz w:val="18"/>
              </w:rPr>
              <w:t>.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$120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$130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$140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$0.03</w:t>
            </w:r>
          </w:p>
        </w:tc>
        <w:tc>
          <w:tcPr>
            <w:tcW w:w="2172" w:type="dxa"/>
          </w:tcPr>
          <w:p>
            <w:pPr>
              <w:pStyle w:val="TableParagraph"/>
              <w:spacing w:before="1"/>
              <w:ind w:left="659" w:right="637"/>
              <w:jc w:val="center"/>
              <w:rPr>
                <w:sz w:val="18"/>
              </w:rPr>
            </w:pPr>
            <w:r>
              <w:rPr>
                <w:color w:val="231F20"/>
                <w:sz w:val="18"/>
              </w:rPr>
              <w:t>($0.01)</w:t>
            </w:r>
          </w:p>
        </w:tc>
        <w:tc>
          <w:tcPr>
            <w:tcW w:w="1543" w:type="dxa"/>
          </w:tcPr>
          <w:p>
            <w:pPr>
              <w:pStyle w:val="TableParagraph"/>
              <w:spacing w:before="1"/>
              <w:ind w:left="637" w:right="30"/>
              <w:jc w:val="center"/>
              <w:rPr>
                <w:sz w:val="18"/>
              </w:rPr>
            </w:pPr>
            <w:r>
              <w:rPr>
                <w:color w:val="231F20"/>
                <w:sz w:val="18"/>
              </w:rPr>
              <w:t>$0.00</w:t>
            </w:r>
          </w:p>
        </w:tc>
      </w:tr>
      <w:tr>
        <w:trPr>
          <w:trHeight w:val="210" w:hRule="exact"/>
        </w:trPr>
        <w:tc>
          <w:tcPr>
            <w:tcW w:w="2999" w:type="dxa"/>
          </w:tcPr>
          <w:p>
            <w:pPr>
              <w:pStyle w:val="TableParagraph"/>
              <w:spacing w:before="1"/>
              <w:ind w:right="384"/>
              <w:rPr>
                <w:sz w:val="18"/>
              </w:rPr>
            </w:pPr>
            <w:r>
              <w:rPr>
                <w:b/>
                <w:color w:val="231F20"/>
                <w:sz w:val="18"/>
              </w:rPr>
              <w:t>Estimated premium costs (2)   </w:t>
            </w:r>
            <w:r>
              <w:rPr>
                <w:color w:val="231F20"/>
                <w:sz w:val="18"/>
              </w:rPr>
              <w:t>. . .</w:t>
            </w:r>
          </w:p>
        </w:tc>
        <w:tc>
          <w:tcPr>
            <w:tcW w:w="1766" w:type="dxa"/>
          </w:tcPr>
          <w:p>
            <w:pPr>
              <w:pStyle w:val="TableParagraph"/>
              <w:spacing w:before="1"/>
              <w:ind w:left="322" w:right="658"/>
              <w:jc w:val="center"/>
              <w:rPr>
                <w:sz w:val="18"/>
              </w:rPr>
            </w:pPr>
            <w:r>
              <w:rPr>
                <w:color w:val="231F20"/>
                <w:sz w:val="18"/>
              </w:rPr>
              <w:t>$5 million</w:t>
            </w:r>
          </w:p>
        </w:tc>
        <w:tc>
          <w:tcPr>
            <w:tcW w:w="2172" w:type="dxa"/>
          </w:tcPr>
          <w:p>
            <w:pPr>
              <w:pStyle w:val="TableParagraph"/>
              <w:spacing w:before="1"/>
              <w:ind w:left="659" w:right="637"/>
              <w:jc w:val="center"/>
              <w:rPr>
                <w:sz w:val="18"/>
              </w:rPr>
            </w:pPr>
            <w:r>
              <w:rPr>
                <w:color w:val="231F20"/>
                <w:sz w:val="18"/>
              </w:rPr>
              <w:t>$55 million</w:t>
            </w:r>
          </w:p>
        </w:tc>
        <w:tc>
          <w:tcPr>
            <w:tcW w:w="1543" w:type="dxa"/>
          </w:tcPr>
          <w:p>
            <w:pPr>
              <w:pStyle w:val="TableParagraph"/>
              <w:spacing w:before="1"/>
              <w:ind w:left="637" w:right="30"/>
              <w:jc w:val="center"/>
              <w:rPr>
                <w:sz w:val="18"/>
              </w:rPr>
            </w:pPr>
            <w:r>
              <w:rPr>
                <w:color w:val="231F20"/>
                <w:sz w:val="18"/>
              </w:rPr>
              <w:t>$60 million</w:t>
            </w:r>
          </w:p>
        </w:tc>
      </w:tr>
    </w:tbl>
    <w:p>
      <w:pPr>
        <w:pStyle w:val="ListParagraph"/>
        <w:numPr>
          <w:ilvl w:val="0"/>
          <w:numId w:val="9"/>
        </w:numPr>
        <w:tabs>
          <w:tab w:pos="480" w:val="left" w:leader="none"/>
        </w:tabs>
        <w:spacing w:line="254" w:lineRule="auto" w:before="136" w:after="0"/>
        <w:ind w:left="480" w:right="418" w:hanging="360"/>
        <w:jc w:val="left"/>
        <w:rPr>
          <w:sz w:val="18"/>
        </w:rPr>
      </w:pPr>
      <w:r>
        <w:rPr>
          <w:color w:val="231F20"/>
          <w:sz w:val="18"/>
        </w:rPr>
        <w:t>Brent crude oil average market prices as of January 18, 2013 were approximately $111, $107, and $108 per barrel for first quarter 2013, the remainder of 2013, and full year 2013, respectively.</w:t>
      </w:r>
    </w:p>
    <w:p>
      <w:pPr>
        <w:pStyle w:val="ListParagraph"/>
        <w:numPr>
          <w:ilvl w:val="0"/>
          <w:numId w:val="9"/>
        </w:numPr>
        <w:tabs>
          <w:tab w:pos="480" w:val="left" w:leader="none"/>
        </w:tabs>
        <w:spacing w:line="254" w:lineRule="auto" w:before="0" w:after="0"/>
        <w:ind w:left="480" w:right="723" w:hanging="360"/>
        <w:jc w:val="left"/>
        <w:rPr>
          <w:sz w:val="18"/>
        </w:rPr>
      </w:pPr>
      <w:r>
        <w:rPr>
          <w:color w:val="231F20"/>
          <w:sz w:val="18"/>
        </w:rPr>
        <w:t>Premium costs are recognized as a component of Other (gains) losses net, and are thus not reflected as part of the Company’s fuel cost per gallon.</w:t>
      </w:r>
    </w:p>
    <w:p>
      <w:pPr>
        <w:pStyle w:val="BodyText"/>
        <w:spacing w:before="11"/>
        <w:rPr>
          <w:sz w:val="21"/>
        </w:rPr>
      </w:pPr>
    </w:p>
    <w:p>
      <w:pPr>
        <w:pStyle w:val="BodyText"/>
        <w:spacing w:line="249" w:lineRule="auto"/>
        <w:ind w:left="120" w:right="152" w:firstLine="400"/>
      </w:pPr>
      <w:r>
        <w:rPr>
          <w:color w:val="231F20"/>
        </w:rPr>
        <w:t>Maintenance materials and repairs expense for 2012 increased by $177 million, or 18.5 percent, compared to 2011. Approximately $106 million of this increase was due to the inclusion of the full year of AirTran results in 2012, while the 2011 results only include AirTran Maintenance materials and repairs expense following the acquisition date. The majority of the remaining increase was attributable to higher engine expense from higher rates associated with the Company’s 737-700 fleet. Expense for the engines on this fleet is recorded on a per- flight hour basis and the maintenance agreement covering this fleet with GE Engine Services was modified during fourth quarter 2011 primarily to incorporate the 52 737-700s from the AirTran acquisition and convert them to the Southwest maintenance program, and to extend the term of that agreement to December 31, 2021. There was minimal engine maintenance expense for the AirTran 737s prior to the contract modification due to the fact that such engine expense was accounted for on a time and materials basis and there were no engine shop visits incurred. On a per-ASM basis, the Company’s Maintenance materials and repairs expense for 2012 increased 11.4 percent compared to 2011. Over 40 percent of this increase was a result of the higher rates associated with the engines on the Company’s 737-700 fleet, and the majority of the remainder was due to higher airframe and component expense associated with ongoing </w:t>
      </w:r>
      <w:r>
        <w:rPr>
          <w:i/>
          <w:color w:val="231F20"/>
        </w:rPr>
        <w:t>Evolve </w:t>
      </w:r>
      <w:r>
        <w:rPr>
          <w:color w:val="231F20"/>
        </w:rPr>
        <w:t>modifications, which began in first quarter 2012. The Company currently expects Maintenance materials and repairs expense per ASM for first quarter 2013 to be in the 0.95 cents range, based on currently scheduled airframe maintenance events, scheduled engine shop visits, </w:t>
      </w:r>
      <w:r>
        <w:rPr>
          <w:i/>
          <w:color w:val="231F20"/>
        </w:rPr>
        <w:t>Evolve </w:t>
      </w:r>
      <w:r>
        <w:rPr>
          <w:color w:val="231F20"/>
        </w:rPr>
        <w:t>retrofits, and projected engine hours</w:t>
      </w:r>
      <w:r>
        <w:rPr>
          <w:color w:val="231F20"/>
          <w:spacing w:val="4"/>
        </w:rPr>
        <w:t> </w:t>
      </w:r>
      <w:r>
        <w:rPr>
          <w:color w:val="231F20"/>
        </w:rPr>
        <w:t>flown.</w:t>
      </w:r>
    </w:p>
    <w:p>
      <w:pPr>
        <w:pStyle w:val="BodyText"/>
        <w:spacing w:before="10"/>
        <w:rPr>
          <w:sz w:val="21"/>
        </w:rPr>
      </w:pPr>
    </w:p>
    <w:p>
      <w:pPr>
        <w:pStyle w:val="BodyText"/>
        <w:spacing w:line="249" w:lineRule="auto"/>
        <w:ind w:left="120" w:right="132" w:firstLine="400"/>
      </w:pPr>
      <w:r>
        <w:rPr>
          <w:color w:val="231F20"/>
        </w:rPr>
        <w:t>Aircraft rentals expense for 2012 increased by $47 million, or 15.3 percent, compared to 2011. There was an increase of approximately $54 million due to the inclusion of the full year of AirTran results in 2012, while the 2011 results only include AirTran Aircraft rentals expense following the acquisition date. Excluding the results  of AirTran in both periods, as well as the impact of amortization associated with the unfavorable aircraft</w:t>
      </w:r>
      <w:r>
        <w:rPr>
          <w:color w:val="231F20"/>
          <w:spacing w:val="11"/>
        </w:rPr>
        <w:t> </w:t>
      </w:r>
      <w:r>
        <w:rPr>
          <w:color w:val="231F20"/>
        </w:rPr>
        <w:t>lease</w:t>
      </w:r>
    </w:p>
    <w:p>
      <w:pPr>
        <w:spacing w:after="0" w:line="249" w:lineRule="auto"/>
        <w:sectPr>
          <w:type w:val="continuous"/>
          <w:pgSz w:w="11880" w:h="15480"/>
          <w:pgMar w:top="1200" w:bottom="280" w:left="1260" w:right="1260"/>
        </w:sectPr>
      </w:pPr>
    </w:p>
    <w:p>
      <w:pPr>
        <w:pStyle w:val="BodyText"/>
        <w:spacing w:line="249" w:lineRule="auto" w:before="73"/>
        <w:ind w:left="100" w:right="96"/>
      </w:pPr>
      <w:r>
        <w:rPr>
          <w:color w:val="231F20"/>
        </w:rPr>
        <w:t>liability created as part of purchase accounting adjustments based on the estimated fair value of AirTran Boeing 717 leases, Aircraft rentals expense for 2012 decreased approximately 4.7 percent on a dollar basis compared to 2011. See Note 2 to the Consolidated Financial Statements for further information on purchase accounting. The majority of the decrease was due to a decrease in operating leased aircraft from 192 at December 2011 to 187 at December 2012. On a per-ASM basis, the Company’s Aircraft rentals expense for 2012 increased 7.7 percent compared to 2011. This increase on a per-ASM basis primarily was due to the acquisition of AirTran during 2011 and the fact that AirTran leases the majority of its aircraft fleet. The Company currently expects Aircraft rentals expense per ASM for first quarter 2013 to increase slightly from first quarter 2012’s results.</w:t>
      </w:r>
    </w:p>
    <w:p>
      <w:pPr>
        <w:pStyle w:val="BodyText"/>
        <w:spacing w:before="10"/>
      </w:pPr>
    </w:p>
    <w:p>
      <w:pPr>
        <w:pStyle w:val="BodyText"/>
        <w:spacing w:line="249" w:lineRule="auto" w:before="1"/>
        <w:ind w:left="100" w:right="122" w:firstLine="400"/>
      </w:pPr>
      <w:r>
        <w:rPr>
          <w:color w:val="231F20"/>
        </w:rPr>
        <w:t>Landing fees and other rentals expense for 2012 increased by $84 million, or 8.8 percent, compared to 2011. The majority of the dollar increase was due to an increase in rates charged by airports for both landing fees and space rentals versus the same prior year period. In addition, approximately $29 million of this increase was due to the inclusion of the full year of AirTran results in 2012, while the 2011 results only include AirTran Landing fees and other rentals expense following the acquisition date. On a per-ASM basis, the Company’s Landing fees and other rentals expense for 2012 increased by 1.3 percent compared to 2011 primarily due to higher rates paid for airport space. The Company currently expects Landing fees and other rentals expense for first quarter 2013 to be higher than the first quarter 2012 results on a per-ASM</w:t>
      </w:r>
      <w:r>
        <w:rPr>
          <w:color w:val="231F20"/>
          <w:spacing w:val="4"/>
        </w:rPr>
        <w:t> </w:t>
      </w:r>
      <w:r>
        <w:rPr>
          <w:color w:val="231F20"/>
        </w:rPr>
        <w:t>basis.</w:t>
      </w:r>
    </w:p>
    <w:p>
      <w:pPr>
        <w:pStyle w:val="BodyText"/>
        <w:spacing w:before="11"/>
      </w:pPr>
    </w:p>
    <w:p>
      <w:pPr>
        <w:pStyle w:val="BodyText"/>
        <w:spacing w:line="249" w:lineRule="auto"/>
        <w:ind w:left="100" w:right="96" w:firstLine="400"/>
      </w:pPr>
      <w:r>
        <w:rPr>
          <w:color w:val="231F20"/>
        </w:rPr>
        <w:t>Depreciation and amortization expense for 2012 increased by $129 million, or 18.0 percent, compared to 2011. Approximately 49 percent of this increase was due to an acceleration of depreciation expense associated with aircraft in the Company’s Classic (737-300/500) Fleet that were retired during 2012, coupled with the reduction in salvage values for the Company’s Classic Fleet. See Note 3 to the Consolidated Financial Statements for further information on these changes in estimates. In addition, approximately 34 percent of this increase was due to a full year of depreciation associated with the purchase of 18 aircraft (737-700s) in 2011 and the purchase of 29 aircraft (737-800s) during 2012 and approximately $16 million of this increase was due to the inclusion of the full year of AirTran results in 2012, while the 2011 results only include AirTran Depreciation and amortization expense following the acquisition date. On a per-ASM basis, the Company’s Depreciation and amortization expense for 2012 increased by 11.9 percent compared to 2011, primarily due to the acceleration of depreciation expense associated with the aircraft in the Company’s Classic Fleet that were retired in 2012, coupled with a reduction in salvage values for the Company’s Classic Fleet. For first quarter 2013, the Company currently expects Depreciation and amortization expense per ASM to be comparable to first quarter 2012’s results.</w:t>
      </w:r>
    </w:p>
    <w:p>
      <w:pPr>
        <w:pStyle w:val="BodyText"/>
        <w:spacing w:before="10"/>
      </w:pPr>
    </w:p>
    <w:p>
      <w:pPr>
        <w:pStyle w:val="BodyText"/>
        <w:spacing w:line="249" w:lineRule="auto" w:before="1"/>
        <w:ind w:left="100" w:right="179" w:firstLine="400"/>
      </w:pPr>
      <w:r>
        <w:rPr>
          <w:color w:val="231F20"/>
        </w:rPr>
        <w:t>For 2012, the Company incurred $183 million of Acquisition and integration costs related to the acquisition of AirTran compared to $134 million for 2011. These 2012 costs primarily consisted of costs associated with the Company’s lease/sublease transaction for AirTran’s Boeing 717-200 fleet, consulting, flight crew training, seniority integration, and facility integration expenses. See Note 2 and Note 8 to the Consolidated Financial Statements.</w:t>
      </w:r>
    </w:p>
    <w:p>
      <w:pPr>
        <w:pStyle w:val="BodyText"/>
        <w:spacing w:before="11"/>
      </w:pPr>
    </w:p>
    <w:p>
      <w:pPr>
        <w:pStyle w:val="BodyText"/>
        <w:ind w:left="500"/>
      </w:pPr>
      <w:r>
        <w:rPr>
          <w:color w:val="231F20"/>
        </w:rPr>
        <w:t>Other operating expenses for 2012 increased by $160 million, or 8.5 percent, compared to 2011.</w:t>
      </w:r>
    </w:p>
    <w:p>
      <w:pPr>
        <w:pStyle w:val="BodyText"/>
        <w:spacing w:line="249" w:lineRule="auto" w:before="9"/>
        <w:ind w:left="100" w:right="258"/>
      </w:pPr>
      <w:r>
        <w:rPr>
          <w:color w:val="231F20"/>
        </w:rPr>
        <w:t>Approximately $65 million of this increase was due to the inclusion of the full year of AirTran results in 2012, while the 2011 results only include AirTran Other operating expenses following the acquisition date. Excluding the results of AirTran in both periods, Other operating expenses for 2012 increased 5.8 percent on a dollar basis compared to 2011. This increase was primarily due to consulting fees, WiFi enplanement fees, and other costs associated with completed and ongoing projects, the majority of which were related to the Company’s strategic initiatives as previously discussed. On a per-ASM basis, the Company’s Other operating expenses for 2012 increased by 3.2 percent compared to 2011, also due to consulting and other outside services costs associated with completed and ongoing projects. For first quarter 2013, the Company currently expects Other operating expenses per ASM to be in line with fourth quarter 2012’s results.</w:t>
      </w:r>
    </w:p>
    <w:p>
      <w:pPr>
        <w:pStyle w:val="BodyText"/>
        <w:spacing w:before="10"/>
      </w:pPr>
    </w:p>
    <w:p>
      <w:pPr>
        <w:pStyle w:val="BodyText"/>
        <w:spacing w:line="249" w:lineRule="auto"/>
        <w:ind w:left="100" w:firstLine="400"/>
      </w:pPr>
      <w:r>
        <w:rPr>
          <w:color w:val="231F20"/>
        </w:rPr>
        <w:t>Through the 2003 Emergency Wartime Supplemental Appropriations Act (the “Wartime Act”), the federal government provided renewable, supplemental, first-party war-risk insurance coverage to commercial carriers at</w:t>
      </w:r>
    </w:p>
    <w:p>
      <w:pPr>
        <w:spacing w:after="0" w:line="249" w:lineRule="auto"/>
        <w:sectPr>
          <w:pgSz w:w="11880" w:h="15480"/>
          <w:pgMar w:header="0" w:footer="1253" w:top="1240" w:bottom="1440" w:left="1280" w:right="1280"/>
        </w:sectPr>
      </w:pPr>
    </w:p>
    <w:p>
      <w:pPr>
        <w:pStyle w:val="BodyText"/>
        <w:spacing w:line="249" w:lineRule="auto" w:before="73"/>
        <w:ind w:left="160" w:right="268"/>
      </w:pPr>
      <w:r>
        <w:rPr>
          <w:color w:val="231F20"/>
        </w:rPr>
        <w:t>substantially lower premiums than prevailing commercial rates and for levels of coverage not available in the commercial market. The government-provided supplemental coverage from the Wartime Act is currently set to expire on September 30, 2013. Although another extension beyond this date is expected, if such coverage is not extended by the government, the Company could incur substantially higher insurance costs or experience unavailability of adequate coverage in future periods.</w:t>
      </w:r>
    </w:p>
    <w:p>
      <w:pPr>
        <w:pStyle w:val="BodyText"/>
        <w:spacing w:before="4"/>
        <w:rPr>
          <w:sz w:val="31"/>
        </w:rPr>
      </w:pPr>
    </w:p>
    <w:p>
      <w:pPr>
        <w:pStyle w:val="Heading3"/>
        <w:ind w:left="360"/>
      </w:pPr>
      <w:r>
        <w:rPr>
          <w:color w:val="231F20"/>
        </w:rPr>
        <w:t>Other</w:t>
      </w:r>
    </w:p>
    <w:p>
      <w:pPr>
        <w:pStyle w:val="BodyText"/>
        <w:spacing w:line="249" w:lineRule="auto" w:before="129"/>
        <w:ind w:left="160" w:right="161" w:firstLine="400"/>
      </w:pPr>
      <w:r>
        <w:rPr>
          <w:color w:val="231F20"/>
        </w:rPr>
        <w:t>Other expenses (income) include interest expense, capitalized interest, interest income, and other gains and losses. Interest expense for 2012 decreased by $47 million, or 24.2 percent, compared to 2011, primarily as a result of the Company’s repayment of its $400 million 10.5% notes in December 2011 and $385 million 6.5% notes in March 2012. For first quarter 2013, the Company expects interest expense to be comparable to fourth quarter 2012’s results. See Note 2 to the Consolidated Financial Statements.</w:t>
      </w:r>
    </w:p>
    <w:p>
      <w:pPr>
        <w:pStyle w:val="BodyText"/>
        <w:spacing w:before="10"/>
      </w:pPr>
    </w:p>
    <w:p>
      <w:pPr>
        <w:pStyle w:val="BodyText"/>
        <w:spacing w:line="249" w:lineRule="auto"/>
        <w:ind w:left="160" w:right="108" w:firstLine="400"/>
      </w:pPr>
      <w:r>
        <w:rPr>
          <w:color w:val="231F20"/>
        </w:rPr>
        <w:t>Capitalized interest for 2012 increased by $9 million, or 75.0 percent, compared to 2011, primarily due to an increase in average progress payment balances for scheduled future aircraft deliveries.</w:t>
      </w:r>
    </w:p>
    <w:p>
      <w:pPr>
        <w:pStyle w:val="BodyText"/>
        <w:spacing w:before="10"/>
      </w:pPr>
    </w:p>
    <w:p>
      <w:pPr>
        <w:pStyle w:val="BodyText"/>
        <w:spacing w:line="249" w:lineRule="auto"/>
        <w:ind w:left="160" w:right="119" w:firstLine="400"/>
      </w:pPr>
      <w:r>
        <w:rPr>
          <w:color w:val="231F20"/>
        </w:rPr>
        <w:t>Interest income for 2012 decreased by $3 million, or 30.0 percent, compared to 2011, primarily due to lower rates earned on invested cash and short-term investments.</w:t>
      </w:r>
    </w:p>
    <w:p>
      <w:pPr>
        <w:pStyle w:val="BodyText"/>
        <w:spacing w:before="10"/>
      </w:pPr>
    </w:p>
    <w:p>
      <w:pPr>
        <w:pStyle w:val="BodyText"/>
        <w:spacing w:line="249" w:lineRule="auto"/>
        <w:ind w:left="160" w:right="263" w:firstLine="40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2012 and 2011:</w:t>
      </w:r>
    </w:p>
    <w:p>
      <w:pPr>
        <w:pStyle w:val="BodyText"/>
        <w:spacing w:before="6"/>
        <w:rPr>
          <w:sz w:val="9"/>
        </w:rPr>
      </w:pPr>
    </w:p>
    <w:p>
      <w:pPr>
        <w:pStyle w:val="Heading3"/>
        <w:spacing w:before="91" w:after="39"/>
        <w:ind w:left="607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08"/>
        <w:gridCol w:w="972"/>
        <w:gridCol w:w="160"/>
        <w:gridCol w:w="1230"/>
      </w:tblGrid>
      <w:tr>
        <w:trPr>
          <w:trHeight w:val="248" w:hRule="exact"/>
        </w:trPr>
        <w:tc>
          <w:tcPr>
            <w:tcW w:w="6008" w:type="dxa"/>
            <w:tcBorders>
              <w:bottom w:val="single" w:sz="8" w:space="0" w:color="231F20"/>
            </w:tcBorders>
          </w:tcPr>
          <w:p>
            <w:pPr>
              <w:pStyle w:val="TableParagraph"/>
              <w:spacing w:line="221" w:lineRule="exact"/>
              <w:ind w:left="50"/>
              <w:jc w:val="left"/>
              <w:rPr>
                <w:sz w:val="20"/>
              </w:rPr>
            </w:pPr>
            <w:r>
              <w:rPr>
                <w:color w:val="231F20"/>
                <w:sz w:val="20"/>
              </w:rPr>
              <w:t>(in millions)</w:t>
            </w:r>
          </w:p>
        </w:tc>
        <w:tc>
          <w:tcPr>
            <w:tcW w:w="972" w:type="dxa"/>
            <w:tcBorders>
              <w:bottom w:val="single" w:sz="8" w:space="0" w:color="231F20"/>
            </w:tcBorders>
          </w:tcPr>
          <w:p>
            <w:pPr>
              <w:pStyle w:val="TableParagraph"/>
              <w:spacing w:line="221" w:lineRule="exact"/>
              <w:ind w:left="157"/>
              <w:jc w:val="left"/>
              <w:rPr>
                <w:b/>
                <w:sz w:val="20"/>
              </w:rPr>
            </w:pPr>
            <w:r>
              <w:rPr>
                <w:b/>
                <w:color w:val="231F20"/>
                <w:sz w:val="20"/>
              </w:rPr>
              <w:t>2012</w:t>
            </w:r>
          </w:p>
        </w:tc>
        <w:tc>
          <w:tcPr>
            <w:tcW w:w="160" w:type="dxa"/>
            <w:tcBorders>
              <w:bottom w:val="single" w:sz="8" w:space="0" w:color="231F20"/>
            </w:tcBorders>
          </w:tcPr>
          <w:p>
            <w:pPr/>
          </w:p>
        </w:tc>
        <w:tc>
          <w:tcPr>
            <w:tcW w:w="1230" w:type="dxa"/>
            <w:tcBorders>
              <w:bottom w:val="single" w:sz="8" w:space="0" w:color="231F20"/>
            </w:tcBorders>
          </w:tcPr>
          <w:p>
            <w:pPr>
              <w:pStyle w:val="TableParagraph"/>
              <w:spacing w:line="221" w:lineRule="exact"/>
              <w:ind w:left="395" w:right="395"/>
              <w:jc w:val="center"/>
              <w:rPr>
                <w:b/>
                <w:sz w:val="20"/>
              </w:rPr>
            </w:pPr>
            <w:r>
              <w:rPr>
                <w:b/>
                <w:color w:val="231F20"/>
                <w:sz w:val="20"/>
              </w:rPr>
              <w:t>2011</w:t>
            </w:r>
          </w:p>
        </w:tc>
      </w:tr>
      <w:tr>
        <w:trPr>
          <w:trHeight w:val="484" w:hRule="exact"/>
        </w:trPr>
        <w:tc>
          <w:tcPr>
            <w:tcW w:w="6008"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72" w:type="dxa"/>
            <w:tcBorders>
              <w:top w:val="single" w:sz="8" w:space="0" w:color="231F20"/>
            </w:tcBorders>
          </w:tcPr>
          <w:p>
            <w:pPr/>
          </w:p>
        </w:tc>
        <w:tc>
          <w:tcPr>
            <w:tcW w:w="160" w:type="dxa"/>
            <w:tcBorders>
              <w:top w:val="single" w:sz="8" w:space="0" w:color="231F20"/>
            </w:tcBorders>
          </w:tcPr>
          <w:p>
            <w:pPr/>
          </w:p>
        </w:tc>
        <w:tc>
          <w:tcPr>
            <w:tcW w:w="1230" w:type="dxa"/>
            <w:tcBorders>
              <w:top w:val="single" w:sz="8" w:space="0" w:color="231F20"/>
            </w:tcBorders>
          </w:tcPr>
          <w:p>
            <w:pPr/>
          </w:p>
        </w:tc>
      </w:tr>
      <w:tr>
        <w:trPr>
          <w:trHeight w:val="240" w:hRule="exact"/>
        </w:trPr>
        <w:tc>
          <w:tcPr>
            <w:tcW w:w="6008" w:type="dxa"/>
          </w:tcPr>
          <w:p>
            <w:pPr>
              <w:pStyle w:val="TableParagraph"/>
              <w:spacing w:line="229" w:lineRule="exact"/>
              <w:ind w:right="155"/>
              <w:rPr>
                <w:sz w:val="20"/>
              </w:rPr>
            </w:pPr>
            <w:r>
              <w:rPr>
                <w:color w:val="231F20"/>
                <w:sz w:val="20"/>
              </w:rPr>
              <w:t>periods . . . . . . . . . . . . . . . . . . . . . . . . . . . . . . . . . . . . . . . . . . . . . . . .  $</w:t>
            </w:r>
          </w:p>
        </w:tc>
        <w:tc>
          <w:tcPr>
            <w:tcW w:w="972" w:type="dxa"/>
          </w:tcPr>
          <w:p>
            <w:pPr>
              <w:pStyle w:val="TableParagraph"/>
              <w:spacing w:line="229" w:lineRule="exact"/>
              <w:ind w:right="11"/>
              <w:rPr>
                <w:sz w:val="20"/>
              </w:rPr>
            </w:pPr>
            <w:r>
              <w:rPr>
                <w:color w:val="231F20"/>
                <w:sz w:val="20"/>
              </w:rPr>
              <w:t>(221)</w:t>
            </w:r>
          </w:p>
        </w:tc>
        <w:tc>
          <w:tcPr>
            <w:tcW w:w="160" w:type="dxa"/>
          </w:tcPr>
          <w:p>
            <w:pPr/>
          </w:p>
        </w:tc>
        <w:tc>
          <w:tcPr>
            <w:tcW w:w="1230" w:type="dxa"/>
          </w:tcPr>
          <w:p>
            <w:pPr>
              <w:pStyle w:val="TableParagraph"/>
              <w:tabs>
                <w:tab w:pos="949" w:val="left" w:leader="none"/>
              </w:tabs>
              <w:spacing w:line="229" w:lineRule="exact"/>
              <w:ind w:right="79"/>
              <w:rPr>
                <w:sz w:val="20"/>
              </w:rPr>
            </w:pPr>
            <w:r>
              <w:rPr>
                <w:color w:val="231F20"/>
                <w:sz w:val="20"/>
              </w:rPr>
              <w:t>$</w:t>
              <w:tab/>
              <w:t>21</w:t>
            </w:r>
          </w:p>
        </w:tc>
      </w:tr>
      <w:tr>
        <w:trPr>
          <w:trHeight w:val="240" w:hRule="exact"/>
        </w:trPr>
        <w:tc>
          <w:tcPr>
            <w:tcW w:w="6008" w:type="dxa"/>
          </w:tcPr>
          <w:p>
            <w:pPr>
              <w:pStyle w:val="TableParagraph"/>
              <w:spacing w:line="229" w:lineRule="exact"/>
              <w:ind w:left="50"/>
              <w:jc w:val="left"/>
              <w:rPr>
                <w:sz w:val="20"/>
              </w:rPr>
            </w:pPr>
            <w:r>
              <w:rPr>
                <w:color w:val="231F20"/>
                <w:sz w:val="20"/>
              </w:rPr>
              <w:t>Ineffectiveness from fuel hedges settling in future periods  . . . . . . . . . </w:t>
            </w:r>
          </w:p>
        </w:tc>
        <w:tc>
          <w:tcPr>
            <w:tcW w:w="972" w:type="dxa"/>
          </w:tcPr>
          <w:p>
            <w:pPr>
              <w:pStyle w:val="TableParagraph"/>
              <w:spacing w:line="229" w:lineRule="exact"/>
              <w:ind w:right="79"/>
              <w:rPr>
                <w:sz w:val="20"/>
              </w:rPr>
            </w:pPr>
            <w:r>
              <w:rPr>
                <w:color w:val="231F20"/>
                <w:sz w:val="20"/>
              </w:rPr>
              <w:t>42</w:t>
            </w:r>
          </w:p>
        </w:tc>
        <w:tc>
          <w:tcPr>
            <w:tcW w:w="160" w:type="dxa"/>
          </w:tcPr>
          <w:p>
            <w:pPr/>
          </w:p>
        </w:tc>
        <w:tc>
          <w:tcPr>
            <w:tcW w:w="1230" w:type="dxa"/>
          </w:tcPr>
          <w:p>
            <w:pPr>
              <w:pStyle w:val="TableParagraph"/>
              <w:spacing w:line="229" w:lineRule="exact"/>
              <w:ind w:right="79"/>
              <w:rPr>
                <w:sz w:val="20"/>
              </w:rPr>
            </w:pPr>
            <w:r>
              <w:rPr>
                <w:color w:val="231F20"/>
                <w:sz w:val="20"/>
              </w:rPr>
              <w:t>33</w:t>
            </w:r>
          </w:p>
        </w:tc>
      </w:tr>
      <w:tr>
        <w:trPr>
          <w:trHeight w:val="240" w:hRule="exact"/>
        </w:trPr>
        <w:tc>
          <w:tcPr>
            <w:tcW w:w="6008" w:type="dxa"/>
          </w:tcPr>
          <w:p>
            <w:pPr>
              <w:pStyle w:val="TableParagraph"/>
              <w:spacing w:line="229" w:lineRule="exact"/>
              <w:ind w:left="50"/>
              <w:jc w:val="left"/>
              <w:rPr>
                <w:sz w:val="20"/>
              </w:rPr>
            </w:pPr>
            <w:r>
              <w:rPr>
                <w:color w:val="231F20"/>
                <w:sz w:val="20"/>
              </w:rPr>
              <w:t>Realized ineffectiveness and mark-to-market (gains) or losses  . . . . . . </w:t>
            </w:r>
          </w:p>
        </w:tc>
        <w:tc>
          <w:tcPr>
            <w:tcW w:w="972" w:type="dxa"/>
          </w:tcPr>
          <w:p>
            <w:pPr>
              <w:pStyle w:val="TableParagraph"/>
              <w:spacing w:line="229" w:lineRule="exact"/>
              <w:ind w:right="11"/>
              <w:rPr>
                <w:sz w:val="20"/>
              </w:rPr>
            </w:pPr>
            <w:r>
              <w:rPr>
                <w:color w:val="231F20"/>
                <w:sz w:val="20"/>
              </w:rPr>
              <w:t>(42)</w:t>
            </w:r>
          </w:p>
        </w:tc>
        <w:tc>
          <w:tcPr>
            <w:tcW w:w="160" w:type="dxa"/>
          </w:tcPr>
          <w:p>
            <w:pPr/>
          </w:p>
        </w:tc>
        <w:tc>
          <w:tcPr>
            <w:tcW w:w="1230" w:type="dxa"/>
          </w:tcPr>
          <w:p>
            <w:pPr>
              <w:pStyle w:val="TableParagraph"/>
              <w:spacing w:line="229" w:lineRule="exact"/>
              <w:ind w:right="79"/>
              <w:rPr>
                <w:sz w:val="20"/>
              </w:rPr>
            </w:pPr>
            <w:r>
              <w:rPr>
                <w:color w:val="231F20"/>
                <w:sz w:val="20"/>
              </w:rPr>
              <w:t>35</w:t>
            </w:r>
          </w:p>
        </w:tc>
      </w:tr>
      <w:tr>
        <w:trPr>
          <w:trHeight w:val="240" w:hRule="exact"/>
        </w:trPr>
        <w:tc>
          <w:tcPr>
            <w:tcW w:w="6008" w:type="dxa"/>
          </w:tcPr>
          <w:p>
            <w:pPr>
              <w:pStyle w:val="TableParagraph"/>
              <w:spacing w:line="229" w:lineRule="exact"/>
              <w:ind w:left="50"/>
              <w:jc w:val="left"/>
              <w:rPr>
                <w:sz w:val="20"/>
              </w:rPr>
            </w:pPr>
            <w:r>
              <w:rPr>
                <w:color w:val="231F20"/>
                <w:sz w:val="20"/>
              </w:rPr>
              <w:t>Premium cost of fuel contracts  . . . . . . . . . . . . . . . . . . . . . . . . . . . . . . . </w:t>
            </w:r>
          </w:p>
        </w:tc>
        <w:tc>
          <w:tcPr>
            <w:tcW w:w="972" w:type="dxa"/>
          </w:tcPr>
          <w:p>
            <w:pPr>
              <w:pStyle w:val="TableParagraph"/>
              <w:spacing w:line="229" w:lineRule="exact"/>
              <w:ind w:right="79"/>
              <w:rPr>
                <w:sz w:val="20"/>
              </w:rPr>
            </w:pPr>
            <w:r>
              <w:rPr>
                <w:color w:val="231F20"/>
                <w:sz w:val="20"/>
              </w:rPr>
              <w:t>36</w:t>
            </w:r>
          </w:p>
        </w:tc>
        <w:tc>
          <w:tcPr>
            <w:tcW w:w="160" w:type="dxa"/>
          </w:tcPr>
          <w:p>
            <w:pPr/>
          </w:p>
        </w:tc>
        <w:tc>
          <w:tcPr>
            <w:tcW w:w="1230" w:type="dxa"/>
          </w:tcPr>
          <w:p>
            <w:pPr>
              <w:pStyle w:val="TableParagraph"/>
              <w:spacing w:line="229" w:lineRule="exact"/>
              <w:ind w:right="79"/>
              <w:rPr>
                <w:sz w:val="20"/>
              </w:rPr>
            </w:pPr>
            <w:r>
              <w:rPr>
                <w:color w:val="231F20"/>
                <w:sz w:val="20"/>
              </w:rPr>
              <w:t>107</w:t>
            </w:r>
          </w:p>
        </w:tc>
      </w:tr>
      <w:tr>
        <w:trPr>
          <w:trHeight w:val="261" w:hRule="exact"/>
        </w:trPr>
        <w:tc>
          <w:tcPr>
            <w:tcW w:w="6008" w:type="dxa"/>
          </w:tcPr>
          <w:p>
            <w:pPr>
              <w:pStyle w:val="TableParagraph"/>
              <w:spacing w:line="229" w:lineRule="exact"/>
              <w:ind w:left="50"/>
              <w:jc w:val="left"/>
              <w:rPr>
                <w:sz w:val="20"/>
              </w:rPr>
            </w:pPr>
            <w:r>
              <w:rPr>
                <w:color w:val="231F20"/>
                <w:sz w:val="20"/>
              </w:rPr>
              <w:t>Other  . . . . . . . . . . . . . . . . . . . . . . . . . . . . . . . . . . . . . . . . . . . . . . . . . . . </w:t>
            </w:r>
          </w:p>
        </w:tc>
        <w:tc>
          <w:tcPr>
            <w:tcW w:w="972" w:type="dxa"/>
            <w:tcBorders>
              <w:bottom w:val="single" w:sz="4" w:space="0" w:color="231F20"/>
            </w:tcBorders>
          </w:tcPr>
          <w:p>
            <w:pPr>
              <w:pStyle w:val="TableParagraph"/>
              <w:spacing w:line="229" w:lineRule="exact"/>
              <w:ind w:right="79"/>
              <w:rPr>
                <w:sz w:val="20"/>
              </w:rPr>
            </w:pPr>
            <w:r>
              <w:rPr>
                <w:color w:val="231F20"/>
                <w:sz w:val="20"/>
              </w:rPr>
              <w:t>4</w:t>
            </w:r>
          </w:p>
        </w:tc>
        <w:tc>
          <w:tcPr>
            <w:tcW w:w="160" w:type="dxa"/>
          </w:tcPr>
          <w:p>
            <w:pPr/>
          </w:p>
        </w:tc>
        <w:tc>
          <w:tcPr>
            <w:tcW w:w="1230" w:type="dxa"/>
            <w:tcBorders>
              <w:bottom w:val="single" w:sz="4" w:space="0" w:color="231F20"/>
            </w:tcBorders>
          </w:tcPr>
          <w:p>
            <w:pPr>
              <w:pStyle w:val="TableParagraph"/>
              <w:spacing w:line="229" w:lineRule="exact"/>
              <w:ind w:right="79"/>
              <w:rPr>
                <w:sz w:val="20"/>
              </w:rPr>
            </w:pPr>
            <w:r>
              <w:rPr>
                <w:color w:val="231F20"/>
                <w:sz w:val="20"/>
              </w:rPr>
              <w:t>2</w:t>
            </w:r>
          </w:p>
        </w:tc>
      </w:tr>
      <w:tr>
        <w:trPr>
          <w:trHeight w:val="288" w:hRule="exact"/>
        </w:trPr>
        <w:tc>
          <w:tcPr>
            <w:tcW w:w="6008" w:type="dxa"/>
          </w:tcPr>
          <w:p>
            <w:pPr>
              <w:pStyle w:val="TableParagraph"/>
              <w:spacing w:before="58"/>
              <w:ind w:right="155"/>
              <w:rPr>
                <w:sz w:val="20"/>
              </w:rPr>
            </w:pPr>
            <w:r>
              <w:rPr>
                <w:color w:val="231F20"/>
                <w:sz w:val="20"/>
              </w:rPr>
              <w:t>$</w:t>
            </w:r>
          </w:p>
        </w:tc>
        <w:tc>
          <w:tcPr>
            <w:tcW w:w="972" w:type="dxa"/>
            <w:tcBorders>
              <w:top w:val="single" w:sz="4" w:space="0" w:color="231F20"/>
            </w:tcBorders>
          </w:tcPr>
          <w:p>
            <w:pPr>
              <w:pStyle w:val="TableParagraph"/>
              <w:spacing w:before="53"/>
              <w:ind w:right="11"/>
              <w:rPr>
                <w:sz w:val="20"/>
              </w:rPr>
            </w:pPr>
            <w:r>
              <w:rPr>
                <w:color w:val="231F20"/>
                <w:sz w:val="20"/>
              </w:rPr>
              <w:t>(181)</w:t>
            </w:r>
          </w:p>
        </w:tc>
        <w:tc>
          <w:tcPr>
            <w:tcW w:w="160" w:type="dxa"/>
          </w:tcPr>
          <w:p>
            <w:pPr/>
          </w:p>
        </w:tc>
        <w:tc>
          <w:tcPr>
            <w:tcW w:w="1230" w:type="dxa"/>
            <w:tcBorders>
              <w:top w:val="single" w:sz="4" w:space="0" w:color="231F20"/>
            </w:tcBorders>
          </w:tcPr>
          <w:p>
            <w:pPr>
              <w:pStyle w:val="TableParagraph"/>
              <w:tabs>
                <w:tab w:pos="849" w:val="left" w:leader="none"/>
              </w:tabs>
              <w:spacing w:before="53"/>
              <w:ind w:right="79"/>
              <w:rPr>
                <w:sz w:val="20"/>
              </w:rPr>
            </w:pPr>
            <w:r>
              <w:rPr>
                <w:color w:val="231F20"/>
                <w:sz w:val="20"/>
              </w:rPr>
              <w:t>$</w:t>
              <w:tab/>
              <w:t>198</w:t>
            </w:r>
          </w:p>
        </w:tc>
      </w:tr>
    </w:tbl>
    <w:p>
      <w:pPr>
        <w:pStyle w:val="BodyText"/>
        <w:spacing w:before="2"/>
        <w:rPr>
          <w:b/>
          <w:sz w:val="32"/>
        </w:rPr>
      </w:pPr>
    </w:p>
    <w:p>
      <w:pPr>
        <w:spacing w:before="0"/>
        <w:ind w:left="360" w:right="0" w:firstLine="0"/>
        <w:jc w:val="left"/>
        <w:rPr>
          <w:b/>
          <w:sz w:val="20"/>
        </w:rPr>
      </w:pPr>
      <w:r>
        <w:rPr>
          <w:b/>
          <w:color w:val="231F20"/>
          <w:sz w:val="20"/>
        </w:rPr>
        <w:t>Income taxes</w:t>
      </w:r>
    </w:p>
    <w:p>
      <w:pPr>
        <w:pStyle w:val="BodyText"/>
        <w:spacing w:line="249" w:lineRule="auto" w:before="130"/>
        <w:ind w:left="160" w:right="198" w:firstLine="400"/>
      </w:pPr>
      <w:r>
        <w:rPr>
          <w:color w:val="231F20"/>
        </w:rPr>
        <w:t>The</w:t>
      </w:r>
      <w:r>
        <w:rPr>
          <w:color w:val="231F20"/>
          <w:spacing w:val="-12"/>
        </w:rPr>
        <w:t> </w:t>
      </w:r>
      <w:r>
        <w:rPr>
          <w:color w:val="231F20"/>
        </w:rPr>
        <w:t>Company’s</w:t>
      </w:r>
      <w:r>
        <w:rPr>
          <w:color w:val="231F20"/>
          <w:spacing w:val="-12"/>
        </w:rPr>
        <w:t> </w:t>
      </w:r>
      <w:r>
        <w:rPr>
          <w:color w:val="231F20"/>
        </w:rPr>
        <w:t>effective</w:t>
      </w:r>
      <w:r>
        <w:rPr>
          <w:color w:val="231F20"/>
          <w:spacing w:val="-12"/>
        </w:rPr>
        <w:t> </w:t>
      </w:r>
      <w:r>
        <w:rPr>
          <w:color w:val="231F20"/>
        </w:rPr>
        <w:t>tax</w:t>
      </w:r>
      <w:r>
        <w:rPr>
          <w:color w:val="231F20"/>
          <w:spacing w:val="-12"/>
        </w:rPr>
        <w:t> </w:t>
      </w:r>
      <w:r>
        <w:rPr>
          <w:color w:val="231F20"/>
        </w:rPr>
        <w:t>rate</w:t>
      </w:r>
      <w:r>
        <w:rPr>
          <w:color w:val="231F20"/>
          <w:spacing w:val="-12"/>
        </w:rPr>
        <w:t> </w:t>
      </w:r>
      <w:r>
        <w:rPr>
          <w:color w:val="231F20"/>
        </w:rPr>
        <w:t>was</w:t>
      </w:r>
      <w:r>
        <w:rPr>
          <w:color w:val="231F20"/>
          <w:spacing w:val="-12"/>
        </w:rPr>
        <w:t> </w:t>
      </w:r>
      <w:r>
        <w:rPr>
          <w:color w:val="231F20"/>
        </w:rPr>
        <w:t>approximately</w:t>
      </w:r>
      <w:r>
        <w:rPr>
          <w:color w:val="231F20"/>
          <w:spacing w:val="-12"/>
        </w:rPr>
        <w:t> </w:t>
      </w:r>
      <w:r>
        <w:rPr>
          <w:color w:val="231F20"/>
        </w:rPr>
        <w:t>39</w:t>
      </w:r>
      <w:r>
        <w:rPr>
          <w:color w:val="231F20"/>
          <w:spacing w:val="-12"/>
        </w:rPr>
        <w:t> </w:t>
      </w:r>
      <w:r>
        <w:rPr>
          <w:color w:val="231F20"/>
        </w:rPr>
        <w:t>percent</w:t>
      </w:r>
      <w:r>
        <w:rPr>
          <w:color w:val="231F20"/>
          <w:spacing w:val="-12"/>
        </w:rPr>
        <w:t> </w:t>
      </w:r>
      <w:r>
        <w:rPr>
          <w:color w:val="231F20"/>
        </w:rPr>
        <w:t>for</w:t>
      </w:r>
      <w:r>
        <w:rPr>
          <w:color w:val="231F20"/>
          <w:spacing w:val="-12"/>
        </w:rPr>
        <w:t> </w:t>
      </w:r>
      <w:r>
        <w:rPr>
          <w:color w:val="231F20"/>
        </w:rPr>
        <w:t>2012,</w:t>
      </w:r>
      <w:r>
        <w:rPr>
          <w:color w:val="231F20"/>
          <w:spacing w:val="-12"/>
        </w:rPr>
        <w:t> </w:t>
      </w:r>
      <w:r>
        <w:rPr>
          <w:color w:val="231F20"/>
        </w:rPr>
        <w:t>compared</w:t>
      </w:r>
      <w:r>
        <w:rPr>
          <w:color w:val="231F20"/>
          <w:spacing w:val="-12"/>
        </w:rPr>
        <w:t> </w:t>
      </w:r>
      <w:r>
        <w:rPr>
          <w:color w:val="231F20"/>
        </w:rPr>
        <w:t>to</w:t>
      </w:r>
      <w:r>
        <w:rPr>
          <w:color w:val="231F20"/>
          <w:spacing w:val="-12"/>
        </w:rPr>
        <w:t> </w:t>
      </w:r>
      <w:r>
        <w:rPr>
          <w:color w:val="231F20"/>
        </w:rPr>
        <w:t>45</w:t>
      </w:r>
      <w:r>
        <w:rPr>
          <w:color w:val="231F20"/>
          <w:spacing w:val="-12"/>
        </w:rPr>
        <w:t> </w:t>
      </w:r>
      <w:r>
        <w:rPr>
          <w:color w:val="231F20"/>
        </w:rPr>
        <w:t>percent</w:t>
      </w:r>
      <w:r>
        <w:rPr>
          <w:color w:val="231F20"/>
          <w:spacing w:val="-12"/>
        </w:rPr>
        <w:t> </w:t>
      </w:r>
      <w:r>
        <w:rPr>
          <w:color w:val="231F20"/>
        </w:rPr>
        <w:t>for</w:t>
      </w:r>
      <w:r>
        <w:rPr>
          <w:color w:val="231F20"/>
          <w:spacing w:val="-12"/>
        </w:rPr>
        <w:t> </w:t>
      </w:r>
      <w:r>
        <w:rPr>
          <w:color w:val="231F20"/>
        </w:rPr>
        <w:t>2011. The</w:t>
      </w:r>
      <w:r>
        <w:rPr>
          <w:color w:val="231F20"/>
          <w:spacing w:val="-12"/>
        </w:rPr>
        <w:t> </w:t>
      </w:r>
      <w:r>
        <w:rPr>
          <w:color w:val="231F20"/>
        </w:rPr>
        <w:t>lower</w:t>
      </w:r>
      <w:r>
        <w:rPr>
          <w:color w:val="231F20"/>
          <w:spacing w:val="-12"/>
        </w:rPr>
        <w:t> </w:t>
      </w:r>
      <w:r>
        <w:rPr>
          <w:color w:val="231F20"/>
        </w:rPr>
        <w:t>rate</w:t>
      </w:r>
      <w:r>
        <w:rPr>
          <w:color w:val="231F20"/>
          <w:spacing w:val="-12"/>
        </w:rPr>
        <w:t> </w:t>
      </w:r>
      <w:r>
        <w:rPr>
          <w:color w:val="231F20"/>
        </w:rPr>
        <w:t>for</w:t>
      </w:r>
      <w:r>
        <w:rPr>
          <w:color w:val="231F20"/>
          <w:spacing w:val="-12"/>
        </w:rPr>
        <w:t> </w:t>
      </w:r>
      <w:r>
        <w:rPr>
          <w:color w:val="231F20"/>
        </w:rPr>
        <w:t>2012</w:t>
      </w:r>
      <w:r>
        <w:rPr>
          <w:color w:val="231F20"/>
          <w:spacing w:val="-12"/>
        </w:rPr>
        <w:t> </w:t>
      </w:r>
      <w:r>
        <w:rPr>
          <w:color w:val="231F20"/>
        </w:rPr>
        <w:t>primarily</w:t>
      </w:r>
      <w:r>
        <w:rPr>
          <w:color w:val="231F20"/>
          <w:spacing w:val="-12"/>
        </w:rPr>
        <w:t> </w:t>
      </w:r>
      <w:r>
        <w:rPr>
          <w:color w:val="231F20"/>
        </w:rPr>
        <w:t>was</w:t>
      </w:r>
      <w:r>
        <w:rPr>
          <w:color w:val="231F20"/>
          <w:spacing w:val="-12"/>
        </w:rPr>
        <w:t> </w:t>
      </w:r>
      <w:r>
        <w:rPr>
          <w:color w:val="231F20"/>
        </w:rPr>
        <w:t>driven</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higher</w:t>
      </w:r>
      <w:r>
        <w:rPr>
          <w:color w:val="231F20"/>
          <w:spacing w:val="-12"/>
        </w:rPr>
        <w:t> </w:t>
      </w:r>
      <w:r>
        <w:rPr>
          <w:color w:val="231F20"/>
        </w:rPr>
        <w:t>2012</w:t>
      </w:r>
      <w:r>
        <w:rPr>
          <w:color w:val="231F20"/>
          <w:spacing w:val="-12"/>
        </w:rPr>
        <w:t> </w:t>
      </w:r>
      <w:r>
        <w:rPr>
          <w:color w:val="231F20"/>
        </w:rPr>
        <w:t>income</w:t>
      </w:r>
      <w:r>
        <w:rPr>
          <w:color w:val="231F20"/>
          <w:spacing w:val="-12"/>
        </w:rPr>
        <w:t> </w:t>
      </w:r>
      <w:r>
        <w:rPr>
          <w:color w:val="231F20"/>
        </w:rPr>
        <w:t>before</w:t>
      </w:r>
      <w:r>
        <w:rPr>
          <w:color w:val="231F20"/>
          <w:spacing w:val="-12"/>
        </w:rPr>
        <w:t> </w:t>
      </w:r>
      <w:r>
        <w:rPr>
          <w:color w:val="231F20"/>
        </w:rPr>
        <w:t>taxes</w:t>
      </w:r>
      <w:r>
        <w:rPr>
          <w:color w:val="231F20"/>
          <w:spacing w:val="-12"/>
        </w:rPr>
        <w:t> </w:t>
      </w:r>
      <w:r>
        <w:rPr>
          <w:color w:val="231F20"/>
        </w:rPr>
        <w:t>(thus</w:t>
      </w:r>
      <w:r>
        <w:rPr>
          <w:color w:val="231F20"/>
          <w:spacing w:val="-12"/>
        </w:rPr>
        <w:t> </w:t>
      </w:r>
      <w:r>
        <w:rPr>
          <w:color w:val="231F20"/>
        </w:rPr>
        <w:t>diluting</w:t>
      </w:r>
      <w:r>
        <w:rPr>
          <w:color w:val="231F20"/>
          <w:spacing w:val="-12"/>
        </w:rPr>
        <w:t> </w:t>
      </w:r>
      <w:r>
        <w:rPr>
          <w:color w:val="231F20"/>
          <w:spacing w:val="-2"/>
        </w:rPr>
        <w:t>the </w:t>
      </w:r>
      <w:r>
        <w:rPr>
          <w:color w:val="231F20"/>
        </w:rPr>
        <w:t>impact of permanent tax differences), a portion of acquisition-related costs being non-deductible in 2011, </w:t>
      </w:r>
      <w:r>
        <w:rPr>
          <w:color w:val="231F20"/>
          <w:spacing w:val="-2"/>
        </w:rPr>
        <w:t>and </w:t>
      </w:r>
      <w:r>
        <w:rPr>
          <w:color w:val="231F20"/>
        </w:rPr>
        <w:t>additional</w:t>
      </w:r>
      <w:r>
        <w:rPr>
          <w:color w:val="231F20"/>
          <w:spacing w:val="-11"/>
        </w:rPr>
        <w:t> </w:t>
      </w:r>
      <w:r>
        <w:rPr>
          <w:color w:val="231F20"/>
        </w:rPr>
        <w:t>income</w:t>
      </w:r>
      <w:r>
        <w:rPr>
          <w:color w:val="231F20"/>
          <w:spacing w:val="-11"/>
        </w:rPr>
        <w:t> </w:t>
      </w:r>
      <w:r>
        <w:rPr>
          <w:color w:val="231F20"/>
        </w:rPr>
        <w:t>tax</w:t>
      </w:r>
      <w:r>
        <w:rPr>
          <w:color w:val="231F20"/>
          <w:spacing w:val="-11"/>
        </w:rPr>
        <w:t> </w:t>
      </w:r>
      <w:r>
        <w:rPr>
          <w:color w:val="231F20"/>
        </w:rPr>
        <w:t>expense</w:t>
      </w:r>
      <w:r>
        <w:rPr>
          <w:color w:val="231F20"/>
          <w:spacing w:val="-11"/>
        </w:rPr>
        <w:t> </w:t>
      </w:r>
      <w:r>
        <w:rPr>
          <w:color w:val="231F20"/>
        </w:rPr>
        <w:t>of</w:t>
      </w:r>
      <w:r>
        <w:rPr>
          <w:color w:val="231F20"/>
          <w:spacing w:val="-11"/>
        </w:rPr>
        <w:t> </w:t>
      </w:r>
      <w:r>
        <w:rPr>
          <w:color w:val="231F20"/>
        </w:rPr>
        <w:t>$5</w:t>
      </w:r>
      <w:r>
        <w:rPr>
          <w:color w:val="231F20"/>
          <w:spacing w:val="-11"/>
        </w:rPr>
        <w:t> </w:t>
      </w:r>
      <w:r>
        <w:rPr>
          <w:color w:val="231F20"/>
        </w:rPr>
        <w:t>million</w:t>
      </w:r>
      <w:r>
        <w:rPr>
          <w:color w:val="231F20"/>
          <w:spacing w:val="-11"/>
        </w:rPr>
        <w:t> </w:t>
      </w:r>
      <w:r>
        <w:rPr>
          <w:color w:val="231F20"/>
        </w:rPr>
        <w:t>in</w:t>
      </w:r>
      <w:r>
        <w:rPr>
          <w:color w:val="231F20"/>
          <w:spacing w:val="-11"/>
        </w:rPr>
        <w:t> </w:t>
      </w:r>
      <w:r>
        <w:rPr>
          <w:color w:val="231F20"/>
        </w:rPr>
        <w:t>2011</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result</w:t>
      </w:r>
      <w:r>
        <w:rPr>
          <w:color w:val="231F20"/>
          <w:spacing w:val="-11"/>
        </w:rPr>
        <w:t> </w:t>
      </w:r>
      <w:r>
        <w:rPr>
          <w:color w:val="231F20"/>
        </w:rPr>
        <w:t>of</w:t>
      </w:r>
      <w:r>
        <w:rPr>
          <w:color w:val="231F20"/>
          <w:spacing w:val="-11"/>
        </w:rPr>
        <w:t> </w:t>
      </w:r>
      <w:r>
        <w:rPr>
          <w:color w:val="231F20"/>
        </w:rPr>
        <w:t>an</w:t>
      </w:r>
      <w:r>
        <w:rPr>
          <w:color w:val="231F20"/>
          <w:spacing w:val="-11"/>
        </w:rPr>
        <w:t> </w:t>
      </w:r>
      <w:r>
        <w:rPr>
          <w:color w:val="231F20"/>
        </w:rPr>
        <w:t>IRS</w:t>
      </w:r>
      <w:r>
        <w:rPr>
          <w:color w:val="231F20"/>
          <w:spacing w:val="-12"/>
        </w:rPr>
        <w:t> </w:t>
      </w:r>
      <w:r>
        <w:rPr>
          <w:color w:val="231F20"/>
        </w:rPr>
        <w:t>settlement</w:t>
      </w:r>
      <w:r>
        <w:rPr>
          <w:color w:val="231F20"/>
          <w:spacing w:val="-11"/>
        </w:rPr>
        <w:t> </w:t>
      </w:r>
      <w:r>
        <w:rPr>
          <w:color w:val="231F20"/>
        </w:rPr>
        <w:t>agreed</w:t>
      </w:r>
      <w:r>
        <w:rPr>
          <w:color w:val="231F20"/>
          <w:spacing w:val="-11"/>
        </w:rPr>
        <w:t> </w:t>
      </w:r>
      <w:r>
        <w:rPr>
          <w:color w:val="231F20"/>
        </w:rPr>
        <w:t>to</w:t>
      </w:r>
      <w:r>
        <w:rPr>
          <w:color w:val="231F20"/>
          <w:spacing w:val="-11"/>
        </w:rPr>
        <w:t> </w:t>
      </w:r>
      <w:r>
        <w:rPr>
          <w:color w:val="231F20"/>
        </w:rPr>
        <w:t>in</w:t>
      </w:r>
      <w:r>
        <w:rPr>
          <w:color w:val="231F20"/>
          <w:spacing w:val="-11"/>
        </w:rPr>
        <w:t> </w:t>
      </w:r>
      <w:r>
        <w:rPr>
          <w:color w:val="231F20"/>
        </w:rPr>
        <w:t>first</w:t>
      </w:r>
      <w:r>
        <w:rPr>
          <w:color w:val="231F20"/>
          <w:spacing w:val="-11"/>
        </w:rPr>
        <w:t> </w:t>
      </w:r>
      <w:r>
        <w:rPr>
          <w:color w:val="231F20"/>
        </w:rPr>
        <w:t>quarter</w:t>
      </w:r>
      <w:r>
        <w:rPr>
          <w:color w:val="231F20"/>
          <w:spacing w:val="-11"/>
        </w:rPr>
        <w:t> </w:t>
      </w:r>
      <w:r>
        <w:rPr>
          <w:color w:val="231F20"/>
        </w:rPr>
        <w:t>2011 related to tax years 2007 through 2009. On a non-GAAP basis, the Company currently projects a full year 2013 effective tax rate of approximately 38 to 40 percent based on currently forecasted financial results. However, </w:t>
      </w:r>
      <w:r>
        <w:rPr>
          <w:color w:val="231F20"/>
          <w:spacing w:val="-2"/>
        </w:rPr>
        <w:t>the </w:t>
      </w:r>
      <w:r>
        <w:rPr>
          <w:color w:val="231F20"/>
        </w:rPr>
        <w:t>Company’s</w:t>
      </w:r>
      <w:r>
        <w:rPr>
          <w:color w:val="231F20"/>
          <w:spacing w:val="-15"/>
        </w:rPr>
        <w:t> </w:t>
      </w:r>
      <w:r>
        <w:rPr>
          <w:color w:val="231F20"/>
        </w:rPr>
        <w:t>effective</w:t>
      </w:r>
      <w:r>
        <w:rPr>
          <w:color w:val="231F20"/>
          <w:spacing w:val="-15"/>
        </w:rPr>
        <w:t> </w:t>
      </w:r>
      <w:r>
        <w:rPr>
          <w:color w:val="231F20"/>
        </w:rPr>
        <w:t>tax</w:t>
      </w:r>
      <w:r>
        <w:rPr>
          <w:color w:val="231F20"/>
          <w:spacing w:val="-15"/>
        </w:rPr>
        <w:t> </w:t>
      </w:r>
      <w:r>
        <w:rPr>
          <w:color w:val="231F20"/>
        </w:rPr>
        <w:t>rate</w:t>
      </w:r>
      <w:r>
        <w:rPr>
          <w:color w:val="231F20"/>
          <w:spacing w:val="-15"/>
        </w:rPr>
        <w:t> </w:t>
      </w:r>
      <w:r>
        <w:rPr>
          <w:color w:val="231F20"/>
        </w:rPr>
        <w:t>during</w:t>
      </w:r>
      <w:r>
        <w:rPr>
          <w:color w:val="231F20"/>
          <w:spacing w:val="-15"/>
        </w:rPr>
        <w:t> </w:t>
      </w:r>
      <w:r>
        <w:rPr>
          <w:color w:val="231F20"/>
        </w:rPr>
        <w:t>interim</w:t>
      </w:r>
      <w:r>
        <w:rPr>
          <w:color w:val="231F20"/>
          <w:spacing w:val="-15"/>
        </w:rPr>
        <w:t> </w:t>
      </w:r>
      <w:r>
        <w:rPr>
          <w:color w:val="231F20"/>
        </w:rPr>
        <w:t>periods</w:t>
      </w:r>
      <w:r>
        <w:rPr>
          <w:color w:val="231F20"/>
          <w:spacing w:val="-15"/>
        </w:rPr>
        <w:t> </w:t>
      </w:r>
      <w:r>
        <w:rPr>
          <w:color w:val="231F20"/>
        </w:rPr>
        <w:t>of</w:t>
      </w:r>
      <w:r>
        <w:rPr>
          <w:color w:val="231F20"/>
          <w:spacing w:val="-15"/>
        </w:rPr>
        <w:t> </w:t>
      </w:r>
      <w:r>
        <w:rPr>
          <w:color w:val="231F20"/>
        </w:rPr>
        <w:t>2013</w:t>
      </w:r>
      <w:r>
        <w:rPr>
          <w:color w:val="231F20"/>
          <w:spacing w:val="-15"/>
        </w:rPr>
        <w:t> </w:t>
      </w:r>
      <w:r>
        <w:rPr>
          <w:color w:val="231F20"/>
        </w:rPr>
        <w:t>may</w:t>
      </w:r>
      <w:r>
        <w:rPr>
          <w:color w:val="231F20"/>
          <w:spacing w:val="-15"/>
        </w:rPr>
        <w:t> </w:t>
      </w:r>
      <w:r>
        <w:rPr>
          <w:color w:val="231F20"/>
        </w:rPr>
        <w:t>differ</w:t>
      </w:r>
      <w:r>
        <w:rPr>
          <w:color w:val="231F20"/>
          <w:spacing w:val="-15"/>
        </w:rPr>
        <w:t> </w:t>
      </w:r>
      <w:r>
        <w:rPr>
          <w:color w:val="231F20"/>
        </w:rPr>
        <w:t>significantly</w:t>
      </w:r>
      <w:r>
        <w:rPr>
          <w:color w:val="231F20"/>
          <w:spacing w:val="-15"/>
        </w:rPr>
        <w:t> </w:t>
      </w:r>
      <w:r>
        <w:rPr>
          <w:color w:val="231F20"/>
        </w:rPr>
        <w:t>from</w:t>
      </w:r>
      <w:r>
        <w:rPr>
          <w:color w:val="231F20"/>
          <w:spacing w:val="-15"/>
        </w:rPr>
        <w:t> </w:t>
      </w:r>
      <w:r>
        <w:rPr>
          <w:color w:val="231F20"/>
        </w:rPr>
        <w:t>this</w:t>
      </w:r>
      <w:r>
        <w:rPr>
          <w:color w:val="231F20"/>
          <w:spacing w:val="-15"/>
        </w:rPr>
        <w:t> </w:t>
      </w:r>
      <w:r>
        <w:rPr>
          <w:color w:val="231F20"/>
        </w:rPr>
        <w:t>full</w:t>
      </w:r>
      <w:r>
        <w:rPr>
          <w:color w:val="231F20"/>
          <w:spacing w:val="-15"/>
        </w:rPr>
        <w:t> </w:t>
      </w:r>
      <w:r>
        <w:rPr>
          <w:color w:val="231F20"/>
        </w:rPr>
        <w:t>year</w:t>
      </w:r>
      <w:r>
        <w:rPr>
          <w:color w:val="231F20"/>
          <w:spacing w:val="-15"/>
        </w:rPr>
        <w:t> </w:t>
      </w:r>
      <w:r>
        <w:rPr>
          <w:color w:val="231F20"/>
        </w:rPr>
        <w:t>estimate.</w:t>
      </w:r>
    </w:p>
    <w:p>
      <w:pPr>
        <w:spacing w:after="0" w:line="249" w:lineRule="auto"/>
        <w:sectPr>
          <w:pgSz w:w="11880" w:h="15480"/>
          <w:pgMar w:header="0" w:footer="1253" w:top="1240" w:bottom="1440" w:left="1220" w:right="1280"/>
        </w:sectPr>
      </w:pPr>
    </w:p>
    <w:p>
      <w:pPr>
        <w:pStyle w:val="Heading3"/>
        <w:spacing w:line="249" w:lineRule="auto" w:before="73"/>
        <w:ind w:left="160" w:right="114"/>
      </w:pPr>
      <w:r>
        <w:rPr>
          <w:color w:val="231F20"/>
        </w:rPr>
        <w:t>Reconciliation of Reported Amounts to non-GAAP Financial Measures (unaudited) (in millions, except per share and per ASM amounts)</w:t>
      </w:r>
    </w:p>
    <w:p>
      <w:pPr>
        <w:pStyle w:val="BodyText"/>
        <w:spacing w:before="11"/>
        <w:rPr>
          <w:b/>
          <w:sz w:val="18"/>
        </w:rPr>
      </w:pPr>
    </w:p>
    <w:p>
      <w:pPr>
        <w:spacing w:line="182" w:lineRule="exact" w:before="0"/>
        <w:ind w:left="0" w:right="1830" w:firstLine="0"/>
        <w:jc w:val="right"/>
        <w:rPr>
          <w:b/>
          <w:sz w:val="16"/>
        </w:rPr>
      </w:pPr>
      <w:r>
        <w:rPr>
          <w:b/>
          <w:color w:val="231F20"/>
          <w:sz w:val="16"/>
        </w:rPr>
        <w:t>Year ended</w:t>
      </w:r>
    </w:p>
    <w:p>
      <w:pPr>
        <w:tabs>
          <w:tab w:pos="1886" w:val="left" w:leader="none"/>
        </w:tabs>
        <w:spacing w:line="262" w:lineRule="exact" w:before="0"/>
        <w:ind w:left="0" w:right="278" w:firstLine="0"/>
        <w:jc w:val="right"/>
        <w:rPr>
          <w:b/>
          <w:sz w:val="16"/>
        </w:rPr>
      </w:pPr>
      <w:r>
        <w:rPr/>
        <w:pict>
          <v:line style="position:absolute;mso-position-horizontal-relative:page;mso-position-vertical-relative:paragraph;z-index:-355888" from="364.75pt,10.869141pt" to="474.75pt,10.869141pt" stroked="true" strokeweight="1pt" strokecolor="#231f20">
            <v:stroke dashstyle="solid"/>
            <w10:wrap type="none"/>
          </v:line>
        </w:pict>
      </w:r>
      <w:r>
        <w:rPr>
          <w:b/>
          <w:color w:val="231F20"/>
          <w:sz w:val="16"/>
        </w:rPr>
        <w:t>December 31,</w:t>
        <w:tab/>
      </w:r>
      <w:r>
        <w:rPr>
          <w:b/>
          <w:color w:val="231F20"/>
          <w:position w:val="-7"/>
          <w:sz w:val="16"/>
        </w:rPr>
        <w:t>Percent</w:t>
      </w:r>
    </w:p>
    <w:p>
      <w:pPr>
        <w:tabs>
          <w:tab w:pos="1199" w:val="left" w:leader="none"/>
          <w:tab w:pos="2179" w:val="left" w:leader="none"/>
        </w:tabs>
        <w:spacing w:line="180" w:lineRule="exact" w:before="0"/>
        <w:ind w:left="0" w:right="278" w:firstLine="0"/>
        <w:jc w:val="right"/>
        <w:rPr>
          <w:b/>
          <w:sz w:val="16"/>
        </w:rPr>
      </w:pPr>
      <w:r>
        <w:rPr/>
        <w:pict>
          <v:line style="position:absolute;mso-position-horizontal-relative:page;mso-position-vertical-relative:paragraph;z-index:2512;mso-wrap-distance-left:0;mso-wrap-distance-right:0" from="364.75pt,10.781543pt" to="414.75pt,10.781543pt" stroked="true" strokeweight="1pt" strokecolor="#231f20">
            <v:stroke dashstyle="solid"/>
            <w10:wrap type="topAndBottom"/>
          </v:line>
        </w:pict>
      </w:r>
      <w:r>
        <w:rPr/>
        <w:pict>
          <v:line style="position:absolute;mso-position-horizontal-relative:page;mso-position-vertical-relative:paragraph;z-index:2536;mso-wrap-distance-left:0;mso-wrap-distance-right:0" from="424.75pt,10.781543pt" to="474.75pt,10.781543pt" stroked="true" strokeweight="1pt" strokecolor="#231f20">
            <v:stroke dashstyle="solid"/>
            <w10:wrap type="topAndBottom"/>
          </v:line>
        </w:pict>
      </w:r>
      <w:r>
        <w:rPr/>
        <w:pict>
          <v:line style="position:absolute;mso-position-horizontal-relative:page;mso-position-vertical-relative:paragraph;z-index:2560;mso-wrap-distance-left:0;mso-wrap-distance-right:0" from="482.75pt,10.781543pt" to="525pt,10.781543pt" stroked="true" strokeweight="1pt" strokecolor="#231f20">
            <v:stroke dashstyle="solid"/>
            <w10:wrap type="topAndBottom"/>
          </v:line>
        </w:pict>
      </w:r>
      <w:r>
        <w:rPr>
          <w:b/>
          <w:color w:val="231F20"/>
          <w:sz w:val="16"/>
        </w:rPr>
        <w:t>2011</w:t>
        <w:tab/>
        <w:t>2010</w:t>
        <w:tab/>
        <w:t>Change</w:t>
      </w:r>
    </w:p>
    <w:p>
      <w:pPr>
        <w:pStyle w:val="BodyText"/>
        <w:spacing w:before="8"/>
        <w:rPr>
          <w:b/>
          <w:sz w:val="7"/>
        </w:rPr>
      </w:pPr>
    </w:p>
    <w:p>
      <w:pPr>
        <w:tabs>
          <w:tab w:pos="6634" w:val="left" w:leader="none"/>
          <w:tab w:pos="6834" w:val="left" w:leader="none"/>
          <w:tab w:pos="7274" w:val="left" w:leader="none"/>
          <w:tab w:pos="7834" w:val="left" w:leader="none"/>
          <w:tab w:pos="8194" w:val="right" w:leader="none"/>
        </w:tabs>
        <w:spacing w:line="180" w:lineRule="exact" w:before="98"/>
        <w:ind w:left="160" w:right="1204" w:firstLine="0"/>
        <w:jc w:val="left"/>
        <w:rPr>
          <w:sz w:val="16"/>
        </w:rPr>
      </w:pPr>
      <w:r>
        <w:rPr/>
        <w:pict>
          <v:line style="position:absolute;mso-position-horizontal-relative:page;mso-position-vertical-relative:paragraph;z-index:2584;mso-wrap-distance-left:0;mso-wrap-distance-right:0" from="364.75pt,24.85pt" to="414.75pt,24.85pt" stroked="true" strokeweight=".5pt" strokecolor="#231f20">
            <v:stroke dashstyle="solid"/>
            <w10:wrap type="topAndBottom"/>
          </v:line>
        </w:pict>
      </w:r>
      <w:r>
        <w:rPr/>
        <w:pict>
          <v:line style="position:absolute;mso-position-horizontal-relative:page;mso-position-vertical-relative:paragraph;z-index:2608;mso-wrap-distance-left:0;mso-wrap-distance-right:0" from="424.75pt,24.85pt" to="474.75pt,24.85pt" stroked="true" strokeweight=".5pt" strokecolor="#231f20">
            <v:stroke dashstyle="solid"/>
            <w10:wrap type="topAndBottom"/>
          </v:line>
        </w:pict>
      </w:r>
      <w:r>
        <w:rPr>
          <w:b/>
          <w:color w:val="231F20"/>
          <w:sz w:val="16"/>
        </w:rPr>
        <w:t>Fuel and oil expense, unhedged   </w:t>
      </w:r>
      <w:r>
        <w:rPr>
          <w:color w:val="231F20"/>
          <w:sz w:val="16"/>
        </w:rPr>
        <w:t>. . . . . . . . . . . . . . . . . . . . . . . . . . . . . . . . . . . . . . . . . . .</w:t>
      </w:r>
      <w:r>
        <w:rPr>
          <w:color w:val="231F20"/>
          <w:spacing w:val="-16"/>
          <w:sz w:val="16"/>
        </w:rPr>
        <w:t> </w:t>
      </w:r>
      <w:r>
        <w:rPr>
          <w:color w:val="231F20"/>
          <w:sz w:val="16"/>
        </w:rPr>
        <w:t>.   </w:t>
      </w:r>
      <w:r>
        <w:rPr>
          <w:color w:val="231F20"/>
          <w:spacing w:val="40"/>
          <w:sz w:val="16"/>
        </w:rPr>
        <w:t> </w:t>
      </w:r>
      <w:r>
        <w:rPr>
          <w:color w:val="231F20"/>
          <w:sz w:val="16"/>
        </w:rPr>
        <w:t>$</w:t>
        <w:tab/>
        <w:t>5,580</w:t>
        <w:tab/>
        <w:t>$</w:t>
        <w:tab/>
        <w:t>3,296 Add: Fuel hedge losses included in Fuel and oil expense  . . . . . . . . . . . . . . . . . . . . . . . .</w:t>
      </w:r>
      <w:r>
        <w:rPr>
          <w:color w:val="231F20"/>
          <w:spacing w:val="-15"/>
          <w:sz w:val="16"/>
        </w:rPr>
        <w:t> </w:t>
      </w:r>
      <w:r>
        <w:rPr>
          <w:color w:val="231F20"/>
          <w:sz w:val="16"/>
        </w:rPr>
        <w:t>. .</w:t>
        <w:tab/>
        <w:tab/>
        <w:t>64</w:t>
        <w:tab/>
        <w:tab/>
        <w:t>324</w:t>
      </w:r>
    </w:p>
    <w:p>
      <w:pPr>
        <w:tabs>
          <w:tab w:pos="6634" w:val="left" w:leader="none"/>
          <w:tab w:pos="7274" w:val="left" w:leader="none"/>
          <w:tab w:pos="7834" w:val="left" w:leader="none"/>
        </w:tabs>
        <w:spacing w:line="182" w:lineRule="exact" w:before="1"/>
        <w:ind w:left="160" w:right="0" w:firstLine="0"/>
        <w:jc w:val="left"/>
        <w:rPr>
          <w:sz w:val="16"/>
        </w:rPr>
      </w:pPr>
      <w:r>
        <w:rPr>
          <w:b/>
          <w:color w:val="231F20"/>
          <w:sz w:val="16"/>
        </w:rPr>
        <w:t>Fuel and oil expense, as reported  </w:t>
      </w:r>
      <w:r>
        <w:rPr>
          <w:color w:val="231F20"/>
          <w:sz w:val="16"/>
        </w:rPr>
        <w:t>. . . . . . . . . . . . . . . . . . . . . . . . . . . . . . . . . . . . . . . . . .</w:t>
      </w:r>
      <w:r>
        <w:rPr>
          <w:color w:val="231F20"/>
          <w:spacing w:val="-8"/>
          <w:sz w:val="16"/>
        </w:rPr>
        <w:t> </w:t>
      </w:r>
      <w:r>
        <w:rPr>
          <w:color w:val="231F20"/>
          <w:sz w:val="16"/>
        </w:rPr>
        <w:t>.     $</w:t>
        <w:tab/>
        <w:t>5,644</w:t>
        <w:tab/>
        <w:t>$</w:t>
        <w:tab/>
        <w:t>3,620</w:t>
      </w:r>
    </w:p>
    <w:p>
      <w:pPr>
        <w:tabs>
          <w:tab w:pos="6754" w:val="left" w:leader="none"/>
          <w:tab w:pos="7901" w:val="left" w:leader="none"/>
        </w:tabs>
        <w:spacing w:line="182" w:lineRule="exact" w:before="0"/>
        <w:ind w:left="160" w:right="0" w:firstLine="0"/>
        <w:jc w:val="left"/>
        <w:rPr>
          <w:sz w:val="16"/>
        </w:rPr>
      </w:pPr>
      <w:r>
        <w:rPr/>
        <w:pict>
          <v:line style="position:absolute;mso-position-horizontal-relative:page;mso-position-vertical-relative:paragraph;z-index:2632;mso-wrap-distance-left:0;mso-wrap-distance-right:0" from="364.75pt,11.119141pt" to="414.75pt,11.119141pt" stroked="true" strokeweight=".5pt" strokecolor="#231f20">
            <v:stroke dashstyle="solid"/>
            <w10:wrap type="topAndBottom"/>
          </v:line>
        </w:pict>
      </w:r>
      <w:r>
        <w:rPr/>
        <w:pict>
          <v:line style="position:absolute;mso-position-horizontal-relative:page;mso-position-vertical-relative:paragraph;z-index:2656;mso-wrap-distance-left:0;mso-wrap-distance-right:0" from="424.75pt,11.119141pt" to="474.75pt,11.119141pt" stroked="true" strokeweight=".5pt" strokecolor="#231f20">
            <v:stroke dashstyle="solid"/>
            <w10:wrap type="topAndBottom"/>
          </v:line>
        </w:pict>
      </w:r>
      <w:r>
        <w:rPr>
          <w:color w:val="231F20"/>
          <w:sz w:val="16"/>
        </w:rPr>
        <w:t>Deduct: Net impact from fuel contracts . . . . . . . . . . . . . . . . . . . . . . . . . . . . . . . . . . . . . .</w:t>
      </w:r>
      <w:r>
        <w:rPr>
          <w:color w:val="231F20"/>
          <w:spacing w:val="1"/>
          <w:sz w:val="16"/>
        </w:rPr>
        <w:t> </w:t>
      </w:r>
      <w:r>
        <w:rPr>
          <w:color w:val="231F20"/>
          <w:sz w:val="16"/>
        </w:rPr>
        <w:t>. .</w:t>
        <w:tab/>
        <w:t>—</w:t>
        <w:tab/>
        <w:t>(172)</w:t>
      </w:r>
    </w:p>
    <w:p>
      <w:pPr>
        <w:tabs>
          <w:tab w:pos="6634" w:val="left" w:leader="none"/>
          <w:tab w:pos="7274" w:val="left" w:leader="none"/>
          <w:tab w:pos="7834" w:val="left" w:leader="none"/>
          <w:tab w:pos="8743" w:val="left" w:leader="none"/>
        </w:tabs>
        <w:spacing w:before="1" w:after="35"/>
        <w:ind w:left="160" w:right="0" w:firstLine="0"/>
        <w:jc w:val="left"/>
        <w:rPr>
          <w:sz w:val="16"/>
        </w:rPr>
      </w:pPr>
      <w:r>
        <w:rPr>
          <w:b/>
          <w:color w:val="231F20"/>
          <w:sz w:val="16"/>
        </w:rPr>
        <w:t>Fuel and oil expense, non-GAAP  </w:t>
      </w:r>
      <w:r>
        <w:rPr>
          <w:color w:val="231F20"/>
          <w:sz w:val="16"/>
        </w:rPr>
        <w:t>. . . . . . . . . . . . . . . . . . . . . . . . . . . . . . . . . . . . . . . . . .</w:t>
      </w:r>
      <w:r>
        <w:rPr>
          <w:color w:val="231F20"/>
          <w:spacing w:val="6"/>
          <w:sz w:val="16"/>
        </w:rPr>
        <w:t> </w:t>
      </w:r>
      <w:r>
        <w:rPr>
          <w:color w:val="231F20"/>
          <w:sz w:val="16"/>
        </w:rPr>
        <w:t>.     $</w:t>
        <w:tab/>
        <w:t>5,644</w:t>
        <w:tab/>
        <w:t>$</w:t>
        <w:tab/>
        <w:t>3,448</w:t>
        <w:tab/>
        <w:t>63.7%</w:t>
      </w:r>
    </w:p>
    <w:p>
      <w:pPr>
        <w:spacing w:line="50" w:lineRule="exact"/>
        <w:ind w:left="6070" w:right="0" w:firstLine="0"/>
        <w:rPr>
          <w:sz w:val="5"/>
        </w:rPr>
      </w:pPr>
      <w:r>
        <w:rPr>
          <w:position w:val="0"/>
          <w:sz w:val="5"/>
        </w:rPr>
        <w:pict>
          <v:group style="width:50.5pt;height:2.5pt;mso-position-horizontal-relative:char;mso-position-vertical-relative:line" coordorigin="0,0" coordsize="1010,50">
            <v:line style="position:absolute" from="5,5" to="1005,5" stroked="true" strokeweight=".5pt" strokecolor="#231f20">
              <v:stroke dashstyle="solid"/>
            </v:line>
            <v:line style="position:absolute" from="5,45" to="1005,45" stroked="true" strokeweight=".5pt" strokecolor="#231f20">
              <v:stroke dashstyle="solid"/>
            </v:line>
          </v:group>
        </w:pict>
      </w:r>
      <w:r>
        <w:rPr>
          <w:position w:val="0"/>
          <w:sz w:val="5"/>
        </w:rPr>
      </w:r>
      <w:r>
        <w:rPr>
          <w:spacing w:val="157"/>
          <w:position w:val="0"/>
          <w:sz w:val="5"/>
        </w:rPr>
        <w:t> </w:t>
      </w:r>
      <w:r>
        <w:rPr>
          <w:spacing w:val="157"/>
          <w:position w:val="0"/>
          <w:sz w:val="5"/>
        </w:rPr>
        <w:pict>
          <v:group style="width:50.5pt;height:2.5pt;mso-position-horizontal-relative:char;mso-position-vertical-relative:line" coordorigin="0,0" coordsize="1010,50">
            <v:line style="position:absolute" from="5,5" to="1005,5" stroked="true" strokeweight=".5pt" strokecolor="#231f20">
              <v:stroke dashstyle="solid"/>
            </v:line>
            <v:line style="position:absolute" from="5,45" to="1005,45" stroked="true" strokeweight=".5pt" strokecolor="#231f20">
              <v:stroke dashstyle="solid"/>
            </v:line>
          </v:group>
        </w:pict>
      </w:r>
      <w:r>
        <w:rPr>
          <w:spacing w:val="157"/>
          <w:position w:val="0"/>
          <w:sz w:val="5"/>
        </w:rPr>
      </w:r>
    </w:p>
    <w:p>
      <w:pPr>
        <w:tabs>
          <w:tab w:pos="6554" w:val="left" w:leader="none"/>
          <w:tab w:pos="7274" w:val="left" w:leader="none"/>
          <w:tab w:pos="7754" w:val="left" w:leader="none"/>
        </w:tabs>
        <w:spacing w:line="180" w:lineRule="exact" w:before="156" w:after="4"/>
        <w:ind w:left="160" w:right="1204" w:firstLine="0"/>
        <w:jc w:val="left"/>
        <w:rPr>
          <w:sz w:val="16"/>
        </w:rPr>
      </w:pPr>
      <w:r>
        <w:rPr/>
        <w:pict>
          <v:line style="position:absolute;mso-position-horizontal-relative:page;mso-position-vertical-relative:paragraph;z-index:-355864" from="364.75pt,85.75pt" to="414.75pt,85.75pt" stroked="true" strokeweight=".5pt" strokecolor="#231f20">
            <v:stroke dashstyle="solid"/>
            <w10:wrap type="none"/>
          </v:line>
        </w:pict>
      </w:r>
      <w:r>
        <w:rPr/>
        <w:pict>
          <v:line style="position:absolute;mso-position-horizontal-relative:page;mso-position-vertical-relative:paragraph;z-index:-355840" from="424.75pt,85.75pt" to="474.75pt,85.75pt" stroked="true" strokeweight=".5pt" strokecolor="#231f20">
            <v:stroke dashstyle="solid"/>
            <w10:wrap type="none"/>
          </v:line>
        </w:pict>
      </w:r>
      <w:r>
        <w:rPr/>
        <w:pict>
          <v:line style="position:absolute;mso-position-horizontal-relative:page;mso-position-vertical-relative:paragraph;z-index:-355816" from="364.75pt,173.75pt" to="414.75pt,173.75pt" stroked="true" strokeweight=".5pt" strokecolor="#231f20">
            <v:stroke dashstyle="solid"/>
            <w10:wrap type="none"/>
          </v:line>
        </w:pict>
      </w:r>
      <w:r>
        <w:rPr/>
        <w:pict>
          <v:line style="position:absolute;mso-position-horizontal-relative:page;mso-position-vertical-relative:paragraph;z-index:-355792" from="424.75pt,173.75pt" to="474.75pt,173.75pt" stroked="true" strokeweight=".5pt" strokecolor="#231f20">
            <v:stroke dashstyle="solid"/>
            <w10:wrap type="none"/>
          </v:line>
        </w:pict>
      </w:r>
      <w:r>
        <w:rPr>
          <w:b/>
          <w:color w:val="231F20"/>
          <w:sz w:val="16"/>
        </w:rPr>
        <w:t>Total operating expenses, as reported  </w:t>
      </w:r>
      <w:r>
        <w:rPr>
          <w:color w:val="231F20"/>
          <w:sz w:val="16"/>
        </w:rPr>
        <w:t>. . . . . . . . . . . . . . . . . . . . . . . . . . . . . . . . . . . . . .</w:t>
      </w:r>
      <w:r>
        <w:rPr>
          <w:color w:val="231F20"/>
          <w:spacing w:val="-3"/>
          <w:sz w:val="16"/>
        </w:rPr>
        <w:t> </w:t>
      </w:r>
      <w:r>
        <w:rPr>
          <w:color w:val="231F20"/>
          <w:sz w:val="16"/>
        </w:rPr>
        <w:t>.     $</w:t>
        <w:tab/>
        <w:t>14,965</w:t>
        <w:tab/>
        <w:t>$</w:t>
        <w:tab/>
        <w:t>11,116 Add (Deduct): Reclassification between Fuel and oil and Other (gains) losses,</w:t>
      </w:r>
      <w:r>
        <w:rPr>
          <w:color w:val="231F20"/>
          <w:spacing w:val="-16"/>
          <w:sz w:val="16"/>
        </w:rPr>
        <w:t> </w:t>
      </w:r>
      <w:r>
        <w:rPr>
          <w:color w:val="231F20"/>
          <w:sz w:val="16"/>
        </w:rPr>
        <w:t>net,</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85"/>
        <w:gridCol w:w="1080"/>
        <w:gridCol w:w="200"/>
        <w:gridCol w:w="1000"/>
        <w:gridCol w:w="986"/>
      </w:tblGrid>
      <w:tr>
        <w:trPr>
          <w:trHeight w:val="360" w:hRule="exact"/>
        </w:trPr>
        <w:tc>
          <w:tcPr>
            <w:tcW w:w="5885" w:type="dxa"/>
          </w:tcPr>
          <w:p>
            <w:pPr>
              <w:pStyle w:val="TableParagraph"/>
              <w:spacing w:line="235" w:lineRule="auto"/>
              <w:ind w:left="50" w:firstLine="160"/>
              <w:jc w:val="left"/>
              <w:rPr>
                <w:sz w:val="16"/>
              </w:rPr>
            </w:pPr>
            <w:r>
              <w:rPr>
                <w:color w:val="231F20"/>
                <w:sz w:val="16"/>
              </w:rPr>
              <w:t>associated with current period settled contracts . . . . . . . . . . . . . . . . . . . . . . . . . . . . . . . . Deduct: Contracts settling in the current period, but for which losses have been</w:t>
            </w:r>
          </w:p>
        </w:tc>
        <w:tc>
          <w:tcPr>
            <w:tcW w:w="1080" w:type="dxa"/>
          </w:tcPr>
          <w:p>
            <w:pPr>
              <w:pStyle w:val="TableParagraph"/>
              <w:spacing w:line="175" w:lineRule="exact"/>
              <w:ind w:right="79"/>
              <w:rPr>
                <w:sz w:val="16"/>
              </w:rPr>
            </w:pPr>
            <w:r>
              <w:rPr>
                <w:color w:val="231F20"/>
                <w:sz w:val="16"/>
              </w:rPr>
              <w:t>35</w:t>
            </w:r>
          </w:p>
        </w:tc>
        <w:tc>
          <w:tcPr>
            <w:tcW w:w="200" w:type="dxa"/>
          </w:tcPr>
          <w:p>
            <w:pPr/>
          </w:p>
        </w:tc>
        <w:tc>
          <w:tcPr>
            <w:tcW w:w="1000" w:type="dxa"/>
          </w:tcPr>
          <w:p>
            <w:pPr>
              <w:pStyle w:val="TableParagraph"/>
              <w:spacing w:line="175" w:lineRule="exact"/>
              <w:ind w:right="24"/>
              <w:rPr>
                <w:sz w:val="16"/>
              </w:rPr>
            </w:pPr>
            <w:r>
              <w:rPr>
                <w:color w:val="231F20"/>
                <w:sz w:val="16"/>
              </w:rPr>
              <w:t>(1)</w:t>
            </w:r>
          </w:p>
        </w:tc>
        <w:tc>
          <w:tcPr>
            <w:tcW w:w="986" w:type="dxa"/>
            <w:vMerge w:val="restart"/>
          </w:tcPr>
          <w:p>
            <w:pPr/>
          </w:p>
        </w:tc>
      </w:tr>
      <w:tr>
        <w:trPr>
          <w:trHeight w:val="178" w:hRule="exact"/>
        </w:trPr>
        <w:tc>
          <w:tcPr>
            <w:tcW w:w="5885" w:type="dxa"/>
          </w:tcPr>
          <w:p>
            <w:pPr>
              <w:pStyle w:val="TableParagraph"/>
              <w:spacing w:line="175" w:lineRule="exact"/>
              <w:ind w:right="79"/>
              <w:rPr>
                <w:sz w:val="16"/>
              </w:rPr>
            </w:pPr>
            <w:r>
              <w:rPr>
                <w:color w:val="231F20"/>
                <w:sz w:val="16"/>
              </w:rPr>
              <w:t>recognized in a prior period*  . . . . . . . . . . . . . . . . . . . . . . . . . . . . . . . . . . . . . . . . . . . . . . </w:t>
            </w:r>
          </w:p>
        </w:tc>
        <w:tc>
          <w:tcPr>
            <w:tcW w:w="1080" w:type="dxa"/>
          </w:tcPr>
          <w:p>
            <w:pPr>
              <w:pStyle w:val="TableParagraph"/>
              <w:spacing w:line="175" w:lineRule="exact"/>
              <w:ind w:right="24"/>
              <w:rPr>
                <w:sz w:val="16"/>
              </w:rPr>
            </w:pPr>
            <w:r>
              <w:rPr>
                <w:color w:val="231F20"/>
                <w:sz w:val="16"/>
              </w:rPr>
              <w:t>(35)</w:t>
            </w:r>
          </w:p>
        </w:tc>
        <w:tc>
          <w:tcPr>
            <w:tcW w:w="200" w:type="dxa"/>
          </w:tcPr>
          <w:p>
            <w:pPr/>
          </w:p>
        </w:tc>
        <w:tc>
          <w:tcPr>
            <w:tcW w:w="1000" w:type="dxa"/>
          </w:tcPr>
          <w:p>
            <w:pPr>
              <w:pStyle w:val="TableParagraph"/>
              <w:spacing w:line="175" w:lineRule="exact"/>
              <w:ind w:right="24"/>
              <w:rPr>
                <w:sz w:val="16"/>
              </w:rPr>
            </w:pPr>
            <w:r>
              <w:rPr>
                <w:color w:val="231F20"/>
                <w:sz w:val="16"/>
              </w:rPr>
              <w:t>(171)</w:t>
            </w:r>
          </w:p>
        </w:tc>
        <w:tc>
          <w:tcPr>
            <w:tcW w:w="986" w:type="dxa"/>
            <w:vMerge/>
          </w:tcPr>
          <w:p>
            <w:pPr/>
          </w:p>
        </w:tc>
      </w:tr>
      <w:tr>
        <w:trPr>
          <w:trHeight w:val="180" w:hRule="exact"/>
        </w:trPr>
        <w:tc>
          <w:tcPr>
            <w:tcW w:w="5885" w:type="dxa"/>
          </w:tcPr>
          <w:p>
            <w:pPr>
              <w:pStyle w:val="TableParagraph"/>
              <w:spacing w:line="178" w:lineRule="exact"/>
              <w:ind w:left="50"/>
              <w:jc w:val="left"/>
              <w:rPr>
                <w:sz w:val="16"/>
              </w:rPr>
            </w:pPr>
            <w:r>
              <w:rPr>
                <w:color w:val="231F20"/>
                <w:sz w:val="16"/>
              </w:rPr>
              <w:t>Deduct: Acquisition and integration costs, net (a) . . . . . . . . . . . . . . . . . . . . . . . . . . . . . . . . </w:t>
            </w:r>
          </w:p>
        </w:tc>
        <w:tc>
          <w:tcPr>
            <w:tcW w:w="1080" w:type="dxa"/>
          </w:tcPr>
          <w:p>
            <w:pPr>
              <w:pStyle w:val="TableParagraph"/>
              <w:spacing w:line="178" w:lineRule="exact"/>
              <w:ind w:right="24"/>
              <w:rPr>
                <w:sz w:val="16"/>
              </w:rPr>
            </w:pPr>
            <w:r>
              <w:rPr>
                <w:color w:val="231F20"/>
                <w:sz w:val="16"/>
              </w:rPr>
              <w:t>(132)</w:t>
            </w:r>
          </w:p>
        </w:tc>
        <w:tc>
          <w:tcPr>
            <w:tcW w:w="200" w:type="dxa"/>
          </w:tcPr>
          <w:p>
            <w:pPr/>
          </w:p>
        </w:tc>
        <w:tc>
          <w:tcPr>
            <w:tcW w:w="1000" w:type="dxa"/>
          </w:tcPr>
          <w:p>
            <w:pPr>
              <w:pStyle w:val="TableParagraph"/>
              <w:spacing w:line="178" w:lineRule="exact"/>
              <w:ind w:right="24"/>
              <w:rPr>
                <w:sz w:val="16"/>
              </w:rPr>
            </w:pPr>
            <w:r>
              <w:rPr>
                <w:color w:val="231F20"/>
                <w:sz w:val="16"/>
              </w:rPr>
              <w:t>(7)</w:t>
            </w:r>
          </w:p>
        </w:tc>
        <w:tc>
          <w:tcPr>
            <w:tcW w:w="986" w:type="dxa"/>
            <w:vMerge/>
          </w:tcPr>
          <w:p>
            <w:pPr/>
          </w:p>
        </w:tc>
      </w:tr>
      <w:tr>
        <w:trPr>
          <w:trHeight w:val="218" w:hRule="exact"/>
        </w:trPr>
        <w:tc>
          <w:tcPr>
            <w:tcW w:w="5885" w:type="dxa"/>
          </w:tcPr>
          <w:p>
            <w:pPr>
              <w:pStyle w:val="TableParagraph"/>
              <w:spacing w:line="178" w:lineRule="exact"/>
              <w:ind w:left="50"/>
              <w:jc w:val="left"/>
              <w:rPr>
                <w:sz w:val="16"/>
              </w:rPr>
            </w:pPr>
            <w:r>
              <w:rPr>
                <w:color w:val="231F20"/>
                <w:sz w:val="16"/>
              </w:rPr>
              <w:t>Deduct: Asset impairment, net of profitsharing . . . . . . . . . . . . . . . . . . . . . . . . . . . . . . . . . . </w:t>
            </w:r>
          </w:p>
        </w:tc>
        <w:tc>
          <w:tcPr>
            <w:tcW w:w="1080" w:type="dxa"/>
            <w:tcBorders>
              <w:bottom w:val="single" w:sz="4" w:space="0" w:color="231F20"/>
            </w:tcBorders>
          </w:tcPr>
          <w:p>
            <w:pPr>
              <w:pStyle w:val="TableParagraph"/>
              <w:spacing w:line="178" w:lineRule="exact"/>
              <w:ind w:right="24"/>
              <w:rPr>
                <w:sz w:val="16"/>
              </w:rPr>
            </w:pPr>
            <w:r>
              <w:rPr>
                <w:color w:val="231F20"/>
                <w:sz w:val="16"/>
              </w:rPr>
              <w:t>(14)</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vMerge/>
          </w:tcPr>
          <w:p>
            <w:pPr/>
          </w:p>
        </w:tc>
      </w:tr>
      <w:tr>
        <w:trPr>
          <w:trHeight w:val="300" w:hRule="exact"/>
        </w:trPr>
        <w:tc>
          <w:tcPr>
            <w:tcW w:w="5885" w:type="dxa"/>
          </w:tcPr>
          <w:p>
            <w:pPr>
              <w:pStyle w:val="TableParagraph"/>
              <w:spacing w:before="35"/>
              <w:ind w:left="50"/>
              <w:jc w:val="left"/>
              <w:rPr>
                <w:sz w:val="16"/>
              </w:rPr>
            </w:pPr>
            <w:r>
              <w:rPr>
                <w:b/>
                <w:color w:val="231F20"/>
                <w:sz w:val="16"/>
              </w:rPr>
              <w:t>Total operating expenses, non-GAAP  </w:t>
            </w:r>
            <w:r>
              <w:rPr>
                <w:color w:val="231F20"/>
                <w:sz w:val="16"/>
              </w:rPr>
              <w:t>. . . . . . . . . . . . . . . . . . . . . . . . . . . . . . . . . . . . . . . </w:t>
            </w:r>
          </w:p>
        </w:tc>
        <w:tc>
          <w:tcPr>
            <w:tcW w:w="1080" w:type="dxa"/>
            <w:tcBorders>
              <w:top w:val="single" w:sz="4" w:space="0" w:color="231F20"/>
              <w:bottom w:val="single" w:sz="4" w:space="0" w:color="231F20"/>
            </w:tcBorders>
          </w:tcPr>
          <w:p>
            <w:pPr>
              <w:pStyle w:val="TableParagraph"/>
              <w:tabs>
                <w:tab w:pos="479" w:val="left" w:leader="none"/>
              </w:tabs>
              <w:spacing w:before="30"/>
              <w:ind w:right="79"/>
              <w:rPr>
                <w:sz w:val="16"/>
              </w:rPr>
            </w:pPr>
            <w:r>
              <w:rPr>
                <w:color w:val="231F20"/>
                <w:sz w:val="16"/>
              </w:rPr>
              <w:t>$</w:t>
              <w:tab/>
            </w:r>
            <w:r>
              <w:rPr>
                <w:color w:val="231F20"/>
                <w:spacing w:val="-1"/>
                <w:sz w:val="16"/>
              </w:rPr>
              <w:t>14,819</w:t>
            </w:r>
          </w:p>
        </w:tc>
        <w:tc>
          <w:tcPr>
            <w:tcW w:w="200" w:type="dxa"/>
          </w:tcPr>
          <w:p>
            <w:pPr/>
          </w:p>
        </w:tc>
        <w:tc>
          <w:tcPr>
            <w:tcW w:w="1000" w:type="dxa"/>
            <w:tcBorders>
              <w:top w:val="single" w:sz="4" w:space="0" w:color="231F20"/>
              <w:bottom w:val="single" w:sz="4" w:space="0" w:color="231F20"/>
            </w:tcBorders>
          </w:tcPr>
          <w:p>
            <w:pPr>
              <w:pStyle w:val="TableParagraph"/>
              <w:tabs>
                <w:tab w:pos="479" w:val="left" w:leader="none"/>
              </w:tabs>
              <w:spacing w:before="30"/>
              <w:ind w:right="79"/>
              <w:rPr>
                <w:sz w:val="16"/>
              </w:rPr>
            </w:pPr>
            <w:r>
              <w:rPr>
                <w:color w:val="231F20"/>
                <w:sz w:val="16"/>
              </w:rPr>
              <w:t>$</w:t>
              <w:tab/>
            </w:r>
            <w:r>
              <w:rPr>
                <w:color w:val="231F20"/>
                <w:spacing w:val="-1"/>
                <w:sz w:val="16"/>
              </w:rPr>
              <w:t>10,937</w:t>
            </w:r>
          </w:p>
        </w:tc>
        <w:tc>
          <w:tcPr>
            <w:tcW w:w="986" w:type="dxa"/>
          </w:tcPr>
          <w:p>
            <w:pPr>
              <w:pStyle w:val="TableParagraph"/>
              <w:spacing w:before="35"/>
              <w:ind w:right="101"/>
              <w:rPr>
                <w:sz w:val="16"/>
              </w:rPr>
            </w:pPr>
            <w:r>
              <w:rPr>
                <w:color w:val="231F20"/>
                <w:sz w:val="16"/>
              </w:rPr>
              <w:t>35.5%</w:t>
            </w:r>
          </w:p>
        </w:tc>
      </w:tr>
      <w:tr>
        <w:trPr>
          <w:trHeight w:val="343" w:hRule="exact"/>
        </w:trPr>
        <w:tc>
          <w:tcPr>
            <w:tcW w:w="5885" w:type="dxa"/>
          </w:tcPr>
          <w:p>
            <w:pPr>
              <w:pStyle w:val="TableParagraph"/>
              <w:spacing w:before="150"/>
              <w:ind w:left="50"/>
              <w:jc w:val="left"/>
              <w:rPr>
                <w:sz w:val="16"/>
              </w:rPr>
            </w:pPr>
            <w:r>
              <w:rPr>
                <w:b/>
                <w:color w:val="231F20"/>
                <w:sz w:val="16"/>
              </w:rPr>
              <w:t>Operating income, as reported  </w:t>
            </w:r>
            <w:r>
              <w:rPr>
                <w:color w:val="231F20"/>
                <w:sz w:val="16"/>
              </w:rPr>
              <w:t>. . . . . . . . . . . . . . . . . . . . . . . . . . . . . . . . . . . . . . . . . . . . . </w:t>
            </w:r>
          </w:p>
        </w:tc>
        <w:tc>
          <w:tcPr>
            <w:tcW w:w="1080" w:type="dxa"/>
          </w:tcPr>
          <w:p>
            <w:pPr>
              <w:pStyle w:val="TableParagraph"/>
              <w:tabs>
                <w:tab w:pos="679" w:val="left" w:leader="none"/>
              </w:tabs>
              <w:spacing w:before="150"/>
              <w:ind w:right="79"/>
              <w:rPr>
                <w:sz w:val="16"/>
              </w:rPr>
            </w:pPr>
            <w:r>
              <w:rPr>
                <w:color w:val="231F20"/>
                <w:sz w:val="16"/>
              </w:rPr>
              <w:t>$</w:t>
              <w:tab/>
              <w:t>693</w:t>
            </w:r>
          </w:p>
        </w:tc>
        <w:tc>
          <w:tcPr>
            <w:tcW w:w="1200" w:type="dxa"/>
            <w:gridSpan w:val="2"/>
          </w:tcPr>
          <w:p>
            <w:pPr>
              <w:pStyle w:val="TableParagraph"/>
              <w:tabs>
                <w:tab w:pos="879" w:val="left" w:leader="none"/>
              </w:tabs>
              <w:spacing w:before="150"/>
              <w:ind w:left="200"/>
              <w:jc w:val="left"/>
              <w:rPr>
                <w:sz w:val="16"/>
              </w:rPr>
            </w:pPr>
            <w:r>
              <w:rPr>
                <w:color w:val="231F20"/>
                <w:sz w:val="16"/>
              </w:rPr>
              <w:t>$</w:t>
              <w:tab/>
              <w:t>988</w:t>
            </w:r>
          </w:p>
        </w:tc>
        <w:tc>
          <w:tcPr>
            <w:tcW w:w="986" w:type="dxa"/>
          </w:tcPr>
          <w:p>
            <w:pPr/>
          </w:p>
        </w:tc>
      </w:tr>
      <w:tr>
        <w:trPr>
          <w:trHeight w:val="177" w:hRule="exact"/>
        </w:trPr>
        <w:tc>
          <w:tcPr>
            <w:tcW w:w="588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80" w:type="dxa"/>
          </w:tcPr>
          <w:p>
            <w:pPr/>
          </w:p>
        </w:tc>
        <w:tc>
          <w:tcPr>
            <w:tcW w:w="1200" w:type="dxa"/>
            <w:gridSpan w:val="2"/>
          </w:tcPr>
          <w:p>
            <w:pPr/>
          </w:p>
        </w:tc>
        <w:tc>
          <w:tcPr>
            <w:tcW w:w="986" w:type="dxa"/>
          </w:tcPr>
          <w:p>
            <w:pPr/>
          </w:p>
        </w:tc>
      </w:tr>
      <w:tr>
        <w:trPr>
          <w:trHeight w:val="360" w:hRule="exact"/>
        </w:trPr>
        <w:tc>
          <w:tcPr>
            <w:tcW w:w="5885" w:type="dxa"/>
          </w:tcPr>
          <w:p>
            <w:pPr>
              <w:pStyle w:val="TableParagraph"/>
              <w:spacing w:line="180" w:lineRule="exact" w:before="1"/>
              <w:ind w:left="50" w:firstLine="160"/>
              <w:jc w:val="left"/>
              <w:rPr>
                <w:sz w:val="16"/>
              </w:rPr>
            </w:pPr>
            <w:r>
              <w:rPr>
                <w:color w:val="231F20"/>
                <w:sz w:val="16"/>
              </w:rPr>
              <w:t>associated with current period settled contracts . . . . . . . . . . . . . . . . . . . . . . . . . . . . . . . . Add: Contracts settling in the current period, but for which gains have been recognized</w:t>
            </w:r>
          </w:p>
        </w:tc>
        <w:tc>
          <w:tcPr>
            <w:tcW w:w="1080" w:type="dxa"/>
          </w:tcPr>
          <w:p>
            <w:pPr>
              <w:pStyle w:val="TableParagraph"/>
              <w:spacing w:line="180" w:lineRule="exact"/>
              <w:ind w:right="24"/>
              <w:rPr>
                <w:sz w:val="16"/>
              </w:rPr>
            </w:pPr>
            <w:r>
              <w:rPr>
                <w:color w:val="231F20"/>
                <w:sz w:val="16"/>
              </w:rPr>
              <w:t>(35)</w:t>
            </w:r>
          </w:p>
        </w:tc>
        <w:tc>
          <w:tcPr>
            <w:tcW w:w="200" w:type="dxa"/>
          </w:tcPr>
          <w:p>
            <w:pPr/>
          </w:p>
        </w:tc>
        <w:tc>
          <w:tcPr>
            <w:tcW w:w="1000" w:type="dxa"/>
          </w:tcPr>
          <w:p>
            <w:pPr>
              <w:pStyle w:val="TableParagraph"/>
              <w:spacing w:line="180" w:lineRule="exact"/>
              <w:ind w:right="79"/>
              <w:rPr>
                <w:sz w:val="16"/>
              </w:rPr>
            </w:pPr>
            <w:r>
              <w:rPr>
                <w:color w:val="231F20"/>
                <w:sz w:val="16"/>
              </w:rPr>
              <w:t>1</w:t>
            </w:r>
          </w:p>
        </w:tc>
        <w:tc>
          <w:tcPr>
            <w:tcW w:w="986" w:type="dxa"/>
          </w:tcPr>
          <w:p>
            <w:pPr/>
          </w:p>
        </w:tc>
      </w:tr>
      <w:tr>
        <w:trPr>
          <w:trHeight w:val="182" w:hRule="exact"/>
        </w:trPr>
        <w:tc>
          <w:tcPr>
            <w:tcW w:w="5885" w:type="dxa"/>
          </w:tcPr>
          <w:p>
            <w:pPr>
              <w:pStyle w:val="TableParagraph"/>
              <w:spacing w:line="175" w:lineRule="exact"/>
              <w:ind w:right="79"/>
              <w:rPr>
                <w:sz w:val="16"/>
              </w:rPr>
            </w:pPr>
            <w:r>
              <w:rPr>
                <w:color w:val="231F20"/>
                <w:sz w:val="16"/>
              </w:rPr>
              <w:t>in a prior period*  . . . . . . . . . . . . . . . . . . . . . . . . . . . . . . . . . . . . . . . . . . . . . . . . . . . . . . . </w:t>
            </w:r>
          </w:p>
        </w:tc>
        <w:tc>
          <w:tcPr>
            <w:tcW w:w="1080" w:type="dxa"/>
          </w:tcPr>
          <w:p>
            <w:pPr>
              <w:pStyle w:val="TableParagraph"/>
              <w:spacing w:line="175" w:lineRule="exact"/>
              <w:ind w:right="79"/>
              <w:rPr>
                <w:sz w:val="16"/>
              </w:rPr>
            </w:pPr>
            <w:r>
              <w:rPr>
                <w:color w:val="231F20"/>
                <w:sz w:val="16"/>
              </w:rPr>
              <w:t>35</w:t>
            </w:r>
          </w:p>
        </w:tc>
        <w:tc>
          <w:tcPr>
            <w:tcW w:w="200" w:type="dxa"/>
          </w:tcPr>
          <w:p>
            <w:pPr/>
          </w:p>
        </w:tc>
        <w:tc>
          <w:tcPr>
            <w:tcW w:w="1000" w:type="dxa"/>
          </w:tcPr>
          <w:p>
            <w:pPr>
              <w:pStyle w:val="TableParagraph"/>
              <w:spacing w:line="175" w:lineRule="exact"/>
              <w:ind w:right="79"/>
              <w:rPr>
                <w:sz w:val="16"/>
              </w:rPr>
            </w:pPr>
            <w:r>
              <w:rPr>
                <w:color w:val="231F20"/>
                <w:sz w:val="16"/>
              </w:rPr>
              <w:t>171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Acquisition and integration costs, net (a)  . . . . . . . . . . . . . . . . . . . . . . . . . . . . . . . . . . </w:t>
            </w:r>
          </w:p>
        </w:tc>
        <w:tc>
          <w:tcPr>
            <w:tcW w:w="1080" w:type="dxa"/>
          </w:tcPr>
          <w:p>
            <w:pPr>
              <w:pStyle w:val="TableParagraph"/>
              <w:spacing w:line="178" w:lineRule="exact"/>
              <w:ind w:right="79"/>
              <w:rPr>
                <w:sz w:val="16"/>
              </w:rPr>
            </w:pPr>
            <w:r>
              <w:rPr>
                <w:color w:val="231F20"/>
                <w:sz w:val="16"/>
              </w:rPr>
              <w:t>132</w:t>
            </w:r>
          </w:p>
        </w:tc>
        <w:tc>
          <w:tcPr>
            <w:tcW w:w="200" w:type="dxa"/>
          </w:tcPr>
          <w:p>
            <w:pPr/>
          </w:p>
        </w:tc>
        <w:tc>
          <w:tcPr>
            <w:tcW w:w="1000" w:type="dxa"/>
          </w:tcPr>
          <w:p>
            <w:pPr>
              <w:pStyle w:val="TableParagraph"/>
              <w:spacing w:line="178" w:lineRule="exact"/>
              <w:ind w:right="79"/>
              <w:rPr>
                <w:sz w:val="16"/>
              </w:rPr>
            </w:pPr>
            <w:r>
              <w:rPr>
                <w:color w:val="231F20"/>
                <w:sz w:val="16"/>
              </w:rPr>
              <w:t>7</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Asset impairment, net of profitsharing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14</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Operating income, non-GAAP  </w:t>
            </w:r>
            <w:r>
              <w:rPr>
                <w:color w:val="231F20"/>
                <w:sz w:val="16"/>
              </w:rPr>
              <w:t>. . . . . . . . . . . . . . . . . . . . . . . . . . . . . . . . . . . . . . . . . . . . . </w:t>
            </w:r>
          </w:p>
        </w:tc>
        <w:tc>
          <w:tcPr>
            <w:tcW w:w="108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839</w:t>
            </w:r>
          </w:p>
        </w:tc>
        <w:tc>
          <w:tcPr>
            <w:tcW w:w="200" w:type="dxa"/>
          </w:tcPr>
          <w:p>
            <w:pPr/>
          </w:p>
        </w:tc>
        <w:tc>
          <w:tcPr>
            <w:tcW w:w="1000" w:type="dxa"/>
            <w:tcBorders>
              <w:top w:val="single" w:sz="4" w:space="0" w:color="231F20"/>
              <w:bottom w:val="single" w:sz="4" w:space="0" w:color="231F20"/>
            </w:tcBorders>
          </w:tcPr>
          <w:p>
            <w:pPr>
              <w:pStyle w:val="TableParagraph"/>
              <w:tabs>
                <w:tab w:pos="559" w:val="left" w:leader="none"/>
              </w:tabs>
              <w:spacing w:before="30"/>
              <w:ind w:right="79"/>
              <w:rPr>
                <w:sz w:val="16"/>
              </w:rPr>
            </w:pPr>
            <w:r>
              <w:rPr>
                <w:color w:val="231F20"/>
                <w:sz w:val="16"/>
              </w:rPr>
              <w:t>$</w:t>
              <w:tab/>
            </w:r>
            <w:r>
              <w:rPr>
                <w:color w:val="231F20"/>
                <w:spacing w:val="-1"/>
                <w:sz w:val="16"/>
              </w:rPr>
              <w:t>1,167</w:t>
            </w:r>
          </w:p>
        </w:tc>
        <w:tc>
          <w:tcPr>
            <w:tcW w:w="986" w:type="dxa"/>
          </w:tcPr>
          <w:p>
            <w:pPr>
              <w:pStyle w:val="TableParagraph"/>
              <w:spacing w:before="35"/>
              <w:ind w:right="48"/>
              <w:rPr>
                <w:sz w:val="16"/>
              </w:rPr>
            </w:pPr>
            <w:r>
              <w:rPr>
                <w:color w:val="231F20"/>
                <w:sz w:val="16"/>
              </w:rPr>
              <w:t>(28.1)%</w:t>
            </w:r>
          </w:p>
        </w:tc>
      </w:tr>
      <w:tr>
        <w:trPr>
          <w:trHeight w:val="343" w:hRule="exact"/>
        </w:trPr>
        <w:tc>
          <w:tcPr>
            <w:tcW w:w="5885" w:type="dxa"/>
          </w:tcPr>
          <w:p>
            <w:pPr>
              <w:pStyle w:val="TableParagraph"/>
              <w:spacing w:before="155"/>
              <w:ind w:left="50"/>
              <w:jc w:val="left"/>
              <w:rPr>
                <w:sz w:val="16"/>
              </w:rPr>
            </w:pPr>
            <w:r>
              <w:rPr>
                <w:b/>
                <w:color w:val="231F20"/>
                <w:sz w:val="16"/>
              </w:rPr>
              <w:t>Net income, as reported </w:t>
            </w:r>
            <w:r>
              <w:rPr>
                <w:color w:val="231F20"/>
                <w:sz w:val="16"/>
              </w:rPr>
              <w:t>. . . . . . . . . . . . . . . . . . . . . . . . . . . . . . . . . . . . . . . . . . . . . . . . . . . </w:t>
            </w:r>
          </w:p>
        </w:tc>
        <w:tc>
          <w:tcPr>
            <w:tcW w:w="1080" w:type="dxa"/>
            <w:tcBorders>
              <w:top w:val="single" w:sz="4" w:space="0" w:color="231F20"/>
            </w:tcBorders>
          </w:tcPr>
          <w:p>
            <w:pPr>
              <w:pStyle w:val="TableParagraph"/>
              <w:tabs>
                <w:tab w:pos="679" w:val="left" w:leader="none"/>
              </w:tabs>
              <w:spacing w:before="150"/>
              <w:ind w:right="79"/>
              <w:rPr>
                <w:sz w:val="16"/>
              </w:rPr>
            </w:pPr>
            <w:r>
              <w:rPr>
                <w:color w:val="231F20"/>
                <w:sz w:val="16"/>
              </w:rPr>
              <w:t>$</w:t>
              <w:tab/>
              <w:t>178</w:t>
            </w:r>
          </w:p>
        </w:tc>
        <w:tc>
          <w:tcPr>
            <w:tcW w:w="200" w:type="dxa"/>
          </w:tcPr>
          <w:p>
            <w:pPr/>
          </w:p>
        </w:tc>
        <w:tc>
          <w:tcPr>
            <w:tcW w:w="1000" w:type="dxa"/>
            <w:tcBorders>
              <w:top w:val="single" w:sz="4" w:space="0" w:color="231F20"/>
            </w:tcBorders>
          </w:tcPr>
          <w:p>
            <w:pPr>
              <w:pStyle w:val="TableParagraph"/>
              <w:tabs>
                <w:tab w:pos="679" w:val="left" w:leader="none"/>
              </w:tabs>
              <w:spacing w:before="150"/>
              <w:ind w:right="79"/>
              <w:rPr>
                <w:sz w:val="16"/>
              </w:rPr>
            </w:pPr>
            <w:r>
              <w:rPr>
                <w:color w:val="231F20"/>
                <w:sz w:val="16"/>
              </w:rPr>
              <w:t>$</w:t>
              <w:tab/>
              <w:t>459</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Add (Deduct): Mark-to-market impact from fuel contracts settling in future periods   . . . . </w:t>
            </w:r>
          </w:p>
        </w:tc>
        <w:tc>
          <w:tcPr>
            <w:tcW w:w="1080" w:type="dxa"/>
          </w:tcPr>
          <w:p>
            <w:pPr>
              <w:pStyle w:val="TableParagraph"/>
              <w:spacing w:line="177" w:lineRule="exact"/>
              <w:ind w:right="79"/>
              <w:rPr>
                <w:sz w:val="16"/>
              </w:rPr>
            </w:pPr>
            <w:r>
              <w:rPr>
                <w:color w:val="231F20"/>
                <w:sz w:val="16"/>
              </w:rPr>
              <w:t>21</w:t>
            </w:r>
          </w:p>
        </w:tc>
        <w:tc>
          <w:tcPr>
            <w:tcW w:w="200" w:type="dxa"/>
          </w:tcPr>
          <w:p>
            <w:pPr/>
          </w:p>
        </w:tc>
        <w:tc>
          <w:tcPr>
            <w:tcW w:w="1000" w:type="dxa"/>
          </w:tcPr>
          <w:p>
            <w:pPr>
              <w:pStyle w:val="TableParagraph"/>
              <w:spacing w:line="177" w:lineRule="exact"/>
              <w:ind w:right="24"/>
              <w:rPr>
                <w:sz w:val="16"/>
              </w:rPr>
            </w:pPr>
            <w:r>
              <w:rPr>
                <w:color w:val="231F20"/>
                <w:sz w:val="16"/>
              </w:rPr>
              <w:t>(21)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(Deduct): Ineffectiveness from fuel hedges settling in future periods . . . . . . . . . . . . . </w:t>
            </w:r>
          </w:p>
        </w:tc>
        <w:tc>
          <w:tcPr>
            <w:tcW w:w="1080" w:type="dxa"/>
          </w:tcPr>
          <w:p>
            <w:pPr>
              <w:pStyle w:val="TableParagraph"/>
              <w:spacing w:line="178" w:lineRule="exact"/>
              <w:ind w:right="79"/>
              <w:rPr>
                <w:sz w:val="16"/>
              </w:rPr>
            </w:pPr>
            <w:r>
              <w:rPr>
                <w:color w:val="231F20"/>
                <w:sz w:val="16"/>
              </w:rPr>
              <w:t>33</w:t>
            </w:r>
          </w:p>
        </w:tc>
        <w:tc>
          <w:tcPr>
            <w:tcW w:w="200" w:type="dxa"/>
          </w:tcPr>
          <w:p>
            <w:pPr/>
          </w:p>
        </w:tc>
        <w:tc>
          <w:tcPr>
            <w:tcW w:w="1000" w:type="dxa"/>
          </w:tcPr>
          <w:p>
            <w:pPr>
              <w:pStyle w:val="TableParagraph"/>
              <w:spacing w:line="178" w:lineRule="exact"/>
              <w:ind w:right="24"/>
              <w:rPr>
                <w:sz w:val="16"/>
              </w:rPr>
            </w:pPr>
            <w:r>
              <w:rPr>
                <w:color w:val="231F20"/>
                <w:sz w:val="16"/>
              </w:rPr>
              <w:t>(11)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Other net impact of fuel contracts settling in the current or a prior period (excluding</w:t>
            </w:r>
          </w:p>
        </w:tc>
        <w:tc>
          <w:tcPr>
            <w:tcW w:w="1080" w:type="dxa"/>
          </w:tcPr>
          <w:p>
            <w:pPr/>
          </w:p>
        </w:tc>
        <w:tc>
          <w:tcPr>
            <w:tcW w:w="200" w:type="dxa"/>
          </w:tcPr>
          <w:p>
            <w:pPr/>
          </w:p>
        </w:tc>
        <w:tc>
          <w:tcPr>
            <w:tcW w:w="1000" w:type="dxa"/>
          </w:tcPr>
          <w:p>
            <w:pPr/>
          </w:p>
        </w:tc>
        <w:tc>
          <w:tcPr>
            <w:tcW w:w="986" w:type="dxa"/>
          </w:tcPr>
          <w:p>
            <w:pPr/>
          </w:p>
        </w:tc>
      </w:tr>
      <w:tr>
        <w:trPr>
          <w:trHeight w:val="180" w:hRule="exact"/>
        </w:trPr>
        <w:tc>
          <w:tcPr>
            <w:tcW w:w="5885" w:type="dxa"/>
          </w:tcPr>
          <w:p>
            <w:pPr>
              <w:pStyle w:val="TableParagraph"/>
              <w:spacing w:line="178" w:lineRule="exact"/>
              <w:ind w:right="79"/>
              <w:rPr>
                <w:sz w:val="16"/>
              </w:rPr>
            </w:pPr>
            <w:r>
              <w:rPr>
                <w:color w:val="231F20"/>
                <w:sz w:val="16"/>
              </w:rPr>
              <w:t>reclassifications)   . . . . . . . . . . . . . . . . . . . . . . . . . . . . . . . . . . . . . . . . . . . . . . . . . . . . . . . </w:t>
            </w:r>
          </w:p>
        </w:tc>
        <w:tc>
          <w:tcPr>
            <w:tcW w:w="1080" w:type="dxa"/>
          </w:tcPr>
          <w:p>
            <w:pPr>
              <w:pStyle w:val="TableParagraph"/>
              <w:spacing w:line="178" w:lineRule="exact"/>
              <w:ind w:right="79"/>
              <w:rPr>
                <w:sz w:val="16"/>
              </w:rPr>
            </w:pPr>
            <w:r>
              <w:rPr>
                <w:color w:val="231F20"/>
                <w:sz w:val="16"/>
              </w:rPr>
              <w:t>35</w:t>
            </w:r>
          </w:p>
        </w:tc>
        <w:tc>
          <w:tcPr>
            <w:tcW w:w="200" w:type="dxa"/>
          </w:tcPr>
          <w:p>
            <w:pPr/>
          </w:p>
        </w:tc>
        <w:tc>
          <w:tcPr>
            <w:tcW w:w="1000" w:type="dxa"/>
          </w:tcPr>
          <w:p>
            <w:pPr>
              <w:pStyle w:val="TableParagraph"/>
              <w:spacing w:line="178" w:lineRule="exact"/>
              <w:ind w:right="79"/>
              <w:rPr>
                <w:sz w:val="16"/>
              </w:rPr>
            </w:pPr>
            <w:r>
              <w:rPr>
                <w:color w:val="231F20"/>
                <w:sz w:val="16"/>
              </w:rPr>
              <w:t>171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Deduct: Income tax impact of fuel contracts  . . . . . . . . . . . . . . . . . . . . . . . . . . . . . . . . . . . . </w:t>
            </w:r>
          </w:p>
        </w:tc>
        <w:tc>
          <w:tcPr>
            <w:tcW w:w="1080" w:type="dxa"/>
          </w:tcPr>
          <w:p>
            <w:pPr>
              <w:pStyle w:val="TableParagraph"/>
              <w:spacing w:line="178" w:lineRule="exact"/>
              <w:ind w:right="24"/>
              <w:rPr>
                <w:sz w:val="16"/>
              </w:rPr>
            </w:pPr>
            <w:r>
              <w:rPr>
                <w:color w:val="231F20"/>
                <w:sz w:val="16"/>
              </w:rPr>
              <w:t>(31)</w:t>
            </w:r>
          </w:p>
        </w:tc>
        <w:tc>
          <w:tcPr>
            <w:tcW w:w="200" w:type="dxa"/>
          </w:tcPr>
          <w:p>
            <w:pPr/>
          </w:p>
        </w:tc>
        <w:tc>
          <w:tcPr>
            <w:tcW w:w="1000" w:type="dxa"/>
          </w:tcPr>
          <w:p>
            <w:pPr>
              <w:pStyle w:val="TableParagraph"/>
              <w:spacing w:line="178" w:lineRule="exact"/>
              <w:ind w:right="24"/>
              <w:rPr>
                <w:sz w:val="16"/>
              </w:rPr>
            </w:pPr>
            <w:r>
              <w:rPr>
                <w:color w:val="231F20"/>
                <w:sz w:val="16"/>
              </w:rPr>
              <w:t>(52)</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Acquisition and integration costs, net (b)  . . . . . . . . . . . . . . . . . . . . . . . . . . . . . . . . . . </w:t>
            </w:r>
          </w:p>
        </w:tc>
        <w:tc>
          <w:tcPr>
            <w:tcW w:w="1080" w:type="dxa"/>
          </w:tcPr>
          <w:p>
            <w:pPr>
              <w:pStyle w:val="TableParagraph"/>
              <w:spacing w:line="178" w:lineRule="exact"/>
              <w:ind w:right="79"/>
              <w:rPr>
                <w:sz w:val="16"/>
              </w:rPr>
            </w:pPr>
            <w:r>
              <w:rPr>
                <w:color w:val="231F20"/>
                <w:sz w:val="16"/>
              </w:rPr>
              <w:t>85</w:t>
            </w:r>
          </w:p>
        </w:tc>
        <w:tc>
          <w:tcPr>
            <w:tcW w:w="200" w:type="dxa"/>
          </w:tcPr>
          <w:p>
            <w:pPr/>
          </w:p>
        </w:tc>
        <w:tc>
          <w:tcPr>
            <w:tcW w:w="1000" w:type="dxa"/>
          </w:tcPr>
          <w:p>
            <w:pPr>
              <w:pStyle w:val="TableParagraph"/>
              <w:spacing w:line="178" w:lineRule="exact"/>
              <w:ind w:right="79"/>
              <w:rPr>
                <w:sz w:val="16"/>
              </w:rPr>
            </w:pPr>
            <w:r>
              <w:rPr>
                <w:color w:val="231F20"/>
                <w:sz w:val="16"/>
              </w:rPr>
              <w:t>4</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Asset impairment, net (b)  . . . . . . . . . .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9</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Net income, non-GAAP  </w:t>
            </w:r>
            <w:r>
              <w:rPr>
                <w:color w:val="231F20"/>
                <w:sz w:val="16"/>
              </w:rPr>
              <w:t>. . . . . . . . . . . . . . . . . . . . . . . . . . . . . . . . . . . . . . . . . . . . . . . . . . . </w:t>
            </w:r>
          </w:p>
        </w:tc>
        <w:tc>
          <w:tcPr>
            <w:tcW w:w="108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330</w:t>
            </w:r>
          </w:p>
        </w:tc>
        <w:tc>
          <w:tcPr>
            <w:tcW w:w="200" w:type="dxa"/>
          </w:tcPr>
          <w:p>
            <w:pPr/>
          </w:p>
        </w:tc>
        <w:tc>
          <w:tcPr>
            <w:tcW w:w="100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550</w:t>
            </w:r>
          </w:p>
        </w:tc>
        <w:tc>
          <w:tcPr>
            <w:tcW w:w="986" w:type="dxa"/>
          </w:tcPr>
          <w:p>
            <w:pPr>
              <w:pStyle w:val="TableParagraph"/>
              <w:spacing w:before="35"/>
              <w:ind w:right="48"/>
              <w:rPr>
                <w:sz w:val="16"/>
              </w:rPr>
            </w:pPr>
            <w:r>
              <w:rPr>
                <w:color w:val="231F20"/>
                <w:sz w:val="16"/>
              </w:rPr>
              <w:t>(40.0)%</w:t>
            </w:r>
          </w:p>
        </w:tc>
      </w:tr>
      <w:tr>
        <w:trPr>
          <w:trHeight w:val="223" w:hRule="exact"/>
        </w:trPr>
        <w:tc>
          <w:tcPr>
            <w:tcW w:w="5885" w:type="dxa"/>
          </w:tcPr>
          <w:p>
            <w:pPr>
              <w:pStyle w:val="TableParagraph"/>
              <w:spacing w:before="35"/>
              <w:ind w:left="50"/>
              <w:jc w:val="left"/>
              <w:rPr>
                <w:sz w:val="16"/>
              </w:rPr>
            </w:pPr>
            <w:r>
              <w:rPr>
                <w:b/>
                <w:color w:val="231F20"/>
                <w:sz w:val="16"/>
              </w:rPr>
              <w:t>Net income per share, diluted, as reported  </w:t>
            </w:r>
            <w:r>
              <w:rPr>
                <w:color w:val="231F20"/>
                <w:sz w:val="16"/>
              </w:rPr>
              <w:t>. . . . . . . . . . . . . . . . . . . . . . . . . . . . . . . . . . . </w:t>
            </w:r>
          </w:p>
        </w:tc>
        <w:tc>
          <w:tcPr>
            <w:tcW w:w="1080" w:type="dxa"/>
            <w:tcBorders>
              <w:top w:val="single" w:sz="4" w:space="0" w:color="231F20"/>
            </w:tcBorders>
          </w:tcPr>
          <w:p>
            <w:pPr>
              <w:pStyle w:val="TableParagraph"/>
              <w:tabs>
                <w:tab w:pos="639" w:val="left" w:leader="none"/>
              </w:tabs>
              <w:spacing w:before="30"/>
              <w:ind w:right="79"/>
              <w:rPr>
                <w:sz w:val="16"/>
              </w:rPr>
            </w:pPr>
            <w:r>
              <w:rPr>
                <w:color w:val="231F20"/>
                <w:sz w:val="16"/>
              </w:rPr>
              <w:t>$</w:t>
              <w:tab/>
              <w:t>0.23</w:t>
            </w:r>
          </w:p>
        </w:tc>
        <w:tc>
          <w:tcPr>
            <w:tcW w:w="200" w:type="dxa"/>
          </w:tcPr>
          <w:p>
            <w:pPr/>
          </w:p>
        </w:tc>
        <w:tc>
          <w:tcPr>
            <w:tcW w:w="1000" w:type="dxa"/>
            <w:tcBorders>
              <w:top w:val="single" w:sz="4" w:space="0" w:color="231F20"/>
            </w:tcBorders>
          </w:tcPr>
          <w:p>
            <w:pPr>
              <w:pStyle w:val="TableParagraph"/>
              <w:tabs>
                <w:tab w:pos="639" w:val="left" w:leader="none"/>
              </w:tabs>
              <w:spacing w:before="30"/>
              <w:ind w:right="79"/>
              <w:rPr>
                <w:sz w:val="16"/>
              </w:rPr>
            </w:pPr>
            <w:r>
              <w:rPr>
                <w:color w:val="231F20"/>
                <w:sz w:val="16"/>
              </w:rPr>
              <w:t>$</w:t>
              <w:tab/>
              <w:t>0.61</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Add: Net impact from fuel contracts  . . . . . . . . . . . . . . . . . . . . . . . . . . . . . . . . . . . . . . . . . . </w:t>
            </w:r>
          </w:p>
        </w:tc>
        <w:tc>
          <w:tcPr>
            <w:tcW w:w="1080" w:type="dxa"/>
          </w:tcPr>
          <w:p>
            <w:pPr>
              <w:pStyle w:val="TableParagraph"/>
              <w:spacing w:line="177" w:lineRule="exact"/>
              <w:ind w:right="79"/>
              <w:rPr>
                <w:sz w:val="16"/>
              </w:rPr>
            </w:pPr>
            <w:r>
              <w:rPr>
                <w:color w:val="231F20"/>
                <w:sz w:val="16"/>
              </w:rPr>
              <w:t>0.07</w:t>
            </w:r>
          </w:p>
        </w:tc>
        <w:tc>
          <w:tcPr>
            <w:tcW w:w="200" w:type="dxa"/>
          </w:tcPr>
          <w:p>
            <w:pPr/>
          </w:p>
        </w:tc>
        <w:tc>
          <w:tcPr>
            <w:tcW w:w="1000" w:type="dxa"/>
          </w:tcPr>
          <w:p>
            <w:pPr>
              <w:pStyle w:val="TableParagraph"/>
              <w:spacing w:line="177" w:lineRule="exact"/>
              <w:ind w:right="79"/>
              <w:rPr>
                <w:sz w:val="16"/>
              </w:rPr>
            </w:pPr>
            <w:r>
              <w:rPr>
                <w:color w:val="231F20"/>
                <w:sz w:val="16"/>
              </w:rPr>
              <w:t>0.12</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Impact of special items, net (b) . . . . . .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0.13</w:t>
            </w:r>
          </w:p>
        </w:tc>
        <w:tc>
          <w:tcPr>
            <w:tcW w:w="200" w:type="dxa"/>
          </w:tcPr>
          <w:p>
            <w:pPr/>
          </w:p>
        </w:tc>
        <w:tc>
          <w:tcPr>
            <w:tcW w:w="1000" w:type="dxa"/>
            <w:tcBorders>
              <w:bottom w:val="single" w:sz="4" w:space="0" w:color="231F20"/>
            </w:tcBorders>
          </w:tcPr>
          <w:p>
            <w:pPr>
              <w:pStyle w:val="TableParagraph"/>
              <w:spacing w:line="178" w:lineRule="exact"/>
              <w:ind w:right="79"/>
              <w:rPr>
                <w:sz w:val="16"/>
              </w:rPr>
            </w:pPr>
            <w:r>
              <w:rPr>
                <w:color w:val="231F20"/>
                <w:sz w:val="16"/>
              </w:rPr>
              <w:t>0.01</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Net income per share, diluted, non-GAAP  </w:t>
            </w:r>
            <w:r>
              <w:rPr>
                <w:color w:val="231F20"/>
                <w:sz w:val="16"/>
              </w:rPr>
              <w:t>. . . . . . . . . . . . . . . . . . . . . . . . . . . . . . . . . . . </w:t>
            </w:r>
          </w:p>
        </w:tc>
        <w:tc>
          <w:tcPr>
            <w:tcW w:w="1080" w:type="dxa"/>
            <w:tcBorders>
              <w:top w:val="single" w:sz="4" w:space="0" w:color="231F20"/>
              <w:bottom w:val="single" w:sz="4" w:space="0" w:color="231F20"/>
            </w:tcBorders>
          </w:tcPr>
          <w:p>
            <w:pPr>
              <w:pStyle w:val="TableParagraph"/>
              <w:tabs>
                <w:tab w:pos="639" w:val="left" w:leader="none"/>
              </w:tabs>
              <w:spacing w:before="30"/>
              <w:ind w:right="79"/>
              <w:rPr>
                <w:sz w:val="16"/>
              </w:rPr>
            </w:pPr>
            <w:r>
              <w:rPr>
                <w:color w:val="231F20"/>
                <w:sz w:val="16"/>
              </w:rPr>
              <w:t>$</w:t>
              <w:tab/>
              <w:t>0.43</w:t>
            </w:r>
          </w:p>
        </w:tc>
        <w:tc>
          <w:tcPr>
            <w:tcW w:w="200" w:type="dxa"/>
          </w:tcPr>
          <w:p>
            <w:pPr/>
          </w:p>
        </w:tc>
        <w:tc>
          <w:tcPr>
            <w:tcW w:w="1000" w:type="dxa"/>
            <w:tcBorders>
              <w:top w:val="single" w:sz="4" w:space="0" w:color="231F20"/>
              <w:bottom w:val="single" w:sz="4" w:space="0" w:color="231F20"/>
            </w:tcBorders>
          </w:tcPr>
          <w:p>
            <w:pPr>
              <w:pStyle w:val="TableParagraph"/>
              <w:tabs>
                <w:tab w:pos="639" w:val="left" w:leader="none"/>
              </w:tabs>
              <w:spacing w:before="30"/>
              <w:ind w:right="79"/>
              <w:rPr>
                <w:sz w:val="16"/>
              </w:rPr>
            </w:pPr>
            <w:r>
              <w:rPr>
                <w:color w:val="231F20"/>
                <w:sz w:val="16"/>
              </w:rPr>
              <w:t>$</w:t>
              <w:tab/>
              <w:t>0.74</w:t>
            </w:r>
          </w:p>
        </w:tc>
        <w:tc>
          <w:tcPr>
            <w:tcW w:w="986" w:type="dxa"/>
          </w:tcPr>
          <w:p>
            <w:pPr>
              <w:pStyle w:val="TableParagraph"/>
              <w:spacing w:before="35"/>
              <w:ind w:right="48"/>
              <w:rPr>
                <w:sz w:val="16"/>
              </w:rPr>
            </w:pPr>
            <w:r>
              <w:rPr>
                <w:color w:val="231F20"/>
                <w:sz w:val="16"/>
              </w:rPr>
              <w:t>(41.9)%</w:t>
            </w:r>
          </w:p>
        </w:tc>
      </w:tr>
      <w:tr>
        <w:trPr>
          <w:trHeight w:val="343" w:hRule="exact"/>
        </w:trPr>
        <w:tc>
          <w:tcPr>
            <w:tcW w:w="5885" w:type="dxa"/>
          </w:tcPr>
          <w:p>
            <w:pPr>
              <w:pStyle w:val="TableParagraph"/>
              <w:spacing w:before="155"/>
              <w:ind w:left="50"/>
              <w:jc w:val="left"/>
              <w:rPr>
                <w:sz w:val="16"/>
              </w:rPr>
            </w:pPr>
            <w:r>
              <w:rPr>
                <w:b/>
                <w:color w:val="231F20"/>
                <w:sz w:val="16"/>
              </w:rPr>
              <w:t>Operating expenses per ASM (cents) </w:t>
            </w:r>
            <w:r>
              <w:rPr>
                <w:color w:val="231F20"/>
                <w:sz w:val="16"/>
              </w:rPr>
              <w:t>. . . . . . . . . . . . . . . . . . . . . . . . . . . . . . . . . . . . . . . . </w:t>
            </w:r>
          </w:p>
        </w:tc>
        <w:tc>
          <w:tcPr>
            <w:tcW w:w="1080" w:type="dxa"/>
            <w:tcBorders>
              <w:top w:val="single" w:sz="4" w:space="0" w:color="231F20"/>
            </w:tcBorders>
          </w:tcPr>
          <w:p>
            <w:pPr>
              <w:pStyle w:val="TableParagraph"/>
              <w:spacing w:before="150"/>
              <w:ind w:right="79"/>
              <w:rPr>
                <w:sz w:val="16"/>
              </w:rPr>
            </w:pPr>
            <w:r>
              <w:rPr>
                <w:color w:val="231F20"/>
                <w:sz w:val="16"/>
              </w:rPr>
              <w:t>12.41</w:t>
            </w:r>
          </w:p>
        </w:tc>
        <w:tc>
          <w:tcPr>
            <w:tcW w:w="200" w:type="dxa"/>
          </w:tcPr>
          <w:p>
            <w:pPr/>
          </w:p>
        </w:tc>
        <w:tc>
          <w:tcPr>
            <w:tcW w:w="1000" w:type="dxa"/>
            <w:tcBorders>
              <w:top w:val="single" w:sz="4" w:space="0" w:color="231F20"/>
            </w:tcBorders>
          </w:tcPr>
          <w:p>
            <w:pPr>
              <w:pStyle w:val="TableParagraph"/>
              <w:spacing w:before="150"/>
              <w:ind w:right="79"/>
              <w:rPr>
                <w:sz w:val="16"/>
              </w:rPr>
            </w:pPr>
            <w:r>
              <w:rPr>
                <w:color w:val="231F20"/>
                <w:sz w:val="16"/>
              </w:rPr>
              <w:t>11.29</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Deduct: Fuel expense divided by ASMs (cents)  . . . . . . . . . . . . . . . . . . . . . . . . . . . . . . . . . </w:t>
            </w:r>
          </w:p>
        </w:tc>
        <w:tc>
          <w:tcPr>
            <w:tcW w:w="1080" w:type="dxa"/>
          </w:tcPr>
          <w:p>
            <w:pPr>
              <w:pStyle w:val="TableParagraph"/>
              <w:spacing w:line="177" w:lineRule="exact"/>
              <w:ind w:right="24"/>
              <w:rPr>
                <w:sz w:val="16"/>
              </w:rPr>
            </w:pPr>
            <w:r>
              <w:rPr>
                <w:color w:val="231F20"/>
                <w:sz w:val="16"/>
              </w:rPr>
              <w:t>(4.68)</w:t>
            </w:r>
          </w:p>
        </w:tc>
        <w:tc>
          <w:tcPr>
            <w:tcW w:w="200" w:type="dxa"/>
          </w:tcPr>
          <w:p>
            <w:pPr/>
          </w:p>
        </w:tc>
        <w:tc>
          <w:tcPr>
            <w:tcW w:w="1000" w:type="dxa"/>
          </w:tcPr>
          <w:p>
            <w:pPr>
              <w:pStyle w:val="TableParagraph"/>
              <w:spacing w:line="177" w:lineRule="exact"/>
              <w:ind w:right="24"/>
              <w:rPr>
                <w:sz w:val="16"/>
              </w:rPr>
            </w:pPr>
            <w:r>
              <w:rPr>
                <w:color w:val="231F20"/>
                <w:sz w:val="16"/>
              </w:rPr>
              <w:t>(3.68)</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Deduct: Impact of special items, net (cents) (a)   . . . . . . . . . . . . . . . . . . . . . . . . . . . . . . . . . </w:t>
            </w:r>
          </w:p>
        </w:tc>
        <w:tc>
          <w:tcPr>
            <w:tcW w:w="1080" w:type="dxa"/>
            <w:tcBorders>
              <w:bottom w:val="single" w:sz="4" w:space="0" w:color="231F20"/>
            </w:tcBorders>
          </w:tcPr>
          <w:p>
            <w:pPr>
              <w:pStyle w:val="TableParagraph"/>
              <w:spacing w:line="178" w:lineRule="exact"/>
              <w:ind w:right="24"/>
              <w:rPr>
                <w:sz w:val="16"/>
              </w:rPr>
            </w:pPr>
            <w:r>
              <w:rPr>
                <w:color w:val="231F20"/>
                <w:sz w:val="16"/>
              </w:rPr>
              <w:t>(0.12)</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280" w:hRule="exact"/>
        </w:trPr>
        <w:tc>
          <w:tcPr>
            <w:tcW w:w="5885" w:type="dxa"/>
          </w:tcPr>
          <w:p>
            <w:pPr>
              <w:pStyle w:val="TableParagraph"/>
              <w:spacing w:before="35"/>
              <w:ind w:left="50"/>
              <w:jc w:val="left"/>
              <w:rPr>
                <w:sz w:val="16"/>
              </w:rPr>
            </w:pPr>
            <w:r>
              <w:rPr>
                <w:b/>
                <w:color w:val="231F20"/>
                <w:sz w:val="16"/>
              </w:rPr>
              <w:t>Operating expenses per ASM, non-GAAP, excluding fuel and special items (cents) </w:t>
            </w:r>
            <w:r>
              <w:rPr>
                <w:color w:val="231F20"/>
                <w:sz w:val="16"/>
              </w:rPr>
              <w:t>. .</w:t>
            </w:r>
          </w:p>
        </w:tc>
        <w:tc>
          <w:tcPr>
            <w:tcW w:w="1080" w:type="dxa"/>
            <w:tcBorders>
              <w:top w:val="single" w:sz="4" w:space="0" w:color="231F20"/>
            </w:tcBorders>
          </w:tcPr>
          <w:p>
            <w:pPr>
              <w:pStyle w:val="TableParagraph"/>
              <w:spacing w:before="30"/>
              <w:ind w:right="79"/>
              <w:rPr>
                <w:sz w:val="16"/>
              </w:rPr>
            </w:pPr>
            <w:r>
              <w:rPr>
                <w:color w:val="231F20"/>
                <w:sz w:val="16"/>
              </w:rPr>
              <w:t>7.61</w:t>
            </w:r>
          </w:p>
        </w:tc>
        <w:tc>
          <w:tcPr>
            <w:tcW w:w="200" w:type="dxa"/>
          </w:tcPr>
          <w:p>
            <w:pPr/>
          </w:p>
        </w:tc>
        <w:tc>
          <w:tcPr>
            <w:tcW w:w="1000" w:type="dxa"/>
            <w:tcBorders>
              <w:top w:val="single" w:sz="4" w:space="0" w:color="231F20"/>
            </w:tcBorders>
          </w:tcPr>
          <w:p>
            <w:pPr>
              <w:pStyle w:val="TableParagraph"/>
              <w:spacing w:before="30"/>
              <w:ind w:right="79"/>
              <w:rPr>
                <w:sz w:val="16"/>
              </w:rPr>
            </w:pPr>
            <w:r>
              <w:rPr>
                <w:color w:val="231F20"/>
                <w:sz w:val="16"/>
              </w:rPr>
              <w:t>7.61</w:t>
            </w:r>
          </w:p>
        </w:tc>
        <w:tc>
          <w:tcPr>
            <w:tcW w:w="986" w:type="dxa"/>
          </w:tcPr>
          <w:p>
            <w:pPr>
              <w:pStyle w:val="TableParagraph"/>
              <w:spacing w:before="35"/>
              <w:ind w:right="101"/>
              <w:rPr>
                <w:sz w:val="16"/>
              </w:rPr>
            </w:pPr>
            <w:r>
              <w:rPr>
                <w:color w:val="231F20"/>
                <w:sz w:val="16"/>
              </w:rPr>
              <w:t>—  %</w:t>
            </w:r>
          </w:p>
        </w:tc>
      </w:tr>
      <w:tr>
        <w:trPr>
          <w:trHeight w:val="180" w:hRule="exact"/>
        </w:trPr>
        <w:tc>
          <w:tcPr>
            <w:tcW w:w="5885" w:type="dxa"/>
          </w:tcPr>
          <w:p>
            <w:pPr/>
          </w:p>
        </w:tc>
        <w:tc>
          <w:tcPr>
            <w:tcW w:w="1080" w:type="dxa"/>
            <w:tcBorders>
              <w:bottom w:val="single" w:sz="4" w:space="0" w:color="231F20"/>
            </w:tcBorders>
          </w:tcPr>
          <w:p>
            <w:pPr/>
          </w:p>
        </w:tc>
        <w:tc>
          <w:tcPr>
            <w:tcW w:w="200" w:type="dxa"/>
          </w:tcPr>
          <w:p>
            <w:pPr/>
          </w:p>
        </w:tc>
        <w:tc>
          <w:tcPr>
            <w:tcW w:w="1000" w:type="dxa"/>
            <w:tcBorders>
              <w:bottom w:val="single" w:sz="4" w:space="0" w:color="231F20"/>
            </w:tcBorders>
          </w:tcPr>
          <w:p>
            <w:pPr/>
          </w:p>
        </w:tc>
        <w:tc>
          <w:tcPr>
            <w:tcW w:w="986" w:type="dxa"/>
          </w:tcPr>
          <w:p>
            <w:pPr/>
          </w:p>
        </w:tc>
      </w:tr>
    </w:tbl>
    <w:p>
      <w:pPr>
        <w:tabs>
          <w:tab w:pos="479" w:val="left" w:leader="none"/>
        </w:tabs>
        <w:spacing w:before="45"/>
        <w:ind w:left="160" w:right="0" w:firstLine="0"/>
        <w:jc w:val="left"/>
        <w:rPr>
          <w:sz w:val="16"/>
        </w:rPr>
      </w:pPr>
      <w:r>
        <w:rPr/>
        <w:pict>
          <v:line style="position:absolute;mso-position-horizontal-relative:page;mso-position-vertical-relative:paragraph;z-index:-355768" from="364.75pt,-108.53125pt" to="414.75pt,-108.53125pt" stroked="true" strokeweight=".5pt" strokecolor="#231f20">
            <v:stroke dashstyle="solid"/>
            <w10:wrap type="none"/>
          </v:line>
        </w:pict>
      </w:r>
      <w:r>
        <w:rPr/>
        <w:pict>
          <v:line style="position:absolute;mso-position-horizontal-relative:page;mso-position-vertical-relative:paragraph;z-index:-355744" from="424.75pt,-108.53125pt" to="474.75pt,-108.53125pt" stroked="true" strokeweight=".5pt" strokecolor="#231f20">
            <v:stroke dashstyle="solid"/>
            <w10:wrap type="none"/>
          </v:line>
        </w:pict>
      </w:r>
      <w:r>
        <w:rPr/>
        <w:pict>
          <v:line style="position:absolute;mso-position-horizontal-relative:page;mso-position-vertical-relative:paragraph;z-index:-355720" from="364.75pt,-62.53125pt" to="414.75pt,-62.53125pt" stroked="true" strokeweight=".5pt" strokecolor="#231f20">
            <v:stroke dashstyle="solid"/>
            <w10:wrap type="none"/>
          </v:line>
        </w:pict>
      </w:r>
      <w:r>
        <w:rPr/>
        <w:pict>
          <v:line style="position:absolute;mso-position-horizontal-relative:page;mso-position-vertical-relative:paragraph;z-index:-355696" from="424.75pt,-62.53125pt" to="474.75pt,-62.53125pt" stroked="true" strokeweight=".5pt" strokecolor="#231f20">
            <v:stroke dashstyle="solid"/>
            <w10:wrap type="none"/>
          </v:line>
        </w:pict>
      </w:r>
      <w:r>
        <w:rPr/>
        <w:pict>
          <v:line style="position:absolute;mso-position-horizontal-relative:page;mso-position-vertical-relative:paragraph;z-index:-355672" from="364.75pt,-10.53125pt" to="414.75pt,-10.53125pt" stroked="true" strokeweight=".5pt" strokecolor="#231f20">
            <v:stroke dashstyle="solid"/>
            <w10:wrap type="none"/>
          </v:line>
        </w:pict>
      </w:r>
      <w:r>
        <w:rPr/>
        <w:pict>
          <v:line style="position:absolute;mso-position-horizontal-relative:page;mso-position-vertical-relative:paragraph;z-index:-355648" from="424.75pt,-10.53125pt" to="474.75pt,-10.53125pt" stroked="true" strokeweight=".5pt" strokecolor="#231f20">
            <v:stroke dashstyle="solid"/>
            <w10:wrap type="none"/>
          </v:line>
        </w:pict>
      </w:r>
      <w:r>
        <w:rPr>
          <w:color w:val="231F20"/>
          <w:sz w:val="16"/>
        </w:rPr>
        <w:t>*</w:t>
        <w:tab/>
        <w:t>As a result of prior hedge ineffectiveness and/or contracts marked to market through</w:t>
      </w:r>
      <w:r>
        <w:rPr>
          <w:color w:val="231F20"/>
          <w:spacing w:val="-18"/>
          <w:sz w:val="16"/>
        </w:rPr>
        <w:t> </w:t>
      </w:r>
      <w:r>
        <w:rPr>
          <w:color w:val="231F20"/>
          <w:sz w:val="16"/>
        </w:rPr>
        <w:t>earnings.</w:t>
      </w:r>
    </w:p>
    <w:p>
      <w:pPr>
        <w:pStyle w:val="ListParagraph"/>
        <w:numPr>
          <w:ilvl w:val="1"/>
          <w:numId w:val="9"/>
        </w:numPr>
        <w:tabs>
          <w:tab w:pos="480" w:val="left" w:leader="none"/>
        </w:tabs>
        <w:spacing w:line="261" w:lineRule="auto" w:before="15" w:after="0"/>
        <w:ind w:left="480" w:right="25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5"/>
          <w:sz w:val="16"/>
        </w:rPr>
        <w:t> </w:t>
      </w:r>
      <w:r>
        <w:rPr>
          <w:color w:val="231F20"/>
          <w:sz w:val="16"/>
        </w:rPr>
        <w:t>beyond.</w:t>
      </w:r>
    </w:p>
    <w:p>
      <w:pPr>
        <w:pStyle w:val="ListParagraph"/>
        <w:numPr>
          <w:ilvl w:val="1"/>
          <w:numId w:val="9"/>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21"/>
          <w:sz w:val="16"/>
        </w:rPr>
        <w:t> </w:t>
      </w:r>
      <w:r>
        <w:rPr>
          <w:color w:val="231F20"/>
          <w:sz w:val="16"/>
        </w:rPr>
        <w:t>costs.</w:t>
      </w:r>
    </w:p>
    <w:p>
      <w:pPr>
        <w:pStyle w:val="BodyText"/>
        <w:spacing w:before="3"/>
        <w:rPr>
          <w:sz w:val="17"/>
        </w:rPr>
      </w:pPr>
    </w:p>
    <w:p>
      <w:pPr>
        <w:pStyle w:val="BodyText"/>
        <w:ind w:left="160"/>
      </w:pPr>
      <w:r>
        <w:rPr>
          <w:color w:val="231F20"/>
        </w:rPr>
        <w:t>See previous Note Regarding Use of Non-GAAP Financial Measures.</w:t>
      </w:r>
    </w:p>
    <w:p>
      <w:pPr>
        <w:spacing w:after="0"/>
        <w:sectPr>
          <w:pgSz w:w="11880" w:h="15480"/>
          <w:pgMar w:header="0" w:footer="1253" w:top="1240" w:bottom="1440" w:left="1220" w:right="1260"/>
        </w:sectPr>
      </w:pPr>
    </w:p>
    <w:p>
      <w:pPr>
        <w:pStyle w:val="Heading4"/>
        <w:spacing w:before="73"/>
        <w:ind w:left="300"/>
        <w:rPr>
          <w:i/>
        </w:rPr>
      </w:pPr>
      <w:r>
        <w:rPr>
          <w:i/>
          <w:color w:val="231F20"/>
        </w:rPr>
        <w:t>2011 compared with 2010</w:t>
      </w:r>
    </w:p>
    <w:p>
      <w:pPr>
        <w:pStyle w:val="BodyText"/>
        <w:spacing w:before="139"/>
        <w:ind w:left="500"/>
      </w:pPr>
      <w:r>
        <w:rPr>
          <w:color w:val="231F20"/>
        </w:rPr>
        <w:t>The Company’s consolidated net income of $178 million ($.23 per share, diluted) in 2011 decreased by</w:t>
      </w:r>
    </w:p>
    <w:p>
      <w:pPr>
        <w:pStyle w:val="BodyText"/>
        <w:spacing w:line="249" w:lineRule="auto" w:before="9"/>
        <w:ind w:left="100" w:right="129"/>
      </w:pPr>
      <w:r>
        <w:rPr>
          <w:color w:val="231F20"/>
        </w:rPr>
        <w:t>$281 million, or 61.2 percent, compared to its 2010 net income of $459 million ($.61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2011—including those that settled during 2011 and those that will settle in future years—the Company recognized a net total of $259 million in losses allocated between Fuel and oil expense and Other (gains) losses, net, in the Consolidated Statement of Income. During 2010, the Company recognized a net total of $426 million in losses as a result of its fuel hedging activities, allocated between Fuel and oil expense and Other (gains) losses, net. Each of these totals for 2011 and 2010 included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2011 also included a charge for asset impairment of $17 million (before the impact of profitsharing or taxes) related to the Company’s decision not to equip its Classic (737-300/500) aircraft with RNP capabilities and AirTran acquisition and integration- related expenses of $134 million (before the impact of profitsharing or taxes). The Company’s 2011 Operating income of $693 million was lower than the Company’s 2010 Operating income of $988 million, as the 34.6 percent increase in Operating expenses outpaced the 29.4 percent increase in Operating revenues.</w:t>
      </w:r>
    </w:p>
    <w:p>
      <w:pPr>
        <w:pStyle w:val="BodyText"/>
        <w:rPr>
          <w:sz w:val="22"/>
        </w:rPr>
      </w:pPr>
    </w:p>
    <w:p>
      <w:pPr>
        <w:pStyle w:val="Heading3"/>
        <w:spacing w:before="140"/>
      </w:pPr>
      <w:r>
        <w:rPr>
          <w:color w:val="231F20"/>
        </w:rPr>
        <w:t>Operating revenues</w:t>
      </w:r>
    </w:p>
    <w:p>
      <w:pPr>
        <w:pStyle w:val="BodyText"/>
        <w:spacing w:line="249" w:lineRule="auto" w:before="140"/>
        <w:ind w:left="100" w:right="116" w:firstLine="400"/>
      </w:pPr>
      <w:r>
        <w:rPr>
          <w:color w:val="231F20"/>
        </w:rPr>
        <w:t>Consolidated Operating revenues for 2011 increased by $3.6 billion, or 29.4 percent, compared to 2010, of which approximately $2.0 billion was attributable to the inclusion of the results of AirTran following the May 2, 2011 acquisition. Consolidated Passenger revenues for 2011 increased by $3.2 billion, or 28.3 percent, compared to 2010, of which approximately $1.7 billion was due to the inclusion of AirTran results following the May 2, 2011 acquisition. Excluding the results of AirTran, Operating revenues for 2011 increased 12.8 percent on a dollar basis, compared to 2010, primarily due to a 13.1 percent increase in Passenger revenues. Holding other factors constant, over 40 percent of the increase in Passenger revenues was attributable to the 5.5 percent  increase in Southwest’s capacity, versus 2010. The remainder of the increase primarily was due to higher Passenger yields (Passenger revenues per RPM flown), as the Company implemented fare increases in an attempt to buffer a portion of the impact of higher fuel</w:t>
      </w:r>
      <w:r>
        <w:rPr>
          <w:color w:val="231F20"/>
          <w:spacing w:val="5"/>
        </w:rPr>
        <w:t> </w:t>
      </w:r>
      <w:r>
        <w:rPr>
          <w:color w:val="231F20"/>
        </w:rPr>
        <w:t>costs.</w:t>
      </w:r>
    </w:p>
    <w:p>
      <w:pPr>
        <w:pStyle w:val="BodyText"/>
        <w:spacing w:before="9"/>
        <w:rPr>
          <w:sz w:val="22"/>
        </w:rPr>
      </w:pPr>
    </w:p>
    <w:p>
      <w:pPr>
        <w:pStyle w:val="BodyText"/>
        <w:spacing w:line="249" w:lineRule="auto"/>
        <w:ind w:left="100" w:right="214" w:firstLine="400"/>
      </w:pPr>
      <w:r>
        <w:rPr>
          <w:color w:val="231F20"/>
        </w:rPr>
        <w:t>The Company’s load factor for 2011 also increased 1.6 points to 80.9 percent in 2011, which was a record for the Company. These strong revenue results were achieved due to better revenue management techniques and strategies, continued optimization of the Company’s flight schedule to better match demand in certain markets, improving economic conditions, which led to higher demand for air travel versus 2010, and at times, targeted marketing campaigns in which the Company differentiated its product and service from competitors.</w:t>
      </w:r>
    </w:p>
    <w:p>
      <w:pPr>
        <w:pStyle w:val="BodyText"/>
        <w:spacing w:before="9"/>
        <w:rPr>
          <w:sz w:val="22"/>
        </w:rPr>
      </w:pPr>
    </w:p>
    <w:p>
      <w:pPr>
        <w:pStyle w:val="BodyText"/>
        <w:spacing w:line="249" w:lineRule="auto"/>
        <w:ind w:left="100" w:right="348" w:firstLine="400"/>
        <w:jc w:val="both"/>
      </w:pPr>
      <w:r>
        <w:rPr>
          <w:color w:val="231F20"/>
        </w:rPr>
        <w:t>Consolidated Freight revenues for 2011 increased by $14 million, or 11.2 percent, versus 2010, primarily due to higher average rates charged as a result of fuel surcharges and better economic conditions than the prior year.</w:t>
      </w:r>
    </w:p>
    <w:p>
      <w:pPr>
        <w:pStyle w:val="BodyText"/>
        <w:spacing w:before="9"/>
        <w:rPr>
          <w:sz w:val="22"/>
        </w:rPr>
      </w:pPr>
    </w:p>
    <w:p>
      <w:pPr>
        <w:pStyle w:val="BodyText"/>
        <w:spacing w:line="249" w:lineRule="auto"/>
        <w:ind w:left="100" w:right="152" w:firstLine="400"/>
      </w:pPr>
      <w:r>
        <w:rPr>
          <w:color w:val="231F20"/>
        </w:rPr>
        <w:t>Consolidated Other revenues for 2011 increased by $294 million, or 60.0 percent, compared to 2010, of which approximately $261 million was due to the inclusion of AirTran results following the May 2, 2011 acquisition date. Excluding the results of AirTran, Other revenues increased 6.7 percent on a dollar basis, compared to 2010. This increase was due to revenues from initiatives, such as the Company’s EarlyBird product, for which Customers could pay $10 to automatically receive an assigned boarding position before general checkin begins, and service charges for unaccompanied minors and pets. The increase in revenues from initiatives was partially offset by a year-over-year increase in the portion of the commissions earned from programs the Company sponsors with certain business partners that were classified as Passenger revenue. The classification of such amounts is influenced by average fares, among other factors. See Note 1 to the</w:t>
      </w:r>
    </w:p>
    <w:p>
      <w:pPr>
        <w:spacing w:after="0" w:line="249" w:lineRule="auto"/>
        <w:sectPr>
          <w:pgSz w:w="11880" w:h="15480"/>
          <w:pgMar w:header="0" w:footer="1253" w:top="1240" w:bottom="1440" w:left="1280" w:right="1280"/>
        </w:sectPr>
      </w:pPr>
    </w:p>
    <w:p>
      <w:pPr>
        <w:pStyle w:val="BodyText"/>
        <w:spacing w:line="249" w:lineRule="auto" w:before="73"/>
        <w:ind w:left="160" w:right="640"/>
      </w:pPr>
      <w:r>
        <w:rPr>
          <w:color w:val="231F20"/>
        </w:rPr>
        <w:t>Consolidated Financial Statements for further information on Southwest’s frequent flyer program. Other revenues for AirTran for the period following the acquisition in 2011 included approximately $110 million in baggage fees collected from Customers.</w:t>
      </w:r>
    </w:p>
    <w:p>
      <w:pPr>
        <w:pStyle w:val="BodyText"/>
        <w:spacing w:before="1"/>
        <w:rPr>
          <w:sz w:val="32"/>
        </w:rPr>
      </w:pPr>
    </w:p>
    <w:p>
      <w:pPr>
        <w:pStyle w:val="Heading3"/>
        <w:spacing w:before="1"/>
        <w:ind w:left="160"/>
      </w:pPr>
      <w:r>
        <w:rPr>
          <w:color w:val="231F20"/>
        </w:rPr>
        <w:t>Operating expenses</w:t>
      </w:r>
    </w:p>
    <w:p>
      <w:pPr>
        <w:pStyle w:val="BodyText"/>
        <w:spacing w:line="249" w:lineRule="auto" w:before="133"/>
        <w:ind w:left="160" w:right="475" w:firstLine="400"/>
      </w:pPr>
      <w:r>
        <w:rPr>
          <w:color w:val="231F20"/>
        </w:rPr>
        <w:t>Consolidated Operating expenses for 2011 increased by $3.8 billion, or 34.6 percent, compared to 2010, while capacity increased 22.5 percent compared to 2010. The increase in consolidated Operating expenses was primarily due to the inclusion of AirTran’s 2011 Operating expenses following the acquisition. Historically, except for changes in the price of fuel, changes in Operating expenses for airlines are largely driven by changes in capacity, or ASMs. Excluding the results of AirTran, Operating expenses increased 17.0 percent on a dollar basis, approximately 64% of which was due to a higher average jet fuel cost per gallon. The following table presents the Company’s Operating expenses per ASM for 2011 and 2010, followed by explanations of these changes on a per-ASM basis and/or on a dollar basis:</w:t>
      </w:r>
    </w:p>
    <w:p>
      <w:pPr>
        <w:pStyle w:val="BodyText"/>
        <w:spacing w:before="10"/>
        <w:rPr>
          <w:sz w:val="9"/>
        </w:rPr>
      </w:pPr>
    </w:p>
    <w:p>
      <w:pPr>
        <w:spacing w:after="0"/>
        <w:rPr>
          <w:sz w:val="9"/>
        </w:rPr>
        <w:sectPr>
          <w:pgSz w:w="11880" w:h="15480"/>
          <w:pgMar w:header="0" w:footer="1253" w:top="1240" w:bottom="1440" w:left="1220" w:right="1080"/>
        </w:sectPr>
      </w:pPr>
    </w:p>
    <w:p>
      <w:pPr>
        <w:tabs>
          <w:tab w:pos="6831" w:val="left" w:leader="none"/>
        </w:tabs>
        <w:spacing w:line="228" w:lineRule="exact" w:before="92"/>
        <w:ind w:left="3965" w:right="0" w:firstLine="0"/>
        <w:jc w:val="left"/>
        <w:rPr>
          <w:b/>
          <w:sz w:val="18"/>
        </w:rPr>
      </w:pPr>
      <w:r>
        <w:rPr>
          <w:b/>
          <w:color w:val="231F20"/>
          <w:sz w:val="18"/>
        </w:rPr>
        <w:t>Year ended</w:t>
      </w:r>
      <w:r>
        <w:rPr>
          <w:b/>
          <w:color w:val="231F20"/>
          <w:spacing w:val="-1"/>
          <w:sz w:val="18"/>
        </w:rPr>
        <w:t> </w:t>
      </w:r>
      <w:r>
        <w:rPr>
          <w:b/>
          <w:color w:val="231F20"/>
          <w:sz w:val="18"/>
        </w:rPr>
        <w:t>December 31,</w:t>
        <w:tab/>
      </w:r>
      <w:r>
        <w:rPr>
          <w:b/>
          <w:color w:val="231F20"/>
          <w:position w:val="-3"/>
          <w:sz w:val="18"/>
        </w:rPr>
        <w:t>Per ASM</w:t>
      </w:r>
    </w:p>
    <w:p>
      <w:pPr>
        <w:spacing w:line="188" w:lineRule="exact" w:before="132"/>
        <w:ind w:left="768" w:right="0" w:firstLine="0"/>
        <w:jc w:val="left"/>
        <w:rPr>
          <w:b/>
          <w:sz w:val="18"/>
        </w:rPr>
      </w:pPr>
      <w:r>
        <w:rPr/>
        <w:br w:type="column"/>
      </w:r>
      <w:r>
        <w:rPr>
          <w:b/>
          <w:color w:val="231F20"/>
          <w:sz w:val="18"/>
        </w:rPr>
        <w:t>Percent</w:t>
      </w:r>
    </w:p>
    <w:p>
      <w:pPr>
        <w:spacing w:after="0" w:line="188" w:lineRule="exact"/>
        <w:jc w:val="left"/>
        <w:rPr>
          <w:sz w:val="18"/>
        </w:rPr>
        <w:sectPr>
          <w:type w:val="continuous"/>
          <w:pgSz w:w="11880" w:h="15480"/>
          <w:pgMar w:top="1200" w:bottom="280" w:left="1220" w:right="1080"/>
          <w:cols w:num="2" w:equalWidth="0">
            <w:col w:w="7547" w:space="40"/>
            <w:col w:w="1993"/>
          </w:cols>
        </w:sectPr>
      </w:pPr>
    </w:p>
    <w:p>
      <w:pPr>
        <w:tabs>
          <w:tab w:pos="4021" w:val="left" w:leader="none"/>
          <w:tab w:pos="5526" w:val="left" w:leader="none"/>
        </w:tabs>
        <w:spacing w:line="199" w:lineRule="exact" w:before="0"/>
        <w:ind w:left="160" w:right="0" w:firstLine="0"/>
        <w:jc w:val="left"/>
        <w:rPr>
          <w:b/>
          <w:sz w:val="18"/>
        </w:rPr>
      </w:pPr>
      <w:r>
        <w:rPr>
          <w:color w:val="231F20"/>
          <w:sz w:val="14"/>
        </w:rPr>
        <w:t>(in cents, except</w:t>
      </w:r>
      <w:r>
        <w:rPr>
          <w:color w:val="231F20"/>
          <w:spacing w:val="-2"/>
          <w:sz w:val="14"/>
        </w:rPr>
        <w:t> </w:t>
      </w:r>
      <w:r>
        <w:rPr>
          <w:color w:val="231F20"/>
          <w:sz w:val="14"/>
        </w:rPr>
        <w:t>for percentages)</w:t>
        <w:tab/>
      </w:r>
      <w:r>
        <w:rPr>
          <w:b/>
          <w:color w:val="231F20"/>
          <w:sz w:val="18"/>
        </w:rPr>
        <w:t>2011</w:t>
        <w:tab/>
        <w:t>2010</w:t>
      </w:r>
    </w:p>
    <w:p>
      <w:pPr>
        <w:spacing w:line="199" w:lineRule="exact" w:before="0"/>
        <w:ind w:left="160" w:right="0" w:firstLine="0"/>
        <w:jc w:val="left"/>
        <w:rPr>
          <w:b/>
          <w:sz w:val="18"/>
        </w:rPr>
      </w:pPr>
      <w:r>
        <w:rPr/>
        <w:br w:type="column"/>
      </w:r>
      <w:r>
        <w:rPr>
          <w:b/>
          <w:color w:val="231F20"/>
          <w:sz w:val="18"/>
        </w:rPr>
        <w:t>change</w:t>
      </w:r>
    </w:p>
    <w:p>
      <w:pPr>
        <w:spacing w:line="199" w:lineRule="exact" w:before="0"/>
        <w:ind w:left="160" w:right="0" w:firstLine="0"/>
        <w:jc w:val="left"/>
        <w:rPr>
          <w:b/>
          <w:sz w:val="18"/>
        </w:rPr>
      </w:pPr>
      <w:r>
        <w:rPr/>
        <w:br w:type="column"/>
      </w:r>
      <w:r>
        <w:rPr>
          <w:b/>
          <w:color w:val="231F20"/>
          <w:sz w:val="18"/>
        </w:rPr>
        <w:t>change</w:t>
      </w:r>
    </w:p>
    <w:p>
      <w:pPr>
        <w:spacing w:after="0" w:line="199" w:lineRule="exact"/>
        <w:jc w:val="left"/>
        <w:rPr>
          <w:sz w:val="18"/>
        </w:rPr>
        <w:sectPr>
          <w:type w:val="continuous"/>
          <w:pgSz w:w="11880" w:h="15480"/>
          <w:pgMar w:top="1200" w:bottom="280" w:left="1220" w:right="1080"/>
          <w:cols w:num="3" w:equalWidth="0">
            <w:col w:w="5888" w:space="873"/>
            <w:col w:w="701" w:space="759"/>
            <w:col w:w="1359"/>
          </w:cols>
        </w:sectPr>
      </w:pPr>
    </w:p>
    <w:p>
      <w:pPr>
        <w:spacing w:line="20" w:lineRule="exact"/>
        <w:ind w:left="150" w:right="0" w:firstLine="0"/>
        <w:rPr>
          <w:sz w:val="2"/>
        </w:rPr>
      </w:pPr>
      <w:r>
        <w:rPr>
          <w:sz w:val="2"/>
        </w:rPr>
        <w:pict>
          <v:group style="width:160.5pt;height:1pt;mso-position-horizontal-relative:char;mso-position-vertical-relative:line" coordorigin="0,0" coordsize="3210,20">
            <v:line style="position:absolute" from="10,10" to="3200,10" stroked="true" strokeweight="1pt" strokecolor="#231f20">
              <v:stroke dashstyle="solid"/>
            </v:line>
          </v:group>
        </w:pict>
      </w:r>
      <w:r>
        <w:rPr>
          <w:sz w:val="2"/>
        </w:rPr>
      </w:r>
      <w:r>
        <w:rPr>
          <w:spacing w:val="160"/>
          <w:sz w:val="2"/>
        </w:rPr>
        <w:t> </w:t>
      </w:r>
      <w:r>
        <w:rPr>
          <w:spacing w:val="160"/>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0"/>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0"/>
        <w:gridCol w:w="1305"/>
        <w:gridCol w:w="200"/>
        <w:gridCol w:w="1305"/>
        <w:gridCol w:w="200"/>
        <w:gridCol w:w="1260"/>
        <w:gridCol w:w="200"/>
        <w:gridCol w:w="1460"/>
      </w:tblGrid>
      <w:tr>
        <w:trPr>
          <w:trHeight w:val="208" w:hRule="exact"/>
        </w:trPr>
        <w:tc>
          <w:tcPr>
            <w:tcW w:w="3440" w:type="dxa"/>
          </w:tcPr>
          <w:p>
            <w:pPr>
              <w:pStyle w:val="TableParagraph"/>
              <w:spacing w:line="197" w:lineRule="exact"/>
              <w:ind w:left="50"/>
              <w:jc w:val="left"/>
              <w:rPr>
                <w:sz w:val="18"/>
              </w:rPr>
            </w:pPr>
            <w:r>
              <w:rPr>
                <w:color w:val="231F20"/>
                <w:sz w:val="18"/>
              </w:rPr>
              <w:t>Salaries, wages, and benefits  . . . . . . . . . . . . </w:t>
            </w:r>
          </w:p>
        </w:tc>
        <w:tc>
          <w:tcPr>
            <w:tcW w:w="1305" w:type="dxa"/>
          </w:tcPr>
          <w:p>
            <w:pPr>
              <w:pStyle w:val="TableParagraph"/>
              <w:spacing w:line="197" w:lineRule="exact"/>
              <w:ind w:right="68"/>
              <w:rPr>
                <w:sz w:val="18"/>
              </w:rPr>
            </w:pPr>
            <w:r>
              <w:rPr>
                <w:color w:val="231F20"/>
                <w:sz w:val="18"/>
              </w:rPr>
              <w:t>3.62¢</w:t>
            </w:r>
          </w:p>
        </w:tc>
        <w:tc>
          <w:tcPr>
            <w:tcW w:w="200" w:type="dxa"/>
          </w:tcPr>
          <w:p>
            <w:pPr/>
          </w:p>
        </w:tc>
        <w:tc>
          <w:tcPr>
            <w:tcW w:w="1305" w:type="dxa"/>
          </w:tcPr>
          <w:p>
            <w:pPr>
              <w:pStyle w:val="TableParagraph"/>
              <w:spacing w:line="197" w:lineRule="exact"/>
              <w:ind w:right="68"/>
              <w:rPr>
                <w:sz w:val="18"/>
              </w:rPr>
            </w:pPr>
            <w:r>
              <w:rPr>
                <w:color w:val="231F20"/>
                <w:sz w:val="18"/>
              </w:rPr>
              <w:t>3.76¢</w:t>
            </w:r>
          </w:p>
        </w:tc>
        <w:tc>
          <w:tcPr>
            <w:tcW w:w="200" w:type="dxa"/>
          </w:tcPr>
          <w:p>
            <w:pPr/>
          </w:p>
        </w:tc>
        <w:tc>
          <w:tcPr>
            <w:tcW w:w="1260" w:type="dxa"/>
          </w:tcPr>
          <w:p>
            <w:pPr>
              <w:pStyle w:val="TableParagraph"/>
              <w:spacing w:line="197" w:lineRule="exact"/>
              <w:ind w:left="814"/>
              <w:jc w:val="left"/>
              <w:rPr>
                <w:sz w:val="18"/>
              </w:rPr>
            </w:pPr>
            <w:r>
              <w:rPr>
                <w:color w:val="231F20"/>
                <w:sz w:val="18"/>
              </w:rPr>
              <w:t>(.14)¢</w:t>
            </w:r>
          </w:p>
        </w:tc>
        <w:tc>
          <w:tcPr>
            <w:tcW w:w="200" w:type="dxa"/>
          </w:tcPr>
          <w:p>
            <w:pPr/>
          </w:p>
        </w:tc>
        <w:tc>
          <w:tcPr>
            <w:tcW w:w="1460" w:type="dxa"/>
          </w:tcPr>
          <w:p>
            <w:pPr>
              <w:pStyle w:val="TableParagraph"/>
              <w:spacing w:line="197" w:lineRule="exact"/>
              <w:ind w:right="48"/>
              <w:rPr>
                <w:sz w:val="18"/>
              </w:rPr>
            </w:pPr>
            <w:r>
              <w:rPr>
                <w:color w:val="231F20"/>
                <w:sz w:val="18"/>
              </w:rPr>
              <w:t>(3.7)%</w:t>
            </w:r>
          </w:p>
        </w:tc>
      </w:tr>
      <w:tr>
        <w:trPr>
          <w:trHeight w:val="220" w:hRule="exact"/>
        </w:trPr>
        <w:tc>
          <w:tcPr>
            <w:tcW w:w="3440" w:type="dxa"/>
          </w:tcPr>
          <w:p>
            <w:pPr>
              <w:pStyle w:val="TableParagraph"/>
              <w:spacing w:before="1"/>
              <w:ind w:left="50"/>
              <w:jc w:val="left"/>
              <w:rPr>
                <w:sz w:val="18"/>
              </w:rPr>
            </w:pPr>
            <w:r>
              <w:rPr>
                <w:color w:val="231F20"/>
                <w:sz w:val="18"/>
              </w:rPr>
              <w:t>Fuel and oil   . . . . . . . . . . . . . . . . . . . . . . . . . </w:t>
            </w:r>
          </w:p>
        </w:tc>
        <w:tc>
          <w:tcPr>
            <w:tcW w:w="1305" w:type="dxa"/>
          </w:tcPr>
          <w:p>
            <w:pPr>
              <w:pStyle w:val="TableParagraph"/>
              <w:spacing w:before="1"/>
              <w:ind w:left="829"/>
              <w:jc w:val="left"/>
              <w:rPr>
                <w:sz w:val="18"/>
              </w:rPr>
            </w:pPr>
            <w:r>
              <w:rPr>
                <w:color w:val="231F20"/>
                <w:sz w:val="18"/>
              </w:rPr>
              <w:t>4.68</w:t>
            </w:r>
          </w:p>
        </w:tc>
        <w:tc>
          <w:tcPr>
            <w:tcW w:w="200" w:type="dxa"/>
          </w:tcPr>
          <w:p>
            <w:pPr/>
          </w:p>
        </w:tc>
        <w:tc>
          <w:tcPr>
            <w:tcW w:w="1305" w:type="dxa"/>
          </w:tcPr>
          <w:p>
            <w:pPr>
              <w:pStyle w:val="TableParagraph"/>
              <w:spacing w:before="1"/>
              <w:ind w:right="158"/>
              <w:rPr>
                <w:sz w:val="18"/>
              </w:rPr>
            </w:pPr>
            <w:r>
              <w:rPr>
                <w:color w:val="231F20"/>
                <w:sz w:val="18"/>
              </w:rPr>
              <w:t>3.68</w:t>
            </w:r>
          </w:p>
        </w:tc>
        <w:tc>
          <w:tcPr>
            <w:tcW w:w="200" w:type="dxa"/>
          </w:tcPr>
          <w:p>
            <w:pPr/>
          </w:p>
        </w:tc>
        <w:tc>
          <w:tcPr>
            <w:tcW w:w="1260" w:type="dxa"/>
          </w:tcPr>
          <w:p>
            <w:pPr>
              <w:pStyle w:val="TableParagraph"/>
              <w:spacing w:before="1"/>
              <w:ind w:left="784"/>
              <w:jc w:val="left"/>
              <w:rPr>
                <w:sz w:val="18"/>
              </w:rPr>
            </w:pPr>
            <w:r>
              <w:rPr>
                <w:color w:val="231F20"/>
                <w:sz w:val="18"/>
              </w:rPr>
              <w:t>1.00</w:t>
            </w:r>
          </w:p>
        </w:tc>
        <w:tc>
          <w:tcPr>
            <w:tcW w:w="200" w:type="dxa"/>
          </w:tcPr>
          <w:p>
            <w:pPr/>
          </w:p>
        </w:tc>
        <w:tc>
          <w:tcPr>
            <w:tcW w:w="1460" w:type="dxa"/>
          </w:tcPr>
          <w:p>
            <w:pPr>
              <w:pStyle w:val="TableParagraph"/>
              <w:spacing w:before="1"/>
              <w:ind w:left="884"/>
              <w:jc w:val="left"/>
              <w:rPr>
                <w:sz w:val="18"/>
              </w:rPr>
            </w:pPr>
            <w:r>
              <w:rPr>
                <w:color w:val="231F20"/>
                <w:sz w:val="18"/>
              </w:rPr>
              <w:t>27.2</w:t>
            </w:r>
          </w:p>
        </w:tc>
      </w:tr>
      <w:tr>
        <w:trPr>
          <w:trHeight w:val="220" w:hRule="exact"/>
        </w:trPr>
        <w:tc>
          <w:tcPr>
            <w:tcW w:w="3440" w:type="dxa"/>
          </w:tcPr>
          <w:p>
            <w:pPr>
              <w:pStyle w:val="TableParagraph"/>
              <w:spacing w:before="1"/>
              <w:ind w:left="50"/>
              <w:jc w:val="left"/>
              <w:rPr>
                <w:sz w:val="18"/>
              </w:rPr>
            </w:pPr>
            <w:r>
              <w:rPr>
                <w:color w:val="231F20"/>
                <w:sz w:val="18"/>
              </w:rPr>
              <w:t>Maintenance materials and repairs   . . . . . . . </w:t>
            </w:r>
          </w:p>
        </w:tc>
        <w:tc>
          <w:tcPr>
            <w:tcW w:w="1305" w:type="dxa"/>
          </w:tcPr>
          <w:p>
            <w:pPr>
              <w:pStyle w:val="TableParagraph"/>
              <w:spacing w:before="1"/>
              <w:ind w:right="158"/>
              <w:rPr>
                <w:sz w:val="18"/>
              </w:rPr>
            </w:pPr>
            <w:r>
              <w:rPr>
                <w:color w:val="231F20"/>
                <w:sz w:val="18"/>
              </w:rPr>
              <w:t>.79</w:t>
            </w:r>
          </w:p>
        </w:tc>
        <w:tc>
          <w:tcPr>
            <w:tcW w:w="200" w:type="dxa"/>
          </w:tcPr>
          <w:p>
            <w:pPr/>
          </w:p>
        </w:tc>
        <w:tc>
          <w:tcPr>
            <w:tcW w:w="1305" w:type="dxa"/>
          </w:tcPr>
          <w:p>
            <w:pPr>
              <w:pStyle w:val="TableParagraph"/>
              <w:spacing w:before="1"/>
              <w:ind w:right="158"/>
              <w:rPr>
                <w:sz w:val="18"/>
              </w:rPr>
            </w:pPr>
            <w:r>
              <w:rPr>
                <w:color w:val="231F20"/>
                <w:sz w:val="18"/>
              </w:rPr>
              <w:t>.76</w:t>
            </w:r>
          </w:p>
        </w:tc>
        <w:tc>
          <w:tcPr>
            <w:tcW w:w="200" w:type="dxa"/>
          </w:tcPr>
          <w:p>
            <w:pPr/>
          </w:p>
        </w:tc>
        <w:tc>
          <w:tcPr>
            <w:tcW w:w="1260" w:type="dxa"/>
          </w:tcPr>
          <w:p>
            <w:pPr>
              <w:pStyle w:val="TableParagraph"/>
              <w:spacing w:before="1"/>
              <w:ind w:right="158"/>
              <w:rPr>
                <w:sz w:val="18"/>
              </w:rPr>
            </w:pPr>
            <w:r>
              <w:rPr>
                <w:color w:val="231F20"/>
                <w:sz w:val="18"/>
              </w:rPr>
              <w:t>.03</w:t>
            </w:r>
          </w:p>
        </w:tc>
        <w:tc>
          <w:tcPr>
            <w:tcW w:w="200" w:type="dxa"/>
          </w:tcPr>
          <w:p>
            <w:pPr/>
          </w:p>
        </w:tc>
        <w:tc>
          <w:tcPr>
            <w:tcW w:w="1460" w:type="dxa"/>
          </w:tcPr>
          <w:p>
            <w:pPr>
              <w:pStyle w:val="TableParagraph"/>
              <w:spacing w:before="1"/>
              <w:ind w:right="257"/>
              <w:rPr>
                <w:sz w:val="18"/>
              </w:rPr>
            </w:pPr>
            <w:r>
              <w:rPr>
                <w:color w:val="231F20"/>
                <w:sz w:val="18"/>
              </w:rPr>
              <w:t>3.9</w:t>
            </w:r>
          </w:p>
        </w:tc>
      </w:tr>
      <w:tr>
        <w:trPr>
          <w:trHeight w:val="220" w:hRule="exact"/>
        </w:trPr>
        <w:tc>
          <w:tcPr>
            <w:tcW w:w="3440" w:type="dxa"/>
          </w:tcPr>
          <w:p>
            <w:pPr>
              <w:pStyle w:val="TableParagraph"/>
              <w:spacing w:before="1"/>
              <w:ind w:left="50"/>
              <w:jc w:val="left"/>
              <w:rPr>
                <w:sz w:val="18"/>
              </w:rPr>
            </w:pPr>
            <w:r>
              <w:rPr>
                <w:color w:val="231F20"/>
                <w:sz w:val="18"/>
              </w:rPr>
              <w:t>Aircraft rentals  . . . . . . . . . . . . . . . . . . . . . . . </w:t>
            </w:r>
          </w:p>
        </w:tc>
        <w:tc>
          <w:tcPr>
            <w:tcW w:w="1305" w:type="dxa"/>
          </w:tcPr>
          <w:p>
            <w:pPr>
              <w:pStyle w:val="TableParagraph"/>
              <w:spacing w:before="1"/>
              <w:ind w:right="158"/>
              <w:rPr>
                <w:sz w:val="18"/>
              </w:rPr>
            </w:pPr>
            <w:r>
              <w:rPr>
                <w:color w:val="231F20"/>
                <w:sz w:val="18"/>
              </w:rPr>
              <w:t>.26</w:t>
            </w:r>
          </w:p>
        </w:tc>
        <w:tc>
          <w:tcPr>
            <w:tcW w:w="200" w:type="dxa"/>
          </w:tcPr>
          <w:p>
            <w:pPr/>
          </w:p>
        </w:tc>
        <w:tc>
          <w:tcPr>
            <w:tcW w:w="1305" w:type="dxa"/>
          </w:tcPr>
          <w:p>
            <w:pPr>
              <w:pStyle w:val="TableParagraph"/>
              <w:spacing w:before="1"/>
              <w:ind w:right="158"/>
              <w:rPr>
                <w:sz w:val="18"/>
              </w:rPr>
            </w:pPr>
            <w:r>
              <w:rPr>
                <w:color w:val="231F20"/>
                <w:sz w:val="18"/>
              </w:rPr>
              <w:t>.18</w:t>
            </w:r>
          </w:p>
        </w:tc>
        <w:tc>
          <w:tcPr>
            <w:tcW w:w="200" w:type="dxa"/>
          </w:tcPr>
          <w:p>
            <w:pPr/>
          </w:p>
        </w:tc>
        <w:tc>
          <w:tcPr>
            <w:tcW w:w="1260" w:type="dxa"/>
          </w:tcPr>
          <w:p>
            <w:pPr>
              <w:pStyle w:val="TableParagraph"/>
              <w:spacing w:before="1"/>
              <w:ind w:right="158"/>
              <w:rPr>
                <w:sz w:val="18"/>
              </w:rPr>
            </w:pPr>
            <w:r>
              <w:rPr>
                <w:color w:val="231F20"/>
                <w:sz w:val="18"/>
              </w:rPr>
              <w:t>.08</w:t>
            </w:r>
          </w:p>
        </w:tc>
        <w:tc>
          <w:tcPr>
            <w:tcW w:w="200" w:type="dxa"/>
          </w:tcPr>
          <w:p>
            <w:pPr/>
          </w:p>
        </w:tc>
        <w:tc>
          <w:tcPr>
            <w:tcW w:w="1460" w:type="dxa"/>
          </w:tcPr>
          <w:p>
            <w:pPr>
              <w:pStyle w:val="TableParagraph"/>
              <w:spacing w:before="1"/>
              <w:ind w:left="884"/>
              <w:jc w:val="left"/>
              <w:rPr>
                <w:sz w:val="18"/>
              </w:rPr>
            </w:pPr>
            <w:r>
              <w:rPr>
                <w:color w:val="231F20"/>
                <w:sz w:val="18"/>
              </w:rPr>
              <w:t>44.4</w:t>
            </w:r>
          </w:p>
        </w:tc>
      </w:tr>
      <w:tr>
        <w:trPr>
          <w:trHeight w:val="220" w:hRule="exact"/>
        </w:trPr>
        <w:tc>
          <w:tcPr>
            <w:tcW w:w="3440" w:type="dxa"/>
          </w:tcPr>
          <w:p>
            <w:pPr>
              <w:pStyle w:val="TableParagraph"/>
              <w:spacing w:before="1"/>
              <w:ind w:left="50"/>
              <w:jc w:val="left"/>
              <w:rPr>
                <w:sz w:val="18"/>
              </w:rPr>
            </w:pPr>
            <w:r>
              <w:rPr>
                <w:color w:val="231F20"/>
                <w:sz w:val="18"/>
              </w:rPr>
              <w:t>Landing fees and other rentals . . . . . . . . . . . </w:t>
            </w:r>
          </w:p>
        </w:tc>
        <w:tc>
          <w:tcPr>
            <w:tcW w:w="1305" w:type="dxa"/>
          </w:tcPr>
          <w:p>
            <w:pPr>
              <w:pStyle w:val="TableParagraph"/>
              <w:spacing w:before="1"/>
              <w:ind w:right="158"/>
              <w:rPr>
                <w:sz w:val="18"/>
              </w:rPr>
            </w:pPr>
            <w:r>
              <w:rPr>
                <w:color w:val="231F20"/>
                <w:sz w:val="18"/>
              </w:rPr>
              <w:t>.80</w:t>
            </w:r>
          </w:p>
        </w:tc>
        <w:tc>
          <w:tcPr>
            <w:tcW w:w="200" w:type="dxa"/>
          </w:tcPr>
          <w:p>
            <w:pPr/>
          </w:p>
        </w:tc>
        <w:tc>
          <w:tcPr>
            <w:tcW w:w="1305" w:type="dxa"/>
          </w:tcPr>
          <w:p>
            <w:pPr>
              <w:pStyle w:val="TableParagraph"/>
              <w:spacing w:before="1"/>
              <w:ind w:right="158"/>
              <w:rPr>
                <w:sz w:val="18"/>
              </w:rPr>
            </w:pPr>
            <w:r>
              <w:rPr>
                <w:color w:val="231F20"/>
                <w:sz w:val="18"/>
              </w:rPr>
              <w:t>.82</w:t>
            </w:r>
          </w:p>
        </w:tc>
        <w:tc>
          <w:tcPr>
            <w:tcW w:w="200" w:type="dxa"/>
          </w:tcPr>
          <w:p>
            <w:pPr/>
          </w:p>
        </w:tc>
        <w:tc>
          <w:tcPr>
            <w:tcW w:w="1260" w:type="dxa"/>
          </w:tcPr>
          <w:p>
            <w:pPr>
              <w:pStyle w:val="TableParagraph"/>
              <w:spacing w:before="1"/>
              <w:ind w:left="814"/>
              <w:jc w:val="left"/>
              <w:rPr>
                <w:sz w:val="18"/>
              </w:rPr>
            </w:pPr>
            <w:r>
              <w:rPr>
                <w:color w:val="231F20"/>
                <w:sz w:val="18"/>
              </w:rPr>
              <w:t>(.02)</w:t>
            </w:r>
          </w:p>
        </w:tc>
        <w:tc>
          <w:tcPr>
            <w:tcW w:w="200" w:type="dxa"/>
          </w:tcPr>
          <w:p>
            <w:pPr/>
          </w:p>
        </w:tc>
        <w:tc>
          <w:tcPr>
            <w:tcW w:w="1460" w:type="dxa"/>
          </w:tcPr>
          <w:p>
            <w:pPr>
              <w:pStyle w:val="TableParagraph"/>
              <w:spacing w:before="1"/>
              <w:ind w:left="915"/>
              <w:jc w:val="left"/>
              <w:rPr>
                <w:sz w:val="18"/>
              </w:rPr>
            </w:pPr>
            <w:r>
              <w:rPr>
                <w:color w:val="231F20"/>
                <w:sz w:val="18"/>
              </w:rPr>
              <w:t>(2.4)</w:t>
            </w:r>
          </w:p>
        </w:tc>
      </w:tr>
      <w:tr>
        <w:trPr>
          <w:trHeight w:val="220" w:hRule="exact"/>
        </w:trPr>
        <w:tc>
          <w:tcPr>
            <w:tcW w:w="3440" w:type="dxa"/>
          </w:tcPr>
          <w:p>
            <w:pPr>
              <w:pStyle w:val="TableParagraph"/>
              <w:spacing w:before="1"/>
              <w:ind w:left="50"/>
              <w:jc w:val="left"/>
              <w:rPr>
                <w:sz w:val="18"/>
              </w:rPr>
            </w:pPr>
            <w:r>
              <w:rPr>
                <w:color w:val="231F20"/>
                <w:sz w:val="18"/>
              </w:rPr>
              <w:t>Depreciation and amortization . . . . . . . . . . . </w:t>
            </w:r>
          </w:p>
        </w:tc>
        <w:tc>
          <w:tcPr>
            <w:tcW w:w="1305" w:type="dxa"/>
          </w:tcPr>
          <w:p>
            <w:pPr>
              <w:pStyle w:val="TableParagraph"/>
              <w:spacing w:before="1"/>
              <w:ind w:right="158"/>
              <w:rPr>
                <w:sz w:val="18"/>
              </w:rPr>
            </w:pPr>
            <w:r>
              <w:rPr>
                <w:color w:val="231F20"/>
                <w:sz w:val="18"/>
              </w:rPr>
              <w:t>.59</w:t>
            </w:r>
          </w:p>
        </w:tc>
        <w:tc>
          <w:tcPr>
            <w:tcW w:w="200" w:type="dxa"/>
          </w:tcPr>
          <w:p>
            <w:pPr/>
          </w:p>
        </w:tc>
        <w:tc>
          <w:tcPr>
            <w:tcW w:w="1305" w:type="dxa"/>
          </w:tcPr>
          <w:p>
            <w:pPr>
              <w:pStyle w:val="TableParagraph"/>
              <w:spacing w:before="1"/>
              <w:ind w:right="158"/>
              <w:rPr>
                <w:sz w:val="18"/>
              </w:rPr>
            </w:pPr>
            <w:r>
              <w:rPr>
                <w:color w:val="231F20"/>
                <w:sz w:val="18"/>
              </w:rPr>
              <w:t>.64</w:t>
            </w:r>
          </w:p>
        </w:tc>
        <w:tc>
          <w:tcPr>
            <w:tcW w:w="200" w:type="dxa"/>
          </w:tcPr>
          <w:p>
            <w:pPr/>
          </w:p>
        </w:tc>
        <w:tc>
          <w:tcPr>
            <w:tcW w:w="1260" w:type="dxa"/>
          </w:tcPr>
          <w:p>
            <w:pPr>
              <w:pStyle w:val="TableParagraph"/>
              <w:spacing w:before="1"/>
              <w:ind w:left="814"/>
              <w:jc w:val="left"/>
              <w:rPr>
                <w:sz w:val="18"/>
              </w:rPr>
            </w:pPr>
            <w:r>
              <w:rPr>
                <w:color w:val="231F20"/>
                <w:sz w:val="18"/>
              </w:rPr>
              <w:t>(.05)</w:t>
            </w:r>
          </w:p>
        </w:tc>
        <w:tc>
          <w:tcPr>
            <w:tcW w:w="200" w:type="dxa"/>
          </w:tcPr>
          <w:p>
            <w:pPr/>
          </w:p>
        </w:tc>
        <w:tc>
          <w:tcPr>
            <w:tcW w:w="1460" w:type="dxa"/>
          </w:tcPr>
          <w:p>
            <w:pPr>
              <w:pStyle w:val="TableParagraph"/>
              <w:spacing w:before="1"/>
              <w:ind w:left="915"/>
              <w:jc w:val="left"/>
              <w:rPr>
                <w:sz w:val="18"/>
              </w:rPr>
            </w:pPr>
            <w:r>
              <w:rPr>
                <w:color w:val="231F20"/>
                <w:sz w:val="18"/>
              </w:rPr>
              <w:t>(7.8)</w:t>
            </w:r>
          </w:p>
        </w:tc>
      </w:tr>
      <w:tr>
        <w:trPr>
          <w:trHeight w:val="220" w:hRule="exact"/>
        </w:trPr>
        <w:tc>
          <w:tcPr>
            <w:tcW w:w="3440" w:type="dxa"/>
          </w:tcPr>
          <w:p>
            <w:pPr>
              <w:pStyle w:val="TableParagraph"/>
              <w:spacing w:before="1"/>
              <w:ind w:left="50"/>
              <w:jc w:val="left"/>
              <w:rPr>
                <w:sz w:val="18"/>
              </w:rPr>
            </w:pPr>
            <w:r>
              <w:rPr>
                <w:color w:val="231F20"/>
                <w:sz w:val="18"/>
              </w:rPr>
              <w:t>Acquisition and integration  . . . . . . . . . . . . . </w:t>
            </w:r>
          </w:p>
        </w:tc>
        <w:tc>
          <w:tcPr>
            <w:tcW w:w="1305" w:type="dxa"/>
          </w:tcPr>
          <w:p>
            <w:pPr>
              <w:pStyle w:val="TableParagraph"/>
              <w:spacing w:before="1"/>
              <w:ind w:right="158"/>
              <w:rPr>
                <w:sz w:val="18"/>
              </w:rPr>
            </w:pPr>
            <w:r>
              <w:rPr>
                <w:color w:val="231F20"/>
                <w:sz w:val="18"/>
              </w:rPr>
              <w:t>.11</w:t>
            </w:r>
          </w:p>
        </w:tc>
        <w:tc>
          <w:tcPr>
            <w:tcW w:w="200" w:type="dxa"/>
          </w:tcPr>
          <w:p>
            <w:pPr/>
          </w:p>
        </w:tc>
        <w:tc>
          <w:tcPr>
            <w:tcW w:w="1305" w:type="dxa"/>
          </w:tcPr>
          <w:p>
            <w:pPr>
              <w:pStyle w:val="TableParagraph"/>
              <w:spacing w:before="1"/>
              <w:ind w:right="248"/>
              <w:rPr>
                <w:sz w:val="18"/>
              </w:rPr>
            </w:pPr>
            <w:r>
              <w:rPr>
                <w:color w:val="231F20"/>
                <w:sz w:val="18"/>
              </w:rPr>
              <w:t>—</w:t>
            </w:r>
          </w:p>
        </w:tc>
        <w:tc>
          <w:tcPr>
            <w:tcW w:w="200" w:type="dxa"/>
          </w:tcPr>
          <w:p>
            <w:pPr/>
          </w:p>
        </w:tc>
        <w:tc>
          <w:tcPr>
            <w:tcW w:w="1260" w:type="dxa"/>
          </w:tcPr>
          <w:p>
            <w:pPr>
              <w:pStyle w:val="TableParagraph"/>
              <w:spacing w:before="1"/>
              <w:ind w:right="158"/>
              <w:rPr>
                <w:sz w:val="18"/>
              </w:rPr>
            </w:pPr>
            <w:r>
              <w:rPr>
                <w:color w:val="231F20"/>
                <w:sz w:val="18"/>
              </w:rPr>
              <w:t>.11</w:t>
            </w:r>
          </w:p>
        </w:tc>
        <w:tc>
          <w:tcPr>
            <w:tcW w:w="200" w:type="dxa"/>
          </w:tcPr>
          <w:p>
            <w:pPr/>
          </w:p>
        </w:tc>
        <w:tc>
          <w:tcPr>
            <w:tcW w:w="1460" w:type="dxa"/>
          </w:tcPr>
          <w:p>
            <w:pPr>
              <w:pStyle w:val="TableParagraph"/>
              <w:spacing w:before="1"/>
              <w:ind w:left="940"/>
              <w:jc w:val="left"/>
              <w:rPr>
                <w:sz w:val="18"/>
              </w:rPr>
            </w:pPr>
            <w:r>
              <w:rPr>
                <w:color w:val="231F20"/>
                <w:sz w:val="18"/>
              </w:rPr>
              <w:t>n.a.</w:t>
            </w:r>
          </w:p>
        </w:tc>
      </w:tr>
      <w:tr>
        <w:trPr>
          <w:trHeight w:val="245" w:hRule="exact"/>
        </w:trPr>
        <w:tc>
          <w:tcPr>
            <w:tcW w:w="3440" w:type="dxa"/>
          </w:tcPr>
          <w:p>
            <w:pPr>
              <w:pStyle w:val="TableParagraph"/>
              <w:spacing w:before="1"/>
              <w:ind w:left="50"/>
              <w:jc w:val="left"/>
              <w:rPr>
                <w:sz w:val="18"/>
              </w:rPr>
            </w:pPr>
            <w:r>
              <w:rPr>
                <w:color w:val="231F20"/>
                <w:sz w:val="18"/>
              </w:rPr>
              <w:t>Other operating expenses . . . . . . . . . . . . . . . </w:t>
            </w:r>
          </w:p>
        </w:tc>
        <w:tc>
          <w:tcPr>
            <w:tcW w:w="1305" w:type="dxa"/>
            <w:tcBorders>
              <w:bottom w:val="single" w:sz="4" w:space="0" w:color="231F20"/>
            </w:tcBorders>
          </w:tcPr>
          <w:p>
            <w:pPr>
              <w:pStyle w:val="TableParagraph"/>
              <w:spacing w:before="1"/>
              <w:ind w:left="829"/>
              <w:jc w:val="left"/>
              <w:rPr>
                <w:sz w:val="18"/>
              </w:rPr>
            </w:pPr>
            <w:r>
              <w:rPr>
                <w:color w:val="231F20"/>
                <w:sz w:val="18"/>
              </w:rPr>
              <w:t>1.56</w:t>
            </w:r>
          </w:p>
        </w:tc>
        <w:tc>
          <w:tcPr>
            <w:tcW w:w="200" w:type="dxa"/>
          </w:tcPr>
          <w:p>
            <w:pPr/>
          </w:p>
        </w:tc>
        <w:tc>
          <w:tcPr>
            <w:tcW w:w="1305" w:type="dxa"/>
            <w:tcBorders>
              <w:bottom w:val="single" w:sz="4" w:space="0" w:color="231F20"/>
            </w:tcBorders>
          </w:tcPr>
          <w:p>
            <w:pPr>
              <w:pStyle w:val="TableParagraph"/>
              <w:spacing w:before="1"/>
              <w:ind w:right="158"/>
              <w:rPr>
                <w:sz w:val="18"/>
              </w:rPr>
            </w:pPr>
            <w:r>
              <w:rPr>
                <w:color w:val="231F20"/>
                <w:sz w:val="18"/>
              </w:rPr>
              <w:t>1.45</w:t>
            </w:r>
          </w:p>
        </w:tc>
        <w:tc>
          <w:tcPr>
            <w:tcW w:w="200" w:type="dxa"/>
          </w:tcPr>
          <w:p>
            <w:pPr/>
          </w:p>
        </w:tc>
        <w:tc>
          <w:tcPr>
            <w:tcW w:w="1260" w:type="dxa"/>
            <w:tcBorders>
              <w:bottom w:val="single" w:sz="4" w:space="0" w:color="231F20"/>
            </w:tcBorders>
          </w:tcPr>
          <w:p>
            <w:pPr>
              <w:pStyle w:val="TableParagraph"/>
              <w:spacing w:before="1"/>
              <w:ind w:right="158"/>
              <w:rPr>
                <w:sz w:val="18"/>
              </w:rPr>
            </w:pPr>
            <w:r>
              <w:rPr>
                <w:color w:val="231F20"/>
                <w:sz w:val="18"/>
              </w:rPr>
              <w:t>.11</w:t>
            </w:r>
          </w:p>
        </w:tc>
        <w:tc>
          <w:tcPr>
            <w:tcW w:w="200" w:type="dxa"/>
          </w:tcPr>
          <w:p>
            <w:pPr/>
          </w:p>
        </w:tc>
        <w:tc>
          <w:tcPr>
            <w:tcW w:w="1460" w:type="dxa"/>
            <w:tcBorders>
              <w:bottom w:val="single" w:sz="4" w:space="0" w:color="231F20"/>
            </w:tcBorders>
          </w:tcPr>
          <w:p>
            <w:pPr>
              <w:pStyle w:val="TableParagraph"/>
              <w:spacing w:before="1"/>
              <w:ind w:right="257"/>
              <w:rPr>
                <w:sz w:val="18"/>
              </w:rPr>
            </w:pPr>
            <w:r>
              <w:rPr>
                <w:color w:val="231F20"/>
                <w:sz w:val="18"/>
              </w:rPr>
              <w:t>7.6</w:t>
            </w:r>
          </w:p>
        </w:tc>
      </w:tr>
      <w:tr>
        <w:trPr>
          <w:trHeight w:val="340" w:hRule="exact"/>
        </w:trPr>
        <w:tc>
          <w:tcPr>
            <w:tcW w:w="3440" w:type="dxa"/>
          </w:tcPr>
          <w:p>
            <w:pPr>
              <w:pStyle w:val="TableParagraph"/>
              <w:spacing w:before="57"/>
              <w:ind w:left="50"/>
              <w:jc w:val="left"/>
              <w:rPr>
                <w:sz w:val="18"/>
              </w:rPr>
            </w:pPr>
            <w:r>
              <w:rPr>
                <w:color w:val="231F20"/>
                <w:sz w:val="18"/>
              </w:rPr>
              <w:t>Total . . . . . . . . . . . . . . . . . . . . . . . . . . . . . . . </w:t>
            </w:r>
          </w:p>
        </w:tc>
        <w:tc>
          <w:tcPr>
            <w:tcW w:w="1305" w:type="dxa"/>
            <w:tcBorders>
              <w:top w:val="single" w:sz="4" w:space="0" w:color="231F20"/>
              <w:bottom w:val="single" w:sz="4" w:space="0" w:color="231F20"/>
            </w:tcBorders>
          </w:tcPr>
          <w:p>
            <w:pPr>
              <w:pStyle w:val="TableParagraph"/>
              <w:spacing w:before="52"/>
              <w:ind w:right="68"/>
              <w:rPr>
                <w:sz w:val="18"/>
              </w:rPr>
            </w:pPr>
            <w:r>
              <w:rPr>
                <w:color w:val="231F20"/>
                <w:sz w:val="18"/>
              </w:rPr>
              <w:t>12.41¢</w:t>
            </w:r>
          </w:p>
        </w:tc>
        <w:tc>
          <w:tcPr>
            <w:tcW w:w="200" w:type="dxa"/>
          </w:tcPr>
          <w:p>
            <w:pPr/>
          </w:p>
        </w:tc>
        <w:tc>
          <w:tcPr>
            <w:tcW w:w="1305" w:type="dxa"/>
            <w:tcBorders>
              <w:top w:val="single" w:sz="4" w:space="0" w:color="231F20"/>
              <w:bottom w:val="single" w:sz="4" w:space="0" w:color="231F20"/>
            </w:tcBorders>
          </w:tcPr>
          <w:p>
            <w:pPr>
              <w:pStyle w:val="TableParagraph"/>
              <w:spacing w:before="52"/>
              <w:ind w:right="68"/>
              <w:rPr>
                <w:sz w:val="18"/>
              </w:rPr>
            </w:pPr>
            <w:r>
              <w:rPr>
                <w:color w:val="231F20"/>
                <w:sz w:val="18"/>
              </w:rPr>
              <w:t>11.29¢</w:t>
            </w:r>
          </w:p>
        </w:tc>
        <w:tc>
          <w:tcPr>
            <w:tcW w:w="200" w:type="dxa"/>
          </w:tcPr>
          <w:p>
            <w:pPr/>
          </w:p>
        </w:tc>
        <w:tc>
          <w:tcPr>
            <w:tcW w:w="1260" w:type="dxa"/>
            <w:tcBorders>
              <w:top w:val="single" w:sz="4" w:space="0" w:color="231F20"/>
              <w:bottom w:val="single" w:sz="4" w:space="0" w:color="231F20"/>
            </w:tcBorders>
          </w:tcPr>
          <w:p>
            <w:pPr>
              <w:pStyle w:val="TableParagraph"/>
              <w:spacing w:before="52"/>
              <w:ind w:left="784"/>
              <w:jc w:val="left"/>
              <w:rPr>
                <w:sz w:val="18"/>
              </w:rPr>
            </w:pPr>
            <w:r>
              <w:rPr>
                <w:color w:val="231F20"/>
                <w:sz w:val="18"/>
              </w:rPr>
              <w:t>1.12¢</w:t>
            </w:r>
          </w:p>
        </w:tc>
        <w:tc>
          <w:tcPr>
            <w:tcW w:w="200" w:type="dxa"/>
          </w:tcPr>
          <w:p>
            <w:pPr/>
          </w:p>
        </w:tc>
        <w:tc>
          <w:tcPr>
            <w:tcW w:w="1460" w:type="dxa"/>
            <w:tcBorders>
              <w:top w:val="single" w:sz="4" w:space="0" w:color="231F20"/>
              <w:bottom w:val="single" w:sz="4" w:space="0" w:color="231F20"/>
            </w:tcBorders>
          </w:tcPr>
          <w:p>
            <w:pPr>
              <w:pStyle w:val="TableParagraph"/>
              <w:spacing w:before="52"/>
              <w:ind w:right="107"/>
              <w:rPr>
                <w:sz w:val="18"/>
              </w:rPr>
            </w:pPr>
            <w:r>
              <w:rPr>
                <w:color w:val="231F20"/>
                <w:sz w:val="18"/>
              </w:rPr>
              <w:t>9.9%</w:t>
            </w:r>
          </w:p>
        </w:tc>
      </w:tr>
    </w:tbl>
    <w:p>
      <w:pPr>
        <w:pStyle w:val="BodyText"/>
        <w:spacing w:before="9"/>
        <w:rPr>
          <w:b/>
          <w:sz w:val="17"/>
        </w:rPr>
      </w:pPr>
    </w:p>
    <w:p>
      <w:pPr>
        <w:pStyle w:val="BodyText"/>
        <w:spacing w:line="249" w:lineRule="auto" w:before="89"/>
        <w:ind w:left="160" w:right="313" w:firstLine="400"/>
      </w:pPr>
      <w:r>
        <w:rPr/>
        <w:pict>
          <v:line style="position:absolute;mso-position-horizontal-relative:page;mso-position-vertical-relative:paragraph;z-index:-355504" from="238.5pt,-12.764074pt" to="303.75pt,-12.764074pt" stroked="true" strokeweight=".5pt" strokecolor="#231f20">
            <v:stroke dashstyle="solid"/>
            <w10:wrap type="none"/>
          </v:line>
        </w:pict>
      </w:r>
      <w:r>
        <w:rPr/>
        <w:pict>
          <v:line style="position:absolute;mso-position-horizontal-relative:page;mso-position-vertical-relative:paragraph;z-index:-355480" from="313.75pt,-12.764074pt" to="379pt,-12.764074pt" stroked="true" strokeweight=".5pt" strokecolor="#231f20">
            <v:stroke dashstyle="solid"/>
            <w10:wrap type="none"/>
          </v:line>
        </w:pict>
      </w:r>
      <w:r>
        <w:rPr/>
        <w:pict>
          <v:line style="position:absolute;mso-position-horizontal-relative:page;mso-position-vertical-relative:paragraph;z-index:-355456" from="389pt,-12.764074pt" to="452pt,-12.764074pt" stroked="true" strokeweight=".5pt" strokecolor="#231f20">
            <v:stroke dashstyle="solid"/>
            <w10:wrap type="none"/>
          </v:line>
        </w:pict>
      </w:r>
      <w:r>
        <w:rPr/>
        <w:pict>
          <v:line style="position:absolute;mso-position-horizontal-relative:page;mso-position-vertical-relative:paragraph;z-index:-355432" from="462pt,-12.764074pt" to="525pt,-12.764074pt" stroked="true" strokeweight=".5pt" strokecolor="#231f20">
            <v:stroke dashstyle="solid"/>
            <w10:wrap type="none"/>
          </v:line>
        </w:pict>
      </w:r>
      <w:r>
        <w:rPr>
          <w:color w:val="231F20"/>
        </w:rPr>
        <w:t>Consolidated Operating expenses per ASM (unit costs) for 2011 increased 9.9 percent compared to 2010. Over 89 percent of this year-over-year cost per available seat mile increase was due to higher fuel costs, as the Company’s average jet fuel cost per gallon increased 27.1 percent to $3.19, including the impact of hedging activity. An increase in acquisition and integration expenses (incurred by Southwest) of $98 million also contributed to the year-over-year increase in costs on both a dollar and a per-ASM basis during 2011. On a non- GAAP basis, the Company’s 2011 consolidated operating expenses per ASM, excluding fuel, remained relatively flat compared to 2010.</w:t>
      </w:r>
    </w:p>
    <w:p>
      <w:pPr>
        <w:pStyle w:val="BodyText"/>
        <w:spacing w:before="4"/>
        <w:rPr>
          <w:sz w:val="21"/>
        </w:rPr>
      </w:pPr>
    </w:p>
    <w:p>
      <w:pPr>
        <w:pStyle w:val="BodyText"/>
        <w:spacing w:line="249" w:lineRule="auto" w:before="1"/>
        <w:ind w:left="160" w:right="352" w:firstLine="400"/>
      </w:pPr>
      <w:r>
        <w:rPr>
          <w:color w:val="231F20"/>
        </w:rPr>
        <w:t>Consolidated Salaries, wages, and benefits expense for 2011 increased by $667 million, or 18.0 percent, compared to 2010, of which approximately $381 million was due to the inclusion of AirTran results following the May 2, 2011 acquisition date. Excluding the results of AirTran, Salaries, wages, and benefits expense increased 7.7 percent on a dollar basis for 2011 compared to 2010. The majority of the year-over-year increase was due to the increase in Southwest’s capacity and number of trips flown, which was partially offset by a decrease in profitsharing expense resulting from lower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Consolidated Salaries, wages, and benefits expense per ASM for 2011 decreased 3.7 percent compared to 2010. The majority of this decrease on a per-ASM basis was due to AirTran unit costs for Salaries, wages, and benefits being significantly lower than Southwest’s. This decrease was partially offset by increases in average wage rates paid to the majority of Southwest’s workforce.</w:t>
      </w:r>
    </w:p>
    <w:p>
      <w:pPr>
        <w:pStyle w:val="BodyText"/>
        <w:spacing w:before="5"/>
        <w:rPr>
          <w:sz w:val="21"/>
        </w:rPr>
      </w:pPr>
    </w:p>
    <w:p>
      <w:pPr>
        <w:pStyle w:val="BodyText"/>
        <w:spacing w:line="249" w:lineRule="auto"/>
        <w:ind w:left="160" w:right="368" w:firstLine="400"/>
      </w:pPr>
      <w:r>
        <w:rPr>
          <w:color w:val="231F20"/>
        </w:rPr>
        <w:t>Consolidated Fuel and oil expense for 2011 increased by $2.0 billion, or 55.9 percent, compared to 2010, of which approximately $811 million was due to the inclusion of AirTran results following the May 2, 2011 acquisition date. Excluding the results of AirTran, Fuel and oil expense for 2011 increased 33.5 percent on a</w:t>
      </w:r>
    </w:p>
    <w:p>
      <w:pPr>
        <w:spacing w:after="0" w:line="249" w:lineRule="auto"/>
        <w:sectPr>
          <w:type w:val="continuous"/>
          <w:pgSz w:w="11880" w:h="15480"/>
          <w:pgMar w:top="1200" w:bottom="280" w:left="1220" w:right="1080"/>
        </w:sectPr>
      </w:pPr>
    </w:p>
    <w:p>
      <w:pPr>
        <w:pStyle w:val="BodyText"/>
        <w:spacing w:line="249" w:lineRule="auto" w:before="73"/>
        <w:ind w:left="100" w:right="127"/>
      </w:pPr>
      <w:r>
        <w:rPr>
          <w:color w:val="231F20"/>
        </w:rPr>
        <w:t>dollar basis versus 2010. On a per-ASM basis, 2011 consolidated Fuel and oil expense increased by 27.2 percent versus 2010. Both of these increases were primarily due to a 27.1 percent increase in the Company’s average fuel cost per gallon. On a consolidated basis, as a result of the Company’s fuel hedging program and inclusive of accounting for derivatives and hedging, the Company recognized net losses totaling $64 million in 2011 in Fuel and oil expense relating to fuel derivative instruments versus net losses of $324 million recognized in Fuel and oil expense in 2010. These totals are inclusive of cash settlements realized from the expiration/settlement of fuel derivatives, which were $63 million paid to counterparties in 2011 versus $153 million paid to counterparties for 2010. However, these totals exclude gains and/or losses recognized from hedge ineffectiveness and from derivatives that do not qualify for hedge accounting, which impacts are recorded as a component of Other (gains) losses,</w:t>
      </w:r>
      <w:r>
        <w:rPr>
          <w:color w:val="231F20"/>
          <w:spacing w:val="1"/>
        </w:rPr>
        <w:t> </w:t>
      </w:r>
      <w:r>
        <w:rPr>
          <w:color w:val="231F20"/>
        </w:rPr>
        <w:t>net.</w:t>
      </w:r>
    </w:p>
    <w:p>
      <w:pPr>
        <w:pStyle w:val="BodyText"/>
        <w:spacing w:before="181"/>
        <w:ind w:left="500"/>
      </w:pPr>
      <w:r>
        <w:rPr>
          <w:color w:val="231F20"/>
        </w:rPr>
        <w:t>Consolidated Maintenance, materials, and repairs expense for 2011 increased by $204 million, or</w:t>
      </w:r>
    </w:p>
    <w:p>
      <w:pPr>
        <w:pStyle w:val="BodyText"/>
        <w:spacing w:line="249" w:lineRule="auto" w:before="10"/>
        <w:ind w:left="100" w:right="115"/>
      </w:pPr>
      <w:r>
        <w:rPr>
          <w:color w:val="231F20"/>
        </w:rPr>
        <w:t>27.2 percent, compared to 2010, of which approximately $175 million was due to the inclusion of AirTran results following the May 2, 2011 acquisition date. Excluding the results of AirTran, Maintenance materials and repairs expense for 2011 increased 3.9 percent on a dollar basis compared to 2010. This increase primarily was attributable to higher airframe expense associated with routine heavy maintenance checks. On a per-ASM basis, consolidated Maintenance materials and repairs expense increased 3.9 percent primarily as a result of higher engine expense, as AirTran’s Boeing 717 fleet has higher engine costs, on a flight hour basis, than Southwest’s all-Boeing 737 fleet. In October 2011, the Company amended its engine maintenance contracts with GE Engine Services. Previously, the engines on both its Classic fleet (737-300/500s) and its 737-700s were subject to “power-by-the-hour” agreements under which the cost was based on the number of engine hours flown. The amended agreement for the Classic fleet no longer meets the risk-transfer criteria of a “power-by-the-hour” agreement, and thus expense will prospectively be recorded on a time and materials basis when an engine repair event takes place. See Note 1 to the Consolidated Financial Statements for further information on this change. The maintenance contract for the engines on the Company’s 737-700 fleet was amended primarily to incorporate the 52 Boeing 737-700s from the AirTran acquisition and, bring them on to the Southwest maintenance program, extend the term of that agreement until December 31, 2021. The amendments to both maintenance contracts were effective October 1, 2011.</w:t>
      </w:r>
    </w:p>
    <w:p>
      <w:pPr>
        <w:pStyle w:val="BodyText"/>
        <w:spacing w:line="249" w:lineRule="auto" w:before="181"/>
        <w:ind w:left="100" w:right="202" w:firstLine="400"/>
      </w:pPr>
      <w:r>
        <w:rPr>
          <w:color w:val="231F20"/>
        </w:rPr>
        <w:t>Consolidated Aircraft rentals expense for 2011 increased by $128 million, or 71.1 percent, compared to 2010. There was an increase of approximately $159 million due to the inclusion of AirTran results following the May 2, 2011 acquisition date. Excluding the results of AirTran, Aircraft rentals expense for 2011 decreased</w:t>
      </w:r>
    </w:p>
    <w:p>
      <w:pPr>
        <w:pStyle w:val="BodyText"/>
        <w:spacing w:line="249" w:lineRule="auto" w:before="1"/>
        <w:ind w:left="100" w:right="155"/>
      </w:pPr>
      <w:r>
        <w:rPr>
          <w:color w:val="231F20"/>
        </w:rPr>
        <w:t>17.2 percent on a dollar basis compared to 2010 as a result of amortization associated with the unfavorable aircraft lease liability created as part of purchase accounting adjustments based on the estimated fair value of AirTran’s Boeing 717 leases. See Note 2 to the Consolidated Financial Statements. Excluding the impact of this amortization, year-over-year expense decreased slightly on a dollar basis. Consolidated Aircraft rentals expense per ASM for 2011 increased 44.4 percent compared to 2010. This increase on a per-ASM basis primarily was due to the fact that AirTran leases the majority of its aircraft fleet. Of the 140 aircraft that were in AirTran’s fleet as of December 31, 2011, over 70 percent were on operating leases, versus approximately 16 percent for Southwest’s fleet at December 31,</w:t>
      </w:r>
      <w:r>
        <w:rPr>
          <w:color w:val="231F20"/>
          <w:spacing w:val="3"/>
        </w:rPr>
        <w:t> </w:t>
      </w:r>
      <w:r>
        <w:rPr>
          <w:color w:val="231F20"/>
        </w:rPr>
        <w:t>2011.</w:t>
      </w:r>
    </w:p>
    <w:p>
      <w:pPr>
        <w:pStyle w:val="BodyText"/>
        <w:spacing w:line="249" w:lineRule="auto" w:before="181"/>
        <w:ind w:left="100" w:right="138" w:firstLine="400"/>
      </w:pPr>
      <w:r>
        <w:rPr>
          <w:color w:val="231F20"/>
        </w:rPr>
        <w:t>Consolidated Landing fees and other rentals expense for 2011 increased by $152 million, or 18.8 percent, compared to 2010, of which approximately $117 million was due to the inclusion of AirTran results following the May 2, 2011 acquisition date. Excluding the results of AirTran, Landing fees and other rentals expense for 2011 increased 4.3 percent on a dollar basis compared to 2010. The majority of the dollar increase was due to the increase in number of trips flown versus the same prior year period. On a per-ASM basis compared to 2010, consolidated Landing fees and other rentals expense decreased by 2.4 percent. The decline on a per-ASM basis primarily was due to higher than anticipated credits (refunds) received in 2011 as a result of airports’ audits of prior period</w:t>
      </w:r>
      <w:r>
        <w:rPr>
          <w:color w:val="231F20"/>
          <w:spacing w:val="2"/>
        </w:rPr>
        <w:t> </w:t>
      </w:r>
      <w:r>
        <w:rPr>
          <w:color w:val="231F20"/>
        </w:rPr>
        <w:t>payments.</w:t>
      </w:r>
    </w:p>
    <w:p>
      <w:pPr>
        <w:pStyle w:val="BodyText"/>
        <w:spacing w:line="249" w:lineRule="auto" w:before="181"/>
        <w:ind w:left="100" w:right="179" w:firstLine="400"/>
      </w:pPr>
      <w:r>
        <w:rPr>
          <w:color w:val="231F20"/>
        </w:rPr>
        <w:t>Consolidated Depreciation and amortization expense for 2011 increased by $87 million, or 13.9 percent, compared to 2010, of which approximately $41 million was due to the inclusion of AirTran results following the May 2, 2011 acquisition date. Excluding the results of AirTran, Depreciation and amortization expense for 2011</w:t>
      </w:r>
    </w:p>
    <w:p>
      <w:pPr>
        <w:spacing w:after="0" w:line="249" w:lineRule="auto"/>
        <w:sectPr>
          <w:pgSz w:w="11880" w:h="15480"/>
          <w:pgMar w:header="0" w:footer="1253" w:top="1240" w:bottom="1440" w:left="1280" w:right="1280"/>
        </w:sectPr>
      </w:pPr>
    </w:p>
    <w:p>
      <w:pPr>
        <w:pStyle w:val="BodyText"/>
        <w:spacing w:line="249" w:lineRule="auto" w:before="73"/>
        <w:ind w:left="160" w:right="291"/>
      </w:pPr>
      <w:r>
        <w:rPr>
          <w:color w:val="231F20"/>
        </w:rPr>
        <w:t>increased 7.3 percent on a dollar basis compared to 2010. Approximately 66 percent of this increase was due to the amortization associated with the intangible assets recognized upon the acquisition of AirTran, such as customer relationships, trademarks, slots, domain name, and non-compete agreements, and approximately</w:t>
      </w:r>
    </w:p>
    <w:p>
      <w:pPr>
        <w:pStyle w:val="BodyText"/>
        <w:spacing w:line="249" w:lineRule="auto" w:before="1"/>
        <w:ind w:left="160" w:right="98"/>
      </w:pPr>
      <w:r>
        <w:rPr>
          <w:color w:val="231F20"/>
        </w:rPr>
        <w:t>23 percent was due to large projects that have been placed into service, such as the Company’s implementation of Southwest’s All-New Rapid Rewards frequent flyer program. On a per-ASM basis, consolidated Depreciation and amortization expense decreased by 7.8 percent compared to 2010, primarily due to the majority of AirTran’s fleet as of December 31, 2011 being on operating</w:t>
      </w:r>
      <w:r>
        <w:rPr>
          <w:color w:val="231F20"/>
          <w:spacing w:val="3"/>
        </w:rPr>
        <w:t> </w:t>
      </w:r>
      <w:r>
        <w:rPr>
          <w:color w:val="231F20"/>
        </w:rPr>
        <w:t>leases.</w:t>
      </w:r>
    </w:p>
    <w:p>
      <w:pPr>
        <w:pStyle w:val="BodyText"/>
        <w:spacing w:before="11"/>
      </w:pPr>
    </w:p>
    <w:p>
      <w:pPr>
        <w:pStyle w:val="BodyText"/>
        <w:spacing w:line="249" w:lineRule="auto"/>
        <w:ind w:left="160" w:right="352" w:firstLine="400"/>
        <w:jc w:val="both"/>
      </w:pPr>
      <w:r>
        <w:rPr>
          <w:color w:val="231F20"/>
        </w:rPr>
        <w:t>On a consolidated basis for 2011, the Company incurred $134 million of acquisition and integration costs related to the acquisition of AirTran. These costs primarily consisted of financial advisory fees and consulting, severance, technology, and facility integration expenses. See Note 2 to the Consolidated Financial Statements.</w:t>
      </w:r>
    </w:p>
    <w:p>
      <w:pPr>
        <w:pStyle w:val="BodyText"/>
        <w:spacing w:before="10"/>
      </w:pPr>
    </w:p>
    <w:p>
      <w:pPr>
        <w:pStyle w:val="BodyText"/>
        <w:spacing w:line="249" w:lineRule="auto" w:before="1"/>
        <w:ind w:left="160" w:right="479" w:firstLine="400"/>
        <w:jc w:val="both"/>
      </w:pPr>
      <w:r>
        <w:rPr>
          <w:color w:val="231F20"/>
        </w:rPr>
        <w:t>Consolidated Other operating expense for 2011 increased by $461 million, or 32.5 percent, compared to 2010, of which approximately $250 million was due to the inclusion of AirTran results following the May 2, 2011 acquisition date. Excluding the results of AirTran, Other operating expenses for 2011 increased</w:t>
      </w:r>
    </w:p>
    <w:p>
      <w:pPr>
        <w:pStyle w:val="BodyText"/>
        <w:spacing w:line="249" w:lineRule="auto" w:before="1"/>
        <w:ind w:left="160" w:right="103"/>
      </w:pPr>
      <w:r>
        <w:rPr>
          <w:color w:val="231F20"/>
        </w:rPr>
        <w:t>14.9 percent on a dollar basis compared to 2010. Approximately 20 percent of this increase was a result of revenue-related costs (such as credit card processing fees) associated with an increase in Passenger revenues, approximately 17 percent was due to technology and consulting costs associated with completed and ongoing projects, and approximately 8 percent was a result of a $17 million asset impairment related to the Company’s decision not to equip its Classic aircraft with RNP capabilities. On a consolidated basis, Other operating expenses per ASM for 2011 increased 7.6 percent compared to 2010. Approximately 31 percent of the increase per ASM was a result of revenue-related costs and 16 percent was due to technology and consulting costs associated with projects.</w:t>
      </w:r>
    </w:p>
    <w:p>
      <w:pPr>
        <w:pStyle w:val="BodyText"/>
        <w:spacing w:before="4"/>
        <w:rPr>
          <w:sz w:val="31"/>
        </w:rPr>
      </w:pPr>
    </w:p>
    <w:p>
      <w:pPr>
        <w:pStyle w:val="Heading3"/>
        <w:ind w:left="360"/>
      </w:pPr>
      <w:r>
        <w:rPr>
          <w:color w:val="231F20"/>
        </w:rPr>
        <w:t>Other</w:t>
      </w:r>
    </w:p>
    <w:p>
      <w:pPr>
        <w:pStyle w:val="BodyText"/>
        <w:spacing w:line="249" w:lineRule="auto" w:before="129"/>
        <w:ind w:left="160" w:right="196" w:firstLine="400"/>
      </w:pPr>
      <w:r>
        <w:rPr>
          <w:color w:val="231F20"/>
        </w:rPr>
        <w:t>Consolidated Other expenses (income) include interest expense, capitalized interest, interest income, and other gains and losses. Consolidated Interest expense for 2011 increased by $27 million, or 16.2 percent, compared to 2010. The additional debt held by the Company in connection with the AirTran acquisition resulted in $26 million additional interest expense for 2011. See Note 2 to the Consolidated Financial Statements.</w:t>
      </w:r>
    </w:p>
    <w:p>
      <w:pPr>
        <w:pStyle w:val="BodyText"/>
        <w:spacing w:before="10"/>
      </w:pPr>
    </w:p>
    <w:p>
      <w:pPr>
        <w:pStyle w:val="BodyText"/>
        <w:spacing w:line="249" w:lineRule="auto"/>
        <w:ind w:left="160" w:right="546" w:firstLine="400"/>
      </w:pPr>
      <w:r>
        <w:rPr>
          <w:color w:val="231F20"/>
        </w:rPr>
        <w:t>Consolidated Capitalized interest for 2011 decreased by $6 million, or 33.3 percent, compared to 2010, primarily due to a decrease in average progress payment balances for scheduled future aircraft deliveries.</w:t>
      </w:r>
    </w:p>
    <w:p>
      <w:pPr>
        <w:pStyle w:val="BodyText"/>
        <w:spacing w:before="10"/>
      </w:pPr>
    </w:p>
    <w:p>
      <w:pPr>
        <w:pStyle w:val="BodyText"/>
        <w:spacing w:line="249" w:lineRule="auto"/>
        <w:ind w:left="160" w:right="857" w:firstLine="400"/>
      </w:pPr>
      <w:r>
        <w:rPr>
          <w:color w:val="231F20"/>
        </w:rPr>
        <w:t>Consolidated Interest income for 2011 decreased by $2 million, or 16.7 percent, compared to 2010, primarily due to lower rates earned on invested cash and short-term investments.</w:t>
      </w:r>
    </w:p>
    <w:p>
      <w:pPr>
        <w:pStyle w:val="BodyText"/>
        <w:spacing w:before="10"/>
      </w:pPr>
    </w:p>
    <w:p>
      <w:pPr>
        <w:pStyle w:val="BodyText"/>
        <w:spacing w:line="249" w:lineRule="auto"/>
        <w:ind w:left="160" w:right="290" w:firstLine="400"/>
      </w:pPr>
      <w:r>
        <w:rPr>
          <w:color w:val="231F20"/>
        </w:rPr>
        <w:t>Consolidated 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2011 and 2010:</w:t>
      </w:r>
    </w:p>
    <w:p>
      <w:pPr>
        <w:pStyle w:val="BodyText"/>
        <w:spacing w:before="6"/>
        <w:rPr>
          <w:sz w:val="9"/>
        </w:rPr>
      </w:pPr>
    </w:p>
    <w:p>
      <w:pPr>
        <w:pStyle w:val="Heading3"/>
        <w:spacing w:before="91" w:after="59"/>
        <w:ind w:left="0" w:right="727"/>
        <w:jc w:val="right"/>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10"/>
        <w:gridCol w:w="868"/>
        <w:gridCol w:w="382"/>
        <w:gridCol w:w="160"/>
        <w:gridCol w:w="848"/>
        <w:gridCol w:w="402"/>
      </w:tblGrid>
      <w:tr>
        <w:trPr>
          <w:trHeight w:val="248" w:hRule="exact"/>
        </w:trPr>
        <w:tc>
          <w:tcPr>
            <w:tcW w:w="6110" w:type="dxa"/>
            <w:tcBorders>
              <w:bottom w:val="single" w:sz="8" w:space="0" w:color="231F20"/>
            </w:tcBorders>
          </w:tcPr>
          <w:p>
            <w:pPr>
              <w:pStyle w:val="TableParagraph"/>
              <w:spacing w:before="28"/>
              <w:ind w:left="50"/>
              <w:jc w:val="left"/>
              <w:rPr>
                <w:sz w:val="16"/>
              </w:rPr>
            </w:pPr>
            <w:r>
              <w:rPr>
                <w:color w:val="231F20"/>
                <w:sz w:val="16"/>
              </w:rPr>
              <w:t>(in millions)</w:t>
            </w:r>
          </w:p>
        </w:tc>
        <w:tc>
          <w:tcPr>
            <w:tcW w:w="868" w:type="dxa"/>
            <w:tcBorders>
              <w:bottom w:val="single" w:sz="8" w:space="0" w:color="231F20"/>
            </w:tcBorders>
          </w:tcPr>
          <w:p>
            <w:pPr>
              <w:pStyle w:val="TableParagraph"/>
              <w:spacing w:line="221" w:lineRule="exact"/>
              <w:ind w:left="425"/>
              <w:jc w:val="left"/>
              <w:rPr>
                <w:b/>
                <w:sz w:val="20"/>
              </w:rPr>
            </w:pPr>
            <w:r>
              <w:rPr>
                <w:b/>
                <w:color w:val="231F20"/>
                <w:sz w:val="20"/>
              </w:rPr>
              <w:t>2011</w:t>
            </w:r>
          </w:p>
        </w:tc>
        <w:tc>
          <w:tcPr>
            <w:tcW w:w="382" w:type="dxa"/>
            <w:tcBorders>
              <w:bottom w:val="single" w:sz="8" w:space="0" w:color="231F20"/>
            </w:tcBorders>
          </w:tcPr>
          <w:p>
            <w:pPr/>
          </w:p>
        </w:tc>
        <w:tc>
          <w:tcPr>
            <w:tcW w:w="160" w:type="dxa"/>
            <w:tcBorders>
              <w:bottom w:val="single" w:sz="8" w:space="0" w:color="231F20"/>
            </w:tcBorders>
          </w:tcPr>
          <w:p>
            <w:pPr/>
          </w:p>
        </w:tc>
        <w:tc>
          <w:tcPr>
            <w:tcW w:w="848" w:type="dxa"/>
            <w:tcBorders>
              <w:bottom w:val="single" w:sz="8" w:space="0" w:color="231F20"/>
            </w:tcBorders>
          </w:tcPr>
          <w:p>
            <w:pPr>
              <w:pStyle w:val="TableParagraph"/>
              <w:spacing w:line="221" w:lineRule="exact"/>
              <w:ind w:left="425"/>
              <w:jc w:val="left"/>
              <w:rPr>
                <w:b/>
                <w:sz w:val="20"/>
              </w:rPr>
            </w:pPr>
            <w:r>
              <w:rPr>
                <w:b/>
                <w:color w:val="231F20"/>
                <w:sz w:val="20"/>
              </w:rPr>
              <w:t>2010</w:t>
            </w:r>
          </w:p>
        </w:tc>
        <w:tc>
          <w:tcPr>
            <w:tcW w:w="402" w:type="dxa"/>
            <w:tcBorders>
              <w:bottom w:val="single" w:sz="8" w:space="0" w:color="231F20"/>
            </w:tcBorders>
          </w:tcPr>
          <w:p>
            <w:pPr/>
          </w:p>
        </w:tc>
      </w:tr>
      <w:tr>
        <w:trPr>
          <w:trHeight w:val="484" w:hRule="exact"/>
        </w:trPr>
        <w:tc>
          <w:tcPr>
            <w:tcW w:w="6110"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 periods   . .</w:t>
            </w:r>
          </w:p>
        </w:tc>
        <w:tc>
          <w:tcPr>
            <w:tcW w:w="868" w:type="dxa"/>
            <w:tcBorders>
              <w:top w:val="single" w:sz="8" w:space="0" w:color="231F20"/>
            </w:tcBorders>
          </w:tcPr>
          <w:p>
            <w:pPr>
              <w:pStyle w:val="TableParagraph"/>
              <w:spacing w:before="3"/>
              <w:jc w:val="left"/>
              <w:rPr>
                <w:b/>
                <w:sz w:val="20"/>
              </w:rPr>
            </w:pPr>
          </w:p>
          <w:p>
            <w:pPr>
              <w:pStyle w:val="TableParagraph"/>
              <w:jc w:val="left"/>
              <w:rPr>
                <w:sz w:val="20"/>
              </w:rPr>
            </w:pPr>
            <w:r>
              <w:rPr>
                <w:color w:val="231F20"/>
                <w:sz w:val="20"/>
              </w:rPr>
              <w:t>$</w:t>
            </w:r>
          </w:p>
        </w:tc>
        <w:tc>
          <w:tcPr>
            <w:tcW w:w="382" w:type="dxa"/>
            <w:tcBorders>
              <w:top w:val="single" w:sz="8" w:space="0" w:color="231F20"/>
            </w:tcBorders>
          </w:tcPr>
          <w:p>
            <w:pPr>
              <w:pStyle w:val="TableParagraph"/>
              <w:spacing w:before="3"/>
              <w:jc w:val="left"/>
              <w:rPr>
                <w:b/>
                <w:sz w:val="20"/>
              </w:rPr>
            </w:pPr>
          </w:p>
          <w:p>
            <w:pPr>
              <w:pStyle w:val="TableParagraph"/>
              <w:ind w:right="37"/>
              <w:rPr>
                <w:sz w:val="20"/>
              </w:rPr>
            </w:pPr>
            <w:r>
              <w:rPr>
                <w:color w:val="231F20"/>
                <w:sz w:val="20"/>
              </w:rPr>
              <w:t>21</w:t>
            </w:r>
          </w:p>
        </w:tc>
        <w:tc>
          <w:tcPr>
            <w:tcW w:w="160" w:type="dxa"/>
            <w:tcBorders>
              <w:top w:val="single" w:sz="8" w:space="0" w:color="231F20"/>
            </w:tcBorders>
          </w:tcPr>
          <w:p>
            <w:pPr/>
          </w:p>
        </w:tc>
        <w:tc>
          <w:tcPr>
            <w:tcW w:w="848" w:type="dxa"/>
            <w:tcBorders>
              <w:top w:val="single" w:sz="8" w:space="0" w:color="231F20"/>
            </w:tcBorders>
          </w:tcPr>
          <w:p>
            <w:pPr>
              <w:pStyle w:val="TableParagraph"/>
              <w:spacing w:before="3"/>
              <w:jc w:val="left"/>
              <w:rPr>
                <w:b/>
                <w:sz w:val="20"/>
              </w:rPr>
            </w:pPr>
          </w:p>
          <w:p>
            <w:pPr>
              <w:pStyle w:val="TableParagraph"/>
              <w:jc w:val="left"/>
              <w:rPr>
                <w:sz w:val="20"/>
              </w:rPr>
            </w:pPr>
            <w:r>
              <w:rPr>
                <w:color w:val="231F20"/>
                <w:sz w:val="20"/>
              </w:rPr>
              <w:t>$</w:t>
            </w:r>
          </w:p>
        </w:tc>
        <w:tc>
          <w:tcPr>
            <w:tcW w:w="402" w:type="dxa"/>
            <w:tcBorders>
              <w:top w:val="single" w:sz="8" w:space="0" w:color="231F20"/>
            </w:tcBorders>
          </w:tcPr>
          <w:p>
            <w:pPr>
              <w:pStyle w:val="TableParagraph"/>
              <w:spacing w:before="3"/>
              <w:jc w:val="left"/>
              <w:rPr>
                <w:b/>
                <w:sz w:val="20"/>
              </w:rPr>
            </w:pPr>
          </w:p>
          <w:p>
            <w:pPr>
              <w:pStyle w:val="TableParagraph"/>
              <w:ind w:left="55"/>
              <w:jc w:val="left"/>
              <w:rPr>
                <w:sz w:val="20"/>
              </w:rPr>
            </w:pPr>
            <w:r>
              <w:rPr>
                <w:color w:val="231F20"/>
                <w:sz w:val="20"/>
              </w:rPr>
              <w:t>(21)</w:t>
            </w:r>
          </w:p>
        </w:tc>
      </w:tr>
      <w:tr>
        <w:trPr>
          <w:trHeight w:val="240" w:hRule="exact"/>
        </w:trPr>
        <w:tc>
          <w:tcPr>
            <w:tcW w:w="6110" w:type="dxa"/>
          </w:tcPr>
          <w:p>
            <w:pPr>
              <w:pStyle w:val="TableParagraph"/>
              <w:spacing w:line="229" w:lineRule="exact"/>
              <w:ind w:left="50"/>
              <w:jc w:val="left"/>
              <w:rPr>
                <w:sz w:val="20"/>
              </w:rPr>
            </w:pPr>
            <w:r>
              <w:rPr>
                <w:color w:val="231F20"/>
                <w:sz w:val="20"/>
              </w:rPr>
              <w:t>Ineffectiveness from fuel hedges settling in future periods . . . . . . . . . . . </w:t>
            </w:r>
          </w:p>
        </w:tc>
        <w:tc>
          <w:tcPr>
            <w:tcW w:w="868" w:type="dxa"/>
          </w:tcPr>
          <w:p>
            <w:pPr/>
          </w:p>
        </w:tc>
        <w:tc>
          <w:tcPr>
            <w:tcW w:w="382" w:type="dxa"/>
          </w:tcPr>
          <w:p>
            <w:pPr>
              <w:pStyle w:val="TableParagraph"/>
              <w:spacing w:line="229" w:lineRule="exact"/>
              <w:ind w:right="39"/>
              <w:rPr>
                <w:sz w:val="20"/>
              </w:rPr>
            </w:pPr>
            <w:r>
              <w:rPr>
                <w:color w:val="231F20"/>
                <w:sz w:val="20"/>
              </w:rPr>
              <w:t>33</w:t>
            </w:r>
          </w:p>
        </w:tc>
        <w:tc>
          <w:tcPr>
            <w:tcW w:w="160" w:type="dxa"/>
          </w:tcPr>
          <w:p>
            <w:pPr/>
          </w:p>
        </w:tc>
        <w:tc>
          <w:tcPr>
            <w:tcW w:w="848" w:type="dxa"/>
          </w:tcPr>
          <w:p>
            <w:pPr/>
          </w:p>
        </w:tc>
        <w:tc>
          <w:tcPr>
            <w:tcW w:w="402" w:type="dxa"/>
          </w:tcPr>
          <w:p>
            <w:pPr>
              <w:pStyle w:val="TableParagraph"/>
              <w:spacing w:line="229" w:lineRule="exact"/>
              <w:ind w:left="55"/>
              <w:jc w:val="left"/>
              <w:rPr>
                <w:sz w:val="20"/>
              </w:rPr>
            </w:pPr>
            <w:r>
              <w:rPr>
                <w:color w:val="231F20"/>
                <w:sz w:val="20"/>
              </w:rPr>
              <w:t>(11)</w:t>
            </w:r>
          </w:p>
        </w:tc>
      </w:tr>
      <w:tr>
        <w:trPr>
          <w:trHeight w:val="240" w:hRule="exact"/>
        </w:trPr>
        <w:tc>
          <w:tcPr>
            <w:tcW w:w="6110" w:type="dxa"/>
          </w:tcPr>
          <w:p>
            <w:pPr>
              <w:pStyle w:val="TableParagraph"/>
              <w:spacing w:line="229" w:lineRule="exact"/>
              <w:ind w:left="50"/>
              <w:jc w:val="left"/>
              <w:rPr>
                <w:sz w:val="20"/>
              </w:rPr>
            </w:pPr>
            <w:r>
              <w:rPr>
                <w:color w:val="231F20"/>
                <w:sz w:val="20"/>
              </w:rPr>
              <w:t>Realized ineffectiveness and mark-to-market (gains) or losses . . . . . . . . </w:t>
            </w:r>
          </w:p>
        </w:tc>
        <w:tc>
          <w:tcPr>
            <w:tcW w:w="868" w:type="dxa"/>
          </w:tcPr>
          <w:p>
            <w:pPr/>
          </w:p>
        </w:tc>
        <w:tc>
          <w:tcPr>
            <w:tcW w:w="382" w:type="dxa"/>
          </w:tcPr>
          <w:p>
            <w:pPr>
              <w:pStyle w:val="TableParagraph"/>
              <w:spacing w:line="229" w:lineRule="exact"/>
              <w:ind w:right="39"/>
              <w:rPr>
                <w:sz w:val="20"/>
              </w:rPr>
            </w:pPr>
            <w:r>
              <w:rPr>
                <w:color w:val="231F20"/>
                <w:sz w:val="20"/>
              </w:rPr>
              <w:t>35</w:t>
            </w:r>
          </w:p>
        </w:tc>
        <w:tc>
          <w:tcPr>
            <w:tcW w:w="160" w:type="dxa"/>
          </w:tcPr>
          <w:p>
            <w:pPr/>
          </w:p>
        </w:tc>
        <w:tc>
          <w:tcPr>
            <w:tcW w:w="848" w:type="dxa"/>
          </w:tcPr>
          <w:p>
            <w:pPr/>
          </w:p>
        </w:tc>
        <w:tc>
          <w:tcPr>
            <w:tcW w:w="402" w:type="dxa"/>
          </w:tcPr>
          <w:p>
            <w:pPr>
              <w:pStyle w:val="TableParagraph"/>
              <w:spacing w:line="229" w:lineRule="exact"/>
              <w:ind w:left="155"/>
              <w:jc w:val="left"/>
              <w:rPr>
                <w:sz w:val="20"/>
              </w:rPr>
            </w:pPr>
            <w:r>
              <w:rPr>
                <w:color w:val="231F20"/>
                <w:sz w:val="20"/>
              </w:rPr>
              <w:t>(1)</w:t>
            </w:r>
          </w:p>
        </w:tc>
      </w:tr>
      <w:tr>
        <w:trPr>
          <w:trHeight w:val="240" w:hRule="exact"/>
        </w:trPr>
        <w:tc>
          <w:tcPr>
            <w:tcW w:w="6110" w:type="dxa"/>
          </w:tcPr>
          <w:p>
            <w:pPr>
              <w:pStyle w:val="TableParagraph"/>
              <w:spacing w:line="229" w:lineRule="exact"/>
              <w:ind w:left="50"/>
              <w:jc w:val="left"/>
              <w:rPr>
                <w:sz w:val="20"/>
              </w:rPr>
            </w:pPr>
            <w:r>
              <w:rPr>
                <w:color w:val="231F20"/>
                <w:sz w:val="20"/>
              </w:rPr>
              <w:t>Premium cost of fuel contracts   . . . . . . . . . . . . . . . . . . . . . . . . . . . . . . . . </w:t>
            </w:r>
          </w:p>
        </w:tc>
        <w:tc>
          <w:tcPr>
            <w:tcW w:w="868" w:type="dxa"/>
          </w:tcPr>
          <w:p>
            <w:pPr/>
          </w:p>
        </w:tc>
        <w:tc>
          <w:tcPr>
            <w:tcW w:w="382" w:type="dxa"/>
          </w:tcPr>
          <w:p>
            <w:pPr>
              <w:pStyle w:val="TableParagraph"/>
              <w:spacing w:line="229" w:lineRule="exact"/>
              <w:ind w:right="39"/>
              <w:rPr>
                <w:sz w:val="20"/>
              </w:rPr>
            </w:pPr>
            <w:r>
              <w:rPr>
                <w:color w:val="231F20"/>
                <w:sz w:val="20"/>
              </w:rPr>
              <w:t>107</w:t>
            </w:r>
          </w:p>
        </w:tc>
        <w:tc>
          <w:tcPr>
            <w:tcW w:w="160" w:type="dxa"/>
          </w:tcPr>
          <w:p>
            <w:pPr/>
          </w:p>
        </w:tc>
        <w:tc>
          <w:tcPr>
            <w:tcW w:w="848" w:type="dxa"/>
          </w:tcPr>
          <w:p>
            <w:pPr/>
          </w:p>
        </w:tc>
        <w:tc>
          <w:tcPr>
            <w:tcW w:w="402" w:type="dxa"/>
          </w:tcPr>
          <w:p>
            <w:pPr>
              <w:pStyle w:val="TableParagraph"/>
              <w:spacing w:line="229" w:lineRule="exact"/>
              <w:ind w:left="22"/>
              <w:jc w:val="left"/>
              <w:rPr>
                <w:sz w:val="20"/>
              </w:rPr>
            </w:pPr>
            <w:r>
              <w:rPr>
                <w:color w:val="231F20"/>
                <w:sz w:val="20"/>
              </w:rPr>
              <w:t>134</w:t>
            </w:r>
          </w:p>
        </w:tc>
      </w:tr>
      <w:tr>
        <w:trPr>
          <w:trHeight w:val="261" w:hRule="exact"/>
        </w:trPr>
        <w:tc>
          <w:tcPr>
            <w:tcW w:w="6110" w:type="dxa"/>
          </w:tcPr>
          <w:p>
            <w:pPr>
              <w:pStyle w:val="TableParagraph"/>
              <w:spacing w:line="229" w:lineRule="exact"/>
              <w:ind w:left="50"/>
              <w:jc w:val="left"/>
              <w:rPr>
                <w:sz w:val="20"/>
              </w:rPr>
            </w:pPr>
            <w:r>
              <w:rPr>
                <w:color w:val="231F20"/>
                <w:sz w:val="20"/>
              </w:rPr>
              <w:t>Other . . . . . . . . . . . . . . . . . . . . . . . . . . . . . . . . . . . . . . . . . . . . . . . . . . . . . </w:t>
            </w:r>
          </w:p>
        </w:tc>
        <w:tc>
          <w:tcPr>
            <w:tcW w:w="868" w:type="dxa"/>
            <w:tcBorders>
              <w:bottom w:val="single" w:sz="4" w:space="0" w:color="231F20"/>
            </w:tcBorders>
          </w:tcPr>
          <w:p>
            <w:pPr/>
          </w:p>
        </w:tc>
        <w:tc>
          <w:tcPr>
            <w:tcW w:w="382" w:type="dxa"/>
            <w:tcBorders>
              <w:bottom w:val="single" w:sz="4" w:space="0" w:color="231F20"/>
            </w:tcBorders>
          </w:tcPr>
          <w:p>
            <w:pPr>
              <w:pStyle w:val="TableParagraph"/>
              <w:spacing w:line="229" w:lineRule="exact"/>
              <w:ind w:right="39"/>
              <w:rPr>
                <w:sz w:val="20"/>
              </w:rPr>
            </w:pPr>
            <w:r>
              <w:rPr>
                <w:color w:val="231F20"/>
                <w:sz w:val="20"/>
              </w:rPr>
              <w:t>2</w:t>
            </w:r>
          </w:p>
        </w:tc>
        <w:tc>
          <w:tcPr>
            <w:tcW w:w="160" w:type="dxa"/>
          </w:tcPr>
          <w:p>
            <w:pPr/>
          </w:p>
        </w:tc>
        <w:tc>
          <w:tcPr>
            <w:tcW w:w="848" w:type="dxa"/>
            <w:tcBorders>
              <w:bottom w:val="single" w:sz="4" w:space="0" w:color="231F20"/>
            </w:tcBorders>
          </w:tcPr>
          <w:p>
            <w:pPr/>
          </w:p>
        </w:tc>
        <w:tc>
          <w:tcPr>
            <w:tcW w:w="402" w:type="dxa"/>
            <w:tcBorders>
              <w:bottom w:val="single" w:sz="4" w:space="0" w:color="231F20"/>
            </w:tcBorders>
          </w:tcPr>
          <w:p>
            <w:pPr>
              <w:pStyle w:val="TableParagraph"/>
              <w:spacing w:line="229" w:lineRule="exact"/>
              <w:ind w:left="222"/>
              <w:jc w:val="left"/>
              <w:rPr>
                <w:sz w:val="20"/>
              </w:rPr>
            </w:pPr>
            <w:r>
              <w:rPr>
                <w:color w:val="231F20"/>
                <w:sz w:val="20"/>
              </w:rPr>
              <w:t>5</w:t>
            </w:r>
          </w:p>
        </w:tc>
      </w:tr>
      <w:tr>
        <w:trPr>
          <w:trHeight w:val="288" w:hRule="exact"/>
        </w:trPr>
        <w:tc>
          <w:tcPr>
            <w:tcW w:w="6110" w:type="dxa"/>
          </w:tcPr>
          <w:p>
            <w:pPr/>
          </w:p>
        </w:tc>
        <w:tc>
          <w:tcPr>
            <w:tcW w:w="868" w:type="dxa"/>
            <w:tcBorders>
              <w:top w:val="single" w:sz="4" w:space="0" w:color="231F20"/>
            </w:tcBorders>
          </w:tcPr>
          <w:p>
            <w:pPr>
              <w:pStyle w:val="TableParagraph"/>
              <w:spacing w:before="53"/>
              <w:jc w:val="left"/>
              <w:rPr>
                <w:sz w:val="20"/>
              </w:rPr>
            </w:pPr>
            <w:r>
              <w:rPr>
                <w:color w:val="231F20"/>
                <w:sz w:val="20"/>
              </w:rPr>
              <w:t>$</w:t>
            </w:r>
          </w:p>
        </w:tc>
        <w:tc>
          <w:tcPr>
            <w:tcW w:w="382" w:type="dxa"/>
            <w:tcBorders>
              <w:top w:val="single" w:sz="4" w:space="0" w:color="231F20"/>
            </w:tcBorders>
          </w:tcPr>
          <w:p>
            <w:pPr>
              <w:pStyle w:val="TableParagraph"/>
              <w:spacing w:before="53"/>
              <w:ind w:right="39"/>
              <w:rPr>
                <w:sz w:val="20"/>
              </w:rPr>
            </w:pPr>
            <w:r>
              <w:rPr>
                <w:color w:val="231F20"/>
                <w:sz w:val="20"/>
              </w:rPr>
              <w:t>198</w:t>
            </w:r>
          </w:p>
        </w:tc>
        <w:tc>
          <w:tcPr>
            <w:tcW w:w="160" w:type="dxa"/>
          </w:tcPr>
          <w:p>
            <w:pPr/>
          </w:p>
        </w:tc>
        <w:tc>
          <w:tcPr>
            <w:tcW w:w="848" w:type="dxa"/>
            <w:tcBorders>
              <w:top w:val="single" w:sz="4" w:space="0" w:color="231F20"/>
            </w:tcBorders>
          </w:tcPr>
          <w:p>
            <w:pPr>
              <w:pStyle w:val="TableParagraph"/>
              <w:spacing w:before="53"/>
              <w:jc w:val="left"/>
              <w:rPr>
                <w:sz w:val="20"/>
              </w:rPr>
            </w:pPr>
            <w:r>
              <w:rPr>
                <w:color w:val="231F20"/>
                <w:sz w:val="20"/>
              </w:rPr>
              <w:t>$</w:t>
            </w:r>
          </w:p>
        </w:tc>
        <w:tc>
          <w:tcPr>
            <w:tcW w:w="402" w:type="dxa"/>
            <w:tcBorders>
              <w:top w:val="single" w:sz="4" w:space="0" w:color="231F20"/>
            </w:tcBorders>
          </w:tcPr>
          <w:p>
            <w:pPr>
              <w:pStyle w:val="TableParagraph"/>
              <w:spacing w:before="53"/>
              <w:ind w:left="22"/>
              <w:jc w:val="left"/>
              <w:rPr>
                <w:sz w:val="20"/>
              </w:rPr>
            </w:pPr>
            <w:r>
              <w:rPr>
                <w:color w:val="231F20"/>
                <w:sz w:val="20"/>
              </w:rPr>
              <w:t>106</w:t>
            </w:r>
          </w:p>
        </w:tc>
      </w:tr>
    </w:tbl>
    <w:p>
      <w:pPr>
        <w:spacing w:after="0"/>
        <w:jc w:val="left"/>
        <w:rPr>
          <w:sz w:val="20"/>
        </w:rPr>
        <w:sectPr>
          <w:pgSz w:w="11880" w:h="15480"/>
          <w:pgMar w:header="0" w:footer="1253" w:top="1240" w:bottom="1440" w:left="1220" w:right="1280"/>
        </w:sectPr>
      </w:pPr>
    </w:p>
    <w:p>
      <w:pPr>
        <w:spacing w:before="73"/>
        <w:ind w:left="300" w:right="0" w:firstLine="0"/>
        <w:jc w:val="left"/>
        <w:rPr>
          <w:b/>
          <w:sz w:val="20"/>
        </w:rPr>
      </w:pPr>
      <w:r>
        <w:rPr>
          <w:b/>
          <w:color w:val="231F20"/>
          <w:sz w:val="20"/>
        </w:rPr>
        <w:t>Income taxes</w:t>
      </w:r>
    </w:p>
    <w:p>
      <w:pPr>
        <w:pStyle w:val="BodyText"/>
        <w:spacing w:before="118"/>
        <w:ind w:left="500"/>
      </w:pPr>
      <w:r>
        <w:rPr>
          <w:color w:val="231F20"/>
        </w:rPr>
        <w:t>The Company’s consolidated effective tax rate was approximately 45 percent for 2011, compared to</w:t>
      </w:r>
    </w:p>
    <w:p>
      <w:pPr>
        <w:pStyle w:val="BodyText"/>
        <w:spacing w:line="249" w:lineRule="auto" w:before="9"/>
        <w:ind w:left="100" w:right="186"/>
      </w:pPr>
      <w:r>
        <w:rPr>
          <w:color w:val="231F20"/>
        </w:rPr>
        <w:t>38 percent for 2010. The higher rate for 2011 primarily was driven by the Company’s lower 2011 income before taxes (thus enhancing the impact of permanent tax differences), a portion of acquisition-related costs being non- deductible, additional income tax expense of $5 million as a result of an IRS settlement agreed to in first quarter 2011 related to tax years 2007 through 2009, and a first quarter 2011 $2 million charge as a result of a State of Illinois tax law change.</w:t>
      </w:r>
    </w:p>
    <w:p>
      <w:pPr>
        <w:pStyle w:val="BodyText"/>
        <w:spacing w:before="5"/>
        <w:rPr>
          <w:sz w:val="28"/>
        </w:rPr>
      </w:pPr>
    </w:p>
    <w:p>
      <w:pPr>
        <w:pStyle w:val="Heading3"/>
        <w:spacing w:before="1"/>
      </w:pPr>
      <w:bookmarkStart w:name="_TOC_250012" w:id="16"/>
      <w:bookmarkStart w:name="Liquidity and Capital Resources" w:id="17"/>
      <w:r>
        <w:rPr>
          <w:b w:val="0"/>
        </w:rPr>
      </w:r>
      <w:bookmarkEnd w:id="16"/>
      <w:r>
        <w:rPr>
          <w:color w:val="231F20"/>
        </w:rPr>
        <w:t>LIQUIDITY AND CAPITAL RESOURCES</w:t>
      </w:r>
    </w:p>
    <w:p>
      <w:pPr>
        <w:pStyle w:val="BodyText"/>
        <w:spacing w:line="249" w:lineRule="auto" w:before="119"/>
        <w:ind w:left="100" w:right="120" w:firstLine="400"/>
      </w:pPr>
      <w:r>
        <w:rPr>
          <w:color w:val="231F20"/>
        </w:rPr>
        <w:t>Net cash provided by operating activities was $2.1 billion in 2012, compared to $1.4 billion provided by operating activities in 2011. Operating cash inflows primarily are derived from providing air transportation to Customers. The vast majority of tickets are purchased prior to the day on which travel is provided and, in some cases, several months before the anticipated travel date. Operating cash outflows primarily are related to the recurring expenses of airline operations.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2012, there was no cash either held from or provided to fuel hedge counterparties, so the net change in cash deposits for 2012 was a net operating inflow of $233 million. Cash flows associated with entering into new fuel derivatives, which are also classified as Other, net, operating cash flows, were net inflows of $23 million in 2012, net inflows</w:t>
      </w:r>
      <w:r>
        <w:rPr>
          <w:color w:val="231F20"/>
          <w:spacing w:val="7"/>
        </w:rPr>
        <w:t> </w:t>
      </w:r>
      <w:r>
        <w:rPr>
          <w:color w:val="231F20"/>
        </w:rPr>
        <w:t>of</w:t>
      </w:r>
    </w:p>
    <w:p>
      <w:pPr>
        <w:pStyle w:val="BodyText"/>
        <w:spacing w:line="249" w:lineRule="auto" w:before="1"/>
        <w:ind w:left="100" w:right="241"/>
      </w:pPr>
      <w:r>
        <w:rPr>
          <w:color w:val="231F20"/>
        </w:rPr>
        <w:t>$192 million in 2011, and net outflows of $359 million in 2010. Cash flows from operating activities for 2012 were also significantly impacted by the Company’s net income (as adjusted for non-cash depreciation and amortization expense and non-cash unrealized losses on fuel derivative instruments).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 capital.</w:t>
      </w:r>
    </w:p>
    <w:p>
      <w:pPr>
        <w:pStyle w:val="BodyText"/>
        <w:rPr>
          <w:sz w:val="19"/>
        </w:rPr>
      </w:pPr>
    </w:p>
    <w:p>
      <w:pPr>
        <w:pStyle w:val="BodyText"/>
        <w:spacing w:line="249" w:lineRule="auto"/>
        <w:ind w:left="100" w:right="100" w:firstLine="400"/>
      </w:pPr>
      <w:r>
        <w:rPr>
          <w:color w:val="231F20"/>
        </w:rPr>
        <w:t>Net cash used in investing activities in 2012 totaled $833 million, versus $1.1 billion used in 2011. Investing activities in both years included payments for new 737-700 or 737-800 aircraft delivered to the Company and progress payments for future aircraft deliveries. The Company purchased 29 new Boeing 737-800 aircraft in 2012, versus the purchase of 18 Boeing 737-700s in 2011. See Note 4 to the Consolidated Financial Statements. Investing activities for 2012 and 2011 also reflect $483 million of net inflows and $48 million of net outflows, respectively, related to changes in the balance of the Company’s short-term investments.</w:t>
      </w:r>
    </w:p>
    <w:p>
      <w:pPr>
        <w:pStyle w:val="BodyText"/>
        <w:rPr>
          <w:sz w:val="19"/>
        </w:rPr>
      </w:pPr>
    </w:p>
    <w:p>
      <w:pPr>
        <w:pStyle w:val="BodyText"/>
        <w:ind w:left="500"/>
      </w:pPr>
      <w:r>
        <w:rPr>
          <w:color w:val="231F20"/>
        </w:rPr>
        <w:t>Net cash used in financing activities was $947 million in 2012. During 2012, the Company repaid</w:t>
      </w:r>
    </w:p>
    <w:p>
      <w:pPr>
        <w:pStyle w:val="BodyText"/>
        <w:spacing w:line="249" w:lineRule="auto" w:before="10"/>
        <w:ind w:left="100" w:right="118"/>
      </w:pPr>
      <w:r>
        <w:rPr>
          <w:color w:val="231F20"/>
        </w:rPr>
        <w:t>$578 million in debt and capital lease obligations that came due, which included the prepayment of approximately $19 million in December related to a high-interest aircraft secured loan that Southwest assumed as part of the AirTran acquisition and repurchased approximately $400 million of its outstanding common stock through a share repurchase program. Net cash used in financing activities was $766 million in 2011. During 2011, the Company repaid $540 million in debt and capital lease obligations that came due, repurchased approximately $225 million of its outstanding common stock through a share repurchase program, and</w:t>
      </w:r>
      <w:r>
        <w:rPr>
          <w:color w:val="231F20"/>
          <w:spacing w:val="10"/>
        </w:rPr>
        <w:t> </w:t>
      </w:r>
      <w:r>
        <w:rPr>
          <w:color w:val="231F20"/>
        </w:rPr>
        <w:t>used</w:t>
      </w:r>
    </w:p>
    <w:p>
      <w:pPr>
        <w:pStyle w:val="BodyText"/>
        <w:spacing w:line="249" w:lineRule="auto" w:before="1"/>
        <w:ind w:left="100" w:right="540"/>
      </w:pPr>
      <w:r>
        <w:rPr>
          <w:color w:val="231F20"/>
        </w:rPr>
        <w:t>$81 million in cash to repay convertible note holders following the acquisition of AirTran. See Note 7 to the Consolidated Financial Statements for more information on the issuance and redemption of long-term debt.</w:t>
      </w:r>
    </w:p>
    <w:p>
      <w:pPr>
        <w:pStyle w:val="BodyText"/>
        <w:rPr>
          <w:sz w:val="19"/>
        </w:rPr>
      </w:pPr>
    </w:p>
    <w:p>
      <w:pPr>
        <w:pStyle w:val="BodyText"/>
        <w:spacing w:line="249" w:lineRule="auto"/>
        <w:ind w:left="100" w:right="180" w:firstLine="400"/>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in 2012 and in previous years, which has enabled the Company to defer the cash tax payments associated with these depreciable assets to future years. Based on the Company’s scheduled future aircraft deliveries from Boeing and existing tax laws in effect, the</w:t>
      </w:r>
    </w:p>
    <w:p>
      <w:pPr>
        <w:spacing w:after="0" w:line="249" w:lineRule="auto"/>
        <w:sectPr>
          <w:pgSz w:w="11880" w:h="15480"/>
          <w:pgMar w:header="0" w:footer="1253" w:top="1240" w:bottom="1440" w:left="1280" w:right="1280"/>
        </w:sectPr>
      </w:pPr>
    </w:p>
    <w:p>
      <w:pPr>
        <w:pStyle w:val="BodyText"/>
        <w:spacing w:line="249" w:lineRule="auto" w:before="73"/>
        <w:ind w:left="100" w:right="185"/>
      </w:pPr>
      <w:r>
        <w:rPr>
          <w:color w:val="231F20"/>
        </w:rPr>
        <w:t>Company will continue to defer significant cash income taxes to future years. The Company has in the past and will continue in the future to pay significant cash taxes to the various taxing jurisdictions where it operates. The Company expects to be able to continue to meet such obligations utilizing cash and investments on hand, as well as cash generated from its ongoing operations.</w:t>
      </w:r>
    </w:p>
    <w:p>
      <w:pPr>
        <w:pStyle w:val="BodyText"/>
        <w:spacing w:before="4"/>
        <w:rPr>
          <w:sz w:val="31"/>
        </w:rPr>
      </w:pPr>
    </w:p>
    <w:p>
      <w:pPr>
        <w:pStyle w:val="Heading3"/>
        <w:spacing w:line="249" w:lineRule="auto"/>
      </w:pPr>
      <w:bookmarkStart w:name="_TOC_250011" w:id="18"/>
      <w:bookmarkStart w:name="Off-Balance Sheet Arrangements, Contract" w:id="19"/>
      <w:r>
        <w:rPr>
          <w:b w:val="0"/>
        </w:rPr>
      </w:r>
      <w:bookmarkEnd w:id="18"/>
      <w:r>
        <w:rPr>
          <w:color w:val="231F20"/>
        </w:rPr>
        <w:t>OFF-BALANCE SHEET ARRANGEMENTS, CONTRACTUAL OBLIGATIONS, AND CONTINGENT LIABILITIES AND COMMITMENTS</w:t>
      </w:r>
    </w:p>
    <w:p>
      <w:pPr>
        <w:pStyle w:val="BodyText"/>
        <w:spacing w:line="249" w:lineRule="auto" w:before="120"/>
        <w:ind w:left="100" w:right="185" w:firstLine="400"/>
      </w:pPr>
      <w:r>
        <w:rPr>
          <w:color w:val="231F20"/>
        </w:rPr>
        <w:t>The Company has contractual obligations and commitments primarily with regard to future purchases of aircraft, payment of debt, and lease arrangements. The Company received 34 Boeing 737-800 aircraft in 2012, 29 of which were new aircraft purchased from Boeing and five of which were leased from a third party. The Company also retired 38 older leased and owned 737-300 and 737-500 aircraft from service during 2012. Under the Company’s agreement with Boeing, it has the option to substitute 737-600s for the 737-700s ordered with at least 24 months notice prior to the contractual delivery date and can substitute 737-800s for the 737-700s with at least twelve months notice. See Note 4 to the Consolidated Financial Statements for a complete table of the Company’s firm orders, options, and purchase rights with Boeing.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w:t>
      </w:r>
    </w:p>
    <w:p>
      <w:pPr>
        <w:pStyle w:val="BodyText"/>
        <w:spacing w:before="10"/>
      </w:pPr>
    </w:p>
    <w:p>
      <w:pPr>
        <w:pStyle w:val="BodyText"/>
        <w:spacing w:line="249" w:lineRule="auto"/>
        <w:ind w:left="100" w:right="122" w:firstLine="40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2012, the Company operated 189 leased aircraft, of which 187 are under operating leases. As prescribed by GAAP, assets and obligations under operating leases are not included in the Company’s Consolidated Balance Sheet. Disclosure of the contractual obligations associated with the Company’s leased aircraft is included below as well as in Note 8 to the Consolidated Financial</w:t>
      </w:r>
      <w:r>
        <w:rPr>
          <w:color w:val="231F20"/>
          <w:spacing w:val="5"/>
        </w:rPr>
        <w:t> </w:t>
      </w:r>
      <w:r>
        <w:rPr>
          <w:color w:val="231F20"/>
        </w:rPr>
        <w:t>Statements.</w:t>
      </w:r>
    </w:p>
    <w:p>
      <w:pPr>
        <w:pStyle w:val="BodyText"/>
        <w:spacing w:before="10"/>
      </w:pPr>
    </w:p>
    <w:p>
      <w:pPr>
        <w:pStyle w:val="BodyText"/>
        <w:spacing w:line="249" w:lineRule="auto"/>
        <w:ind w:left="100" w:right="252"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$208 million at December 31, 2012.</w:t>
      </w:r>
    </w:p>
    <w:p>
      <w:pPr>
        <w:pStyle w:val="BodyText"/>
        <w:spacing w:before="10"/>
      </w:pPr>
    </w:p>
    <w:p>
      <w:pPr>
        <w:pStyle w:val="BodyText"/>
        <w:spacing w:line="249" w:lineRule="auto"/>
        <w:ind w:left="100" w:right="102" w:firstLine="400"/>
      </w:pPr>
      <w:r>
        <w:rPr>
          <w:color w:val="231F20"/>
        </w:rPr>
        <w:t>The Company is a “well-known seasoned issuer” and has an effective shelf registration statement registering an indeterminate amount of debt or equity securities for future sales. The Company intends to use the proceeds from any future securities sales off this shelf registration statement for general corporate purposes. The Company has not issued any securities under this shelf registration statement to date. The Company also has an</w:t>
      </w:r>
    </w:p>
    <w:p>
      <w:pPr>
        <w:pStyle w:val="BodyText"/>
        <w:spacing w:line="249" w:lineRule="auto"/>
        <w:ind w:left="100" w:right="141"/>
      </w:pPr>
      <w:r>
        <w:rPr>
          <w:color w:val="231F20"/>
        </w:rPr>
        <w:t>$800 million unsecured revolving credit facility, which provides flexibility in the Company’s cash management and planning activities. No amounts were outstanding under this facility at December 31, 2012. See Note 6 to the Consolidated Financial Statements for further information.</w:t>
      </w:r>
    </w:p>
    <w:p>
      <w:pPr>
        <w:spacing w:after="0" w:line="249" w:lineRule="auto"/>
        <w:sectPr>
          <w:pgSz w:w="11880" w:h="15480"/>
          <w:pgMar w:header="0" w:footer="1253" w:top="1240" w:bottom="1440" w:left="1280" w:right="1280"/>
        </w:sectPr>
      </w:pPr>
    </w:p>
    <w:p>
      <w:pPr>
        <w:pStyle w:val="BodyText"/>
        <w:spacing w:line="249" w:lineRule="auto" w:before="73"/>
        <w:ind w:left="160" w:right="290" w:firstLine="400"/>
      </w:pPr>
      <w:r>
        <w:rPr>
          <w:color w:val="231F20"/>
        </w:rPr>
        <w:t>The following table aggregates the Company’s material expected contractual obligations and commitments as of December 31, 2012:</w:t>
      </w:r>
    </w:p>
    <w:p>
      <w:pPr>
        <w:spacing w:before="143" w:after="31"/>
        <w:ind w:left="5240" w:right="0" w:firstLine="0"/>
        <w:jc w:val="left"/>
        <w:rPr>
          <w:b/>
          <w:sz w:val="18"/>
        </w:rPr>
      </w:pPr>
      <w:r>
        <w:rPr>
          <w:b/>
          <w:color w:val="231F20"/>
          <w:sz w:val="18"/>
        </w:rPr>
        <w:t>Obligations by period (in millions)</w:t>
      </w: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53"/>
        <w:gridCol w:w="1122"/>
        <w:gridCol w:w="1100"/>
        <w:gridCol w:w="1100"/>
        <w:gridCol w:w="1145"/>
        <w:gridCol w:w="1100"/>
      </w:tblGrid>
      <w:tr>
        <w:trPr>
          <w:trHeight w:val="440" w:hRule="exact"/>
        </w:trPr>
        <w:tc>
          <w:tcPr>
            <w:tcW w:w="3653" w:type="dxa"/>
            <w:tcBorders>
              <w:bottom w:val="single" w:sz="8" w:space="0" w:color="231F20"/>
            </w:tcBorders>
          </w:tcPr>
          <w:p>
            <w:pPr>
              <w:pStyle w:val="TableParagraph"/>
              <w:spacing w:before="6"/>
              <w:jc w:val="left"/>
              <w:rPr>
                <w:b/>
                <w:sz w:val="17"/>
              </w:rPr>
            </w:pPr>
          </w:p>
          <w:p>
            <w:pPr>
              <w:pStyle w:val="TableParagraph"/>
              <w:ind w:left="50"/>
              <w:jc w:val="left"/>
              <w:rPr>
                <w:b/>
                <w:sz w:val="18"/>
              </w:rPr>
            </w:pPr>
            <w:r>
              <w:rPr>
                <w:b/>
                <w:color w:val="231F20"/>
                <w:sz w:val="18"/>
              </w:rPr>
              <w:t>Contractual obligations</w:t>
            </w:r>
          </w:p>
        </w:tc>
        <w:tc>
          <w:tcPr>
            <w:tcW w:w="1122"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98"/>
              <w:rPr>
                <w:b/>
                <w:sz w:val="18"/>
              </w:rPr>
            </w:pPr>
            <w:r>
              <w:rPr>
                <w:b/>
                <w:color w:val="231F20"/>
                <w:sz w:val="18"/>
              </w:rPr>
              <w:t>2013</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2014 -</w:t>
            </w:r>
          </w:p>
          <w:p>
            <w:pPr>
              <w:pStyle w:val="TableParagraph"/>
              <w:spacing w:line="193" w:lineRule="exact"/>
              <w:ind w:left="640"/>
              <w:jc w:val="left"/>
              <w:rPr>
                <w:b/>
                <w:sz w:val="18"/>
              </w:rPr>
            </w:pPr>
            <w:r>
              <w:rPr>
                <w:b/>
                <w:color w:val="231F20"/>
                <w:sz w:val="18"/>
              </w:rPr>
              <w:t>2015</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2016 -</w:t>
            </w:r>
          </w:p>
          <w:p>
            <w:pPr>
              <w:pStyle w:val="TableParagraph"/>
              <w:spacing w:line="193" w:lineRule="exact"/>
              <w:ind w:left="640"/>
              <w:jc w:val="left"/>
              <w:rPr>
                <w:b/>
                <w:sz w:val="18"/>
              </w:rPr>
            </w:pPr>
            <w:r>
              <w:rPr>
                <w:b/>
                <w:color w:val="231F20"/>
                <w:sz w:val="18"/>
              </w:rPr>
              <w:t>2017</w:t>
            </w:r>
          </w:p>
        </w:tc>
        <w:tc>
          <w:tcPr>
            <w:tcW w:w="1145" w:type="dxa"/>
            <w:tcBorders>
              <w:top w:val="single" w:sz="8" w:space="0" w:color="231F20"/>
              <w:bottom w:val="single" w:sz="8" w:space="0" w:color="231F20"/>
            </w:tcBorders>
          </w:tcPr>
          <w:p>
            <w:pPr>
              <w:pStyle w:val="TableParagraph"/>
              <w:spacing w:line="193" w:lineRule="exact" w:before="12"/>
              <w:ind w:left="465"/>
              <w:jc w:val="left"/>
              <w:rPr>
                <w:b/>
                <w:sz w:val="18"/>
              </w:rPr>
            </w:pPr>
            <w:r>
              <w:rPr>
                <w:b/>
                <w:color w:val="231F20"/>
                <w:sz w:val="18"/>
              </w:rPr>
              <w:t>Beyond</w:t>
            </w:r>
          </w:p>
          <w:p>
            <w:pPr>
              <w:pStyle w:val="TableParagraph"/>
              <w:spacing w:line="193" w:lineRule="exact"/>
              <w:ind w:left="685"/>
              <w:jc w:val="left"/>
              <w:rPr>
                <w:b/>
                <w:sz w:val="18"/>
              </w:rPr>
            </w:pPr>
            <w:r>
              <w:rPr>
                <w:b/>
                <w:color w:val="231F20"/>
                <w:sz w:val="18"/>
              </w:rPr>
              <w:t>2017</w:t>
            </w:r>
          </w:p>
        </w:tc>
        <w:tc>
          <w:tcPr>
            <w:tcW w:w="110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48"/>
              <w:rPr>
                <w:b/>
                <w:sz w:val="18"/>
              </w:rPr>
            </w:pPr>
            <w:r>
              <w:rPr>
                <w:b/>
                <w:color w:val="231F20"/>
                <w:sz w:val="18"/>
              </w:rPr>
              <w:t>Total</w:t>
            </w:r>
          </w:p>
        </w:tc>
      </w:tr>
      <w:tr>
        <w:trPr>
          <w:trHeight w:val="280" w:hRule="exact"/>
        </w:trPr>
        <w:tc>
          <w:tcPr>
            <w:tcW w:w="3653" w:type="dxa"/>
            <w:tcBorders>
              <w:top w:val="single" w:sz="8" w:space="0" w:color="231F20"/>
            </w:tcBorders>
          </w:tcPr>
          <w:p>
            <w:pPr>
              <w:pStyle w:val="TableParagraph"/>
              <w:spacing w:before="52"/>
              <w:ind w:left="50"/>
              <w:jc w:val="left"/>
              <w:rPr>
                <w:sz w:val="18"/>
              </w:rPr>
            </w:pPr>
            <w:r>
              <w:rPr>
                <w:color w:val="231F20"/>
                <w:sz w:val="18"/>
              </w:rPr>
              <w:t>Long-term debt (1)  . . . . . . . . . . . . . . . . . . . . . . . </w:t>
            </w:r>
          </w:p>
        </w:tc>
        <w:tc>
          <w:tcPr>
            <w:tcW w:w="1122" w:type="dxa"/>
            <w:tcBorders>
              <w:top w:val="single" w:sz="8" w:space="0" w:color="231F20"/>
            </w:tcBorders>
          </w:tcPr>
          <w:p>
            <w:pPr>
              <w:pStyle w:val="TableParagraph"/>
              <w:tabs>
                <w:tab w:pos="674" w:val="left" w:leader="none"/>
              </w:tabs>
              <w:spacing w:before="52"/>
              <w:ind w:right="99"/>
              <w:rPr>
                <w:sz w:val="18"/>
              </w:rPr>
            </w:pPr>
            <w:r>
              <w:rPr>
                <w:color w:val="231F20"/>
                <w:sz w:val="18"/>
              </w:rPr>
              <w:t>$</w:t>
              <w:tab/>
              <w:t>251</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730</w:t>
            </w:r>
          </w:p>
        </w:tc>
        <w:tc>
          <w:tcPr>
            <w:tcW w:w="1100" w:type="dxa"/>
            <w:tcBorders>
              <w:top w:val="single" w:sz="8"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1,062</w:t>
            </w:r>
          </w:p>
        </w:tc>
        <w:tc>
          <w:tcPr>
            <w:tcW w:w="1145" w:type="dxa"/>
            <w:tcBorders>
              <w:top w:val="single" w:sz="8" w:space="0" w:color="231F20"/>
            </w:tcBorders>
          </w:tcPr>
          <w:p>
            <w:pPr>
              <w:pStyle w:val="TableParagraph"/>
              <w:tabs>
                <w:tab w:pos="674" w:val="left" w:leader="none"/>
              </w:tabs>
              <w:spacing w:before="52"/>
              <w:ind w:right="98"/>
              <w:rPr>
                <w:sz w:val="18"/>
              </w:rPr>
            </w:pPr>
            <w:r>
              <w:rPr>
                <w:color w:val="231F20"/>
                <w:sz w:val="18"/>
              </w:rPr>
              <w:t>$</w:t>
              <w:tab/>
              <w:t>954</w:t>
            </w:r>
          </w:p>
        </w:tc>
        <w:tc>
          <w:tcPr>
            <w:tcW w:w="1100" w:type="dxa"/>
            <w:tcBorders>
              <w:top w:val="single" w:sz="8" w:space="0" w:color="231F20"/>
            </w:tcBorders>
          </w:tcPr>
          <w:p>
            <w:pPr>
              <w:pStyle w:val="TableParagraph"/>
              <w:tabs>
                <w:tab w:pos="544" w:val="left" w:leader="none"/>
              </w:tabs>
              <w:spacing w:before="52"/>
              <w:ind w:right="48"/>
              <w:rPr>
                <w:sz w:val="18"/>
              </w:rPr>
            </w:pPr>
            <w:r>
              <w:rPr>
                <w:color w:val="231F20"/>
                <w:sz w:val="18"/>
              </w:rPr>
              <w:t>$</w:t>
              <w:tab/>
            </w:r>
            <w:r>
              <w:rPr>
                <w:color w:val="231F20"/>
                <w:spacing w:val="-1"/>
                <w:sz w:val="18"/>
              </w:rPr>
              <w:t>2,997</w:t>
            </w:r>
          </w:p>
        </w:tc>
      </w:tr>
      <w:tr>
        <w:trPr>
          <w:trHeight w:val="220" w:hRule="exact"/>
        </w:trPr>
        <w:tc>
          <w:tcPr>
            <w:tcW w:w="3653" w:type="dxa"/>
          </w:tcPr>
          <w:p>
            <w:pPr>
              <w:pStyle w:val="TableParagraph"/>
              <w:spacing w:before="1"/>
              <w:ind w:left="50"/>
              <w:jc w:val="left"/>
              <w:rPr>
                <w:sz w:val="18"/>
              </w:rPr>
            </w:pPr>
            <w:r>
              <w:rPr>
                <w:color w:val="231F20"/>
                <w:sz w:val="18"/>
              </w:rPr>
              <w:t>Interest commitments - fixed (2)  . . . . . . . . . . . . </w:t>
            </w:r>
          </w:p>
        </w:tc>
        <w:tc>
          <w:tcPr>
            <w:tcW w:w="1122" w:type="dxa"/>
          </w:tcPr>
          <w:p>
            <w:pPr>
              <w:pStyle w:val="TableParagraph"/>
              <w:spacing w:before="1"/>
              <w:ind w:right="98"/>
              <w:rPr>
                <w:sz w:val="18"/>
              </w:rPr>
            </w:pPr>
            <w:r>
              <w:rPr>
                <w:color w:val="231F20"/>
                <w:sz w:val="18"/>
              </w:rPr>
              <w:t>142</w:t>
            </w:r>
          </w:p>
        </w:tc>
        <w:tc>
          <w:tcPr>
            <w:tcW w:w="1100" w:type="dxa"/>
          </w:tcPr>
          <w:p>
            <w:pPr>
              <w:pStyle w:val="TableParagraph"/>
              <w:spacing w:before="1"/>
              <w:ind w:right="98"/>
              <w:rPr>
                <w:sz w:val="18"/>
              </w:rPr>
            </w:pPr>
            <w:r>
              <w:rPr>
                <w:color w:val="231F20"/>
                <w:sz w:val="18"/>
              </w:rPr>
              <w:t>236</w:t>
            </w:r>
          </w:p>
        </w:tc>
        <w:tc>
          <w:tcPr>
            <w:tcW w:w="1100" w:type="dxa"/>
          </w:tcPr>
          <w:p>
            <w:pPr>
              <w:pStyle w:val="TableParagraph"/>
              <w:spacing w:before="1"/>
              <w:ind w:right="98"/>
              <w:rPr>
                <w:sz w:val="18"/>
              </w:rPr>
            </w:pPr>
            <w:r>
              <w:rPr>
                <w:color w:val="231F20"/>
                <w:sz w:val="18"/>
              </w:rPr>
              <w:t>159</w:t>
            </w:r>
          </w:p>
        </w:tc>
        <w:tc>
          <w:tcPr>
            <w:tcW w:w="1145" w:type="dxa"/>
          </w:tcPr>
          <w:p>
            <w:pPr>
              <w:pStyle w:val="TableParagraph"/>
              <w:spacing w:before="1"/>
              <w:ind w:right="98"/>
              <w:rPr>
                <w:sz w:val="18"/>
              </w:rPr>
            </w:pPr>
            <w:r>
              <w:rPr>
                <w:color w:val="231F20"/>
                <w:sz w:val="18"/>
              </w:rPr>
              <w:t>164</w:t>
            </w:r>
          </w:p>
        </w:tc>
        <w:tc>
          <w:tcPr>
            <w:tcW w:w="1100" w:type="dxa"/>
          </w:tcPr>
          <w:p>
            <w:pPr>
              <w:pStyle w:val="TableParagraph"/>
              <w:spacing w:before="1"/>
              <w:ind w:right="48"/>
              <w:rPr>
                <w:sz w:val="18"/>
              </w:rPr>
            </w:pPr>
            <w:r>
              <w:rPr>
                <w:color w:val="231F20"/>
                <w:sz w:val="18"/>
              </w:rPr>
              <w:t>701</w:t>
            </w:r>
          </w:p>
        </w:tc>
      </w:tr>
      <w:tr>
        <w:trPr>
          <w:trHeight w:val="220" w:hRule="exact"/>
        </w:trPr>
        <w:tc>
          <w:tcPr>
            <w:tcW w:w="3653" w:type="dxa"/>
          </w:tcPr>
          <w:p>
            <w:pPr>
              <w:pStyle w:val="TableParagraph"/>
              <w:spacing w:before="1"/>
              <w:ind w:left="50"/>
              <w:jc w:val="left"/>
              <w:rPr>
                <w:sz w:val="18"/>
              </w:rPr>
            </w:pPr>
            <w:r>
              <w:rPr>
                <w:color w:val="231F20"/>
                <w:sz w:val="18"/>
              </w:rPr>
              <w:t>Interest commitments - floating (3)  . . . . . . . . . . </w:t>
            </w:r>
          </w:p>
        </w:tc>
        <w:tc>
          <w:tcPr>
            <w:tcW w:w="1122" w:type="dxa"/>
          </w:tcPr>
          <w:p>
            <w:pPr>
              <w:pStyle w:val="TableParagraph"/>
              <w:spacing w:before="1"/>
              <w:ind w:right="98"/>
              <w:rPr>
                <w:sz w:val="18"/>
              </w:rPr>
            </w:pPr>
            <w:r>
              <w:rPr>
                <w:color w:val="231F20"/>
                <w:sz w:val="18"/>
              </w:rPr>
              <w:t>13</w:t>
            </w:r>
          </w:p>
        </w:tc>
        <w:tc>
          <w:tcPr>
            <w:tcW w:w="1100" w:type="dxa"/>
          </w:tcPr>
          <w:p>
            <w:pPr>
              <w:pStyle w:val="TableParagraph"/>
              <w:spacing w:before="1"/>
              <w:ind w:right="98"/>
              <w:rPr>
                <w:sz w:val="18"/>
              </w:rPr>
            </w:pPr>
            <w:r>
              <w:rPr>
                <w:color w:val="231F20"/>
                <w:sz w:val="18"/>
              </w:rPr>
              <w:t>26</w:t>
            </w:r>
          </w:p>
        </w:tc>
        <w:tc>
          <w:tcPr>
            <w:tcW w:w="1100" w:type="dxa"/>
          </w:tcPr>
          <w:p>
            <w:pPr>
              <w:pStyle w:val="TableParagraph"/>
              <w:spacing w:before="1"/>
              <w:ind w:right="98"/>
              <w:rPr>
                <w:sz w:val="18"/>
              </w:rPr>
            </w:pPr>
            <w:r>
              <w:rPr>
                <w:color w:val="231F20"/>
                <w:sz w:val="18"/>
              </w:rPr>
              <w:t>19</w:t>
            </w:r>
          </w:p>
        </w:tc>
        <w:tc>
          <w:tcPr>
            <w:tcW w:w="1145" w:type="dxa"/>
          </w:tcPr>
          <w:p>
            <w:pPr>
              <w:pStyle w:val="TableParagraph"/>
              <w:spacing w:before="1"/>
              <w:ind w:right="98"/>
              <w:rPr>
                <w:sz w:val="18"/>
              </w:rPr>
            </w:pPr>
            <w:r>
              <w:rPr>
                <w:color w:val="231F20"/>
                <w:sz w:val="18"/>
              </w:rPr>
              <w:t>4</w:t>
            </w:r>
          </w:p>
        </w:tc>
        <w:tc>
          <w:tcPr>
            <w:tcW w:w="1100" w:type="dxa"/>
          </w:tcPr>
          <w:p>
            <w:pPr>
              <w:pStyle w:val="TableParagraph"/>
              <w:spacing w:before="1"/>
              <w:ind w:right="48"/>
              <w:rPr>
                <w:sz w:val="18"/>
              </w:rPr>
            </w:pPr>
            <w:r>
              <w:rPr>
                <w:color w:val="231F20"/>
                <w:sz w:val="18"/>
              </w:rPr>
              <w:t>62</w:t>
            </w:r>
          </w:p>
        </w:tc>
      </w:tr>
      <w:tr>
        <w:trPr>
          <w:trHeight w:val="220" w:hRule="exact"/>
        </w:trPr>
        <w:tc>
          <w:tcPr>
            <w:tcW w:w="3653" w:type="dxa"/>
          </w:tcPr>
          <w:p>
            <w:pPr>
              <w:pStyle w:val="TableParagraph"/>
              <w:spacing w:before="1"/>
              <w:ind w:left="50"/>
              <w:jc w:val="left"/>
              <w:rPr>
                <w:sz w:val="18"/>
              </w:rPr>
            </w:pPr>
            <w:r>
              <w:rPr>
                <w:color w:val="231F20"/>
                <w:sz w:val="18"/>
              </w:rPr>
              <w:t>Operating lease commitments (4)   . . . . . . . . . . . </w:t>
            </w:r>
          </w:p>
        </w:tc>
        <w:tc>
          <w:tcPr>
            <w:tcW w:w="1122" w:type="dxa"/>
          </w:tcPr>
          <w:p>
            <w:pPr>
              <w:pStyle w:val="TableParagraph"/>
              <w:spacing w:before="1"/>
              <w:ind w:right="98"/>
              <w:rPr>
                <w:sz w:val="18"/>
              </w:rPr>
            </w:pPr>
            <w:r>
              <w:rPr>
                <w:color w:val="231F20"/>
                <w:sz w:val="18"/>
              </w:rPr>
              <w:t>688</w:t>
            </w:r>
          </w:p>
        </w:tc>
        <w:tc>
          <w:tcPr>
            <w:tcW w:w="1100" w:type="dxa"/>
          </w:tcPr>
          <w:p>
            <w:pPr>
              <w:pStyle w:val="TableParagraph"/>
              <w:spacing w:before="1"/>
              <w:ind w:right="98"/>
              <w:rPr>
                <w:sz w:val="18"/>
              </w:rPr>
            </w:pPr>
            <w:r>
              <w:rPr>
                <w:color w:val="231F20"/>
                <w:sz w:val="18"/>
              </w:rPr>
              <w:t>1,121</w:t>
            </w:r>
          </w:p>
        </w:tc>
        <w:tc>
          <w:tcPr>
            <w:tcW w:w="1100" w:type="dxa"/>
          </w:tcPr>
          <w:p>
            <w:pPr>
              <w:pStyle w:val="TableParagraph"/>
              <w:spacing w:before="1"/>
              <w:ind w:right="98"/>
              <w:rPr>
                <w:sz w:val="18"/>
              </w:rPr>
            </w:pPr>
            <w:r>
              <w:rPr>
                <w:color w:val="231F20"/>
                <w:sz w:val="18"/>
              </w:rPr>
              <w:t>761</w:t>
            </w:r>
          </w:p>
        </w:tc>
        <w:tc>
          <w:tcPr>
            <w:tcW w:w="1145" w:type="dxa"/>
          </w:tcPr>
          <w:p>
            <w:pPr>
              <w:pStyle w:val="TableParagraph"/>
              <w:spacing w:before="1"/>
              <w:ind w:right="98"/>
              <w:rPr>
                <w:sz w:val="18"/>
              </w:rPr>
            </w:pPr>
            <w:r>
              <w:rPr>
                <w:color w:val="231F20"/>
                <w:sz w:val="18"/>
              </w:rPr>
              <w:t>1,823</w:t>
            </w:r>
          </w:p>
        </w:tc>
        <w:tc>
          <w:tcPr>
            <w:tcW w:w="1100" w:type="dxa"/>
          </w:tcPr>
          <w:p>
            <w:pPr>
              <w:pStyle w:val="TableParagraph"/>
              <w:spacing w:before="1"/>
              <w:ind w:right="48"/>
              <w:rPr>
                <w:sz w:val="18"/>
              </w:rPr>
            </w:pPr>
            <w:r>
              <w:rPr>
                <w:color w:val="231F20"/>
                <w:sz w:val="18"/>
              </w:rPr>
              <w:t>4,393</w:t>
            </w:r>
          </w:p>
        </w:tc>
      </w:tr>
      <w:tr>
        <w:trPr>
          <w:trHeight w:val="220" w:hRule="exact"/>
        </w:trPr>
        <w:tc>
          <w:tcPr>
            <w:tcW w:w="3653" w:type="dxa"/>
          </w:tcPr>
          <w:p>
            <w:pPr>
              <w:pStyle w:val="TableParagraph"/>
              <w:spacing w:before="1"/>
              <w:ind w:left="50"/>
              <w:jc w:val="left"/>
              <w:rPr>
                <w:sz w:val="18"/>
              </w:rPr>
            </w:pPr>
            <w:r>
              <w:rPr>
                <w:color w:val="231F20"/>
                <w:sz w:val="18"/>
              </w:rPr>
              <w:t>Capital lease commitments (5) . . . . . . . . . . . . . . </w:t>
            </w:r>
          </w:p>
        </w:tc>
        <w:tc>
          <w:tcPr>
            <w:tcW w:w="1122" w:type="dxa"/>
          </w:tcPr>
          <w:p>
            <w:pPr>
              <w:pStyle w:val="TableParagraph"/>
              <w:spacing w:before="1"/>
              <w:ind w:right="98"/>
              <w:rPr>
                <w:sz w:val="18"/>
              </w:rPr>
            </w:pPr>
            <w:r>
              <w:rPr>
                <w:color w:val="231F20"/>
                <w:sz w:val="18"/>
              </w:rPr>
              <w:t>5</w:t>
            </w:r>
          </w:p>
        </w:tc>
        <w:tc>
          <w:tcPr>
            <w:tcW w:w="1100" w:type="dxa"/>
          </w:tcPr>
          <w:p>
            <w:pPr>
              <w:pStyle w:val="TableParagraph"/>
              <w:spacing w:before="1"/>
              <w:ind w:right="98"/>
              <w:rPr>
                <w:sz w:val="18"/>
              </w:rPr>
            </w:pPr>
            <w:r>
              <w:rPr>
                <w:color w:val="231F20"/>
                <w:sz w:val="18"/>
              </w:rPr>
              <w:t>12</w:t>
            </w:r>
          </w:p>
        </w:tc>
        <w:tc>
          <w:tcPr>
            <w:tcW w:w="1100" w:type="dxa"/>
          </w:tcPr>
          <w:p>
            <w:pPr>
              <w:pStyle w:val="TableParagraph"/>
              <w:spacing w:before="1"/>
              <w:ind w:right="98"/>
              <w:rPr>
                <w:sz w:val="18"/>
              </w:rPr>
            </w:pPr>
            <w:r>
              <w:rPr>
                <w:color w:val="231F20"/>
                <w:sz w:val="18"/>
              </w:rPr>
              <w:t>11</w:t>
            </w:r>
          </w:p>
        </w:tc>
        <w:tc>
          <w:tcPr>
            <w:tcW w:w="1145" w:type="dxa"/>
          </w:tcPr>
          <w:p>
            <w:pPr>
              <w:pStyle w:val="TableParagraph"/>
              <w:spacing w:before="1"/>
              <w:ind w:right="98"/>
              <w:rPr>
                <w:sz w:val="18"/>
              </w:rPr>
            </w:pPr>
            <w:r>
              <w:rPr>
                <w:color w:val="231F20"/>
                <w:sz w:val="18"/>
              </w:rPr>
              <w:t>18</w:t>
            </w:r>
          </w:p>
        </w:tc>
        <w:tc>
          <w:tcPr>
            <w:tcW w:w="1100" w:type="dxa"/>
          </w:tcPr>
          <w:p>
            <w:pPr>
              <w:pStyle w:val="TableParagraph"/>
              <w:spacing w:before="1"/>
              <w:ind w:right="48"/>
              <w:rPr>
                <w:sz w:val="18"/>
              </w:rPr>
            </w:pPr>
            <w:r>
              <w:rPr>
                <w:color w:val="231F20"/>
                <w:sz w:val="18"/>
              </w:rPr>
              <w:t>46</w:t>
            </w:r>
          </w:p>
        </w:tc>
      </w:tr>
      <w:tr>
        <w:trPr>
          <w:trHeight w:val="220" w:hRule="exact"/>
        </w:trPr>
        <w:tc>
          <w:tcPr>
            <w:tcW w:w="3653" w:type="dxa"/>
          </w:tcPr>
          <w:p>
            <w:pPr>
              <w:pStyle w:val="TableParagraph"/>
              <w:spacing w:before="1"/>
              <w:ind w:left="50"/>
              <w:jc w:val="left"/>
              <w:rPr>
                <w:sz w:val="18"/>
              </w:rPr>
            </w:pPr>
            <w:r>
              <w:rPr>
                <w:color w:val="231F20"/>
                <w:sz w:val="18"/>
              </w:rPr>
              <w:t>Aircraft purchase commitments (6)  . . . . . . . . . . </w:t>
            </w:r>
          </w:p>
        </w:tc>
        <w:tc>
          <w:tcPr>
            <w:tcW w:w="1122" w:type="dxa"/>
          </w:tcPr>
          <w:p>
            <w:pPr>
              <w:pStyle w:val="TableParagraph"/>
              <w:spacing w:before="1"/>
              <w:ind w:right="98"/>
              <w:rPr>
                <w:sz w:val="18"/>
              </w:rPr>
            </w:pPr>
            <w:r>
              <w:rPr>
                <w:color w:val="231F20"/>
                <w:sz w:val="18"/>
              </w:rPr>
              <w:t>619</w:t>
            </w:r>
          </w:p>
        </w:tc>
        <w:tc>
          <w:tcPr>
            <w:tcW w:w="1100" w:type="dxa"/>
          </w:tcPr>
          <w:p>
            <w:pPr>
              <w:pStyle w:val="TableParagraph"/>
              <w:spacing w:before="1"/>
              <w:ind w:right="98"/>
              <w:rPr>
                <w:sz w:val="18"/>
              </w:rPr>
            </w:pPr>
            <w:r>
              <w:rPr>
                <w:color w:val="231F20"/>
                <w:sz w:val="18"/>
              </w:rPr>
              <w:t>2,195</w:t>
            </w:r>
          </w:p>
        </w:tc>
        <w:tc>
          <w:tcPr>
            <w:tcW w:w="1100" w:type="dxa"/>
          </w:tcPr>
          <w:p>
            <w:pPr>
              <w:pStyle w:val="TableParagraph"/>
              <w:spacing w:before="1"/>
              <w:ind w:right="98"/>
              <w:rPr>
                <w:sz w:val="18"/>
              </w:rPr>
            </w:pPr>
            <w:r>
              <w:rPr>
                <w:color w:val="231F20"/>
                <w:sz w:val="18"/>
              </w:rPr>
              <w:t>2,740</w:t>
            </w:r>
          </w:p>
        </w:tc>
        <w:tc>
          <w:tcPr>
            <w:tcW w:w="1145" w:type="dxa"/>
          </w:tcPr>
          <w:p>
            <w:pPr>
              <w:pStyle w:val="TableParagraph"/>
              <w:spacing w:before="1"/>
              <w:ind w:right="98"/>
              <w:rPr>
                <w:sz w:val="18"/>
              </w:rPr>
            </w:pPr>
            <w:r>
              <w:rPr>
                <w:color w:val="231F20"/>
                <w:sz w:val="18"/>
              </w:rPr>
              <w:t>6,521</w:t>
            </w:r>
          </w:p>
        </w:tc>
        <w:tc>
          <w:tcPr>
            <w:tcW w:w="1100" w:type="dxa"/>
          </w:tcPr>
          <w:p>
            <w:pPr>
              <w:pStyle w:val="TableParagraph"/>
              <w:spacing w:before="1"/>
              <w:ind w:right="48"/>
              <w:rPr>
                <w:sz w:val="18"/>
              </w:rPr>
            </w:pPr>
            <w:r>
              <w:rPr>
                <w:color w:val="231F20"/>
                <w:sz w:val="18"/>
              </w:rPr>
              <w:t>12,075</w:t>
            </w:r>
          </w:p>
        </w:tc>
      </w:tr>
      <w:tr>
        <w:trPr>
          <w:trHeight w:val="245" w:hRule="exact"/>
        </w:trPr>
        <w:tc>
          <w:tcPr>
            <w:tcW w:w="3653" w:type="dxa"/>
          </w:tcPr>
          <w:p>
            <w:pPr>
              <w:pStyle w:val="TableParagraph"/>
              <w:spacing w:before="1"/>
              <w:ind w:left="50"/>
              <w:jc w:val="left"/>
              <w:rPr>
                <w:sz w:val="18"/>
              </w:rPr>
            </w:pPr>
            <w:r>
              <w:rPr>
                <w:color w:val="231F20"/>
                <w:sz w:val="18"/>
              </w:rPr>
              <w:t>Other commitments  . . . . . . . . . . . . . . . . . . . . . . </w:t>
            </w:r>
          </w:p>
        </w:tc>
        <w:tc>
          <w:tcPr>
            <w:tcW w:w="1122" w:type="dxa"/>
            <w:tcBorders>
              <w:bottom w:val="single" w:sz="4" w:space="0" w:color="231F20"/>
            </w:tcBorders>
          </w:tcPr>
          <w:p>
            <w:pPr>
              <w:pStyle w:val="TableParagraph"/>
              <w:spacing w:before="1"/>
              <w:ind w:right="98"/>
              <w:rPr>
                <w:sz w:val="18"/>
              </w:rPr>
            </w:pPr>
            <w:r>
              <w:rPr>
                <w:color w:val="231F20"/>
                <w:sz w:val="18"/>
              </w:rPr>
              <w:t>198</w:t>
            </w:r>
          </w:p>
        </w:tc>
        <w:tc>
          <w:tcPr>
            <w:tcW w:w="1100" w:type="dxa"/>
            <w:tcBorders>
              <w:bottom w:val="single" w:sz="4" w:space="0" w:color="231F20"/>
            </w:tcBorders>
          </w:tcPr>
          <w:p>
            <w:pPr>
              <w:pStyle w:val="TableParagraph"/>
              <w:spacing w:before="1"/>
              <w:ind w:right="98"/>
              <w:rPr>
                <w:sz w:val="18"/>
              </w:rPr>
            </w:pPr>
            <w:r>
              <w:rPr>
                <w:color w:val="231F20"/>
                <w:sz w:val="18"/>
              </w:rPr>
              <w:t>151</w:t>
            </w:r>
          </w:p>
        </w:tc>
        <w:tc>
          <w:tcPr>
            <w:tcW w:w="1100" w:type="dxa"/>
            <w:tcBorders>
              <w:bottom w:val="single" w:sz="4" w:space="0" w:color="231F20"/>
            </w:tcBorders>
          </w:tcPr>
          <w:p>
            <w:pPr>
              <w:pStyle w:val="TableParagraph"/>
              <w:spacing w:before="1"/>
              <w:ind w:right="98"/>
              <w:rPr>
                <w:sz w:val="18"/>
              </w:rPr>
            </w:pPr>
            <w:r>
              <w:rPr>
                <w:color w:val="231F20"/>
                <w:sz w:val="18"/>
              </w:rPr>
              <w:t>60</w:t>
            </w:r>
          </w:p>
        </w:tc>
        <w:tc>
          <w:tcPr>
            <w:tcW w:w="1145" w:type="dxa"/>
            <w:tcBorders>
              <w:bottom w:val="single" w:sz="4" w:space="0" w:color="231F20"/>
            </w:tcBorders>
          </w:tcPr>
          <w:p>
            <w:pPr>
              <w:pStyle w:val="TableParagraph"/>
              <w:spacing w:before="1"/>
              <w:ind w:right="188"/>
              <w:rPr>
                <w:sz w:val="18"/>
              </w:rPr>
            </w:pPr>
            <w:r>
              <w:rPr>
                <w:color w:val="231F20"/>
                <w:sz w:val="18"/>
              </w:rPr>
              <w:t>—</w:t>
            </w:r>
          </w:p>
        </w:tc>
        <w:tc>
          <w:tcPr>
            <w:tcW w:w="1100" w:type="dxa"/>
            <w:tcBorders>
              <w:bottom w:val="single" w:sz="4" w:space="0" w:color="231F20"/>
            </w:tcBorders>
          </w:tcPr>
          <w:p>
            <w:pPr>
              <w:pStyle w:val="TableParagraph"/>
              <w:spacing w:before="1"/>
              <w:ind w:right="48"/>
              <w:rPr>
                <w:sz w:val="18"/>
              </w:rPr>
            </w:pPr>
            <w:r>
              <w:rPr>
                <w:color w:val="231F20"/>
                <w:sz w:val="18"/>
              </w:rPr>
              <w:t>409</w:t>
            </w:r>
          </w:p>
        </w:tc>
      </w:tr>
      <w:tr>
        <w:trPr>
          <w:trHeight w:val="320" w:hRule="exact"/>
        </w:trPr>
        <w:tc>
          <w:tcPr>
            <w:tcW w:w="3653" w:type="dxa"/>
          </w:tcPr>
          <w:p>
            <w:pPr>
              <w:pStyle w:val="TableParagraph"/>
              <w:spacing w:before="57"/>
              <w:ind w:left="230"/>
              <w:jc w:val="left"/>
              <w:rPr>
                <w:sz w:val="18"/>
              </w:rPr>
            </w:pPr>
            <w:r>
              <w:rPr>
                <w:color w:val="231F20"/>
                <w:sz w:val="18"/>
              </w:rPr>
              <w:t>Total contractual obligations  . . . . . . . . . . . . . </w:t>
            </w:r>
          </w:p>
        </w:tc>
        <w:tc>
          <w:tcPr>
            <w:tcW w:w="1122" w:type="dxa"/>
            <w:tcBorders>
              <w:top w:val="single" w:sz="4" w:space="0" w:color="231F20"/>
              <w:bottom w:val="double" w:sz="7" w:space="0" w:color="231F20"/>
            </w:tcBorders>
          </w:tcPr>
          <w:p>
            <w:pPr>
              <w:pStyle w:val="TableParagraph"/>
              <w:tabs>
                <w:tab w:pos="539" w:val="left" w:leader="none"/>
              </w:tabs>
              <w:spacing w:before="52"/>
              <w:ind w:right="99"/>
              <w:rPr>
                <w:sz w:val="18"/>
              </w:rPr>
            </w:pPr>
            <w:r>
              <w:rPr>
                <w:color w:val="231F20"/>
                <w:sz w:val="18"/>
              </w:rPr>
              <w:t>$</w:t>
              <w:tab/>
            </w:r>
            <w:r>
              <w:rPr>
                <w:color w:val="231F20"/>
                <w:spacing w:val="-1"/>
                <w:sz w:val="18"/>
              </w:rPr>
              <w:t>1,916</w:t>
            </w:r>
          </w:p>
        </w:tc>
        <w:tc>
          <w:tcPr>
            <w:tcW w:w="1100" w:type="dxa"/>
            <w:tcBorders>
              <w:top w:val="single" w:sz="4" w:space="0" w:color="231F20"/>
              <w:bottom w:val="double" w:sz="7"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4,471</w:t>
            </w:r>
          </w:p>
        </w:tc>
        <w:tc>
          <w:tcPr>
            <w:tcW w:w="1100" w:type="dxa"/>
            <w:tcBorders>
              <w:top w:val="single" w:sz="4" w:space="0" w:color="231F20"/>
              <w:bottom w:val="double" w:sz="7"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4,812</w:t>
            </w:r>
          </w:p>
        </w:tc>
        <w:tc>
          <w:tcPr>
            <w:tcW w:w="1145" w:type="dxa"/>
            <w:tcBorders>
              <w:top w:val="single" w:sz="4" w:space="0" w:color="231F20"/>
              <w:bottom w:val="double" w:sz="7" w:space="0" w:color="231F20"/>
            </w:tcBorders>
          </w:tcPr>
          <w:p>
            <w:pPr>
              <w:pStyle w:val="TableParagraph"/>
              <w:tabs>
                <w:tab w:pos="539" w:val="left" w:leader="none"/>
              </w:tabs>
              <w:spacing w:before="52"/>
              <w:ind w:right="98"/>
              <w:rPr>
                <w:sz w:val="18"/>
              </w:rPr>
            </w:pPr>
            <w:r>
              <w:rPr>
                <w:color w:val="231F20"/>
                <w:sz w:val="18"/>
              </w:rPr>
              <w:t>$</w:t>
              <w:tab/>
            </w:r>
            <w:r>
              <w:rPr>
                <w:color w:val="231F20"/>
                <w:spacing w:val="-1"/>
                <w:sz w:val="18"/>
              </w:rPr>
              <w:t>9,484</w:t>
            </w:r>
          </w:p>
        </w:tc>
        <w:tc>
          <w:tcPr>
            <w:tcW w:w="1100" w:type="dxa"/>
            <w:tcBorders>
              <w:top w:val="single" w:sz="4" w:space="0" w:color="231F20"/>
              <w:bottom w:val="double" w:sz="7" w:space="0" w:color="231F20"/>
            </w:tcBorders>
          </w:tcPr>
          <w:p>
            <w:pPr>
              <w:pStyle w:val="TableParagraph"/>
              <w:tabs>
                <w:tab w:pos="454" w:val="left" w:leader="none"/>
              </w:tabs>
              <w:spacing w:before="52"/>
              <w:ind w:right="48"/>
              <w:rPr>
                <w:sz w:val="18"/>
              </w:rPr>
            </w:pPr>
            <w:r>
              <w:rPr>
                <w:color w:val="231F20"/>
                <w:sz w:val="18"/>
              </w:rPr>
              <w:t>$</w:t>
              <w:tab/>
            </w:r>
            <w:r>
              <w:rPr>
                <w:color w:val="231F20"/>
                <w:spacing w:val="-1"/>
                <w:sz w:val="18"/>
              </w:rPr>
              <w:t>20,683</w:t>
            </w:r>
          </w:p>
        </w:tc>
      </w:tr>
      <w:tr>
        <w:trPr>
          <w:trHeight w:val="180" w:hRule="exact"/>
        </w:trPr>
        <w:tc>
          <w:tcPr>
            <w:tcW w:w="3653" w:type="dxa"/>
            <w:tcBorders>
              <w:bottom w:val="single" w:sz="4" w:space="0" w:color="231F20"/>
            </w:tcBorders>
          </w:tcPr>
          <w:p>
            <w:pPr/>
          </w:p>
        </w:tc>
        <w:tc>
          <w:tcPr>
            <w:tcW w:w="1122"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45" w:type="dxa"/>
            <w:tcBorders>
              <w:top w:val="double" w:sz="7" w:space="0" w:color="231F20"/>
            </w:tcBorders>
          </w:tcPr>
          <w:p>
            <w:pPr/>
          </w:p>
        </w:tc>
        <w:tc>
          <w:tcPr>
            <w:tcW w:w="1100" w:type="dxa"/>
            <w:tcBorders>
              <w:top w:val="double" w:sz="7" w:space="0" w:color="231F20"/>
            </w:tcBorders>
          </w:tcPr>
          <w:p>
            <w:pPr/>
          </w:p>
        </w:tc>
      </w:tr>
    </w:tbl>
    <w:p>
      <w:pPr>
        <w:pStyle w:val="ListParagraph"/>
        <w:numPr>
          <w:ilvl w:val="0"/>
          <w:numId w:val="10"/>
        </w:numPr>
        <w:tabs>
          <w:tab w:pos="520" w:val="left" w:leader="none"/>
        </w:tabs>
        <w:spacing w:line="254" w:lineRule="auto" w:before="47" w:after="0"/>
        <w:ind w:left="520" w:right="478" w:hanging="360"/>
        <w:jc w:val="left"/>
        <w:rPr>
          <w:sz w:val="18"/>
        </w:rPr>
      </w:pPr>
      <w:r>
        <w:rPr>
          <w:color w:val="231F20"/>
          <w:sz w:val="18"/>
        </w:rPr>
        <w:t>Includes principal only and includes $68 million in 2013 associated with the Company’s convertible senior notes due 2016. See Note 7 to the Consolidated Financial</w:t>
      </w:r>
      <w:r>
        <w:rPr>
          <w:color w:val="231F20"/>
          <w:spacing w:val="-2"/>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Related to fixed-rate debt</w:t>
      </w:r>
      <w:r>
        <w:rPr>
          <w:color w:val="231F20"/>
          <w:spacing w:val="-1"/>
          <w:sz w:val="18"/>
        </w:rPr>
        <w:t> </w:t>
      </w:r>
      <w:r>
        <w:rPr>
          <w:color w:val="231F20"/>
          <w:sz w:val="18"/>
        </w:rPr>
        <w:t>only.</w:t>
      </w:r>
    </w:p>
    <w:p>
      <w:pPr>
        <w:pStyle w:val="ListParagraph"/>
        <w:numPr>
          <w:ilvl w:val="0"/>
          <w:numId w:val="10"/>
        </w:numPr>
        <w:tabs>
          <w:tab w:pos="520" w:val="left" w:leader="none"/>
        </w:tabs>
        <w:spacing w:line="254" w:lineRule="auto" w:before="13" w:after="0"/>
        <w:ind w:left="520" w:right="243" w:hanging="360"/>
        <w:jc w:val="left"/>
        <w:rPr>
          <w:sz w:val="18"/>
        </w:rPr>
      </w:pPr>
      <w:r>
        <w:rPr>
          <w:color w:val="231F20"/>
          <w:sz w:val="18"/>
        </w:rPr>
        <w:t>Interest obligations associated with floating-rate debt (either at issuance or through swaps) is estimated utilizing forward interest rate curves as of December 31, 2012 and can be subject to significant</w:t>
      </w:r>
      <w:r>
        <w:rPr>
          <w:color w:val="231F20"/>
          <w:spacing w:val="-1"/>
          <w:sz w:val="18"/>
        </w:rPr>
        <w:t> </w:t>
      </w:r>
      <w:r>
        <w:rPr>
          <w:color w:val="231F20"/>
          <w:sz w:val="18"/>
        </w:rPr>
        <w:t>fluctuation.</w:t>
      </w:r>
    </w:p>
    <w:p>
      <w:pPr>
        <w:pStyle w:val="ListParagraph"/>
        <w:numPr>
          <w:ilvl w:val="0"/>
          <w:numId w:val="10"/>
        </w:numPr>
        <w:tabs>
          <w:tab w:pos="520" w:val="left" w:leader="none"/>
        </w:tabs>
        <w:spacing w:line="254" w:lineRule="auto" w:before="1" w:after="0"/>
        <w:ind w:left="520" w:right="508" w:hanging="360"/>
        <w:jc w:val="left"/>
        <w:rPr>
          <w:sz w:val="18"/>
        </w:rPr>
      </w:pPr>
      <w:r>
        <w:rPr>
          <w:color w:val="231F20"/>
          <w:sz w:val="18"/>
        </w:rPr>
        <w:t>Includes Love Field Modernization Program commitment amounts, and includes the impact of the Boeing 717 lease/ sublease transaction entered into in 2012. See Note 8 to the Consolidated Financial</w:t>
      </w:r>
      <w:r>
        <w:rPr>
          <w:color w:val="231F20"/>
          <w:spacing w:val="-4"/>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Includes interest on capital leases.</w:t>
      </w:r>
    </w:p>
    <w:p>
      <w:pPr>
        <w:pStyle w:val="ListParagraph"/>
        <w:numPr>
          <w:ilvl w:val="0"/>
          <w:numId w:val="10"/>
        </w:numPr>
        <w:tabs>
          <w:tab w:pos="520" w:val="left" w:leader="none"/>
        </w:tabs>
        <w:spacing w:line="254" w:lineRule="auto" w:before="13" w:after="0"/>
        <w:ind w:left="520" w:right="503" w:hanging="360"/>
        <w:jc w:val="left"/>
        <w:rPr>
          <w:sz w:val="18"/>
        </w:rPr>
      </w:pPr>
      <w:r>
        <w:rPr>
          <w:color w:val="231F20"/>
          <w:sz w:val="18"/>
        </w:rPr>
        <w:t>Firm orders from Boeing. The Company has flexibility as to the timing for certain of the firm orders in 2014 through 2017, but has classified the amounts in the earliest year they could be considered a</w:t>
      </w:r>
      <w:r>
        <w:rPr>
          <w:color w:val="231F20"/>
          <w:spacing w:val="-2"/>
          <w:sz w:val="18"/>
        </w:rPr>
        <w:t> </w:t>
      </w:r>
      <w:r>
        <w:rPr>
          <w:color w:val="231F20"/>
          <w:sz w:val="18"/>
        </w:rPr>
        <w:t>commitment.</w:t>
      </w:r>
    </w:p>
    <w:p>
      <w:pPr>
        <w:pStyle w:val="BodyText"/>
        <w:spacing w:before="2"/>
        <w:rPr>
          <w:sz w:val="16"/>
        </w:rPr>
      </w:pPr>
    </w:p>
    <w:p>
      <w:pPr>
        <w:pStyle w:val="BodyText"/>
        <w:spacing w:line="249" w:lineRule="auto"/>
        <w:ind w:left="160" w:right="203" w:firstLine="400"/>
      </w:pPr>
      <w:r>
        <w:rPr>
          <w:color w:val="231F20"/>
        </w:rPr>
        <w:t>As discussed in Note 2 to the Consolidated Financial Statements, the Company expects to incur substantial integration and closing costs associated with the acquisition of AirTran, a portion of which were incurred in 2010, 2011, and 2012 and which have been, and are expected to continue to be, funded with cash. The Company believes that its current liquidity position, including unrestricted cash and short-term investments of $3.0 billion as of December 31, 2012, anticipated future internally generated funds from operations, and its fully available, unsecured revolving credit facility of $800 million, will enable it to meet these future integration expenditures.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w:t>
      </w:r>
      <w:r>
        <w:rPr>
          <w:color w:val="231F20"/>
          <w:spacing w:val="10"/>
        </w:rPr>
        <w:t> </w:t>
      </w:r>
      <w:r>
        <w:rPr>
          <w:color w:val="231F20"/>
        </w:rPr>
        <w:t>of</w:t>
      </w:r>
    </w:p>
    <w:p>
      <w:pPr>
        <w:pStyle w:val="BodyText"/>
        <w:spacing w:before="1"/>
        <w:ind w:left="160"/>
      </w:pPr>
      <w:r>
        <w:rPr>
          <w:color w:val="231F20"/>
        </w:rPr>
        <w:t>December 31, 2012, the book value of the Company’s unencumbered aircraft totaled approximately $6.8 billion.</w:t>
      </w:r>
    </w:p>
    <w:p>
      <w:pPr>
        <w:pStyle w:val="BodyText"/>
        <w:spacing w:line="249" w:lineRule="auto" w:before="194"/>
        <w:ind w:left="160" w:right="162" w:firstLine="40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up to $500 million of the Company’s common stock following such authorization. On May 16, 2012, the Company’s Board of Directors increased the previous share repurchase authorization by an additional $500 million. During 2012, the Company purchased approximately 45.5 million shares of its common stock for approximately $400 million, which brings its cumulative purchases under this program since the August 2011 authorization to approximately 73.0 million shares for approximately $625 million of the $1 billion in total authorized by the Board. Repurchases are made in accordance with applicable securities laws in the open market or in private transactions from time to time, depending on market conditions, and may be discontinued at any time.</w:t>
      </w:r>
    </w:p>
    <w:p>
      <w:pPr>
        <w:pStyle w:val="BodyText"/>
        <w:spacing w:line="249" w:lineRule="auto" w:before="185"/>
        <w:ind w:left="160" w:firstLine="400"/>
      </w:pPr>
      <w:r>
        <w:rPr>
          <w:color w:val="231F20"/>
        </w:rPr>
        <w:t>During 2008, the City of Dallas approved the Love Field Modernization Program (LFMP), a project to reconstruct Dallas Love Field (Airport) with modern, convenient air travel facilities. Pursuant to a </w:t>
      </w:r>
      <w:r>
        <w:rPr>
          <w:color w:val="231F20"/>
          <w:spacing w:val="-3"/>
        </w:rPr>
        <w:t>Program </w:t>
      </w:r>
      <w:r>
        <w:rPr>
          <w:color w:val="231F20"/>
        </w:rPr>
        <w:t>Development</w:t>
      </w:r>
      <w:r>
        <w:rPr>
          <w:color w:val="231F20"/>
          <w:spacing w:val="-15"/>
        </w:rPr>
        <w:t> </w:t>
      </w:r>
      <w:r>
        <w:rPr>
          <w:color w:val="231F20"/>
        </w:rPr>
        <w:t>Agreement</w:t>
      </w:r>
      <w:r>
        <w:rPr>
          <w:color w:val="231F20"/>
          <w:spacing w:val="-15"/>
        </w:rPr>
        <w:t> </w:t>
      </w:r>
      <w:r>
        <w:rPr>
          <w:color w:val="231F20"/>
        </w:rPr>
        <w:t>(PDA)</w:t>
      </w:r>
      <w:r>
        <w:rPr>
          <w:color w:val="231F20"/>
          <w:spacing w:val="-15"/>
        </w:rPr>
        <w:t> </w:t>
      </w:r>
      <w:r>
        <w:rPr>
          <w:color w:val="231F20"/>
        </w:rPr>
        <w:t>with</w:t>
      </w:r>
      <w:r>
        <w:rPr>
          <w:color w:val="231F20"/>
          <w:spacing w:val="-15"/>
        </w:rPr>
        <w:t> </w:t>
      </w:r>
      <w:r>
        <w:rPr>
          <w:color w:val="231F20"/>
        </w:rPr>
        <w:t>the</w:t>
      </w:r>
      <w:r>
        <w:rPr>
          <w:color w:val="231F20"/>
          <w:spacing w:val="-15"/>
        </w:rPr>
        <w:t> </w:t>
      </w:r>
      <w:r>
        <w:rPr>
          <w:color w:val="231F20"/>
        </w:rPr>
        <w:t>City</w:t>
      </w:r>
      <w:r>
        <w:rPr>
          <w:color w:val="231F20"/>
          <w:spacing w:val="-15"/>
        </w:rPr>
        <w:t> </w:t>
      </w:r>
      <w:r>
        <w:rPr>
          <w:color w:val="231F20"/>
        </w:rPr>
        <w:t>of</w:t>
      </w:r>
      <w:r>
        <w:rPr>
          <w:color w:val="231F20"/>
          <w:spacing w:val="-15"/>
        </w:rPr>
        <w:t> </w:t>
      </w:r>
      <w:r>
        <w:rPr>
          <w:color w:val="231F20"/>
        </w:rPr>
        <w:t>Dallas</w:t>
      </w:r>
      <w:r>
        <w:rPr>
          <w:color w:val="231F20"/>
          <w:spacing w:val="-15"/>
        </w:rPr>
        <w:t> </w:t>
      </w:r>
      <w:r>
        <w:rPr>
          <w:color w:val="231F20"/>
        </w:rPr>
        <w:t>and</w:t>
      </w:r>
      <w:r>
        <w:rPr>
          <w:color w:val="231F20"/>
          <w:spacing w:val="-15"/>
        </w:rPr>
        <w:t> </w:t>
      </w:r>
      <w:r>
        <w:rPr>
          <w:color w:val="231F20"/>
        </w:rPr>
        <w:t>the</w:t>
      </w:r>
      <w:r>
        <w:rPr>
          <w:color w:val="231F20"/>
          <w:spacing w:val="-15"/>
        </w:rPr>
        <w:t> </w:t>
      </w:r>
      <w:r>
        <w:rPr>
          <w:color w:val="231F20"/>
        </w:rPr>
        <w:t>Love</w:t>
      </w:r>
      <w:r>
        <w:rPr>
          <w:color w:val="231F20"/>
          <w:spacing w:val="-15"/>
        </w:rPr>
        <w:t> </w:t>
      </w:r>
      <w:r>
        <w:rPr>
          <w:color w:val="231F20"/>
        </w:rPr>
        <w:t>Field</w:t>
      </w:r>
      <w:r>
        <w:rPr>
          <w:color w:val="231F20"/>
          <w:spacing w:val="-15"/>
        </w:rPr>
        <w:t> </w:t>
      </w:r>
      <w:r>
        <w:rPr>
          <w:color w:val="231F20"/>
        </w:rPr>
        <w:t>Airport</w:t>
      </w:r>
      <w:r>
        <w:rPr>
          <w:color w:val="231F20"/>
          <w:spacing w:val="-15"/>
        </w:rPr>
        <w:t> </w:t>
      </w:r>
      <w:r>
        <w:rPr>
          <w:color w:val="231F20"/>
        </w:rPr>
        <w:t>Modernization</w:t>
      </w:r>
      <w:r>
        <w:rPr>
          <w:color w:val="231F20"/>
          <w:spacing w:val="-15"/>
        </w:rPr>
        <w:t> </w:t>
      </w:r>
      <w:r>
        <w:rPr>
          <w:color w:val="231F20"/>
        </w:rPr>
        <w:t>Corporation</w:t>
      </w:r>
      <w:r>
        <w:rPr>
          <w:color w:val="231F20"/>
          <w:spacing w:val="-15"/>
        </w:rPr>
        <w:t> </w:t>
      </w:r>
      <w:r>
        <w:rPr>
          <w:color w:val="231F20"/>
          <w:spacing w:val="-2"/>
        </w:rPr>
        <w:t>(or</w:t>
      </w:r>
    </w:p>
    <w:p>
      <w:pPr>
        <w:spacing w:after="0" w:line="249" w:lineRule="auto"/>
        <w:sectPr>
          <w:pgSz w:w="11880" w:h="15480"/>
          <w:pgMar w:header="0" w:footer="1253" w:top="1240" w:bottom="1440" w:left="1220" w:right="1220"/>
        </w:sectPr>
      </w:pPr>
    </w:p>
    <w:p>
      <w:pPr>
        <w:pStyle w:val="BodyText"/>
        <w:spacing w:line="249" w:lineRule="auto" w:before="73"/>
        <w:ind w:left="100" w:right="234"/>
      </w:pPr>
      <w:r>
        <w:rPr>
          <w:color w:val="231F20"/>
        </w:rPr>
        <w:t>LFAMC,</w:t>
      </w:r>
      <w:r>
        <w:rPr>
          <w:color w:val="231F20"/>
          <w:spacing w:val="-12"/>
        </w:rPr>
        <w:t> </w:t>
      </w:r>
      <w:r>
        <w:rPr>
          <w:color w:val="231F20"/>
        </w:rPr>
        <w:t>a</w:t>
      </w:r>
      <w:r>
        <w:rPr>
          <w:color w:val="231F20"/>
          <w:spacing w:val="-12"/>
        </w:rPr>
        <w:t> </w:t>
      </w:r>
      <w:r>
        <w:rPr>
          <w:color w:val="231F20"/>
        </w:rPr>
        <w:t>Texas</w:t>
      </w:r>
      <w:r>
        <w:rPr>
          <w:color w:val="231F20"/>
          <w:spacing w:val="-12"/>
        </w:rPr>
        <w:t> </w:t>
      </w:r>
      <w:r>
        <w:rPr>
          <w:color w:val="231F20"/>
        </w:rPr>
        <w:t>non-profit</w:t>
      </w:r>
      <w:r>
        <w:rPr>
          <w:color w:val="231F20"/>
          <w:spacing w:val="-12"/>
        </w:rPr>
        <w:t> </w:t>
      </w:r>
      <w:r>
        <w:rPr>
          <w:color w:val="231F20"/>
        </w:rPr>
        <w:t>“local</w:t>
      </w:r>
      <w:r>
        <w:rPr>
          <w:color w:val="231F20"/>
          <w:spacing w:val="-12"/>
        </w:rPr>
        <w:t> </w:t>
      </w:r>
      <w:r>
        <w:rPr>
          <w:color w:val="231F20"/>
        </w:rPr>
        <w:t>government</w:t>
      </w:r>
      <w:r>
        <w:rPr>
          <w:color w:val="231F20"/>
          <w:spacing w:val="-12"/>
        </w:rPr>
        <w:t> </w:t>
      </w:r>
      <w:r>
        <w:rPr>
          <w:color w:val="231F20"/>
        </w:rPr>
        <w:t>corporation”</w:t>
      </w:r>
      <w:r>
        <w:rPr>
          <w:color w:val="231F20"/>
          <w:spacing w:val="-12"/>
        </w:rPr>
        <w:t> </w:t>
      </w:r>
      <w:r>
        <w:rPr>
          <w:color w:val="231F20"/>
        </w:rPr>
        <w:t>established</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City</w:t>
      </w:r>
      <w:r>
        <w:rPr>
          <w:color w:val="231F20"/>
          <w:spacing w:val="-12"/>
        </w:rPr>
        <w:t> </w:t>
      </w:r>
      <w:r>
        <w:rPr>
          <w:color w:val="231F20"/>
        </w:rPr>
        <w:t>to</w:t>
      </w:r>
      <w:r>
        <w:rPr>
          <w:color w:val="231F20"/>
          <w:spacing w:val="-12"/>
        </w:rPr>
        <w:t> </w:t>
      </w:r>
      <w:r>
        <w:rPr>
          <w:color w:val="231F20"/>
        </w:rPr>
        <w:t>act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City’s</w:t>
      </w:r>
      <w:r>
        <w:rPr>
          <w:color w:val="231F20"/>
          <w:spacing w:val="-12"/>
        </w:rPr>
        <w:t> </w:t>
      </w:r>
      <w:r>
        <w:rPr>
          <w:color w:val="231F20"/>
        </w:rPr>
        <w:t>behalf</w:t>
      </w:r>
      <w:r>
        <w:rPr>
          <w:color w:val="231F20"/>
          <w:spacing w:val="-12"/>
        </w:rPr>
        <w:t> </w:t>
      </w:r>
      <w:r>
        <w:rPr>
          <w:color w:val="231F20"/>
        </w:rPr>
        <w:t>to facilitate</w:t>
      </w:r>
      <w:r>
        <w:rPr>
          <w:color w:val="231F20"/>
          <w:spacing w:val="-12"/>
        </w:rPr>
        <w:t> </w:t>
      </w:r>
      <w:r>
        <w:rPr>
          <w:color w:val="231F20"/>
        </w:rPr>
        <w:t>the</w:t>
      </w:r>
      <w:r>
        <w:rPr>
          <w:color w:val="231F20"/>
          <w:spacing w:val="-12"/>
        </w:rPr>
        <w:t> </w:t>
      </w:r>
      <w:r>
        <w:rPr>
          <w:color w:val="231F20"/>
        </w:rPr>
        <w:t>development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LFMP),</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is</w:t>
      </w:r>
      <w:r>
        <w:rPr>
          <w:color w:val="231F20"/>
          <w:spacing w:val="-12"/>
        </w:rPr>
        <w:t> </w:t>
      </w:r>
      <w:r>
        <w:rPr>
          <w:color w:val="231F20"/>
        </w:rPr>
        <w:t>managing</w:t>
      </w:r>
      <w:r>
        <w:rPr>
          <w:color w:val="231F20"/>
          <w:spacing w:val="-12"/>
        </w:rPr>
        <w:t> </w:t>
      </w:r>
      <w:r>
        <w:rPr>
          <w:color w:val="231F20"/>
        </w:rPr>
        <w:t>this</w:t>
      </w:r>
      <w:r>
        <w:rPr>
          <w:color w:val="231F20"/>
          <w:spacing w:val="-12"/>
        </w:rPr>
        <w:t> </w:t>
      </w:r>
      <w:r>
        <w:rPr>
          <w:color w:val="231F20"/>
        </w:rPr>
        <w:t>project.</w:t>
      </w:r>
      <w:r>
        <w:rPr>
          <w:color w:val="231F20"/>
          <w:spacing w:val="-12"/>
        </w:rPr>
        <w:t> </w:t>
      </w:r>
      <w:r>
        <w:rPr>
          <w:color w:val="231F20"/>
        </w:rPr>
        <w:t>Although</w:t>
      </w:r>
      <w:r>
        <w:rPr>
          <w:color w:val="231F20"/>
          <w:spacing w:val="-12"/>
        </w:rPr>
        <w:t> </w:t>
      </w:r>
      <w:r>
        <w:rPr>
          <w:color w:val="231F20"/>
        </w:rPr>
        <w:t>subject</w:t>
      </w:r>
      <w:r>
        <w:rPr>
          <w:color w:val="231F20"/>
          <w:spacing w:val="-12"/>
        </w:rPr>
        <w:t> </w:t>
      </w:r>
      <w:r>
        <w:rPr>
          <w:color w:val="231F20"/>
        </w:rPr>
        <w:t>to</w:t>
      </w:r>
      <w:r>
        <w:rPr>
          <w:color w:val="231F20"/>
          <w:spacing w:val="-12"/>
        </w:rPr>
        <w:t> </w:t>
      </w:r>
      <w:r>
        <w:rPr>
          <w:color w:val="231F20"/>
        </w:rPr>
        <w:t>change,</w:t>
      </w:r>
      <w:r>
        <w:rPr>
          <w:color w:val="231F20"/>
          <w:spacing w:val="-12"/>
        </w:rPr>
        <w:t> </w:t>
      </w:r>
      <w:r>
        <w:rPr>
          <w:color w:val="231F20"/>
          <w:spacing w:val="-2"/>
        </w:rPr>
        <w:t>the </w:t>
      </w:r>
      <w:r>
        <w:rPr>
          <w:color w:val="231F20"/>
        </w:rPr>
        <w:t>project is expected to include the renovation of the Airport airline terminals and complete replacement of gate facilities with a new 20-gate facility, including infrastructure, systems and equipment, aircraft parking apron, fueling</w:t>
      </w:r>
      <w:r>
        <w:rPr>
          <w:color w:val="231F20"/>
          <w:spacing w:val="-17"/>
        </w:rPr>
        <w:t> </w:t>
      </w:r>
      <w:r>
        <w:rPr>
          <w:color w:val="231F20"/>
        </w:rPr>
        <w:t>system,</w:t>
      </w:r>
      <w:r>
        <w:rPr>
          <w:color w:val="231F20"/>
          <w:spacing w:val="-17"/>
        </w:rPr>
        <w:t> </w:t>
      </w:r>
      <w:r>
        <w:rPr>
          <w:color w:val="231F20"/>
        </w:rPr>
        <w:t>roadways</w:t>
      </w:r>
      <w:r>
        <w:rPr>
          <w:color w:val="231F20"/>
          <w:spacing w:val="-17"/>
        </w:rPr>
        <w:t> </w:t>
      </w:r>
      <w:r>
        <w:rPr>
          <w:color w:val="231F20"/>
        </w:rPr>
        <w:t>and</w:t>
      </w:r>
      <w:r>
        <w:rPr>
          <w:color w:val="231F20"/>
          <w:spacing w:val="-17"/>
        </w:rPr>
        <w:t> </w:t>
      </w:r>
      <w:r>
        <w:rPr>
          <w:color w:val="231F20"/>
        </w:rPr>
        <w:t>terminal</w:t>
      </w:r>
      <w:r>
        <w:rPr>
          <w:color w:val="231F20"/>
          <w:spacing w:val="-17"/>
        </w:rPr>
        <w:t> </w:t>
      </w:r>
      <w:r>
        <w:rPr>
          <w:color w:val="231F20"/>
        </w:rPr>
        <w:t>curbside,</w:t>
      </w:r>
      <w:r>
        <w:rPr>
          <w:color w:val="231F20"/>
          <w:spacing w:val="-17"/>
        </w:rPr>
        <w:t> </w:t>
      </w:r>
      <w:r>
        <w:rPr>
          <w:color w:val="231F20"/>
        </w:rPr>
        <w:t>baggage</w:t>
      </w:r>
      <w:r>
        <w:rPr>
          <w:color w:val="231F20"/>
          <w:spacing w:val="-17"/>
        </w:rPr>
        <w:t> </w:t>
      </w:r>
      <w:r>
        <w:rPr>
          <w:color w:val="231F20"/>
        </w:rPr>
        <w:t>handling</w:t>
      </w:r>
      <w:r>
        <w:rPr>
          <w:color w:val="231F20"/>
          <w:spacing w:val="-17"/>
        </w:rPr>
        <w:t> </w:t>
      </w:r>
      <w:r>
        <w:rPr>
          <w:color w:val="231F20"/>
        </w:rPr>
        <w:t>systems,</w:t>
      </w:r>
      <w:r>
        <w:rPr>
          <w:color w:val="231F20"/>
          <w:spacing w:val="-17"/>
        </w:rPr>
        <w:t> </w:t>
      </w:r>
      <w:r>
        <w:rPr>
          <w:color w:val="231F20"/>
        </w:rPr>
        <w:t>passenger</w:t>
      </w:r>
      <w:r>
        <w:rPr>
          <w:color w:val="231F20"/>
          <w:spacing w:val="-17"/>
        </w:rPr>
        <w:t> </w:t>
      </w:r>
      <w:r>
        <w:rPr>
          <w:color w:val="231F20"/>
        </w:rPr>
        <w:t>loading</w:t>
      </w:r>
      <w:r>
        <w:rPr>
          <w:color w:val="231F20"/>
          <w:spacing w:val="-17"/>
        </w:rPr>
        <w:t> </w:t>
      </w:r>
      <w:r>
        <w:rPr>
          <w:color w:val="231F20"/>
        </w:rPr>
        <w:t>bridges</w:t>
      </w:r>
      <w:r>
        <w:rPr>
          <w:color w:val="231F20"/>
          <w:spacing w:val="-17"/>
        </w:rPr>
        <w:t> </w:t>
      </w:r>
      <w:r>
        <w:rPr>
          <w:color w:val="231F20"/>
        </w:rPr>
        <w:t>and</w:t>
      </w:r>
      <w:r>
        <w:rPr>
          <w:color w:val="231F20"/>
          <w:spacing w:val="-17"/>
        </w:rPr>
        <w:t> </w:t>
      </w:r>
      <w:r>
        <w:rPr>
          <w:color w:val="231F20"/>
        </w:rPr>
        <w:t>support systems, and other supporting infrastructure. Major construction commenced during 2010. New ticketing </w:t>
      </w:r>
      <w:r>
        <w:rPr>
          <w:color w:val="231F20"/>
          <w:spacing w:val="-2"/>
        </w:rPr>
        <w:t>and </w:t>
      </w:r>
      <w:r>
        <w:rPr>
          <w:color w:val="231F20"/>
        </w:rPr>
        <w:t>checkin</w:t>
      </w:r>
      <w:r>
        <w:rPr>
          <w:color w:val="231F20"/>
          <w:spacing w:val="-12"/>
        </w:rPr>
        <w:t> </w:t>
      </w:r>
      <w:r>
        <w:rPr>
          <w:color w:val="231F20"/>
        </w:rPr>
        <w:t>areas</w:t>
      </w:r>
      <w:r>
        <w:rPr>
          <w:color w:val="231F20"/>
          <w:spacing w:val="-12"/>
        </w:rPr>
        <w:t> </w:t>
      </w:r>
      <w:r>
        <w:rPr>
          <w:color w:val="231F20"/>
        </w:rPr>
        <w:t>opened</w:t>
      </w:r>
      <w:r>
        <w:rPr>
          <w:color w:val="231F20"/>
          <w:spacing w:val="-12"/>
        </w:rPr>
        <w:t> </w:t>
      </w:r>
      <w:r>
        <w:rPr>
          <w:color w:val="231F20"/>
        </w:rPr>
        <w:t>during</w:t>
      </w:r>
      <w:r>
        <w:rPr>
          <w:color w:val="231F20"/>
          <w:spacing w:val="-12"/>
        </w:rPr>
        <w:t> </w:t>
      </w:r>
      <w:r>
        <w:rPr>
          <w:color w:val="231F20"/>
        </w:rPr>
        <w:t>fourth</w:t>
      </w:r>
      <w:r>
        <w:rPr>
          <w:color w:val="231F20"/>
          <w:spacing w:val="-12"/>
        </w:rPr>
        <w:t> </w:t>
      </w:r>
      <w:r>
        <w:rPr>
          <w:color w:val="231F20"/>
        </w:rPr>
        <w:t>quarter</w:t>
      </w:r>
      <w:r>
        <w:rPr>
          <w:color w:val="231F20"/>
          <w:spacing w:val="-12"/>
        </w:rPr>
        <w:t> </w:t>
      </w:r>
      <w:r>
        <w:rPr>
          <w:color w:val="231F20"/>
        </w:rPr>
        <w:t>2012</w:t>
      </w:r>
      <w:r>
        <w:rPr>
          <w:color w:val="231F20"/>
          <w:spacing w:val="-12"/>
        </w:rPr>
        <w:t> </w:t>
      </w:r>
      <w:r>
        <w:rPr>
          <w:color w:val="231F20"/>
        </w:rPr>
        <w:t>and</w:t>
      </w:r>
      <w:r>
        <w:rPr>
          <w:color w:val="231F20"/>
          <w:spacing w:val="-12"/>
        </w:rPr>
        <w:t> </w:t>
      </w:r>
      <w:r>
        <w:rPr>
          <w:color w:val="231F20"/>
        </w:rPr>
        <w:t>12</w:t>
      </w:r>
      <w:r>
        <w:rPr>
          <w:color w:val="231F20"/>
          <w:spacing w:val="-12"/>
        </w:rPr>
        <w:t> </w:t>
      </w:r>
      <w:r>
        <w:rPr>
          <w:color w:val="231F20"/>
        </w:rPr>
        <w:t>new</w:t>
      </w:r>
      <w:r>
        <w:rPr>
          <w:color w:val="231F20"/>
          <w:spacing w:val="-13"/>
        </w:rPr>
        <w:t> </w:t>
      </w:r>
      <w:r>
        <w:rPr>
          <w:color w:val="231F20"/>
        </w:rPr>
        <w:t>gates</w:t>
      </w:r>
      <w:r>
        <w:rPr>
          <w:color w:val="231F20"/>
          <w:spacing w:val="-12"/>
        </w:rPr>
        <w:t> </w:t>
      </w:r>
      <w:r>
        <w:rPr>
          <w:color w:val="231F20"/>
        </w:rPr>
        <w:t>and</w:t>
      </w:r>
      <w:r>
        <w:rPr>
          <w:color w:val="231F20"/>
          <w:spacing w:val="-12"/>
        </w:rPr>
        <w:t> </w:t>
      </w:r>
      <w:r>
        <w:rPr>
          <w:color w:val="231F20"/>
        </w:rPr>
        <w:t>new</w:t>
      </w:r>
      <w:r>
        <w:rPr>
          <w:color w:val="231F20"/>
          <w:spacing w:val="-13"/>
        </w:rPr>
        <w:t> </w:t>
      </w:r>
      <w:r>
        <w:rPr>
          <w:color w:val="231F20"/>
        </w:rPr>
        <w:t>concession</w:t>
      </w:r>
      <w:r>
        <w:rPr>
          <w:color w:val="231F20"/>
          <w:spacing w:val="-12"/>
        </w:rPr>
        <w:t> </w:t>
      </w:r>
      <w:r>
        <w:rPr>
          <w:color w:val="231F20"/>
        </w:rPr>
        <w:t>areas</w:t>
      </w:r>
      <w:r>
        <w:rPr>
          <w:color w:val="231F20"/>
          <w:spacing w:val="-12"/>
        </w:rPr>
        <w:t> </w:t>
      </w:r>
      <w:r>
        <w:rPr>
          <w:color w:val="231F20"/>
        </w:rPr>
        <w:t>are</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open in</w:t>
      </w:r>
      <w:r>
        <w:rPr>
          <w:color w:val="231F20"/>
          <w:spacing w:val="-13"/>
        </w:rPr>
        <w:t> </w:t>
      </w:r>
      <w:r>
        <w:rPr>
          <w:color w:val="231F20"/>
        </w:rPr>
        <w:t>second</w:t>
      </w:r>
      <w:r>
        <w:rPr>
          <w:color w:val="231F20"/>
          <w:spacing w:val="-13"/>
        </w:rPr>
        <w:t> </w:t>
      </w:r>
      <w:r>
        <w:rPr>
          <w:color w:val="231F20"/>
        </w:rPr>
        <w:t>quarter</w:t>
      </w:r>
      <w:r>
        <w:rPr>
          <w:color w:val="231F20"/>
          <w:spacing w:val="-13"/>
        </w:rPr>
        <w:t> </w:t>
      </w:r>
      <w:r>
        <w:rPr>
          <w:color w:val="231F20"/>
        </w:rPr>
        <w:t>2013.</w:t>
      </w:r>
      <w:r>
        <w:rPr>
          <w:color w:val="231F20"/>
          <w:spacing w:val="-13"/>
        </w:rPr>
        <w:t> </w:t>
      </w:r>
      <w:r>
        <w:rPr>
          <w:color w:val="231F20"/>
        </w:rPr>
        <w:t>Full</w:t>
      </w:r>
      <w:r>
        <w:rPr>
          <w:color w:val="231F20"/>
          <w:spacing w:val="-13"/>
        </w:rPr>
        <w:t> </w:t>
      </w:r>
      <w:r>
        <w:rPr>
          <w:color w:val="231F20"/>
        </w:rPr>
        <w:t>completion</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project</w:t>
      </w:r>
      <w:r>
        <w:rPr>
          <w:color w:val="231F20"/>
          <w:spacing w:val="-13"/>
        </w:rPr>
        <w:t> </w:t>
      </w:r>
      <w:r>
        <w:rPr>
          <w:color w:val="231F20"/>
        </w:rPr>
        <w:t>is</w:t>
      </w:r>
      <w:r>
        <w:rPr>
          <w:color w:val="231F20"/>
          <w:spacing w:val="-13"/>
        </w:rPr>
        <w:t> </w:t>
      </w:r>
      <w:r>
        <w:rPr>
          <w:color w:val="231F20"/>
        </w:rPr>
        <w:t>scheduled</w:t>
      </w:r>
      <w:r>
        <w:rPr>
          <w:color w:val="231F20"/>
          <w:spacing w:val="-13"/>
        </w:rPr>
        <w:t> </w:t>
      </w:r>
      <w:r>
        <w:rPr>
          <w:color w:val="231F20"/>
        </w:rPr>
        <w:t>for</w:t>
      </w:r>
      <w:r>
        <w:rPr>
          <w:color w:val="231F20"/>
          <w:spacing w:val="-13"/>
        </w:rPr>
        <w:t> </w:t>
      </w:r>
      <w:r>
        <w:rPr>
          <w:color w:val="231F20"/>
        </w:rPr>
        <w:t>second</w:t>
      </w:r>
      <w:r>
        <w:rPr>
          <w:color w:val="231F20"/>
          <w:spacing w:val="-13"/>
        </w:rPr>
        <w:t> </w:t>
      </w:r>
      <w:r>
        <w:rPr>
          <w:color w:val="231F20"/>
        </w:rPr>
        <w:t>half</w:t>
      </w:r>
      <w:r>
        <w:rPr>
          <w:color w:val="231F20"/>
          <w:spacing w:val="-13"/>
        </w:rPr>
        <w:t> </w:t>
      </w:r>
      <w:r>
        <w:rPr>
          <w:color w:val="231F20"/>
        </w:rPr>
        <w:t>of</w:t>
      </w:r>
      <w:r>
        <w:rPr>
          <w:color w:val="231F20"/>
          <w:spacing w:val="-13"/>
        </w:rPr>
        <w:t> </w:t>
      </w:r>
      <w:r>
        <w:rPr>
          <w:color w:val="231F20"/>
        </w:rPr>
        <w:t>2014.</w:t>
      </w:r>
    </w:p>
    <w:p>
      <w:pPr>
        <w:pStyle w:val="BodyText"/>
        <w:spacing w:before="10"/>
      </w:pPr>
    </w:p>
    <w:p>
      <w:pPr>
        <w:pStyle w:val="BodyText"/>
        <w:spacing w:line="249" w:lineRule="auto" w:before="1"/>
        <w:ind w:left="100" w:right="132"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An additional tranche of such bonds totaling $146 million was issued during second quarter 2012. The Company has guaranteed principal, premium, and interest on the issued bonds. It is currently expected that the total amount spent on the LFMP project will be approximately $519 million. The Company currently expects that no further bond issuances will be required to complete the LFMP project.</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0"/>
      </w:pPr>
    </w:p>
    <w:p>
      <w:pPr>
        <w:pStyle w:val="BodyText"/>
        <w:spacing w:line="249" w:lineRule="auto" w:before="1"/>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46" w:firstLine="400"/>
      </w:pPr>
      <w:r>
        <w:rPr>
          <w:color w:val="231F20"/>
        </w:rPr>
        <w:t>The Company’s liquidity could be impacted by the LFMP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LFMP is not expected to have a significant impact on the Company’s capital resources or financial position. See Note 4 to the Consolidated Financial Statements for further information and accounting requirements related to the LFMP.</w:t>
      </w:r>
    </w:p>
    <w:p>
      <w:pPr>
        <w:pStyle w:val="BodyText"/>
        <w:spacing w:before="4"/>
        <w:rPr>
          <w:sz w:val="31"/>
        </w:rPr>
      </w:pPr>
    </w:p>
    <w:p>
      <w:pPr>
        <w:pStyle w:val="Heading3"/>
      </w:pPr>
      <w:bookmarkStart w:name="_TOC_250010" w:id="20"/>
      <w:bookmarkStart w:name="Critical Accounting Policies and Estimat" w:id="21"/>
      <w:r>
        <w:rPr>
          <w:b w:val="0"/>
        </w:rPr>
      </w:r>
      <w:bookmarkEnd w:id="20"/>
      <w:r>
        <w:rPr>
          <w:color w:val="231F20"/>
        </w:rPr>
        <w:t>CRITICAL ACCOUNTING POLICIES AND ESTIMATES</w:t>
      </w:r>
    </w:p>
    <w:p>
      <w:pPr>
        <w:pStyle w:val="BodyText"/>
        <w:spacing w:line="249" w:lineRule="auto" w:before="129"/>
        <w:ind w:left="100"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4"/>
        <w:rPr>
          <w:sz w:val="31"/>
        </w:rPr>
      </w:pPr>
    </w:p>
    <w:p>
      <w:pPr>
        <w:pStyle w:val="Heading3"/>
        <w:ind w:left="300"/>
      </w:pPr>
      <w:r>
        <w:rPr>
          <w:color w:val="231F20"/>
        </w:rPr>
        <w:t>Revenue recognition</w:t>
      </w:r>
    </w:p>
    <w:p>
      <w:pPr>
        <w:pStyle w:val="BodyText"/>
        <w:spacing w:line="249" w:lineRule="auto" w:before="129"/>
        <w:ind w:left="100" w:right="164"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 exchanges of tickets sold for past travel dates.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programs.</w:t>
      </w:r>
    </w:p>
    <w:p>
      <w:pPr>
        <w:pStyle w:val="BodyText"/>
        <w:spacing w:before="10"/>
      </w:pPr>
    </w:p>
    <w:p>
      <w:pPr>
        <w:pStyle w:val="BodyText"/>
        <w:spacing w:line="249" w:lineRule="auto"/>
        <w:ind w:left="100" w:right="132" w:firstLine="40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“Contract of Carriage,” tickets (whether refundable or nonrefundable) that are sold but not flown on the travel date can be reused for another flight, up to a year from the date of sale, or can be refunded (if the ticket is refundable). This policy also applies to unused Customer funds that may be left over from exchanging a less expensive ticket for a previously purchased ticket that was more expensive.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 Holding other factors constant, a 10 percent change in the Company’s estimate of the amount of tickets that will expire unused would have resulted in a $33 million, or 0.22 percent, change in Passenger revenues recognized for 2012.</w:t>
      </w:r>
    </w:p>
    <w:p>
      <w:pPr>
        <w:pStyle w:val="BodyText"/>
        <w:spacing w:before="10"/>
      </w:pPr>
    </w:p>
    <w:p>
      <w:pPr>
        <w:pStyle w:val="BodyText"/>
        <w:spacing w:line="249" w:lineRule="auto"/>
        <w:ind w:left="100" w:right="98"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w:t>
      </w:r>
    </w:p>
    <w:p>
      <w:pPr>
        <w:pStyle w:val="BodyText"/>
        <w:spacing w:before="10"/>
      </w:pPr>
    </w:p>
    <w:p>
      <w:pPr>
        <w:pStyle w:val="BodyText"/>
        <w:spacing w:line="249" w:lineRule="auto"/>
        <w:ind w:left="100"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4"/>
        <w:rPr>
          <w:sz w:val="31"/>
        </w:rPr>
      </w:pPr>
    </w:p>
    <w:p>
      <w:pPr>
        <w:pStyle w:val="Heading3"/>
        <w:ind w:left="300"/>
      </w:pPr>
      <w:r>
        <w:rPr>
          <w:color w:val="231F20"/>
        </w:rPr>
        <w:t>Accounting for long-lived assets</w:t>
      </w:r>
    </w:p>
    <w:p>
      <w:pPr>
        <w:pStyle w:val="BodyText"/>
        <w:spacing w:line="249" w:lineRule="auto" w:before="130"/>
        <w:ind w:left="100" w:firstLine="400"/>
      </w:pPr>
      <w:r>
        <w:rPr>
          <w:color w:val="231F20"/>
        </w:rPr>
        <w:t>Flight equipment and related assets make up the majority of the Company’s long-lived assets. Flight equipment primarily relates to the 497 Boeing 737 aircraft and 10 Boeing 717 aircraft in the Company’s fleet at December 31, 2012, which are either owned or on capital lease. The remaining 109 Boeing 737 aircraft and</w:t>
      </w:r>
    </w:p>
    <w:p>
      <w:pPr>
        <w:pStyle w:val="BodyText"/>
        <w:spacing w:line="249" w:lineRule="auto" w:before="1"/>
        <w:ind w:left="100" w:right="148"/>
      </w:pPr>
      <w:r>
        <w:rPr>
          <w:color w:val="231F20"/>
        </w:rPr>
        <w:t>78 Boeing 717 aircraft in the Company’s fleet at December 31, 2012,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spacing w:after="0" w:line="249" w:lineRule="auto"/>
        <w:sectPr>
          <w:pgSz w:w="11880" w:h="15480"/>
          <w:pgMar w:header="0" w:footer="1253" w:top="1240" w:bottom="1440" w:left="1280" w:right="1300"/>
        </w:sectPr>
      </w:pPr>
    </w:p>
    <w:p>
      <w:pPr>
        <w:pStyle w:val="BodyText"/>
        <w:spacing w:line="249" w:lineRule="auto" w:before="73"/>
        <w:ind w:left="120" w:right="312" w:firstLine="400"/>
      </w:pPr>
      <w:r>
        <w:rPr>
          <w:color w:val="231F20"/>
        </w:rPr>
        <w:t>The following table shows a breakdown of the Company’s long-lived asset groups along with information about estimated useful lives and residual values for new assets generally purchased from the manufacturer:</w:t>
      </w:r>
    </w:p>
    <w:p>
      <w:pPr>
        <w:pStyle w:val="BodyText"/>
        <w:spacing w:before="10"/>
        <w:rPr>
          <w:sz w:val="9"/>
        </w:rPr>
      </w:pPr>
    </w:p>
    <w:p>
      <w:pPr>
        <w:spacing w:after="0"/>
        <w:rPr>
          <w:sz w:val="9"/>
        </w:rPr>
        <w:sectPr>
          <w:pgSz w:w="11880" w:h="15480"/>
          <w:pgMar w:header="0" w:footer="1253" w:top="1240" w:bottom="1440" w:left="1260" w:right="1280"/>
        </w:sectPr>
      </w:pPr>
    </w:p>
    <w:p>
      <w:pPr>
        <w:pStyle w:val="Heading2"/>
        <w:spacing w:line="220" w:lineRule="exact" w:before="118"/>
        <w:ind w:left="4369" w:right="-19" w:firstLine="64"/>
      </w:pPr>
      <w:r>
        <w:rPr>
          <w:color w:val="231F20"/>
        </w:rPr>
        <w:t>Estimated Useful Life</w:t>
      </w:r>
    </w:p>
    <w:p>
      <w:pPr>
        <w:spacing w:line="220" w:lineRule="exact" w:before="118"/>
        <w:ind w:left="809" w:right="1791" w:firstLine="211"/>
        <w:jc w:val="left"/>
        <w:rPr>
          <w:sz w:val="22"/>
        </w:rPr>
      </w:pPr>
      <w:r>
        <w:rPr/>
        <w:br w:type="column"/>
      </w:r>
      <w:r>
        <w:rPr>
          <w:color w:val="231F20"/>
          <w:sz w:val="22"/>
        </w:rPr>
        <w:t>Estimated Residual value</w:t>
      </w:r>
    </w:p>
    <w:p>
      <w:pPr>
        <w:spacing w:after="0" w:line="220" w:lineRule="exact"/>
        <w:jc w:val="left"/>
        <w:rPr>
          <w:sz w:val="22"/>
        </w:rPr>
        <w:sectPr>
          <w:type w:val="continuous"/>
          <w:pgSz w:w="11880" w:h="15480"/>
          <w:pgMar w:top="1200" w:bottom="280" w:left="1260" w:right="1280"/>
          <w:cols w:num="2" w:equalWidth="0">
            <w:col w:w="5378" w:space="40"/>
            <w:col w:w="3922"/>
          </w:cols>
        </w:sectPr>
      </w:pPr>
    </w:p>
    <w:p>
      <w:pPr>
        <w:tabs>
          <w:tab w:pos="6107" w:val="left" w:leader="none"/>
        </w:tabs>
        <w:spacing w:line="20" w:lineRule="exact"/>
        <w:ind w:left="3919" w:right="0" w:firstLine="0"/>
        <w:rPr>
          <w:sz w:val="2"/>
        </w:rPr>
      </w:pPr>
      <w:r>
        <w:rPr>
          <w:sz w:val="2"/>
        </w:rPr>
        <w:pict>
          <v:group style="width:95.4pt;height:1pt;mso-position-horizontal-relative:char;mso-position-vertical-relative:line" coordorigin="0,0" coordsize="1908,20">
            <v:line style="position:absolute" from="10,10" to="1898,10" stroked="true" strokeweight="1pt" strokecolor="#231f20">
              <v:stroke dashstyle="solid"/>
            </v:line>
          </v:group>
        </w:pict>
      </w:r>
      <w:r>
        <w:rPr>
          <w:sz w:val="2"/>
        </w:rPr>
      </w:r>
      <w:r>
        <w:rPr>
          <w:sz w:val="2"/>
        </w:rPr>
        <w:tab/>
      </w:r>
      <w:r>
        <w:rPr>
          <w:sz w:val="2"/>
        </w:rPr>
        <w:pict>
          <v:group style="width:77.150pt;height:1pt;mso-position-horizontal-relative:char;mso-position-vertical-relative:line" coordorigin="0,0" coordsize="1543,20">
            <v:line style="position:absolute" from="10,10" to="1533,10" stroked="true" strokeweight="1pt" strokecolor="#231f20">
              <v:stroke dashstyle="solid"/>
            </v:line>
          </v:group>
        </w:pict>
      </w:r>
      <w:r>
        <w:rPr>
          <w:sz w:val="2"/>
        </w:rPr>
      </w:r>
    </w:p>
    <w:p>
      <w:pPr>
        <w:pStyle w:val="BodyText"/>
        <w:spacing w:before="10"/>
        <w:rPr>
          <w:sz w:val="15"/>
        </w:rPr>
      </w:pPr>
    </w:p>
    <w:p>
      <w:pPr>
        <w:pStyle w:val="Heading2"/>
        <w:tabs>
          <w:tab w:pos="4251" w:val="left" w:leader="none"/>
          <w:tab w:pos="4306" w:val="left" w:leader="none"/>
          <w:tab w:pos="4478" w:val="left" w:leader="none"/>
          <w:tab w:pos="6493" w:val="left" w:leader="none"/>
          <w:tab w:pos="6731" w:val="left" w:leader="none"/>
        </w:tabs>
        <w:spacing w:line="247" w:lineRule="auto" w:before="88"/>
        <w:ind w:left="119" w:right="2074"/>
      </w:pPr>
      <w:r>
        <w:rPr>
          <w:color w:val="231F20"/>
        </w:rPr>
        <w:t>Airframes and engines   . . . . . . . . . . .</w:t>
      </w:r>
      <w:r>
        <w:rPr>
          <w:color w:val="231F20"/>
          <w:spacing w:val="-24"/>
        </w:rPr>
        <w:t> </w:t>
      </w:r>
      <w:r>
        <w:rPr>
          <w:color w:val="231F20"/>
        </w:rPr>
        <w:t>. .</w:t>
        <w:tab/>
        <w:t>23 to</w:t>
      </w:r>
      <w:r>
        <w:rPr>
          <w:color w:val="231F20"/>
          <w:spacing w:val="-1"/>
        </w:rPr>
        <w:t> </w:t>
      </w:r>
      <w:r>
        <w:rPr>
          <w:color w:val="231F20"/>
        </w:rPr>
        <w:t>25 years</w:t>
        <w:tab/>
        <w:t>2%-20% Aircraft parts . . . . . . . . . . . . . . . . . . .</w:t>
      </w:r>
      <w:r>
        <w:rPr>
          <w:color w:val="231F20"/>
          <w:spacing w:val="19"/>
        </w:rPr>
        <w:t> </w:t>
      </w:r>
      <w:r>
        <w:rPr>
          <w:color w:val="231F20"/>
        </w:rPr>
        <w:t>. .</w:t>
        <w:tab/>
        <w:tab/>
        <w:tab/>
        <w:t>Fleet life</w:t>
        <w:tab/>
        <w:tab/>
        <w:t>4% Ground property and</w:t>
      </w:r>
      <w:r>
        <w:rPr>
          <w:color w:val="231F20"/>
          <w:spacing w:val="-2"/>
        </w:rPr>
        <w:t> </w:t>
      </w:r>
      <w:r>
        <w:rPr>
          <w:color w:val="231F20"/>
        </w:rPr>
        <w:t>equipment</w:t>
      </w:r>
      <w:r>
        <w:rPr>
          <w:color w:val="231F20"/>
          <w:spacing w:val="20"/>
        </w:rPr>
        <w:t> </w:t>
      </w:r>
      <w:r>
        <w:rPr>
          <w:color w:val="231F20"/>
          <w:spacing w:val="45"/>
        </w:rPr>
        <w:t>......</w:t>
        <w:tab/>
        <w:tab/>
      </w:r>
      <w:r>
        <w:rPr>
          <w:color w:val="231F20"/>
        </w:rPr>
        <w:t>5 to</w:t>
      </w:r>
      <w:r>
        <w:rPr>
          <w:color w:val="231F20"/>
          <w:spacing w:val="-2"/>
        </w:rPr>
        <w:t> </w:t>
      </w:r>
      <w:r>
        <w:rPr>
          <w:color w:val="231F20"/>
        </w:rPr>
        <w:t>30 years</w:t>
        <w:tab/>
        <w:t>0%-10%</w:t>
      </w:r>
    </w:p>
    <w:p>
      <w:pPr>
        <w:pStyle w:val="BodyText"/>
        <w:spacing w:before="8"/>
      </w:pPr>
    </w:p>
    <w:p>
      <w:pPr>
        <w:pStyle w:val="BodyText"/>
        <w:spacing w:line="249" w:lineRule="auto"/>
        <w:ind w:left="120" w:right="99" w:firstLine="400"/>
      </w:pPr>
      <w:r>
        <w:rPr>
          <w:color w:val="231F20"/>
        </w:rPr>
        <w:t>In estimating the lives and expected residual values of its aircraft, the Company primarily has relied upon actual experience with the same or similar aircraft types, current and projected future market information, </w:t>
      </w:r>
      <w:r>
        <w:rPr>
          <w:color w:val="231F20"/>
          <w:spacing w:val="-2"/>
        </w:rPr>
        <w:t>and </w:t>
      </w:r>
      <w:r>
        <w:rPr>
          <w:color w:val="231F20"/>
        </w:rPr>
        <w:t>recommendations</w:t>
      </w:r>
      <w:r>
        <w:rPr>
          <w:color w:val="231F20"/>
          <w:spacing w:val="-14"/>
        </w:rPr>
        <w:t> </w:t>
      </w:r>
      <w:r>
        <w:rPr>
          <w:color w:val="231F20"/>
        </w:rPr>
        <w:t>from</w:t>
      </w:r>
      <w:r>
        <w:rPr>
          <w:color w:val="231F20"/>
          <w:spacing w:val="-14"/>
        </w:rPr>
        <w:t> </w:t>
      </w:r>
      <w:r>
        <w:rPr>
          <w:color w:val="231F20"/>
        </w:rPr>
        <w:t>Boeing.</w:t>
      </w:r>
      <w:r>
        <w:rPr>
          <w:color w:val="231F20"/>
          <w:spacing w:val="-14"/>
        </w:rPr>
        <w:t> </w:t>
      </w:r>
      <w:r>
        <w:rPr>
          <w:color w:val="231F20"/>
        </w:rPr>
        <w:t>Aircraft</w:t>
      </w:r>
      <w:r>
        <w:rPr>
          <w:color w:val="231F20"/>
          <w:spacing w:val="-14"/>
        </w:rPr>
        <w:t> </w:t>
      </w:r>
      <w:r>
        <w:rPr>
          <w:color w:val="231F20"/>
        </w:rPr>
        <w:t>estimated</w:t>
      </w:r>
      <w:r>
        <w:rPr>
          <w:color w:val="231F20"/>
          <w:spacing w:val="-14"/>
        </w:rPr>
        <w:t> </w:t>
      </w:r>
      <w:r>
        <w:rPr>
          <w:color w:val="231F20"/>
        </w:rPr>
        <w:t>useful</w:t>
      </w:r>
      <w:r>
        <w:rPr>
          <w:color w:val="231F20"/>
          <w:spacing w:val="-14"/>
        </w:rPr>
        <w:t> </w:t>
      </w:r>
      <w:r>
        <w:rPr>
          <w:color w:val="231F20"/>
        </w:rPr>
        <w:t>lives</w:t>
      </w:r>
      <w:r>
        <w:rPr>
          <w:color w:val="231F20"/>
          <w:spacing w:val="-14"/>
        </w:rPr>
        <w:t> </w:t>
      </w:r>
      <w:r>
        <w:rPr>
          <w:color w:val="231F20"/>
        </w:rPr>
        <w:t>are</w:t>
      </w:r>
      <w:r>
        <w:rPr>
          <w:color w:val="231F20"/>
          <w:spacing w:val="-14"/>
        </w:rPr>
        <w:t> </w:t>
      </w:r>
      <w:r>
        <w:rPr>
          <w:color w:val="231F20"/>
        </w:rPr>
        <w:t>based</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number</w:t>
      </w:r>
      <w:r>
        <w:rPr>
          <w:color w:val="231F20"/>
          <w:spacing w:val="-14"/>
        </w:rPr>
        <w:t> </w:t>
      </w:r>
      <w:r>
        <w:rPr>
          <w:color w:val="231F20"/>
        </w:rPr>
        <w:t>of</w:t>
      </w:r>
      <w:r>
        <w:rPr>
          <w:color w:val="231F20"/>
          <w:spacing w:val="-14"/>
        </w:rPr>
        <w:t> </w:t>
      </w:r>
      <w:r>
        <w:rPr>
          <w:color w:val="231F20"/>
        </w:rPr>
        <w:t>“cycles”</w:t>
      </w:r>
      <w:r>
        <w:rPr>
          <w:color w:val="231F20"/>
          <w:spacing w:val="-14"/>
        </w:rPr>
        <w:t> </w:t>
      </w:r>
      <w:r>
        <w:rPr>
          <w:color w:val="231F20"/>
        </w:rPr>
        <w:t>flown</w:t>
      </w:r>
      <w:r>
        <w:rPr>
          <w:color w:val="231F20"/>
          <w:spacing w:val="-14"/>
        </w:rPr>
        <w:t> </w:t>
      </w:r>
      <w:r>
        <w:rPr>
          <w:color w:val="231F20"/>
        </w:rPr>
        <w:t>(one</w:t>
      </w:r>
      <w:r>
        <w:rPr>
          <w:color w:val="231F20"/>
          <w:spacing w:val="-14"/>
        </w:rPr>
        <w:t> </w:t>
      </w:r>
      <w:r>
        <w:rPr>
          <w:color w:val="231F20"/>
        </w:rPr>
        <w:t>take- off</w:t>
      </w:r>
      <w:r>
        <w:rPr>
          <w:color w:val="231F20"/>
          <w:spacing w:val="-11"/>
        </w:rPr>
        <w:t> </w:t>
      </w:r>
      <w:r>
        <w:rPr>
          <w:color w:val="231F20"/>
        </w:rPr>
        <w:t>and</w:t>
      </w:r>
      <w:r>
        <w:rPr>
          <w:color w:val="231F20"/>
          <w:spacing w:val="-11"/>
        </w:rPr>
        <w:t> </w:t>
      </w:r>
      <w:r>
        <w:rPr>
          <w:color w:val="231F20"/>
        </w:rPr>
        <w:t>landing)</w:t>
      </w:r>
      <w:r>
        <w:rPr>
          <w:color w:val="231F20"/>
          <w:spacing w:val="-11"/>
        </w:rPr>
        <w:t> </w:t>
      </w:r>
      <w:r>
        <w:rPr>
          <w:color w:val="231F20"/>
        </w:rPr>
        <w:t>as</w:t>
      </w:r>
      <w:r>
        <w:rPr>
          <w:color w:val="231F20"/>
          <w:spacing w:val="-11"/>
        </w:rPr>
        <w:t> </w:t>
      </w:r>
      <w:r>
        <w:rPr>
          <w:color w:val="231F20"/>
        </w:rPr>
        <w:t>well</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aircraft</w:t>
      </w:r>
      <w:r>
        <w:rPr>
          <w:color w:val="231F20"/>
          <w:spacing w:val="-11"/>
        </w:rPr>
        <w:t> </w:t>
      </w:r>
      <w:r>
        <w:rPr>
          <w:color w:val="231F20"/>
        </w:rPr>
        <w:t>age.</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has</w:t>
      </w:r>
      <w:r>
        <w:rPr>
          <w:color w:val="231F20"/>
          <w:spacing w:val="-11"/>
        </w:rPr>
        <w:t> </w:t>
      </w:r>
      <w:r>
        <w:rPr>
          <w:color w:val="231F20"/>
        </w:rPr>
        <w:t>made</w:t>
      </w:r>
      <w:r>
        <w:rPr>
          <w:color w:val="231F20"/>
          <w:spacing w:val="-11"/>
        </w:rPr>
        <w:t> </w:t>
      </w:r>
      <w:r>
        <w:rPr>
          <w:color w:val="231F20"/>
        </w:rPr>
        <w:t>a</w:t>
      </w:r>
      <w:r>
        <w:rPr>
          <w:color w:val="231F20"/>
          <w:spacing w:val="-11"/>
        </w:rPr>
        <w:t> </w:t>
      </w:r>
      <w:r>
        <w:rPr>
          <w:color w:val="231F20"/>
        </w:rPr>
        <w:t>conversion</w:t>
      </w:r>
      <w:r>
        <w:rPr>
          <w:color w:val="231F20"/>
          <w:spacing w:val="-11"/>
        </w:rPr>
        <w:t> </w:t>
      </w:r>
      <w:r>
        <w:rPr>
          <w:color w:val="231F20"/>
        </w:rPr>
        <w:t>of</w:t>
      </w:r>
      <w:r>
        <w:rPr>
          <w:color w:val="231F20"/>
          <w:spacing w:val="-11"/>
        </w:rPr>
        <w:t> </w:t>
      </w:r>
      <w:r>
        <w:rPr>
          <w:color w:val="231F20"/>
        </w:rPr>
        <w:t>cycles</w:t>
      </w:r>
      <w:r>
        <w:rPr>
          <w:color w:val="231F20"/>
          <w:spacing w:val="-11"/>
        </w:rPr>
        <w:t> </w:t>
      </w:r>
      <w:r>
        <w:rPr>
          <w:color w:val="231F20"/>
        </w:rPr>
        <w:t>into</w:t>
      </w:r>
      <w:r>
        <w:rPr>
          <w:color w:val="231F20"/>
          <w:spacing w:val="-11"/>
        </w:rPr>
        <w:t> </w:t>
      </w:r>
      <w:r>
        <w:rPr>
          <w:color w:val="231F20"/>
        </w:rPr>
        <w:t>years</w:t>
      </w:r>
      <w:r>
        <w:rPr>
          <w:color w:val="231F20"/>
          <w:spacing w:val="-11"/>
        </w:rPr>
        <w:t> </w:t>
      </w:r>
      <w:r>
        <w:rPr>
          <w:color w:val="231F20"/>
        </w:rPr>
        <w:t>based</w:t>
      </w:r>
      <w:r>
        <w:rPr>
          <w:color w:val="231F20"/>
          <w:spacing w:val="-11"/>
        </w:rPr>
        <w:t> </w:t>
      </w:r>
      <w:r>
        <w:rPr>
          <w:color w:val="231F20"/>
        </w:rPr>
        <w:t>on</w:t>
      </w:r>
      <w:r>
        <w:rPr>
          <w:color w:val="231F20"/>
          <w:spacing w:val="-11"/>
        </w:rPr>
        <w:t> </w:t>
      </w:r>
      <w:r>
        <w:rPr>
          <w:color w:val="231F20"/>
        </w:rPr>
        <w:t>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w:t>
      </w:r>
      <w:r>
        <w:rPr>
          <w:color w:val="231F20"/>
          <w:spacing w:val="-2"/>
        </w:rPr>
        <w:t>market </w:t>
      </w:r>
      <w:r>
        <w:rPr>
          <w:color w:val="231F20"/>
        </w:rPr>
        <w:t>prices</w:t>
      </w:r>
      <w:r>
        <w:rPr>
          <w:color w:val="231F20"/>
          <w:spacing w:val="-12"/>
        </w:rPr>
        <w:t> </w:t>
      </w:r>
      <w:r>
        <w:rPr>
          <w:color w:val="231F20"/>
        </w:rPr>
        <w:t>of</w:t>
      </w:r>
      <w:r>
        <w:rPr>
          <w:color w:val="231F20"/>
          <w:spacing w:val="-12"/>
        </w:rPr>
        <w:t> </w:t>
      </w:r>
      <w:r>
        <w:rPr>
          <w:color w:val="231F20"/>
        </w:rPr>
        <w:t>new</w:t>
      </w:r>
      <w:r>
        <w:rPr>
          <w:color w:val="231F20"/>
          <w:spacing w:val="-12"/>
        </w:rPr>
        <w:t> </w:t>
      </w:r>
      <w:r>
        <w:rPr>
          <w:color w:val="231F20"/>
        </w:rPr>
        <w:t>and</w:t>
      </w:r>
      <w:r>
        <w:rPr>
          <w:color w:val="231F20"/>
          <w:spacing w:val="-12"/>
        </w:rPr>
        <w:t> </w:t>
      </w:r>
      <w:r>
        <w:rPr>
          <w:color w:val="231F20"/>
        </w:rPr>
        <w:t>used</w:t>
      </w:r>
      <w:r>
        <w:rPr>
          <w:color w:val="231F20"/>
          <w:spacing w:val="-12"/>
        </w:rPr>
        <w:t> </w:t>
      </w:r>
      <w:r>
        <w:rPr>
          <w:color w:val="231F20"/>
        </w:rPr>
        <w:t>aircraft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same</w:t>
      </w:r>
      <w:r>
        <w:rPr>
          <w:color w:val="231F20"/>
          <w:spacing w:val="-12"/>
        </w:rPr>
        <w:t> </w:t>
      </w:r>
      <w:r>
        <w:rPr>
          <w:color w:val="231F20"/>
        </w:rPr>
        <w:t>or</w:t>
      </w:r>
      <w:r>
        <w:rPr>
          <w:color w:val="231F20"/>
          <w:spacing w:val="-12"/>
        </w:rPr>
        <w:t> </w:t>
      </w:r>
      <w:r>
        <w:rPr>
          <w:color w:val="231F20"/>
        </w:rPr>
        <w:t>similar</w:t>
      </w:r>
      <w:r>
        <w:rPr>
          <w:color w:val="231F20"/>
          <w:spacing w:val="-12"/>
        </w:rPr>
        <w:t> </w:t>
      </w:r>
      <w:r>
        <w:rPr>
          <w:color w:val="231F20"/>
        </w:rPr>
        <w:t>types.</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evaluates</w:t>
      </w:r>
      <w:r>
        <w:rPr>
          <w:color w:val="231F20"/>
          <w:spacing w:val="-12"/>
        </w:rPr>
        <w:t> </w:t>
      </w:r>
      <w:r>
        <w:rPr>
          <w:color w:val="231F20"/>
        </w:rPr>
        <w:t>its</w:t>
      </w:r>
      <w:r>
        <w:rPr>
          <w:color w:val="231F20"/>
          <w:spacing w:val="-12"/>
        </w:rPr>
        <w:t> </w:t>
      </w:r>
      <w:r>
        <w:rPr>
          <w:color w:val="231F20"/>
        </w:rPr>
        <w:t>estimates</w:t>
      </w:r>
      <w:r>
        <w:rPr>
          <w:color w:val="231F20"/>
          <w:spacing w:val="-12"/>
        </w:rPr>
        <w:t> </w:t>
      </w:r>
      <w:r>
        <w:rPr>
          <w:color w:val="231F20"/>
        </w:rPr>
        <w:t>and</w:t>
      </w:r>
      <w:r>
        <w:rPr>
          <w:color w:val="231F20"/>
          <w:spacing w:val="-12"/>
        </w:rPr>
        <w:t> </w:t>
      </w:r>
      <w:r>
        <w:rPr>
          <w:color w:val="231F20"/>
        </w:rPr>
        <w:t>assumptions each</w:t>
      </w:r>
      <w:r>
        <w:rPr>
          <w:color w:val="231F20"/>
          <w:spacing w:val="-14"/>
        </w:rPr>
        <w:t> </w:t>
      </w:r>
      <w:r>
        <w:rPr>
          <w:color w:val="231F20"/>
        </w:rPr>
        <w:t>reporting</w:t>
      </w:r>
      <w:r>
        <w:rPr>
          <w:color w:val="231F20"/>
          <w:spacing w:val="-14"/>
        </w:rPr>
        <w:t> </w:t>
      </w:r>
      <w:r>
        <w:rPr>
          <w:color w:val="231F20"/>
        </w:rPr>
        <w:t>period</w:t>
      </w:r>
      <w:r>
        <w:rPr>
          <w:color w:val="231F20"/>
          <w:spacing w:val="-14"/>
        </w:rPr>
        <w:t> </w:t>
      </w:r>
      <w:r>
        <w:rPr>
          <w:color w:val="231F20"/>
        </w:rPr>
        <w:t>and,</w:t>
      </w:r>
      <w:r>
        <w:rPr>
          <w:color w:val="231F20"/>
          <w:spacing w:val="-14"/>
        </w:rPr>
        <w:t> </w:t>
      </w:r>
      <w:r>
        <w:rPr>
          <w:color w:val="231F20"/>
        </w:rPr>
        <w:t>when</w:t>
      </w:r>
      <w:r>
        <w:rPr>
          <w:color w:val="231F20"/>
          <w:spacing w:val="-14"/>
        </w:rPr>
        <w:t> </w:t>
      </w:r>
      <w:r>
        <w:rPr>
          <w:color w:val="231F20"/>
        </w:rPr>
        <w:t>warranted,</w:t>
      </w:r>
      <w:r>
        <w:rPr>
          <w:color w:val="231F20"/>
          <w:spacing w:val="-14"/>
        </w:rPr>
        <w:t> </w:t>
      </w:r>
      <w:r>
        <w:rPr>
          <w:color w:val="231F20"/>
        </w:rPr>
        <w:t>adjusts</w:t>
      </w:r>
      <w:r>
        <w:rPr>
          <w:color w:val="231F20"/>
          <w:spacing w:val="-14"/>
        </w:rPr>
        <w:t> </w:t>
      </w:r>
      <w:r>
        <w:rPr>
          <w:color w:val="231F20"/>
        </w:rPr>
        <w:t>these</w:t>
      </w:r>
      <w:r>
        <w:rPr>
          <w:color w:val="231F20"/>
          <w:spacing w:val="-14"/>
        </w:rPr>
        <w:t> </w:t>
      </w:r>
      <w:r>
        <w:rPr>
          <w:color w:val="231F20"/>
        </w:rPr>
        <w:t>estimates</w:t>
      </w:r>
      <w:r>
        <w:rPr>
          <w:color w:val="231F20"/>
          <w:spacing w:val="-14"/>
        </w:rPr>
        <w:t> </w:t>
      </w:r>
      <w:r>
        <w:rPr>
          <w:color w:val="231F20"/>
        </w:rPr>
        <w:t>and</w:t>
      </w:r>
      <w:r>
        <w:rPr>
          <w:color w:val="231F20"/>
          <w:spacing w:val="-14"/>
        </w:rPr>
        <w:t> </w:t>
      </w:r>
      <w:r>
        <w:rPr>
          <w:color w:val="231F20"/>
        </w:rPr>
        <w:t>assumptions.</w:t>
      </w:r>
      <w:r>
        <w:rPr>
          <w:color w:val="231F20"/>
          <w:spacing w:val="-14"/>
        </w:rPr>
        <w:t> </w:t>
      </w:r>
      <w:r>
        <w:rPr>
          <w:color w:val="231F20"/>
        </w:rPr>
        <w:t>Generally,</w:t>
      </w:r>
      <w:r>
        <w:rPr>
          <w:color w:val="231F20"/>
          <w:spacing w:val="-14"/>
        </w:rPr>
        <w:t> </w:t>
      </w:r>
      <w:r>
        <w:rPr>
          <w:color w:val="231F20"/>
        </w:rPr>
        <w:t>these</w:t>
      </w:r>
      <w:r>
        <w:rPr>
          <w:color w:val="231F20"/>
          <w:spacing w:val="-14"/>
        </w:rPr>
        <w:t> </w:t>
      </w:r>
      <w:r>
        <w:rPr>
          <w:color w:val="231F20"/>
        </w:rPr>
        <w:t>adjustments are</w:t>
      </w:r>
      <w:r>
        <w:rPr>
          <w:color w:val="231F20"/>
          <w:spacing w:val="-14"/>
        </w:rPr>
        <w:t> </w:t>
      </w:r>
      <w:r>
        <w:rPr>
          <w:color w:val="231F20"/>
        </w:rPr>
        <w:t>accounted</w:t>
      </w:r>
      <w:r>
        <w:rPr>
          <w:color w:val="231F20"/>
          <w:spacing w:val="-14"/>
        </w:rPr>
        <w:t> </w:t>
      </w:r>
      <w:r>
        <w:rPr>
          <w:color w:val="231F20"/>
        </w:rPr>
        <w:t>for</w:t>
      </w:r>
      <w:r>
        <w:rPr>
          <w:color w:val="231F20"/>
          <w:spacing w:val="-14"/>
        </w:rPr>
        <w:t> </w:t>
      </w:r>
      <w:r>
        <w:rPr>
          <w:color w:val="231F20"/>
        </w:rPr>
        <w:t>on</w:t>
      </w:r>
      <w:r>
        <w:rPr>
          <w:color w:val="231F20"/>
          <w:spacing w:val="-14"/>
        </w:rPr>
        <w:t> </w:t>
      </w:r>
      <w:r>
        <w:rPr>
          <w:color w:val="231F20"/>
        </w:rPr>
        <w:t>a</w:t>
      </w:r>
      <w:r>
        <w:rPr>
          <w:color w:val="231F20"/>
          <w:spacing w:val="-14"/>
        </w:rPr>
        <w:t> </w:t>
      </w:r>
      <w:r>
        <w:rPr>
          <w:color w:val="231F20"/>
        </w:rPr>
        <w:t>prospective</w:t>
      </w:r>
      <w:r>
        <w:rPr>
          <w:color w:val="231F20"/>
          <w:spacing w:val="-14"/>
        </w:rPr>
        <w:t> </w:t>
      </w:r>
      <w:r>
        <w:rPr>
          <w:color w:val="231F20"/>
        </w:rPr>
        <w:t>basis</w:t>
      </w:r>
      <w:r>
        <w:rPr>
          <w:color w:val="231F20"/>
          <w:spacing w:val="-14"/>
        </w:rPr>
        <w:t> </w:t>
      </w:r>
      <w:r>
        <w:rPr>
          <w:color w:val="231F20"/>
        </w:rPr>
        <w:t>through</w:t>
      </w:r>
      <w:r>
        <w:rPr>
          <w:color w:val="231F20"/>
          <w:spacing w:val="-14"/>
        </w:rPr>
        <w:t> </w:t>
      </w:r>
      <w:r>
        <w:rPr>
          <w:color w:val="231F20"/>
        </w:rPr>
        <w:t>depreciation</w:t>
      </w:r>
      <w:r>
        <w:rPr>
          <w:color w:val="231F20"/>
          <w:spacing w:val="-14"/>
        </w:rPr>
        <w:t> </w:t>
      </w:r>
      <w:r>
        <w:rPr>
          <w:color w:val="231F20"/>
        </w:rPr>
        <w:t>and</w:t>
      </w:r>
      <w:r>
        <w:rPr>
          <w:color w:val="231F20"/>
          <w:spacing w:val="-14"/>
        </w:rPr>
        <w:t> </w:t>
      </w:r>
      <w:r>
        <w:rPr>
          <w:color w:val="231F20"/>
        </w:rPr>
        <w:t>amortization</w:t>
      </w:r>
      <w:r>
        <w:rPr>
          <w:color w:val="231F20"/>
          <w:spacing w:val="-14"/>
        </w:rPr>
        <w:t> </w:t>
      </w:r>
      <w:r>
        <w:rPr>
          <w:color w:val="231F20"/>
        </w:rPr>
        <w:t>expense.</w:t>
      </w:r>
      <w:r>
        <w:rPr>
          <w:color w:val="231F20"/>
          <w:spacing w:val="-14"/>
        </w:rPr>
        <w:t> </w:t>
      </w:r>
      <w:r>
        <w:rPr>
          <w:color w:val="231F20"/>
        </w:rPr>
        <w:t>For</w:t>
      </w:r>
      <w:r>
        <w:rPr>
          <w:color w:val="231F20"/>
          <w:spacing w:val="-14"/>
        </w:rPr>
        <w:t> </w:t>
      </w:r>
      <w:r>
        <w:rPr>
          <w:color w:val="231F20"/>
        </w:rPr>
        <w:t>example,</w:t>
      </w:r>
      <w:r>
        <w:rPr>
          <w:color w:val="231F20"/>
          <w:spacing w:val="-14"/>
        </w:rPr>
        <w:t> </w:t>
      </w:r>
      <w:r>
        <w:rPr>
          <w:color w:val="231F20"/>
        </w:rPr>
        <w:t>during</w:t>
      </w:r>
      <w:r>
        <w:rPr>
          <w:color w:val="231F20"/>
          <w:spacing w:val="-14"/>
        </w:rPr>
        <w:t> </w:t>
      </w:r>
      <w:r>
        <w:rPr>
          <w:color w:val="231F20"/>
          <w:spacing w:val="-2"/>
        </w:rPr>
        <w:t>fourth </w:t>
      </w:r>
      <w:r>
        <w:rPr>
          <w:color w:val="231F20"/>
        </w:rPr>
        <w:t>quarter 2010, and again in third quarter 2012, the Company changed the estimated residual values of its </w:t>
      </w:r>
      <w:r>
        <w:rPr>
          <w:color w:val="231F20"/>
          <w:spacing w:val="-2"/>
        </w:rPr>
        <w:t>entire </w:t>
      </w:r>
      <w:r>
        <w:rPr>
          <w:color w:val="231F20"/>
        </w:rPr>
        <w:t>remaining fleet of owned 737-300 and 737-500 aircraft. Based on current and expected future market conditions related to these aircraft, as well as a significant change in the way the Company expects to utilize the fleet, </w:t>
      </w:r>
      <w:r>
        <w:rPr>
          <w:color w:val="231F20"/>
          <w:spacing w:val="-2"/>
        </w:rPr>
        <w:t>the </w:t>
      </w:r>
      <w:r>
        <w:rPr>
          <w:color w:val="231F20"/>
        </w:rPr>
        <w:t>Company</w:t>
      </w:r>
      <w:r>
        <w:rPr>
          <w:color w:val="231F20"/>
          <w:spacing w:val="-14"/>
        </w:rPr>
        <w:t> </w:t>
      </w:r>
      <w:r>
        <w:rPr>
          <w:color w:val="231F20"/>
        </w:rPr>
        <w:t>reduced</w:t>
      </w:r>
      <w:r>
        <w:rPr>
          <w:color w:val="231F20"/>
          <w:spacing w:val="-14"/>
        </w:rPr>
        <w:t> </w:t>
      </w:r>
      <w:r>
        <w:rPr>
          <w:color w:val="231F20"/>
        </w:rPr>
        <w:t>the</w:t>
      </w:r>
      <w:r>
        <w:rPr>
          <w:color w:val="231F20"/>
          <w:spacing w:val="-14"/>
        </w:rPr>
        <w:t> </w:t>
      </w:r>
      <w:r>
        <w:rPr>
          <w:color w:val="231F20"/>
        </w:rPr>
        <w:t>residual</w:t>
      </w:r>
      <w:r>
        <w:rPr>
          <w:color w:val="231F20"/>
          <w:spacing w:val="-14"/>
        </w:rPr>
        <w:t> </w:t>
      </w:r>
      <w:r>
        <w:rPr>
          <w:color w:val="231F20"/>
        </w:rPr>
        <w:t>values</w:t>
      </w:r>
      <w:r>
        <w:rPr>
          <w:color w:val="231F20"/>
          <w:spacing w:val="-14"/>
        </w:rPr>
        <w:t> </w:t>
      </w:r>
      <w:r>
        <w:rPr>
          <w:color w:val="231F20"/>
        </w:rPr>
        <w:t>of</w:t>
      </w:r>
      <w:r>
        <w:rPr>
          <w:color w:val="231F20"/>
          <w:spacing w:val="-14"/>
        </w:rPr>
        <w:t> </w:t>
      </w:r>
      <w:r>
        <w:rPr>
          <w:color w:val="231F20"/>
        </w:rPr>
        <w:t>these</w:t>
      </w:r>
      <w:r>
        <w:rPr>
          <w:color w:val="231F20"/>
          <w:spacing w:val="-14"/>
        </w:rPr>
        <w:t> </w:t>
      </w:r>
      <w:r>
        <w:rPr>
          <w:color w:val="231F20"/>
        </w:rPr>
        <w:t>aircraft.</w:t>
      </w:r>
      <w:r>
        <w:rPr>
          <w:color w:val="231F20"/>
          <w:spacing w:val="-14"/>
        </w:rPr>
        <w:t> </w:t>
      </w:r>
      <w:r>
        <w:rPr>
          <w:color w:val="231F20"/>
        </w:rPr>
        <w:t>This</w:t>
      </w:r>
      <w:r>
        <w:rPr>
          <w:color w:val="231F20"/>
          <w:spacing w:val="-14"/>
        </w:rPr>
        <w:t> </w:t>
      </w:r>
      <w:r>
        <w:rPr>
          <w:color w:val="231F20"/>
        </w:rPr>
        <w:t>fleet</w:t>
      </w:r>
      <w:r>
        <w:rPr>
          <w:color w:val="231F20"/>
          <w:spacing w:val="-14"/>
        </w:rPr>
        <w:t> </w:t>
      </w:r>
      <w:r>
        <w:rPr>
          <w:color w:val="231F20"/>
        </w:rPr>
        <w:t>originally</w:t>
      </w:r>
      <w:r>
        <w:rPr>
          <w:color w:val="231F20"/>
          <w:spacing w:val="-14"/>
        </w:rPr>
        <w:t> </w:t>
      </w:r>
      <w:r>
        <w:rPr>
          <w:color w:val="231F20"/>
        </w:rPr>
        <w:t>had</w:t>
      </w:r>
      <w:r>
        <w:rPr>
          <w:color w:val="231F20"/>
          <w:spacing w:val="-14"/>
        </w:rPr>
        <w:t> </w:t>
      </w:r>
      <w:r>
        <w:rPr>
          <w:color w:val="231F20"/>
        </w:rPr>
        <w:t>residual</w:t>
      </w:r>
      <w:r>
        <w:rPr>
          <w:color w:val="231F20"/>
          <w:spacing w:val="-14"/>
        </w:rPr>
        <w:t> </w:t>
      </w:r>
      <w:r>
        <w:rPr>
          <w:color w:val="231F20"/>
        </w:rPr>
        <w:t>values</w:t>
      </w:r>
      <w:r>
        <w:rPr>
          <w:color w:val="231F20"/>
          <w:spacing w:val="-14"/>
        </w:rPr>
        <w:t> </w:t>
      </w:r>
      <w:r>
        <w:rPr>
          <w:color w:val="231F20"/>
        </w:rPr>
        <w:t>of</w:t>
      </w:r>
      <w:r>
        <w:rPr>
          <w:color w:val="231F20"/>
          <w:spacing w:val="-14"/>
        </w:rPr>
        <w:t> </w:t>
      </w:r>
      <w:r>
        <w:rPr>
          <w:color w:val="231F20"/>
          <w:spacing w:val="-2"/>
        </w:rPr>
        <w:t>approximately</w:t>
      </w:r>
    </w:p>
    <w:p>
      <w:pPr>
        <w:pStyle w:val="BodyText"/>
        <w:spacing w:line="249" w:lineRule="auto"/>
        <w:ind w:left="120" w:right="100"/>
      </w:pPr>
      <w:r>
        <w:rPr>
          <w:color w:val="231F20"/>
        </w:rPr>
        <w:t>15</w:t>
      </w:r>
      <w:r>
        <w:rPr>
          <w:color w:val="231F20"/>
          <w:spacing w:val="-12"/>
        </w:rPr>
        <w:t> </w:t>
      </w:r>
      <w:r>
        <w:rPr>
          <w:color w:val="231F20"/>
        </w:rPr>
        <w:t>percent</w:t>
      </w:r>
      <w:r>
        <w:rPr>
          <w:color w:val="231F20"/>
          <w:spacing w:val="-12"/>
        </w:rPr>
        <w:t> </w:t>
      </w:r>
      <w:r>
        <w:rPr>
          <w:color w:val="231F20"/>
        </w:rPr>
        <w:t>of</w:t>
      </w:r>
      <w:r>
        <w:rPr>
          <w:color w:val="231F20"/>
          <w:spacing w:val="-12"/>
        </w:rPr>
        <w:t> </w:t>
      </w:r>
      <w:r>
        <w:rPr>
          <w:color w:val="231F20"/>
        </w:rPr>
        <w:t>original</w:t>
      </w:r>
      <w:r>
        <w:rPr>
          <w:color w:val="231F20"/>
          <w:spacing w:val="-12"/>
        </w:rPr>
        <w:t> </w:t>
      </w:r>
      <w:r>
        <w:rPr>
          <w:color w:val="231F20"/>
        </w:rPr>
        <w:t>cost,</w:t>
      </w:r>
      <w:r>
        <w:rPr>
          <w:color w:val="231F20"/>
          <w:spacing w:val="-12"/>
        </w:rPr>
        <w:t> </w:t>
      </w:r>
      <w:r>
        <w:rPr>
          <w:color w:val="231F20"/>
        </w:rPr>
        <w:t>but</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current</w:t>
      </w:r>
      <w:r>
        <w:rPr>
          <w:color w:val="231F20"/>
          <w:spacing w:val="-12"/>
        </w:rPr>
        <w:t> </w:t>
      </w:r>
      <w:r>
        <w:rPr>
          <w:color w:val="231F20"/>
        </w:rPr>
        <w:t>estimates,</w:t>
      </w:r>
      <w:r>
        <w:rPr>
          <w:color w:val="231F20"/>
          <w:spacing w:val="-12"/>
        </w:rPr>
        <w:t> </w:t>
      </w:r>
      <w:r>
        <w:rPr>
          <w:color w:val="231F20"/>
        </w:rPr>
        <w:t>now</w:t>
      </w:r>
      <w:r>
        <w:rPr>
          <w:color w:val="231F20"/>
          <w:spacing w:val="-13"/>
        </w:rPr>
        <w:t> </w:t>
      </w:r>
      <w:r>
        <w:rPr>
          <w:color w:val="231F20"/>
        </w:rPr>
        <w:t>has</w:t>
      </w:r>
      <w:r>
        <w:rPr>
          <w:color w:val="231F20"/>
          <w:spacing w:val="-12"/>
        </w:rPr>
        <w:t> </w:t>
      </w:r>
      <w:r>
        <w:rPr>
          <w:color w:val="231F20"/>
        </w:rPr>
        <w:t>residual</w:t>
      </w:r>
      <w:r>
        <w:rPr>
          <w:color w:val="231F20"/>
          <w:spacing w:val="-12"/>
        </w:rPr>
        <w:t> </w:t>
      </w:r>
      <w:r>
        <w:rPr>
          <w:color w:val="231F20"/>
        </w:rPr>
        <w:t>values</w:t>
      </w:r>
      <w:r>
        <w:rPr>
          <w:color w:val="231F20"/>
          <w:spacing w:val="-12"/>
        </w:rPr>
        <w:t> </w:t>
      </w:r>
      <w:r>
        <w:rPr>
          <w:color w:val="231F20"/>
        </w:rPr>
        <w:t>of</w:t>
      </w:r>
      <w:r>
        <w:rPr>
          <w:color w:val="231F20"/>
          <w:spacing w:val="-12"/>
        </w:rPr>
        <w:t> </w:t>
      </w:r>
      <w:r>
        <w:rPr>
          <w:color w:val="231F20"/>
        </w:rPr>
        <w:t>approximately</w:t>
      </w:r>
      <w:r>
        <w:rPr>
          <w:color w:val="231F20"/>
          <w:spacing w:val="-12"/>
        </w:rPr>
        <w:t> </w:t>
      </w:r>
      <w:r>
        <w:rPr>
          <w:color w:val="231F20"/>
        </w:rPr>
        <w:t>two</w:t>
      </w:r>
      <w:r>
        <w:rPr>
          <w:color w:val="231F20"/>
          <w:spacing w:val="-12"/>
        </w:rPr>
        <w:t> </w:t>
      </w:r>
      <w:r>
        <w:rPr>
          <w:color w:val="231F20"/>
        </w:rPr>
        <w:t>percent</w:t>
      </w:r>
      <w:r>
        <w:rPr>
          <w:color w:val="231F20"/>
          <w:spacing w:val="-12"/>
        </w:rPr>
        <w:t> </w:t>
      </w:r>
      <w:r>
        <w:rPr>
          <w:color w:val="231F20"/>
        </w:rPr>
        <w:t>of original cost. This determination was made based on the continuous assessment of the market for these older aircraft,</w:t>
      </w:r>
      <w:r>
        <w:rPr>
          <w:color w:val="231F20"/>
          <w:spacing w:val="-12"/>
        </w:rPr>
        <w:t> </w:t>
      </w:r>
      <w:r>
        <w:rPr>
          <w:color w:val="231F20"/>
        </w:rPr>
        <w:t>as</w:t>
      </w:r>
      <w:r>
        <w:rPr>
          <w:color w:val="231F20"/>
          <w:spacing w:val="-12"/>
        </w:rPr>
        <w:t> </w:t>
      </w:r>
      <w:r>
        <w:rPr>
          <w:color w:val="231F20"/>
        </w:rPr>
        <w:t>many</w:t>
      </w:r>
      <w:r>
        <w:rPr>
          <w:color w:val="231F20"/>
          <w:spacing w:val="-12"/>
        </w:rPr>
        <w:t> </w:t>
      </w:r>
      <w:r>
        <w:rPr>
          <w:color w:val="231F20"/>
        </w:rPr>
        <w:t>buyers</w:t>
      </w:r>
      <w:r>
        <w:rPr>
          <w:color w:val="231F20"/>
          <w:spacing w:val="-12"/>
        </w:rPr>
        <w:t> </w:t>
      </w:r>
      <w:r>
        <w:rPr>
          <w:color w:val="231F20"/>
        </w:rPr>
        <w:t>of</w:t>
      </w:r>
      <w:r>
        <w:rPr>
          <w:color w:val="231F20"/>
          <w:spacing w:val="-12"/>
        </w:rPr>
        <w:t> </w:t>
      </w:r>
      <w:r>
        <w:rPr>
          <w:color w:val="231F20"/>
        </w:rPr>
        <w:t>used</w:t>
      </w:r>
      <w:r>
        <w:rPr>
          <w:color w:val="231F20"/>
          <w:spacing w:val="-12"/>
        </w:rPr>
        <w:t> </w:t>
      </w:r>
      <w:r>
        <w:rPr>
          <w:color w:val="231F20"/>
        </w:rPr>
        <w:t>aircraft</w:t>
      </w:r>
      <w:r>
        <w:rPr>
          <w:color w:val="231F20"/>
          <w:spacing w:val="-12"/>
        </w:rPr>
        <w:t> </w:t>
      </w:r>
      <w:r>
        <w:rPr>
          <w:color w:val="231F20"/>
        </w:rPr>
        <w:t>prefer</w:t>
      </w:r>
      <w:r>
        <w:rPr>
          <w:color w:val="231F20"/>
          <w:spacing w:val="-12"/>
        </w:rPr>
        <w:t> </w:t>
      </w:r>
      <w:r>
        <w:rPr>
          <w:color w:val="231F20"/>
        </w:rPr>
        <w:t>newer,</w:t>
      </w:r>
      <w:r>
        <w:rPr>
          <w:color w:val="231F20"/>
          <w:spacing w:val="-12"/>
        </w:rPr>
        <w:t> </w:t>
      </w:r>
      <w:r>
        <w:rPr>
          <w:color w:val="231F20"/>
        </w:rPr>
        <w:t>more</w:t>
      </w:r>
      <w:r>
        <w:rPr>
          <w:color w:val="231F20"/>
          <w:spacing w:val="-12"/>
        </w:rPr>
        <w:t> </w:t>
      </w:r>
      <w:r>
        <w:rPr>
          <w:color w:val="231F20"/>
        </w:rPr>
        <w:t>fuel</w:t>
      </w:r>
      <w:r>
        <w:rPr>
          <w:color w:val="231F20"/>
          <w:spacing w:val="-12"/>
        </w:rPr>
        <w:t> </w:t>
      </w:r>
      <w:r>
        <w:rPr>
          <w:color w:val="231F20"/>
        </w:rPr>
        <w:t>efficient</w:t>
      </w:r>
      <w:r>
        <w:rPr>
          <w:color w:val="231F20"/>
          <w:spacing w:val="-12"/>
        </w:rPr>
        <w:t> </w:t>
      </w:r>
      <w:r>
        <w:rPr>
          <w:color w:val="231F20"/>
        </w:rPr>
        <w:t>models,</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increase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number</w:t>
      </w:r>
      <w:r>
        <w:rPr>
          <w:color w:val="231F20"/>
          <w:spacing w:val="-12"/>
        </w:rPr>
        <w:t> </w:t>
      </w:r>
      <w:r>
        <w:rPr>
          <w:color w:val="231F20"/>
        </w:rPr>
        <w:t>of airlines</w:t>
      </w:r>
      <w:r>
        <w:rPr>
          <w:color w:val="231F20"/>
          <w:spacing w:val="-13"/>
        </w:rPr>
        <w:t> </w:t>
      </w:r>
      <w:r>
        <w:rPr>
          <w:color w:val="231F20"/>
        </w:rPr>
        <w:t>retiring</w:t>
      </w:r>
      <w:r>
        <w:rPr>
          <w:color w:val="231F20"/>
          <w:spacing w:val="-13"/>
        </w:rPr>
        <w:t> </w:t>
      </w:r>
      <w:r>
        <w:rPr>
          <w:color w:val="231F20"/>
        </w:rPr>
        <w:t>these</w:t>
      </w:r>
      <w:r>
        <w:rPr>
          <w:color w:val="231F20"/>
          <w:spacing w:val="-13"/>
        </w:rPr>
        <w:t> </w:t>
      </w:r>
      <w:r>
        <w:rPr>
          <w:color w:val="231F20"/>
        </w:rPr>
        <w:t>older</w:t>
      </w:r>
      <w:r>
        <w:rPr>
          <w:color w:val="231F20"/>
          <w:spacing w:val="-13"/>
        </w:rPr>
        <w:t> </w:t>
      </w:r>
      <w:r>
        <w:rPr>
          <w:color w:val="231F20"/>
        </w:rPr>
        <w:t>aircraft,</w:t>
      </w:r>
      <w:r>
        <w:rPr>
          <w:color w:val="231F20"/>
          <w:spacing w:val="-13"/>
        </w:rPr>
        <w:t> </w:t>
      </w:r>
      <w:r>
        <w:rPr>
          <w:color w:val="231F20"/>
        </w:rPr>
        <w:t>which</w:t>
      </w:r>
      <w:r>
        <w:rPr>
          <w:color w:val="231F20"/>
          <w:spacing w:val="-13"/>
        </w:rPr>
        <w:t> </w:t>
      </w:r>
      <w:r>
        <w:rPr>
          <w:color w:val="231F20"/>
        </w:rPr>
        <w:t>has</w:t>
      </w:r>
      <w:r>
        <w:rPr>
          <w:color w:val="231F20"/>
          <w:spacing w:val="-13"/>
        </w:rPr>
        <w:t> </w:t>
      </w:r>
      <w:r>
        <w:rPr>
          <w:color w:val="231F20"/>
        </w:rPr>
        <w:t>increased</w:t>
      </w:r>
      <w:r>
        <w:rPr>
          <w:color w:val="231F20"/>
          <w:spacing w:val="-13"/>
        </w:rPr>
        <w:t> </w:t>
      </w:r>
      <w:r>
        <w:rPr>
          <w:color w:val="231F20"/>
        </w:rPr>
        <w:t>the</w:t>
      </w:r>
      <w:r>
        <w:rPr>
          <w:color w:val="231F20"/>
          <w:spacing w:val="-13"/>
        </w:rPr>
        <w:t> </w:t>
      </w:r>
      <w:r>
        <w:rPr>
          <w:color w:val="231F20"/>
        </w:rPr>
        <w:t>supply</w:t>
      </w:r>
      <w:r>
        <w:rPr>
          <w:color w:val="231F20"/>
          <w:spacing w:val="-13"/>
        </w:rPr>
        <w:t> </w:t>
      </w:r>
      <w:r>
        <w:rPr>
          <w:color w:val="231F20"/>
        </w:rPr>
        <w:t>of</w:t>
      </w:r>
      <w:r>
        <w:rPr>
          <w:color w:val="231F20"/>
          <w:spacing w:val="-13"/>
        </w:rPr>
        <w:t> </w:t>
      </w:r>
      <w:r>
        <w:rPr>
          <w:color w:val="231F20"/>
        </w:rPr>
        <w:t>older</w:t>
      </w:r>
      <w:r>
        <w:rPr>
          <w:color w:val="231F20"/>
          <w:spacing w:val="-13"/>
        </w:rPr>
        <w:t> </w:t>
      </w:r>
      <w:r>
        <w:rPr>
          <w:color w:val="231F20"/>
        </w:rPr>
        <w:t>aircraft</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market.</w:t>
      </w:r>
      <w:r>
        <w:rPr>
          <w:color w:val="231F20"/>
          <w:spacing w:val="-13"/>
        </w:rPr>
        <w:t> </w:t>
      </w:r>
      <w:r>
        <w:rPr>
          <w:color w:val="231F20"/>
        </w:rPr>
        <w:t>As</w:t>
      </w:r>
      <w:r>
        <w:rPr>
          <w:color w:val="231F20"/>
          <w:spacing w:val="-13"/>
        </w:rPr>
        <w:t> </w:t>
      </w:r>
      <w:r>
        <w:rPr>
          <w:color w:val="231F20"/>
        </w:rPr>
        <w:t>this</w:t>
      </w:r>
      <w:r>
        <w:rPr>
          <w:color w:val="231F20"/>
          <w:spacing w:val="-13"/>
        </w:rPr>
        <w:t> </w:t>
      </w:r>
      <w:r>
        <w:rPr>
          <w:color w:val="231F20"/>
        </w:rPr>
        <w:t>reduction in residual value is considered a change in estimate, it was accounted for on a prospective basis, and thus </w:t>
      </w:r>
      <w:r>
        <w:rPr>
          <w:color w:val="231F20"/>
          <w:spacing w:val="-2"/>
        </w:rPr>
        <w:t>the </w:t>
      </w:r>
      <w:r>
        <w:rPr>
          <w:color w:val="231F20"/>
        </w:rPr>
        <w:t>Company</w:t>
      </w:r>
      <w:r>
        <w:rPr>
          <w:color w:val="231F20"/>
          <w:spacing w:val="-14"/>
        </w:rPr>
        <w:t> </w:t>
      </w:r>
      <w:r>
        <w:rPr>
          <w:color w:val="231F20"/>
        </w:rPr>
        <w:t>has</w:t>
      </w:r>
      <w:r>
        <w:rPr>
          <w:color w:val="231F20"/>
          <w:spacing w:val="-14"/>
        </w:rPr>
        <w:t> </w:t>
      </w:r>
      <w:r>
        <w:rPr>
          <w:color w:val="231F20"/>
        </w:rPr>
        <w:t>effectively</w:t>
      </w:r>
      <w:r>
        <w:rPr>
          <w:color w:val="231F20"/>
          <w:spacing w:val="-14"/>
        </w:rPr>
        <w:t> </w:t>
      </w:r>
      <w:r>
        <w:rPr>
          <w:color w:val="231F20"/>
        </w:rPr>
        <w:t>accelerated</w:t>
      </w:r>
      <w:r>
        <w:rPr>
          <w:color w:val="231F20"/>
          <w:spacing w:val="-14"/>
        </w:rPr>
        <w:t> </w:t>
      </w:r>
      <w:r>
        <w:rPr>
          <w:color w:val="231F20"/>
        </w:rPr>
        <w:t>the</w:t>
      </w:r>
      <w:r>
        <w:rPr>
          <w:color w:val="231F20"/>
          <w:spacing w:val="-14"/>
        </w:rPr>
        <w:t> </w:t>
      </w:r>
      <w:r>
        <w:rPr>
          <w:color w:val="231F20"/>
        </w:rPr>
        <w:t>recording</w:t>
      </w:r>
      <w:r>
        <w:rPr>
          <w:color w:val="231F20"/>
          <w:spacing w:val="-14"/>
        </w:rPr>
        <w:t> </w:t>
      </w:r>
      <w:r>
        <w:rPr>
          <w:color w:val="231F20"/>
        </w:rPr>
        <w:t>of</w:t>
      </w:r>
      <w:r>
        <w:rPr>
          <w:color w:val="231F20"/>
          <w:spacing w:val="-14"/>
        </w:rPr>
        <w:t> </w:t>
      </w:r>
      <w:r>
        <w:rPr>
          <w:color w:val="231F20"/>
        </w:rPr>
        <w:t>depreciation</w:t>
      </w:r>
      <w:r>
        <w:rPr>
          <w:color w:val="231F20"/>
          <w:spacing w:val="-14"/>
        </w:rPr>
        <w:t> </w:t>
      </w:r>
      <w:r>
        <w:rPr>
          <w:color w:val="231F20"/>
        </w:rPr>
        <w:t>expense</w:t>
      </w:r>
      <w:r>
        <w:rPr>
          <w:color w:val="231F20"/>
          <w:spacing w:val="-14"/>
        </w:rPr>
        <w:t> </w:t>
      </w:r>
      <w:r>
        <w:rPr>
          <w:color w:val="231F20"/>
        </w:rPr>
        <w:t>over</w:t>
      </w:r>
      <w:r>
        <w:rPr>
          <w:color w:val="231F20"/>
          <w:spacing w:val="-14"/>
        </w:rPr>
        <w:t> </w:t>
      </w:r>
      <w:r>
        <w:rPr>
          <w:color w:val="231F20"/>
        </w:rPr>
        <w:t>the</w:t>
      </w:r>
      <w:r>
        <w:rPr>
          <w:color w:val="231F20"/>
          <w:spacing w:val="-14"/>
        </w:rPr>
        <w:t> </w:t>
      </w:r>
      <w:r>
        <w:rPr>
          <w:color w:val="231F20"/>
        </w:rPr>
        <w:t>remainder</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useful</w:t>
      </w:r>
      <w:r>
        <w:rPr>
          <w:color w:val="231F20"/>
          <w:spacing w:val="-14"/>
        </w:rPr>
        <w:t> </w:t>
      </w:r>
      <w:r>
        <w:rPr>
          <w:color w:val="231F20"/>
        </w:rPr>
        <w:t>lives</w:t>
      </w:r>
      <w:r>
        <w:rPr>
          <w:color w:val="231F20"/>
          <w:spacing w:val="-14"/>
        </w:rPr>
        <w:t> </w:t>
      </w:r>
      <w:r>
        <w:rPr>
          <w:color w:val="231F20"/>
          <w:spacing w:val="-2"/>
        </w:rPr>
        <w:t>for </w:t>
      </w:r>
      <w:r>
        <w:rPr>
          <w:color w:val="231F20"/>
        </w:rPr>
        <w:t>each aircraft in each instance. The Company does not believe these changes in estimates towards the end of </w:t>
      </w:r>
      <w:r>
        <w:rPr>
          <w:color w:val="231F20"/>
          <w:spacing w:val="-2"/>
        </w:rPr>
        <w:t>the </w:t>
      </w:r>
      <w:r>
        <w:rPr>
          <w:color w:val="231F20"/>
        </w:rPr>
        <w:t>useful</w:t>
      </w:r>
      <w:r>
        <w:rPr>
          <w:color w:val="231F20"/>
          <w:spacing w:val="-14"/>
        </w:rPr>
        <w:t> </w:t>
      </w:r>
      <w:r>
        <w:rPr>
          <w:color w:val="231F20"/>
        </w:rPr>
        <w:t>lives</w:t>
      </w:r>
      <w:r>
        <w:rPr>
          <w:color w:val="231F20"/>
          <w:spacing w:val="-14"/>
        </w:rPr>
        <w:t> </w:t>
      </w:r>
      <w:r>
        <w:rPr>
          <w:color w:val="231F20"/>
        </w:rPr>
        <w:t>for</w:t>
      </w:r>
      <w:r>
        <w:rPr>
          <w:color w:val="231F20"/>
          <w:spacing w:val="-14"/>
        </w:rPr>
        <w:t> </w:t>
      </w:r>
      <w:r>
        <w:rPr>
          <w:color w:val="231F20"/>
        </w:rPr>
        <w:t>a</w:t>
      </w:r>
      <w:r>
        <w:rPr>
          <w:color w:val="231F20"/>
          <w:spacing w:val="-14"/>
        </w:rPr>
        <w:t> </w:t>
      </w:r>
      <w:r>
        <w:rPr>
          <w:color w:val="231F20"/>
        </w:rPr>
        <w:t>given</w:t>
      </w:r>
      <w:r>
        <w:rPr>
          <w:color w:val="231F20"/>
          <w:spacing w:val="-14"/>
        </w:rPr>
        <w:t> </w:t>
      </w:r>
      <w:r>
        <w:rPr>
          <w:color w:val="231F20"/>
        </w:rPr>
        <w:t>fleet</w:t>
      </w:r>
      <w:r>
        <w:rPr>
          <w:color w:val="231F20"/>
          <w:spacing w:val="-14"/>
        </w:rPr>
        <w:t> </w:t>
      </w:r>
      <w:r>
        <w:rPr>
          <w:color w:val="231F20"/>
        </w:rPr>
        <w:t>type</w:t>
      </w:r>
      <w:r>
        <w:rPr>
          <w:color w:val="231F20"/>
          <w:spacing w:val="-14"/>
        </w:rPr>
        <w:t> </w:t>
      </w:r>
      <w:r>
        <w:rPr>
          <w:color w:val="231F20"/>
        </w:rPr>
        <w:t>are</w:t>
      </w:r>
      <w:r>
        <w:rPr>
          <w:color w:val="231F20"/>
          <w:spacing w:val="-14"/>
        </w:rPr>
        <w:t> </w:t>
      </w:r>
      <w:r>
        <w:rPr>
          <w:color w:val="231F20"/>
        </w:rPr>
        <w:t>unusual,</w:t>
      </w:r>
      <w:r>
        <w:rPr>
          <w:color w:val="231F20"/>
          <w:spacing w:val="-14"/>
        </w:rPr>
        <w:t> </w:t>
      </w:r>
      <w:r>
        <w:rPr>
          <w:color w:val="231F20"/>
        </w:rPr>
        <w:t>especially</w:t>
      </w:r>
      <w:r>
        <w:rPr>
          <w:color w:val="231F20"/>
          <w:spacing w:val="-14"/>
        </w:rPr>
        <w:t> </w:t>
      </w:r>
      <w:r>
        <w:rPr>
          <w:color w:val="231F20"/>
        </w:rPr>
        <w:t>given</w:t>
      </w:r>
      <w:r>
        <w:rPr>
          <w:color w:val="231F20"/>
          <w:spacing w:val="-14"/>
        </w:rPr>
        <w:t> </w:t>
      </w:r>
      <w:r>
        <w:rPr>
          <w:color w:val="231F20"/>
        </w:rPr>
        <w:t>the</w:t>
      </w:r>
      <w:r>
        <w:rPr>
          <w:color w:val="231F20"/>
          <w:spacing w:val="-14"/>
        </w:rPr>
        <w:t> </w:t>
      </w:r>
      <w:r>
        <w:rPr>
          <w:color w:val="231F20"/>
        </w:rPr>
        <w:t>rapid</w:t>
      </w:r>
      <w:r>
        <w:rPr>
          <w:color w:val="231F20"/>
          <w:spacing w:val="-14"/>
        </w:rPr>
        <w:t> </w:t>
      </w:r>
      <w:r>
        <w:rPr>
          <w:color w:val="231F20"/>
        </w:rPr>
        <w:t>pace</w:t>
      </w:r>
      <w:r>
        <w:rPr>
          <w:color w:val="231F20"/>
          <w:spacing w:val="-14"/>
        </w:rPr>
        <w:t> </w:t>
      </w:r>
      <w:r>
        <w:rPr>
          <w:color w:val="231F20"/>
        </w:rPr>
        <w:t>of</w:t>
      </w:r>
      <w:r>
        <w:rPr>
          <w:color w:val="231F20"/>
          <w:spacing w:val="-14"/>
        </w:rPr>
        <w:t> </w:t>
      </w:r>
      <w:r>
        <w:rPr>
          <w:color w:val="231F20"/>
        </w:rPr>
        <w:t>technological</w:t>
      </w:r>
      <w:r>
        <w:rPr>
          <w:color w:val="231F20"/>
          <w:spacing w:val="-14"/>
        </w:rPr>
        <w:t> </w:t>
      </w:r>
      <w:r>
        <w:rPr>
          <w:color w:val="231F20"/>
        </w:rPr>
        <w:t>advancement,</w:t>
      </w:r>
      <w:r>
        <w:rPr>
          <w:color w:val="231F20"/>
          <w:spacing w:val="-14"/>
        </w:rPr>
        <w:t> </w:t>
      </w:r>
      <w:r>
        <w:rPr>
          <w:color w:val="231F20"/>
        </w:rPr>
        <w:t>volatile fuel prices, and recent significant transactions involving the Company’s fleet. The 2012 reduction in estimated salvage value resulted in a $34 million increase in depreciation expense during the second half of the year, and is expected to increase 2013 expense by approximately $58 million. See Note 3 to the Consolidated Financial Statements</w:t>
      </w:r>
      <w:r>
        <w:rPr>
          <w:color w:val="231F20"/>
          <w:spacing w:val="-16"/>
        </w:rPr>
        <w:t> </w:t>
      </w:r>
      <w:r>
        <w:rPr>
          <w:color w:val="231F20"/>
        </w:rPr>
        <w:t>for</w:t>
      </w:r>
      <w:r>
        <w:rPr>
          <w:color w:val="231F20"/>
          <w:spacing w:val="-16"/>
        </w:rPr>
        <w:t> </w:t>
      </w:r>
      <w:r>
        <w:rPr>
          <w:color w:val="231F20"/>
        </w:rPr>
        <w:t>further</w:t>
      </w:r>
      <w:r>
        <w:rPr>
          <w:color w:val="231F20"/>
          <w:spacing w:val="-16"/>
        </w:rPr>
        <w:t> </w:t>
      </w:r>
      <w:r>
        <w:rPr>
          <w:color w:val="231F20"/>
          <w:spacing w:val="-2"/>
        </w:rPr>
        <w:t>information.</w:t>
      </w:r>
    </w:p>
    <w:p>
      <w:pPr>
        <w:pStyle w:val="BodyText"/>
        <w:spacing w:before="10"/>
      </w:pPr>
    </w:p>
    <w:p>
      <w:pPr>
        <w:pStyle w:val="BodyText"/>
        <w:spacing w:line="249" w:lineRule="auto"/>
        <w:ind w:left="120" w:right="191" w:firstLine="40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before="10"/>
      </w:pPr>
    </w:p>
    <w:p>
      <w:pPr>
        <w:pStyle w:val="BodyText"/>
        <w:spacing w:line="249" w:lineRule="auto"/>
        <w:ind w:left="120" w:right="119"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spacing w:after="0" w:line="249" w:lineRule="auto"/>
        <w:sectPr>
          <w:type w:val="continuous"/>
          <w:pgSz w:w="11880" w:h="15480"/>
          <w:pgMar w:top="1200" w:bottom="280" w:left="1260" w:right="1280"/>
        </w:sectPr>
      </w:pPr>
    </w:p>
    <w:p>
      <w:pPr>
        <w:pStyle w:val="Heading3"/>
        <w:spacing w:before="73"/>
        <w:ind w:left="300"/>
      </w:pPr>
      <w:r>
        <w:rPr>
          <w:color w:val="231F20"/>
        </w:rPr>
        <w:t>Financial derivative instruments</w:t>
      </w:r>
    </w:p>
    <w:p>
      <w:pPr>
        <w:pStyle w:val="BodyText"/>
        <w:spacing w:line="249" w:lineRule="auto" w:before="115"/>
        <w:ind w:left="100" w:right="108" w:firstLine="40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w:t>
      </w:r>
      <w:r>
        <w:rPr>
          <w:color w:val="231F20"/>
          <w:spacing w:val="6"/>
        </w:rPr>
        <w:t> </w:t>
      </w:r>
      <w:r>
        <w:rPr>
          <w:color w:val="231F20"/>
        </w:rPr>
        <w:t>instruments.</w:t>
      </w:r>
    </w:p>
    <w:p>
      <w:pPr>
        <w:pStyle w:val="BodyText"/>
        <w:spacing w:before="6"/>
        <w:rPr>
          <w:sz w:val="18"/>
        </w:rPr>
      </w:pPr>
    </w:p>
    <w:p>
      <w:pPr>
        <w:pStyle w:val="BodyText"/>
        <w:spacing w:line="249" w:lineRule="auto"/>
        <w:ind w:left="100" w:right="161" w:firstLine="400"/>
      </w:pPr>
      <w:r>
        <w:rPr>
          <w:color w:val="231F20"/>
        </w:rPr>
        <w:t>All derivatives are required to be reflected at fair value and recorded on the Consolidated Balance Sheet. At December 31, 2012, the Company was a party to over 1,100 separate financial derivative instruments, related to its fuel hedging program, for the years 2013 through 2017. Changes in the fair values of these instruments can vary dramatically based on changes in the underlying commodity prices, as has been evident in recent years. For example, during 2011, market “spot” prices for West Texas Intermediate crude oil peaked at a high of approximately $114 per barrel and hit a low price of approximately $76 per barrel. During 2012, market spot prices ranged from a high of $110 per barrel to a low of $78 per barrel. Market price changes can be driven by factors such as supply and demand, inventory levels, weather events, refinery capacity, political agendas, value of the U.S. dollar, geopolitical events,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6"/>
        <w:rPr>
          <w:sz w:val="18"/>
        </w:rPr>
      </w:pPr>
    </w:p>
    <w:p>
      <w:pPr>
        <w:pStyle w:val="BodyText"/>
        <w:spacing w:line="249" w:lineRule="auto"/>
        <w:ind w:left="100" w:right="12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6"/>
        <w:rPr>
          <w:sz w:val="18"/>
        </w:rPr>
      </w:pPr>
    </w:p>
    <w:p>
      <w:pPr>
        <w:pStyle w:val="BodyText"/>
        <w:spacing w:line="249" w:lineRule="auto"/>
        <w:ind w:left="100" w:right="160"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 certain type of commodity, such as all unleaded gasoline derivative instruments. There have also been instances in which the Company has lost hedge accounting in specific geographic locations for certain types of commodities used in hedging. At such times, the Company has marked all such derivatives to fair value in each quarterly period, with all changes in value reflected as a component of Other (gains) losses, net in the Consolidated Statement of Income. The Company did not lose hedge accounting for an entire commodity during 2012, 2011, or 2010.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w:t>
      </w:r>
    </w:p>
    <w:p>
      <w:pPr>
        <w:pStyle w:val="BodyText"/>
        <w:spacing w:line="249" w:lineRule="auto"/>
        <w:ind w:left="100" w:right="148"/>
      </w:pPr>
      <w:r>
        <w:rPr>
          <w:color w:val="231F20"/>
        </w:rPr>
        <w:t>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before="6"/>
        <w:rPr>
          <w:sz w:val="18"/>
        </w:rPr>
      </w:pPr>
    </w:p>
    <w:p>
      <w:pPr>
        <w:pStyle w:val="BodyText"/>
        <w:spacing w:line="249" w:lineRule="auto"/>
        <w:ind w:left="100" w:right="11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w:t>
      </w:r>
      <w:r>
        <w:rPr>
          <w:color w:val="231F20"/>
          <w:spacing w:val="13"/>
        </w:rPr>
        <w:t> </w:t>
      </w:r>
      <w:r>
        <w:rPr>
          <w:color w:val="231F20"/>
        </w:rPr>
        <w:t>ineffectiveness</w:t>
      </w:r>
    </w:p>
    <w:p>
      <w:pPr>
        <w:spacing w:after="0" w:line="249" w:lineRule="auto"/>
        <w:sectPr>
          <w:pgSz w:w="11880" w:h="15480"/>
          <w:pgMar w:header="0" w:footer="1253" w:top="1240" w:bottom="1440" w:left="1280" w:right="1300"/>
        </w:sectPr>
      </w:pPr>
    </w:p>
    <w:p>
      <w:pPr>
        <w:pStyle w:val="BodyText"/>
        <w:spacing w:line="249" w:lineRule="auto" w:before="73"/>
        <w:ind w:left="100"/>
      </w:pPr>
      <w:r>
        <w:rPr>
          <w:color w:val="231F20"/>
        </w:rPr>
        <w:t>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 in the fair value of the derivative instrument is recorded every period to Other (gains) and losses, net in the Consolidated Statement of Income in the period of the change.</w:t>
      </w:r>
    </w:p>
    <w:p>
      <w:pPr>
        <w:pStyle w:val="BodyText"/>
        <w:spacing w:before="10"/>
      </w:pPr>
    </w:p>
    <w:p>
      <w:pPr>
        <w:pStyle w:val="BodyText"/>
        <w:spacing w:line="249" w:lineRule="auto" w:before="1"/>
        <w:ind w:left="100" w:right="138" w:firstLine="40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before="11"/>
      </w:pPr>
    </w:p>
    <w:p>
      <w:pPr>
        <w:pStyle w:val="BodyText"/>
        <w:spacing w:line="249" w:lineRule="auto"/>
        <w:ind w:left="100" w:right="14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2012, 2011, and 2010, and has not changed for either assessing or measuring hedge ineffectiveness during these periods.</w:t>
      </w:r>
    </w:p>
    <w:p>
      <w:pPr>
        <w:pStyle w:val="BodyText"/>
        <w:spacing w:before="10"/>
      </w:pPr>
    </w:p>
    <w:p>
      <w:pPr>
        <w:pStyle w:val="BodyText"/>
        <w:spacing w:line="249" w:lineRule="auto" w:before="1"/>
        <w:ind w:left="100" w:right="101"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4"/>
        <w:rPr>
          <w:sz w:val="31"/>
        </w:rPr>
      </w:pPr>
    </w:p>
    <w:p>
      <w:pPr>
        <w:pStyle w:val="Heading4"/>
        <w:ind w:left="300"/>
        <w:rPr>
          <w:i/>
        </w:rPr>
      </w:pPr>
      <w:r>
        <w:rPr>
          <w:i/>
          <w:color w:val="231F20"/>
        </w:rPr>
        <w:t>Fair value measurements</w:t>
      </w:r>
    </w:p>
    <w:p>
      <w:pPr>
        <w:pStyle w:val="BodyText"/>
        <w:spacing w:line="249" w:lineRule="auto" w:before="129"/>
        <w:ind w:left="100" w:right="101" w:firstLine="400"/>
      </w:pPr>
      <w:r>
        <w:rPr>
          <w:color w:val="231F20"/>
        </w:rPr>
        <w:t>The Company utilizes unobservable (Level 3) inputs in determining the fair value of certain assets </w:t>
      </w:r>
      <w:r>
        <w:rPr>
          <w:color w:val="231F20"/>
          <w:spacing w:val="-2"/>
        </w:rPr>
        <w:t>and </w:t>
      </w:r>
      <w:r>
        <w:rPr>
          <w:color w:val="231F20"/>
        </w:rPr>
        <w:t>liabilities.</w:t>
      </w:r>
      <w:r>
        <w:rPr>
          <w:color w:val="231F20"/>
          <w:spacing w:val="-15"/>
        </w:rPr>
        <w:t> </w:t>
      </w:r>
      <w:r>
        <w:rPr>
          <w:color w:val="231F20"/>
        </w:rPr>
        <w:t>At</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2012,</w:t>
      </w:r>
      <w:r>
        <w:rPr>
          <w:color w:val="231F20"/>
          <w:spacing w:val="-15"/>
        </w:rPr>
        <w:t> </w:t>
      </w:r>
      <w:r>
        <w:rPr>
          <w:color w:val="231F20"/>
        </w:rPr>
        <w:t>these</w:t>
      </w:r>
      <w:r>
        <w:rPr>
          <w:color w:val="231F20"/>
          <w:spacing w:val="-15"/>
        </w:rPr>
        <w:t> </w:t>
      </w:r>
      <w:r>
        <w:rPr>
          <w:color w:val="231F20"/>
        </w:rPr>
        <w:t>included</w:t>
      </w:r>
      <w:r>
        <w:rPr>
          <w:color w:val="231F20"/>
          <w:spacing w:val="-15"/>
        </w:rPr>
        <w:t> </w:t>
      </w:r>
      <w:r>
        <w:rPr>
          <w:color w:val="231F20"/>
        </w:rPr>
        <w:t>auction</w:t>
      </w:r>
      <w:r>
        <w:rPr>
          <w:color w:val="231F20"/>
          <w:spacing w:val="-15"/>
        </w:rPr>
        <w:t> </w:t>
      </w:r>
      <w:r>
        <w:rPr>
          <w:color w:val="231F20"/>
        </w:rPr>
        <w:t>rate</w:t>
      </w:r>
      <w:r>
        <w:rPr>
          <w:color w:val="231F20"/>
          <w:spacing w:val="-15"/>
        </w:rPr>
        <w:t> </w:t>
      </w:r>
      <w:r>
        <w:rPr>
          <w:color w:val="231F20"/>
        </w:rPr>
        <w:t>security</w:t>
      </w:r>
      <w:r>
        <w:rPr>
          <w:color w:val="231F20"/>
          <w:spacing w:val="-15"/>
        </w:rPr>
        <w:t> </w:t>
      </w:r>
      <w:r>
        <w:rPr>
          <w:color w:val="231F20"/>
        </w:rPr>
        <w:t>investments,</w:t>
      </w:r>
      <w:r>
        <w:rPr>
          <w:color w:val="231F20"/>
          <w:spacing w:val="-15"/>
        </w:rPr>
        <w:t> </w:t>
      </w:r>
      <w:r>
        <w:rPr>
          <w:color w:val="231F20"/>
        </w:rPr>
        <w:t>valued</w:t>
      </w:r>
      <w:r>
        <w:rPr>
          <w:color w:val="231F20"/>
          <w:spacing w:val="-15"/>
        </w:rPr>
        <w:t> </w:t>
      </w:r>
      <w:r>
        <w:rPr>
          <w:color w:val="231F20"/>
        </w:rPr>
        <w:t>at</w:t>
      </w:r>
      <w:r>
        <w:rPr>
          <w:color w:val="231F20"/>
          <w:spacing w:val="-15"/>
        </w:rPr>
        <w:t> </w:t>
      </w:r>
      <w:r>
        <w:rPr>
          <w:color w:val="231F20"/>
        </w:rPr>
        <w:t>$36</w:t>
      </w:r>
      <w:r>
        <w:rPr>
          <w:color w:val="231F20"/>
          <w:spacing w:val="-15"/>
        </w:rPr>
        <w:t> </w:t>
      </w:r>
      <w:r>
        <w:rPr>
          <w:color w:val="231F20"/>
        </w:rPr>
        <w:t>million,</w:t>
      </w:r>
      <w:r>
        <w:rPr>
          <w:color w:val="231F20"/>
          <w:spacing w:val="-15"/>
        </w:rPr>
        <w:t> </w:t>
      </w:r>
      <w:r>
        <w:rPr>
          <w:color w:val="231F20"/>
        </w:rPr>
        <w:t>a</w:t>
      </w:r>
      <w:r>
        <w:rPr>
          <w:color w:val="231F20"/>
          <w:spacing w:val="-15"/>
        </w:rPr>
        <w:t> </w:t>
      </w:r>
      <w:r>
        <w:rPr>
          <w:color w:val="231F20"/>
        </w:rPr>
        <w:t>portion of</w:t>
      </w:r>
      <w:r>
        <w:rPr>
          <w:color w:val="231F20"/>
          <w:spacing w:val="-11"/>
        </w:rPr>
        <w:t> </w:t>
      </w:r>
      <w:r>
        <w:rPr>
          <w:color w:val="231F20"/>
        </w:rPr>
        <w:t>its</w:t>
      </w:r>
      <w:r>
        <w:rPr>
          <w:color w:val="231F20"/>
          <w:spacing w:val="-11"/>
        </w:rPr>
        <w:t> </w:t>
      </w:r>
      <w:r>
        <w:rPr>
          <w:color w:val="231F20"/>
        </w:rPr>
        <w:t>fuel</w:t>
      </w:r>
      <w:r>
        <w:rPr>
          <w:color w:val="231F20"/>
          <w:spacing w:val="-11"/>
        </w:rPr>
        <w:t> </w:t>
      </w:r>
      <w:r>
        <w:rPr>
          <w:color w:val="231F20"/>
        </w:rPr>
        <w:t>derivative</w:t>
      </w:r>
      <w:r>
        <w:rPr>
          <w:color w:val="231F20"/>
          <w:spacing w:val="-11"/>
        </w:rPr>
        <w:t> </w:t>
      </w:r>
      <w:r>
        <w:rPr>
          <w:color w:val="231F20"/>
        </w:rPr>
        <w:t>option</w:t>
      </w:r>
      <w:r>
        <w:rPr>
          <w:color w:val="231F20"/>
          <w:spacing w:val="-11"/>
        </w:rPr>
        <w:t> </w:t>
      </w:r>
      <w:r>
        <w:rPr>
          <w:color w:val="231F20"/>
        </w:rPr>
        <w:t>contracts,</w:t>
      </w:r>
      <w:r>
        <w:rPr>
          <w:color w:val="231F20"/>
          <w:spacing w:val="-11"/>
        </w:rPr>
        <w:t> </w:t>
      </w:r>
      <w:r>
        <w:rPr>
          <w:color w:val="231F20"/>
        </w:rPr>
        <w:t>which</w:t>
      </w:r>
      <w:r>
        <w:rPr>
          <w:color w:val="231F20"/>
          <w:spacing w:val="-11"/>
        </w:rPr>
        <w:t> </w:t>
      </w:r>
      <w:r>
        <w:rPr>
          <w:color w:val="231F20"/>
        </w:rPr>
        <w:t>were</w:t>
      </w:r>
      <w:r>
        <w:rPr>
          <w:color w:val="231F20"/>
          <w:spacing w:val="-11"/>
        </w:rPr>
        <w:t> </w:t>
      </w:r>
      <w:r>
        <w:rPr>
          <w:color w:val="231F20"/>
        </w:rPr>
        <w:t>a</w:t>
      </w:r>
      <w:r>
        <w:rPr>
          <w:color w:val="231F20"/>
          <w:spacing w:val="-11"/>
        </w:rPr>
        <w:t> </w:t>
      </w:r>
      <w:r>
        <w:rPr>
          <w:color w:val="231F20"/>
        </w:rPr>
        <w:t>net</w:t>
      </w:r>
      <w:r>
        <w:rPr>
          <w:color w:val="231F20"/>
          <w:spacing w:val="-11"/>
        </w:rPr>
        <w:t> </w:t>
      </w:r>
      <w:r>
        <w:rPr>
          <w:color w:val="231F20"/>
        </w:rPr>
        <w:t>asset</w:t>
      </w:r>
      <w:r>
        <w:rPr>
          <w:color w:val="231F20"/>
          <w:spacing w:val="-11"/>
        </w:rPr>
        <w:t> </w:t>
      </w:r>
      <w:r>
        <w:rPr>
          <w:color w:val="231F20"/>
        </w:rPr>
        <w:t>of</w:t>
      </w:r>
      <w:r>
        <w:rPr>
          <w:color w:val="231F20"/>
          <w:spacing w:val="-11"/>
        </w:rPr>
        <w:t> </w:t>
      </w:r>
      <w:r>
        <w:rPr>
          <w:color w:val="231F20"/>
        </w:rPr>
        <w:t>$219</w:t>
      </w:r>
      <w:r>
        <w:rPr>
          <w:color w:val="231F20"/>
          <w:spacing w:val="-11"/>
        </w:rPr>
        <w:t> </w:t>
      </w:r>
      <w:r>
        <w:rPr>
          <w:color w:val="231F20"/>
        </w:rPr>
        <w:t>million,</w:t>
      </w:r>
      <w:r>
        <w:rPr>
          <w:color w:val="231F20"/>
          <w:spacing w:val="-11"/>
        </w:rPr>
        <w:t> </w:t>
      </w:r>
      <w:r>
        <w:rPr>
          <w:color w:val="231F20"/>
        </w:rPr>
        <w:t>and</w:t>
      </w:r>
      <w:r>
        <w:rPr>
          <w:color w:val="231F20"/>
          <w:spacing w:val="-11"/>
        </w:rPr>
        <w:t> </w:t>
      </w:r>
      <w:r>
        <w:rPr>
          <w:color w:val="231F20"/>
        </w:rPr>
        <w:t>$5</w:t>
      </w:r>
      <w:r>
        <w:rPr>
          <w:color w:val="231F20"/>
          <w:spacing w:val="-11"/>
        </w:rPr>
        <w:t> </w:t>
      </w:r>
      <w:r>
        <w:rPr>
          <w:color w:val="231F20"/>
        </w:rPr>
        <w:t>million</w:t>
      </w:r>
      <w:r>
        <w:rPr>
          <w:color w:val="231F20"/>
          <w:spacing w:val="-11"/>
        </w:rPr>
        <w:t> </w:t>
      </w:r>
      <w:r>
        <w:rPr>
          <w:color w:val="231F20"/>
        </w:rPr>
        <w:t>in</w:t>
      </w:r>
      <w:r>
        <w:rPr>
          <w:color w:val="231F20"/>
          <w:spacing w:val="-11"/>
        </w:rPr>
        <w:t> </w:t>
      </w:r>
      <w:r>
        <w:rPr>
          <w:color w:val="231F20"/>
        </w:rPr>
        <w:t>other</w:t>
      </w:r>
      <w:r>
        <w:rPr>
          <w:color w:val="231F20"/>
          <w:spacing w:val="-11"/>
        </w:rPr>
        <w:t> </w:t>
      </w:r>
      <w:r>
        <w:rPr>
          <w:color w:val="231F20"/>
          <w:spacing w:val="-2"/>
        </w:rPr>
        <w:t>investments.</w:t>
      </w:r>
    </w:p>
    <w:p>
      <w:pPr>
        <w:pStyle w:val="BodyText"/>
        <w:spacing w:before="10"/>
      </w:pPr>
    </w:p>
    <w:p>
      <w:pPr>
        <w:pStyle w:val="BodyText"/>
        <w:spacing w:line="249" w:lineRule="auto" w:before="1"/>
        <w:ind w:left="100" w:right="30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 discounted cash flow analysis or other type of valuation model, which qualify the instruments as Level 3. The</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pStyle w:val="BodyText"/>
        <w:spacing w:before="10"/>
      </w:pPr>
    </w:p>
    <w:p>
      <w:pPr>
        <w:pStyle w:val="BodyText"/>
        <w:spacing w:line="249" w:lineRule="auto" w:before="1"/>
        <w:ind w:left="100" w:right="203" w:firstLine="400"/>
      </w:pPr>
      <w:r>
        <w:rPr>
          <w:color w:val="231F20"/>
        </w:rPr>
        <w:t>In association with this estimate of fair value, the Company has recorded a temporary unrealized decline in fair value of $14 million, with an offsetting entry to AOCI. Given the quality and backing of the Company’s auction rate securities held, the fact that the Company has not yet recorded a loss on the sale of any of these instruments, and the fact that it has been able to periodically sell instruments back to the issuer,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two percent of the Company’s total cash, cash equivalents, and investment balance at December 31, 2012, which the Company believes allows sufficient time for the auction rate securities to return to full value. At the time of the first failed auctions during first quarter 2008, the Company held a total of $463 million in auction rate securities. Since that time, the Company has been able to redeem $413 million of these instruments at par value.</w:t>
      </w:r>
    </w:p>
    <w:p>
      <w:pPr>
        <w:pStyle w:val="BodyText"/>
        <w:spacing w:before="11"/>
      </w:pPr>
    </w:p>
    <w:p>
      <w:pPr>
        <w:pStyle w:val="BodyText"/>
        <w:spacing w:line="249" w:lineRule="auto"/>
        <w:ind w:left="100" w:right="101" w:firstLine="40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10"/>
      </w:pPr>
    </w:p>
    <w:p>
      <w:pPr>
        <w:pStyle w:val="BodyText"/>
        <w:spacing w:line="249" w:lineRule="auto" w:before="1"/>
        <w:ind w:left="100" w:right="99" w:firstLine="40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BodyText"/>
        <w:spacing w:before="4"/>
        <w:rPr>
          <w:sz w:val="31"/>
        </w:rPr>
      </w:pPr>
    </w:p>
    <w:p>
      <w:pPr>
        <w:pStyle w:val="Heading4"/>
        <w:ind w:left="300"/>
        <w:rPr>
          <w:i/>
        </w:rPr>
      </w:pPr>
      <w:r>
        <w:rPr>
          <w:i/>
          <w:color w:val="231F20"/>
        </w:rPr>
        <w:t>Frequent flyer accounting</w:t>
      </w:r>
    </w:p>
    <w:p>
      <w:pPr>
        <w:pStyle w:val="BodyText"/>
        <w:spacing w:line="249" w:lineRule="auto" w:before="129"/>
        <w:ind w:left="100" w:firstLine="40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or certificates that have been issued, are outstanding, and are expected to be redeemed at a future date.</w:t>
      </w:r>
    </w:p>
    <w:p>
      <w:pPr>
        <w:pStyle w:val="BodyText"/>
        <w:spacing w:line="249" w:lineRule="auto" w:before="1"/>
        <w:ind w:left="100"/>
      </w:pPr>
      <w:r>
        <w:rPr>
          <w:color w:val="231F20"/>
        </w:rPr>
        <w:t>Frequent flyer account balances include points/credits earned through flights taken, points sold to Customers, or points/credits earned through business partners participating in the frequent flyer programs.</w:t>
      </w:r>
    </w:p>
    <w:p>
      <w:pPr>
        <w:spacing w:after="0" w:line="249" w:lineRule="auto"/>
        <w:sectPr>
          <w:pgSz w:w="11880" w:h="15480"/>
          <w:pgMar w:header="0" w:footer="1253" w:top="1240" w:bottom="1440" w:left="1280" w:right="1280"/>
        </w:sectPr>
      </w:pPr>
    </w:p>
    <w:p>
      <w:pPr>
        <w:pStyle w:val="BodyText"/>
        <w:spacing w:line="249" w:lineRule="auto" w:before="73"/>
        <w:ind w:left="119" w:right="175" w:firstLine="400"/>
      </w:pPr>
      <w:r>
        <w:rPr>
          <w:color w:val="231F20"/>
        </w:rPr>
        <w:t>In March 2011, Southwest launched its All-New Rapid Rewards frequent flyer program. Under the current program, members earn points for every dollar spent, whereas, under the prior program members earned credits for flight segments flown. The amount of points earned under the current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current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 As part of Southwest’s transition to the current program, Southwest did not convert members’ account balances under the previous program, but is allowing members to continue to redeem those balances for award travel under the prior program rules for a period of time. At December 31, 2012, the amount of awards and credits issued under the previous program that are expected to be redeemed was not material.</w:t>
      </w:r>
    </w:p>
    <w:p>
      <w:pPr>
        <w:pStyle w:val="BodyText"/>
        <w:spacing w:before="10"/>
      </w:pPr>
    </w:p>
    <w:p>
      <w:pPr>
        <w:pStyle w:val="BodyText"/>
        <w:spacing w:line="249" w:lineRule="auto" w:before="1"/>
        <w:ind w:left="120" w:right="259" w:firstLine="400"/>
      </w:pPr>
      <w:r>
        <w:rPr>
          <w:color w:val="231F20"/>
        </w:rPr>
        <w:t>AirTran operates its A+ Rewards frequent flyer program, which allows Customers the opportunity to earn free roundtrip travel awards or Business Class upgrades on AirTran flights. A+ Rewards credits are earned through flights, purchases made with an AirTran Airways A+ Visa card or an AirTran A+ Rewards Chase Visa credit card (collectively, the “AirTran A+ cards”), qualifying car rentals from Hertz, purchases from other A+ Rewards partners, and in conjunction with certain marketing promotions. Under certain circumstances, Customers may also redeem frequent flyer awards for free travel on other airlines.</w:t>
      </w:r>
    </w:p>
    <w:p>
      <w:pPr>
        <w:pStyle w:val="BodyText"/>
        <w:spacing w:before="11"/>
      </w:pPr>
    </w:p>
    <w:p>
      <w:pPr>
        <w:pStyle w:val="BodyText"/>
        <w:spacing w:line="249" w:lineRule="auto"/>
        <w:ind w:left="120" w:right="148" w:firstLine="40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2012, Southwest and AirTran’s consolidated incremental cost liability, including both the liability remaining from Southwest’s previous program and the liability associated with its new frequent flyer program, was approximately $74 million.</w:t>
      </w:r>
    </w:p>
    <w:p>
      <w:pPr>
        <w:pStyle w:val="BodyText"/>
        <w:spacing w:before="10"/>
      </w:pPr>
    </w:p>
    <w:p>
      <w:pPr>
        <w:pStyle w:val="BodyText"/>
        <w:spacing w:line="249" w:lineRule="auto" w:before="1"/>
        <w:ind w:left="120" w:right="112" w:firstLine="40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cards. Funds received from the sale of points and/or credits associated with these agreements are accounted for under the residual method. Under the residual method, as of December 31, 2012, Southwest estimates that 100 percent of the amount received from frequent flyer points sold associated with Southwest’s co-branded Chase Visa credit card relates to free travel. This is due to the significant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the Southwest’s logo on the co-branded Chase Visa credit cards, and other trademarks, designs, images, etc., of Southwest for use in marketing materials. Prior to 2012, the apportioned amount estimated to be associated with free travel as opposed to marketing services had historically ranged from 75 percent to 92 percent.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w:t>
      </w:r>
    </w:p>
    <w:p>
      <w:pPr>
        <w:spacing w:after="0" w:line="249" w:lineRule="auto"/>
        <w:sectPr>
          <w:pgSz w:w="11880" w:h="15480"/>
          <w:pgMar w:header="0" w:footer="1253" w:top="1240" w:bottom="1440" w:left="1260" w:right="1320"/>
        </w:sectPr>
      </w:pPr>
    </w:p>
    <w:p>
      <w:pPr>
        <w:pStyle w:val="BodyText"/>
        <w:spacing w:line="249" w:lineRule="auto" w:before="73"/>
        <w:ind w:left="100" w:right="116"/>
      </w:pPr>
      <w:r>
        <w:rPr>
          <w:color w:val="231F20"/>
        </w:rPr>
        <w:t>not to be associated with future travel, the Company 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The estimated amount that is not associated with free travel is recognized in Other revenue in the period earned. For AirTran, 100 percent of amounts received for credits sold is also estimated to relate to free travel and is deferred until the associated travel award is flown.</w:t>
      </w:r>
    </w:p>
    <w:p>
      <w:pPr>
        <w:pStyle w:val="BodyText"/>
        <w:spacing w:before="10"/>
      </w:pPr>
    </w:p>
    <w:p>
      <w:pPr>
        <w:pStyle w:val="BodyText"/>
        <w:spacing w:line="249" w:lineRule="auto" w:before="1"/>
        <w:ind w:left="100" w:right="100" w:firstLine="400"/>
      </w:pPr>
      <w:r>
        <w:rPr>
          <w:color w:val="231F20"/>
        </w:rPr>
        <w:t>Under its current program, Southwest continues to estimate the portion of frequent flyer points that will not be redeemed. These estimates are based on experience in its previous program and expectations of customer behavior given the rules of the current program. However, since the current program is still relatively new, these estimates may result in significant future adjustments based on actual experience.</w:t>
      </w:r>
    </w:p>
    <w:p>
      <w:pPr>
        <w:pStyle w:val="BodyText"/>
        <w:spacing w:before="4"/>
        <w:rPr>
          <w:sz w:val="31"/>
        </w:rPr>
      </w:pPr>
    </w:p>
    <w:p>
      <w:pPr>
        <w:pStyle w:val="Heading4"/>
        <w:ind w:left="300"/>
        <w:rPr>
          <w:i/>
        </w:rPr>
      </w:pPr>
      <w:r>
        <w:rPr>
          <w:i/>
          <w:color w:val="231F20"/>
        </w:rPr>
        <w:t>Goodwill and other intangible assets</w:t>
      </w:r>
    </w:p>
    <w:p>
      <w:pPr>
        <w:pStyle w:val="BodyText"/>
        <w:spacing w:line="249" w:lineRule="auto" w:before="129"/>
        <w:ind w:left="100" w:right="100" w:firstLine="400"/>
      </w:pPr>
      <w:r>
        <w:rPr>
          <w:color w:val="231F20"/>
        </w:rPr>
        <w:t>As a result of the Company’s acquisition of AirTran on May 2, 2011, the Company has reflected Goodwill on its Consolidated Balance Sheet in the amount of $970 million at December 31, 2012, representing the excess of the fair value of AirTran’s assets and liabilities over its book value on the acquisition date. In addition, the Company has recorded other intangible assets totaling approximately $123 million at December 31, 2012, primarily consisting of leasehold rights to airport gates, take-off and landing slots at certain domestic slot- controlled airports and certain intangible assets recognized as part of the valuation of AirTran. All of the Company’s intangible assets are, other than goodwill, finite-lived and are being amortized over their estimated economic useful lives. Goodwill is not amortized, but will continue to be tested for impairment at least annually, or more frequently if events or circumstances indicate that an impairment may exist. The Company has selected October 1st as its annual testing date for Goodwill impairment.</w:t>
      </w:r>
    </w:p>
    <w:p>
      <w:pPr>
        <w:pStyle w:val="BodyText"/>
        <w:spacing w:before="10"/>
      </w:pPr>
    </w:p>
    <w:p>
      <w:pPr>
        <w:pStyle w:val="BodyText"/>
        <w:spacing w:line="249" w:lineRule="auto" w:before="1"/>
        <w:ind w:left="100" w:right="100" w:firstLine="400"/>
      </w:pPr>
      <w:r>
        <w:rPr>
          <w:color w:val="231F20"/>
        </w:rPr>
        <w:t>The Company applies a fair value based methodology in testing the carrying value of Goodwill for its one reporting unit. Key assumptions and/or estimates made in the Company’s 2012 Goodwill impairment test included the following: (i) a long-term projection of revenues, expenses, and cash flows; (ii) an estimated weighted average cost of capital of 9.5 percent; and (iii) a tax rate of 38.5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before="11"/>
      </w:pPr>
    </w:p>
    <w:p>
      <w:pPr>
        <w:pStyle w:val="BodyText"/>
        <w:spacing w:line="249" w:lineRule="auto"/>
        <w:ind w:left="100" w:right="147" w:firstLine="40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w:t>
      </w:r>
    </w:p>
    <w:p>
      <w:pPr>
        <w:spacing w:after="0" w:line="249" w:lineRule="auto"/>
        <w:sectPr>
          <w:pgSz w:w="11880" w:h="15480"/>
          <w:pgMar w:header="0" w:footer="1253" w:top="1240" w:bottom="1440" w:left="1280" w:right="1320"/>
        </w:sectPr>
      </w:pPr>
    </w:p>
    <w:p>
      <w:pPr>
        <w:pStyle w:val="Heading4"/>
        <w:tabs>
          <w:tab w:pos="1179" w:val="left" w:leader="none"/>
        </w:tabs>
        <w:spacing w:before="73"/>
        <w:ind w:left="100"/>
        <w:rPr>
          <w:i/>
        </w:rPr>
      </w:pPr>
      <w:bookmarkStart w:name="_TOC_250009" w:id="22"/>
      <w:bookmarkStart w:name="Item 7A. Quantitative and Qualitative Di" w:id="23"/>
      <w:r>
        <w:rPr>
          <w:b w:val="0"/>
          <w:i w:val="0"/>
        </w:rPr>
      </w:r>
      <w:r>
        <w:rPr>
          <w:i w:val="0"/>
          <w:color w:val="231F20"/>
        </w:rPr>
        <w:t>Item</w:t>
      </w:r>
      <w:r>
        <w:rPr>
          <w:i w:val="0"/>
          <w:color w:val="231F20"/>
          <w:spacing w:val="1"/>
        </w:rPr>
        <w:t> </w:t>
      </w:r>
      <w:r>
        <w:rPr>
          <w:i w:val="0"/>
          <w:color w:val="231F20"/>
        </w:rPr>
        <w:t>7A.</w:t>
        <w:tab/>
      </w:r>
      <w:r>
        <w:rPr>
          <w:i/>
          <w:color w:val="231F20"/>
        </w:rPr>
        <w:t>Quantitative and Qualitative Disclosures About Market</w:t>
      </w:r>
      <w:r>
        <w:rPr>
          <w:i/>
          <w:color w:val="231F20"/>
          <w:spacing w:val="2"/>
        </w:rPr>
        <w:t> </w:t>
      </w:r>
      <w:bookmarkEnd w:id="22"/>
      <w:r>
        <w:rPr>
          <w:i/>
          <w:color w:val="231F20"/>
        </w:rPr>
        <w:t>Risk</w:t>
      </w:r>
    </w:p>
    <w:p>
      <w:pPr>
        <w:pStyle w:val="BodyText"/>
        <w:spacing w:line="249" w:lineRule="auto" w:before="115"/>
        <w:ind w:left="100" w:right="106" w:firstLine="40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2012, Southwest and AirTran operated a total of 189 aircraft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8"/>
        </w:rPr>
        <w:t> </w:t>
      </w:r>
      <w:r>
        <w:rPr>
          <w:color w:val="231F20"/>
        </w:rPr>
        <w:t>instruments.</w:t>
      </w:r>
    </w:p>
    <w:p>
      <w:pPr>
        <w:pStyle w:val="BodyText"/>
        <w:spacing w:before="8"/>
        <w:rPr>
          <w:sz w:val="27"/>
        </w:rPr>
      </w:pPr>
    </w:p>
    <w:p>
      <w:pPr>
        <w:pStyle w:val="Heading4"/>
        <w:spacing w:before="1"/>
        <w:ind w:left="300"/>
        <w:rPr>
          <w:i/>
        </w:rPr>
      </w:pPr>
      <w:r>
        <w:rPr>
          <w:i/>
          <w:color w:val="231F20"/>
        </w:rPr>
        <w:t>Hedging</w:t>
      </w:r>
    </w:p>
    <w:p>
      <w:pPr>
        <w:pStyle w:val="BodyText"/>
        <w:spacing w:line="249" w:lineRule="auto" w:before="116"/>
        <w:ind w:left="100" w:right="194" w:firstLine="400"/>
      </w:pPr>
      <w:r>
        <w:rPr>
          <w:color w:val="231F20"/>
        </w:rPr>
        <w:t>The Company purchases jet fuel at prevailing market prices, but seeks to manage market risk through execution of a documented hedging strategy. The Company utilizes financial derivative instruments, on both a short-term</w:t>
      </w:r>
      <w:r>
        <w:rPr>
          <w:color w:val="231F20"/>
          <w:spacing w:val="-13"/>
        </w:rPr>
        <w:t> </w:t>
      </w:r>
      <w:r>
        <w:rPr>
          <w:color w:val="231F20"/>
        </w:rPr>
        <w:t>and</w:t>
      </w:r>
      <w:r>
        <w:rPr>
          <w:color w:val="231F20"/>
          <w:spacing w:val="-13"/>
        </w:rPr>
        <w:t> </w:t>
      </w:r>
      <w:r>
        <w:rPr>
          <w:color w:val="231F20"/>
        </w:rPr>
        <w:t>a</w:t>
      </w:r>
      <w:r>
        <w:rPr>
          <w:color w:val="231F20"/>
          <w:spacing w:val="-13"/>
        </w:rPr>
        <w:t> </w:t>
      </w:r>
      <w:r>
        <w:rPr>
          <w:color w:val="231F20"/>
        </w:rPr>
        <w:t>long-term</w:t>
      </w:r>
      <w:r>
        <w:rPr>
          <w:color w:val="231F20"/>
          <w:spacing w:val="-13"/>
        </w:rPr>
        <w:t> </w:t>
      </w:r>
      <w:r>
        <w:rPr>
          <w:color w:val="231F20"/>
        </w:rPr>
        <w:t>basis,</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form</w:t>
      </w:r>
      <w:r>
        <w:rPr>
          <w:color w:val="231F20"/>
          <w:spacing w:val="-13"/>
        </w:rPr>
        <w:t> </w:t>
      </w:r>
      <w:r>
        <w:rPr>
          <w:color w:val="231F20"/>
        </w:rPr>
        <w:t>of</w:t>
      </w:r>
      <w:r>
        <w:rPr>
          <w:color w:val="231F20"/>
          <w:spacing w:val="-13"/>
        </w:rPr>
        <w:t> </w:t>
      </w:r>
      <w:r>
        <w:rPr>
          <w:color w:val="231F20"/>
        </w:rPr>
        <w:t>insurance</w:t>
      </w:r>
      <w:r>
        <w:rPr>
          <w:color w:val="231F20"/>
          <w:spacing w:val="-13"/>
        </w:rPr>
        <w:t> </w:t>
      </w:r>
      <w:r>
        <w:rPr>
          <w:color w:val="231F20"/>
        </w:rPr>
        <w:t>against</w:t>
      </w:r>
      <w:r>
        <w:rPr>
          <w:color w:val="231F20"/>
          <w:spacing w:val="-13"/>
        </w:rPr>
        <w:t> </w:t>
      </w:r>
      <w:r>
        <w:rPr>
          <w:color w:val="231F20"/>
        </w:rPr>
        <w:t>the</w:t>
      </w:r>
      <w:r>
        <w:rPr>
          <w:color w:val="231F20"/>
          <w:spacing w:val="-13"/>
        </w:rPr>
        <w:t> </w:t>
      </w:r>
      <w:r>
        <w:rPr>
          <w:color w:val="231F20"/>
        </w:rPr>
        <w:t>potential</w:t>
      </w:r>
      <w:r>
        <w:rPr>
          <w:color w:val="231F20"/>
          <w:spacing w:val="-13"/>
        </w:rPr>
        <w:t> </w:t>
      </w:r>
      <w:r>
        <w:rPr>
          <w:color w:val="231F20"/>
        </w:rPr>
        <w:t>for</w:t>
      </w:r>
      <w:r>
        <w:rPr>
          <w:color w:val="231F20"/>
          <w:spacing w:val="-13"/>
        </w:rPr>
        <w:t> </w:t>
      </w:r>
      <w:r>
        <w:rPr>
          <w:color w:val="231F20"/>
        </w:rPr>
        <w:t>significant</w:t>
      </w:r>
      <w:r>
        <w:rPr>
          <w:color w:val="231F20"/>
          <w:spacing w:val="-13"/>
        </w:rPr>
        <w:t> </w:t>
      </w:r>
      <w:r>
        <w:rPr>
          <w:color w:val="231F20"/>
        </w:rPr>
        <w:t>increases</w:t>
      </w:r>
      <w:r>
        <w:rPr>
          <w:color w:val="231F20"/>
          <w:spacing w:val="-13"/>
        </w:rPr>
        <w:t> </w:t>
      </w:r>
      <w:r>
        <w:rPr>
          <w:color w:val="231F20"/>
        </w:rPr>
        <w:t>in</w:t>
      </w:r>
      <w:r>
        <w:rPr>
          <w:color w:val="231F20"/>
          <w:spacing w:val="-13"/>
        </w:rPr>
        <w:t> </w:t>
      </w:r>
      <w:r>
        <w:rPr>
          <w:color w:val="231F20"/>
        </w:rPr>
        <w:t>fuel</w:t>
      </w:r>
      <w:r>
        <w:rPr>
          <w:color w:val="231F20"/>
          <w:spacing w:val="-13"/>
        </w:rPr>
        <w:t> </w:t>
      </w:r>
      <w:r>
        <w:rPr>
          <w:color w:val="231F20"/>
        </w:rPr>
        <w:t>prices. The</w:t>
      </w:r>
      <w:r>
        <w:rPr>
          <w:color w:val="231F20"/>
          <w:spacing w:val="-14"/>
        </w:rPr>
        <w:t> </w:t>
      </w:r>
      <w:r>
        <w:rPr>
          <w:color w:val="231F20"/>
        </w:rPr>
        <w:t>Company</w:t>
      </w:r>
      <w:r>
        <w:rPr>
          <w:color w:val="231F20"/>
          <w:spacing w:val="-14"/>
        </w:rPr>
        <w:t> </w:t>
      </w:r>
      <w:r>
        <w:rPr>
          <w:color w:val="231F20"/>
        </w:rPr>
        <w:t>believes</w:t>
      </w:r>
      <w:r>
        <w:rPr>
          <w:color w:val="231F20"/>
          <w:spacing w:val="-14"/>
        </w:rPr>
        <w:t> </w:t>
      </w:r>
      <w:r>
        <w:rPr>
          <w:color w:val="231F20"/>
        </w:rPr>
        <w:t>there</w:t>
      </w:r>
      <w:r>
        <w:rPr>
          <w:color w:val="231F20"/>
          <w:spacing w:val="-14"/>
        </w:rPr>
        <w:t> </w:t>
      </w:r>
      <w:r>
        <w:rPr>
          <w:color w:val="231F20"/>
        </w:rPr>
        <w:t>is</w:t>
      </w:r>
      <w:r>
        <w:rPr>
          <w:color w:val="231F20"/>
          <w:spacing w:val="-14"/>
        </w:rPr>
        <w:t> </w:t>
      </w:r>
      <w:r>
        <w:rPr>
          <w:color w:val="231F20"/>
        </w:rPr>
        <w:t>significant</w:t>
      </w:r>
      <w:r>
        <w:rPr>
          <w:color w:val="231F20"/>
          <w:spacing w:val="-14"/>
        </w:rPr>
        <w:t> </w:t>
      </w:r>
      <w:r>
        <w:rPr>
          <w:color w:val="231F20"/>
        </w:rPr>
        <w:t>risk</w:t>
      </w:r>
      <w:r>
        <w:rPr>
          <w:color w:val="231F20"/>
          <w:spacing w:val="-14"/>
        </w:rPr>
        <w:t> </w:t>
      </w:r>
      <w:r>
        <w:rPr>
          <w:color w:val="231F20"/>
        </w:rPr>
        <w:t>in</w:t>
      </w:r>
      <w:r>
        <w:rPr>
          <w:color w:val="231F20"/>
          <w:spacing w:val="-14"/>
        </w:rPr>
        <w:t> </w:t>
      </w:r>
      <w:r>
        <w:rPr>
          <w:color w:val="231F20"/>
        </w:rPr>
        <w:t>not</w:t>
      </w:r>
      <w:r>
        <w:rPr>
          <w:color w:val="231F20"/>
          <w:spacing w:val="-14"/>
        </w:rPr>
        <w:t> </w:t>
      </w:r>
      <w:r>
        <w:rPr>
          <w:color w:val="231F20"/>
        </w:rPr>
        <w:t>hedging</w:t>
      </w:r>
      <w:r>
        <w:rPr>
          <w:color w:val="231F20"/>
          <w:spacing w:val="-14"/>
        </w:rPr>
        <w:t> </w:t>
      </w:r>
      <w:r>
        <w:rPr>
          <w:color w:val="231F20"/>
        </w:rPr>
        <w:t>against</w:t>
      </w:r>
      <w:r>
        <w:rPr>
          <w:color w:val="231F20"/>
          <w:spacing w:val="-14"/>
        </w:rPr>
        <w:t> </w:t>
      </w:r>
      <w:r>
        <w:rPr>
          <w:color w:val="231F20"/>
        </w:rPr>
        <w:t>the</w:t>
      </w:r>
      <w:r>
        <w:rPr>
          <w:color w:val="231F20"/>
          <w:spacing w:val="-14"/>
        </w:rPr>
        <w:t> </w:t>
      </w:r>
      <w:r>
        <w:rPr>
          <w:color w:val="231F20"/>
        </w:rPr>
        <w:t>possibility</w:t>
      </w:r>
      <w:r>
        <w:rPr>
          <w:color w:val="231F20"/>
          <w:spacing w:val="-14"/>
        </w:rPr>
        <w:t> </w:t>
      </w:r>
      <w:r>
        <w:rPr>
          <w:color w:val="231F20"/>
        </w:rPr>
        <w:t>of</w:t>
      </w:r>
      <w:r>
        <w:rPr>
          <w:color w:val="231F20"/>
          <w:spacing w:val="-14"/>
        </w:rPr>
        <w:t> </w:t>
      </w:r>
      <w:r>
        <w:rPr>
          <w:color w:val="231F20"/>
        </w:rPr>
        <w:t>such</w:t>
      </w:r>
      <w:r>
        <w:rPr>
          <w:color w:val="231F20"/>
          <w:spacing w:val="-14"/>
        </w:rPr>
        <w:t> </w:t>
      </w:r>
      <w:r>
        <w:rPr>
          <w:color w:val="231F20"/>
        </w:rPr>
        <w:t>fuel</w:t>
      </w:r>
      <w:r>
        <w:rPr>
          <w:color w:val="231F20"/>
          <w:spacing w:val="-14"/>
        </w:rPr>
        <w:t> </w:t>
      </w:r>
      <w:r>
        <w:rPr>
          <w:color w:val="231F20"/>
        </w:rPr>
        <w:t>price</w:t>
      </w:r>
      <w:r>
        <w:rPr>
          <w:color w:val="231F20"/>
          <w:spacing w:val="-14"/>
        </w:rPr>
        <w:t> </w:t>
      </w:r>
      <w:r>
        <w:rPr>
          <w:color w:val="231F20"/>
        </w:rPr>
        <w:t>increases.</w:t>
      </w:r>
    </w:p>
    <w:p>
      <w:pPr>
        <w:pStyle w:val="BodyText"/>
        <w:spacing w:line="249" w:lineRule="auto" w:before="1"/>
        <w:ind w:left="100" w:right="326"/>
        <w:jc w:val="both"/>
      </w:pPr>
      <w:r>
        <w:rPr>
          <w:color w:val="231F20"/>
        </w:rPr>
        <w:t>The</w:t>
      </w:r>
      <w:r>
        <w:rPr>
          <w:color w:val="231F20"/>
          <w:spacing w:val="-13"/>
        </w:rPr>
        <w:t> </w:t>
      </w:r>
      <w:r>
        <w:rPr>
          <w:color w:val="231F20"/>
        </w:rPr>
        <w:t>Company</w:t>
      </w:r>
      <w:r>
        <w:rPr>
          <w:color w:val="231F20"/>
          <w:spacing w:val="-13"/>
        </w:rPr>
        <w:t> </w:t>
      </w:r>
      <w:r>
        <w:rPr>
          <w:color w:val="231F20"/>
        </w:rPr>
        <w:t>expects</w:t>
      </w:r>
      <w:r>
        <w:rPr>
          <w:color w:val="231F20"/>
          <w:spacing w:val="-13"/>
        </w:rPr>
        <w:t> </w:t>
      </w:r>
      <w:r>
        <w:rPr>
          <w:color w:val="231F20"/>
        </w:rPr>
        <w:t>to</w:t>
      </w:r>
      <w:r>
        <w:rPr>
          <w:color w:val="231F20"/>
          <w:spacing w:val="-13"/>
        </w:rPr>
        <w:t> </w:t>
      </w:r>
      <w:r>
        <w:rPr>
          <w:color w:val="231F20"/>
        </w:rPr>
        <w:t>consume</w:t>
      </w:r>
      <w:r>
        <w:rPr>
          <w:color w:val="231F20"/>
          <w:spacing w:val="-13"/>
        </w:rPr>
        <w:t> </w:t>
      </w:r>
      <w:r>
        <w:rPr>
          <w:color w:val="231F20"/>
        </w:rPr>
        <w:t>approximately</w:t>
      </w:r>
      <w:r>
        <w:rPr>
          <w:color w:val="231F20"/>
          <w:spacing w:val="-13"/>
        </w:rPr>
        <w:t> </w:t>
      </w:r>
      <w:r>
        <w:rPr>
          <w:color w:val="231F20"/>
        </w:rPr>
        <w:t>1.8</w:t>
      </w:r>
      <w:r>
        <w:rPr>
          <w:color w:val="231F20"/>
          <w:spacing w:val="-13"/>
        </w:rPr>
        <w:t> </w:t>
      </w:r>
      <w:r>
        <w:rPr>
          <w:color w:val="231F20"/>
        </w:rPr>
        <w:t>billion</w:t>
      </w:r>
      <w:r>
        <w:rPr>
          <w:color w:val="231F20"/>
          <w:spacing w:val="-13"/>
        </w:rPr>
        <w:t> </w:t>
      </w:r>
      <w:r>
        <w:rPr>
          <w:color w:val="231F20"/>
        </w:rPr>
        <w:t>gallons</w:t>
      </w:r>
      <w:r>
        <w:rPr>
          <w:color w:val="231F20"/>
          <w:spacing w:val="-13"/>
        </w:rPr>
        <w:t> </w:t>
      </w:r>
      <w:r>
        <w:rPr>
          <w:color w:val="231F20"/>
        </w:rPr>
        <w:t>of</w:t>
      </w:r>
      <w:r>
        <w:rPr>
          <w:color w:val="231F20"/>
          <w:spacing w:val="-13"/>
        </w:rPr>
        <w:t> </w:t>
      </w:r>
      <w:r>
        <w:rPr>
          <w:color w:val="231F20"/>
        </w:rPr>
        <w:t>jet</w:t>
      </w:r>
      <w:r>
        <w:rPr>
          <w:color w:val="231F20"/>
          <w:spacing w:val="-13"/>
        </w:rPr>
        <w:t> </w:t>
      </w:r>
      <w:r>
        <w:rPr>
          <w:color w:val="231F20"/>
        </w:rPr>
        <w:t>fuel</w:t>
      </w:r>
      <w:r>
        <w:rPr>
          <w:color w:val="231F20"/>
          <w:spacing w:val="-13"/>
        </w:rPr>
        <w:t> </w:t>
      </w:r>
      <w:r>
        <w:rPr>
          <w:color w:val="231F20"/>
        </w:rPr>
        <w:t>in</w:t>
      </w:r>
      <w:r>
        <w:rPr>
          <w:color w:val="231F20"/>
          <w:spacing w:val="-13"/>
        </w:rPr>
        <w:t> </w:t>
      </w:r>
      <w:r>
        <w:rPr>
          <w:color w:val="231F20"/>
        </w:rPr>
        <w:t>2013.</w:t>
      </w:r>
      <w:r>
        <w:rPr>
          <w:color w:val="231F20"/>
          <w:spacing w:val="-13"/>
        </w:rPr>
        <w:t> </w:t>
      </w:r>
      <w:r>
        <w:rPr>
          <w:color w:val="231F20"/>
        </w:rPr>
        <w:t>Based</w:t>
      </w:r>
      <w:r>
        <w:rPr>
          <w:color w:val="231F20"/>
          <w:spacing w:val="-13"/>
        </w:rPr>
        <w:t> </w:t>
      </w:r>
      <w:r>
        <w:rPr>
          <w:color w:val="231F20"/>
        </w:rPr>
        <w:t>on</w:t>
      </w:r>
      <w:r>
        <w:rPr>
          <w:color w:val="231F20"/>
          <w:spacing w:val="-13"/>
        </w:rPr>
        <w:t> </w:t>
      </w:r>
      <w:r>
        <w:rPr>
          <w:color w:val="231F20"/>
        </w:rPr>
        <w:t>this</w:t>
      </w:r>
      <w:r>
        <w:rPr>
          <w:color w:val="231F20"/>
          <w:spacing w:val="-13"/>
        </w:rPr>
        <w:t> </w:t>
      </w:r>
      <w:r>
        <w:rPr>
          <w:color w:val="231F20"/>
        </w:rPr>
        <w:t>anticipated usage,</w:t>
      </w:r>
      <w:r>
        <w:rPr>
          <w:color w:val="231F20"/>
          <w:spacing w:val="-11"/>
        </w:rPr>
        <w:t> </w:t>
      </w:r>
      <w:r>
        <w:rPr>
          <w:color w:val="231F20"/>
        </w:rPr>
        <w:t>a</w:t>
      </w:r>
      <w:r>
        <w:rPr>
          <w:color w:val="231F20"/>
          <w:spacing w:val="-11"/>
        </w:rPr>
        <w:t> </w:t>
      </w:r>
      <w:r>
        <w:rPr>
          <w:color w:val="231F20"/>
        </w:rPr>
        <w:t>change</w:t>
      </w:r>
      <w:r>
        <w:rPr>
          <w:color w:val="231F20"/>
          <w:spacing w:val="-11"/>
        </w:rPr>
        <w:t> </w:t>
      </w:r>
      <w:r>
        <w:rPr>
          <w:color w:val="231F20"/>
        </w:rPr>
        <w:t>in</w:t>
      </w:r>
      <w:r>
        <w:rPr>
          <w:color w:val="231F20"/>
          <w:spacing w:val="-11"/>
        </w:rPr>
        <w:t> </w:t>
      </w:r>
      <w:r>
        <w:rPr>
          <w:color w:val="231F20"/>
        </w:rPr>
        <w:t>jet</w:t>
      </w:r>
      <w:r>
        <w:rPr>
          <w:color w:val="231F20"/>
          <w:spacing w:val="-11"/>
        </w:rPr>
        <w:t> </w:t>
      </w:r>
      <w:r>
        <w:rPr>
          <w:color w:val="231F20"/>
        </w:rPr>
        <w:t>fuel</w:t>
      </w:r>
      <w:r>
        <w:rPr>
          <w:color w:val="231F20"/>
          <w:spacing w:val="-11"/>
        </w:rPr>
        <w:t> </w:t>
      </w:r>
      <w:r>
        <w:rPr>
          <w:color w:val="231F20"/>
        </w:rPr>
        <w:t>prices</w:t>
      </w:r>
      <w:r>
        <w:rPr>
          <w:color w:val="231F20"/>
          <w:spacing w:val="-11"/>
        </w:rPr>
        <w:t> </w:t>
      </w:r>
      <w:r>
        <w:rPr>
          <w:color w:val="231F20"/>
        </w:rPr>
        <w:t>of</w:t>
      </w:r>
      <w:r>
        <w:rPr>
          <w:color w:val="231F20"/>
          <w:spacing w:val="-11"/>
        </w:rPr>
        <w:t> </w:t>
      </w:r>
      <w:r>
        <w:rPr>
          <w:color w:val="231F20"/>
        </w:rPr>
        <w:t>just</w:t>
      </w:r>
      <w:r>
        <w:rPr>
          <w:color w:val="231F20"/>
          <w:spacing w:val="-11"/>
        </w:rPr>
        <w:t> </w:t>
      </w:r>
      <w:r>
        <w:rPr>
          <w:color w:val="231F20"/>
        </w:rPr>
        <w:t>one</w:t>
      </w:r>
      <w:r>
        <w:rPr>
          <w:color w:val="231F20"/>
          <w:spacing w:val="-11"/>
        </w:rPr>
        <w:t> </w:t>
      </w:r>
      <w:r>
        <w:rPr>
          <w:color w:val="231F20"/>
        </w:rPr>
        <w:t>cent</w:t>
      </w:r>
      <w:r>
        <w:rPr>
          <w:color w:val="231F20"/>
          <w:spacing w:val="-11"/>
        </w:rPr>
        <w:t> </w:t>
      </w:r>
      <w:r>
        <w:rPr>
          <w:color w:val="231F20"/>
        </w:rPr>
        <w:t>per</w:t>
      </w:r>
      <w:r>
        <w:rPr>
          <w:color w:val="231F20"/>
          <w:spacing w:val="-11"/>
        </w:rPr>
        <w:t> </w:t>
      </w:r>
      <w:r>
        <w:rPr>
          <w:color w:val="231F20"/>
        </w:rPr>
        <w:t>gallon</w:t>
      </w:r>
      <w:r>
        <w:rPr>
          <w:color w:val="231F20"/>
          <w:spacing w:val="-11"/>
        </w:rPr>
        <w:t> </w:t>
      </w:r>
      <w:r>
        <w:rPr>
          <w:color w:val="231F20"/>
        </w:rPr>
        <w:t>would</w:t>
      </w:r>
      <w:r>
        <w:rPr>
          <w:color w:val="231F20"/>
          <w:spacing w:val="-11"/>
        </w:rPr>
        <w:t> </w:t>
      </w:r>
      <w:r>
        <w:rPr>
          <w:color w:val="231F20"/>
        </w:rPr>
        <w:t>impact</w:t>
      </w:r>
      <w:r>
        <w:rPr>
          <w:color w:val="231F20"/>
          <w:spacing w:val="-11"/>
        </w:rPr>
        <w:t> </w:t>
      </w:r>
      <w:r>
        <w:rPr>
          <w:color w:val="231F20"/>
        </w:rPr>
        <w:t>the</w:t>
      </w:r>
      <w:r>
        <w:rPr>
          <w:color w:val="231F20"/>
          <w:spacing w:val="-11"/>
        </w:rPr>
        <w:t> </w:t>
      </w:r>
      <w:r>
        <w:rPr>
          <w:color w:val="231F20"/>
        </w:rPr>
        <w:t>Company’s</w:t>
      </w:r>
      <w:r>
        <w:rPr>
          <w:color w:val="231F20"/>
          <w:spacing w:val="-11"/>
        </w:rPr>
        <w:t> </w:t>
      </w:r>
      <w:r>
        <w:rPr>
          <w:color w:val="231F20"/>
        </w:rPr>
        <w:t>Fuel</w:t>
      </w:r>
      <w:r>
        <w:rPr>
          <w:color w:val="231F20"/>
          <w:spacing w:val="-11"/>
        </w:rPr>
        <w:t> </w:t>
      </w:r>
      <w:r>
        <w:rPr>
          <w:color w:val="231F20"/>
        </w:rPr>
        <w:t>and</w:t>
      </w:r>
      <w:r>
        <w:rPr>
          <w:color w:val="231F20"/>
          <w:spacing w:val="-11"/>
        </w:rPr>
        <w:t> </w:t>
      </w:r>
      <w:r>
        <w:rPr>
          <w:color w:val="231F20"/>
        </w:rPr>
        <w:t>oil</w:t>
      </w:r>
      <w:r>
        <w:rPr>
          <w:color w:val="231F20"/>
          <w:spacing w:val="-11"/>
        </w:rPr>
        <w:t> </w:t>
      </w:r>
      <w:r>
        <w:rPr>
          <w:color w:val="231F20"/>
        </w:rPr>
        <w:t>expense</w:t>
      </w:r>
      <w:r>
        <w:rPr>
          <w:color w:val="231F20"/>
          <w:spacing w:val="-11"/>
        </w:rPr>
        <w:t> </w:t>
      </w:r>
      <w:r>
        <w:rPr>
          <w:color w:val="231F20"/>
        </w:rPr>
        <w:t>by approximately</w:t>
      </w:r>
      <w:r>
        <w:rPr>
          <w:color w:val="231F20"/>
          <w:spacing w:val="-17"/>
        </w:rPr>
        <w:t> </w:t>
      </w:r>
      <w:r>
        <w:rPr>
          <w:color w:val="231F20"/>
        </w:rPr>
        <w:t>$18</w:t>
      </w:r>
      <w:r>
        <w:rPr>
          <w:color w:val="231F20"/>
          <w:spacing w:val="-17"/>
        </w:rPr>
        <w:t> </w:t>
      </w:r>
      <w:r>
        <w:rPr>
          <w:color w:val="231F20"/>
        </w:rPr>
        <w:t>million</w:t>
      </w:r>
      <w:r>
        <w:rPr>
          <w:color w:val="231F20"/>
          <w:spacing w:val="-17"/>
        </w:rPr>
        <w:t> </w:t>
      </w:r>
      <w:r>
        <w:rPr>
          <w:color w:val="231F20"/>
        </w:rPr>
        <w:t>for</w:t>
      </w:r>
      <w:r>
        <w:rPr>
          <w:color w:val="231F20"/>
          <w:spacing w:val="-17"/>
        </w:rPr>
        <w:t> </w:t>
      </w:r>
      <w:r>
        <w:rPr>
          <w:color w:val="231F20"/>
        </w:rPr>
        <w:t>2013,</w:t>
      </w:r>
      <w:r>
        <w:rPr>
          <w:color w:val="231F20"/>
          <w:spacing w:val="-17"/>
        </w:rPr>
        <w:t> </w:t>
      </w:r>
      <w:r>
        <w:rPr>
          <w:color w:val="231F20"/>
        </w:rPr>
        <w:t>excluding</w:t>
      </w:r>
      <w:r>
        <w:rPr>
          <w:color w:val="231F20"/>
          <w:spacing w:val="-17"/>
        </w:rPr>
        <w:t> </w:t>
      </w:r>
      <w:r>
        <w:rPr>
          <w:color w:val="231F20"/>
        </w:rPr>
        <w:t>any</w:t>
      </w:r>
      <w:r>
        <w:rPr>
          <w:color w:val="231F20"/>
          <w:spacing w:val="-17"/>
        </w:rPr>
        <w:t> </w:t>
      </w:r>
      <w:r>
        <w:rPr>
          <w:color w:val="231F20"/>
        </w:rPr>
        <w:t>impact</w:t>
      </w:r>
      <w:r>
        <w:rPr>
          <w:color w:val="231F20"/>
          <w:spacing w:val="-17"/>
        </w:rPr>
        <w:t> </w:t>
      </w:r>
      <w:r>
        <w:rPr>
          <w:color w:val="231F20"/>
        </w:rPr>
        <w:t>associated</w:t>
      </w:r>
      <w:r>
        <w:rPr>
          <w:color w:val="231F20"/>
          <w:spacing w:val="-17"/>
        </w:rPr>
        <w:t> </w:t>
      </w:r>
      <w:r>
        <w:rPr>
          <w:color w:val="231F20"/>
        </w:rPr>
        <w:t>with</w:t>
      </w:r>
      <w:r>
        <w:rPr>
          <w:color w:val="231F20"/>
          <w:spacing w:val="-17"/>
        </w:rPr>
        <w:t> </w:t>
      </w:r>
      <w:r>
        <w:rPr>
          <w:color w:val="231F20"/>
        </w:rPr>
        <w:t>fuel</w:t>
      </w:r>
      <w:r>
        <w:rPr>
          <w:color w:val="231F20"/>
          <w:spacing w:val="-17"/>
        </w:rPr>
        <w:t> </w:t>
      </w:r>
      <w:r>
        <w:rPr>
          <w:color w:val="231F20"/>
        </w:rPr>
        <w:t>derivative</w:t>
      </w:r>
      <w:r>
        <w:rPr>
          <w:color w:val="231F20"/>
          <w:spacing w:val="-17"/>
        </w:rPr>
        <w:t> </w:t>
      </w:r>
      <w:r>
        <w:rPr>
          <w:color w:val="231F20"/>
        </w:rPr>
        <w:t>instruments</w:t>
      </w:r>
      <w:r>
        <w:rPr>
          <w:color w:val="231F20"/>
          <w:spacing w:val="-17"/>
        </w:rPr>
        <w:t> </w:t>
      </w:r>
      <w:r>
        <w:rPr>
          <w:color w:val="231F20"/>
        </w:rPr>
        <w:t>held.</w:t>
      </w:r>
    </w:p>
    <w:p>
      <w:pPr>
        <w:pStyle w:val="BodyText"/>
        <w:spacing w:before="7"/>
        <w:rPr>
          <w:sz w:val="18"/>
        </w:rPr>
      </w:pPr>
    </w:p>
    <w:p>
      <w:pPr>
        <w:pStyle w:val="BodyText"/>
        <w:spacing w:line="249" w:lineRule="auto"/>
        <w:ind w:left="100" w:right="105" w:firstLine="400"/>
      </w:pPr>
      <w:r>
        <w:rPr>
          <w:color w:val="231F20"/>
        </w:rPr>
        <w:t>As of December 31, 2012, the Company held a net position of fuel derivative instruments that represented a hedge for a portion of its anticipated jet fuel purchases for each year from 2013 through 2017.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The gross fair value of outstanding financial derivative instruments related to the Company’s jet fuel market price risk at December 31, 2012, was a net asset of $219 million. In addition, no cash collateral deposits were provided by or held by the Company in connection with these instruments based on their fair value as of December 31, 2012.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2012 (for all years from 2013 through 2017) prices would correspondingly change the fair value of the commodity derivative instruments in place by approximately $340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2012 levels, except underlying futures</w:t>
      </w:r>
      <w:r>
        <w:rPr>
          <w:color w:val="231F20"/>
          <w:spacing w:val="4"/>
        </w:rPr>
        <w:t> </w:t>
      </w:r>
      <w:r>
        <w:rPr>
          <w:color w:val="231F20"/>
        </w:rPr>
        <w:t>prices.</w:t>
      </w:r>
    </w:p>
    <w:p>
      <w:pPr>
        <w:pStyle w:val="BodyText"/>
        <w:spacing w:before="7"/>
        <w:rPr>
          <w:sz w:val="18"/>
        </w:rPr>
      </w:pPr>
    </w:p>
    <w:p>
      <w:pPr>
        <w:pStyle w:val="BodyText"/>
        <w:spacing w:line="249" w:lineRule="auto"/>
        <w:ind w:left="100" w:right="240"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2012, the Company had eight counterparties in which the derivatives held were a net asset, totaling</w:t>
      </w:r>
    </w:p>
    <w:p>
      <w:pPr>
        <w:pStyle w:val="BodyText"/>
        <w:spacing w:line="249" w:lineRule="auto" w:before="10"/>
        <w:ind w:left="100" w:right="126"/>
      </w:pPr>
      <w:r>
        <w:rPr>
          <w:color w:val="231F20"/>
        </w:rPr>
        <w:t>$230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2012, the Company had agreements with all of its</w:t>
      </w:r>
    </w:p>
    <w:p>
      <w:pPr>
        <w:spacing w:after="0" w:line="249" w:lineRule="auto"/>
        <w:sectPr>
          <w:pgSz w:w="11880" w:h="15480"/>
          <w:pgMar w:header="0" w:footer="1253" w:top="1240" w:bottom="1440" w:left="1280" w:right="1280"/>
        </w:sectPr>
      </w:pPr>
    </w:p>
    <w:p>
      <w:pPr>
        <w:pStyle w:val="BodyText"/>
        <w:spacing w:line="249" w:lineRule="auto" w:before="73"/>
        <w:ind w:left="100" w:right="119"/>
      </w:pPr>
      <w:r>
        <w:rPr>
          <w:color w:val="231F20"/>
        </w:rPr>
        <w:t>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lines of credit, and/or pledged aircraft are required to be posted whenever the net fair value of derivatives associated with those counterparties exceeds specific thresholds—cash is either posted by the counterparty if the value of derivatives is an asset to the Company, or cash, lines or credit,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2012, at which such postings are triggered.</w:t>
      </w:r>
    </w:p>
    <w:p>
      <w:pPr>
        <w:pStyle w:val="BodyText"/>
        <w:spacing w:before="10"/>
      </w:pPr>
    </w:p>
    <w:p>
      <w:pPr>
        <w:pStyle w:val="BodyText"/>
        <w:spacing w:line="249" w:lineRule="auto" w:before="1"/>
        <w:ind w:left="100" w:right="103" w:firstLine="400"/>
      </w:pPr>
      <w:r>
        <w:rPr>
          <w:color w:val="231F20"/>
        </w:rPr>
        <w:t>At December 31, 2012, no cash deposits, letters of credit, and/or aircraft collateral were provided by or held by the Company based on its outstanding fuel derivative instrument portfolio.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w:t>
      </w:r>
    </w:p>
    <w:p>
      <w:pPr>
        <w:pStyle w:val="BodyText"/>
        <w:spacing w:line="249" w:lineRule="auto" w:before="1"/>
        <w:ind w:left="100" w:right="654"/>
      </w:pPr>
      <w:r>
        <w:rPr>
          <w:color w:val="231F20"/>
        </w:rPr>
        <w:t>25 percent from market prices as of December 31, 2012, given the Company’s fuel derivative portfolio, its aircraft collateral facilities, and its investment grade credit rating, it would likely provide an additional</w:t>
      </w:r>
    </w:p>
    <w:p>
      <w:pPr>
        <w:pStyle w:val="BodyText"/>
        <w:spacing w:line="249" w:lineRule="auto" w:before="1"/>
        <w:ind w:left="100" w:right="292"/>
      </w:pPr>
      <w:r>
        <w:rPr>
          <w:color w:val="231F20"/>
        </w:rPr>
        <w:t>$669 million in cash, letters of credit, and/or aircraft collateral to its current counterparties. However, the Company would expect to also benefit from lower market prices paid for fuel used in its operations.</w:t>
      </w:r>
    </w:p>
    <w:p>
      <w:pPr>
        <w:pStyle w:val="BodyText"/>
        <w:spacing w:before="11"/>
      </w:pPr>
    </w:p>
    <w:p>
      <w:pPr>
        <w:pStyle w:val="BodyText"/>
        <w:spacing w:line="249" w:lineRule="auto"/>
        <w:ind w:left="100" w:right="171" w:firstLine="400"/>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In some periods, the spread between WTI and jet fuel has widened beyond historic norms, which has led to more ineffectiveness when measuring the Company’s hedges. During those time periods, jet fuel prices have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spread between jet fuel and WTI continues to fluctuate, a portion of the change in fair value of the Company’s hedges could continue to experience ineffectiveness and not provide complete protection against jet fuel price volatility.</w:t>
      </w:r>
    </w:p>
    <w:p>
      <w:pPr>
        <w:pStyle w:val="BodyText"/>
        <w:spacing w:before="10"/>
      </w:pPr>
    </w:p>
    <w:p>
      <w:pPr>
        <w:pStyle w:val="BodyText"/>
        <w:spacing w:line="249" w:lineRule="auto" w:before="1"/>
        <w:ind w:left="100" w:right="124" w:firstLine="400"/>
      </w:pPr>
      <w:r>
        <w:rPr>
          <w:color w:val="231F20"/>
        </w:rPr>
        <w:t>The</w:t>
      </w:r>
      <w:r>
        <w:rPr>
          <w:color w:val="231F20"/>
          <w:spacing w:val="-13"/>
        </w:rPr>
        <w:t> </w:t>
      </w:r>
      <w:r>
        <w:rPr>
          <w:color w:val="231F20"/>
        </w:rPr>
        <w:t>Company</w:t>
      </w:r>
      <w:r>
        <w:rPr>
          <w:color w:val="231F20"/>
          <w:spacing w:val="-13"/>
        </w:rPr>
        <w:t> </w:t>
      </w:r>
      <w:r>
        <w:rPr>
          <w:color w:val="231F20"/>
        </w:rPr>
        <w:t>also</w:t>
      </w:r>
      <w:r>
        <w:rPr>
          <w:color w:val="231F20"/>
          <w:spacing w:val="-13"/>
        </w:rPr>
        <w:t> </w:t>
      </w:r>
      <w:r>
        <w:rPr>
          <w:color w:val="231F20"/>
        </w:rPr>
        <w:t>has</w:t>
      </w:r>
      <w:r>
        <w:rPr>
          <w:color w:val="231F20"/>
          <w:spacing w:val="-13"/>
        </w:rPr>
        <w:t> </w:t>
      </w:r>
      <w:r>
        <w:rPr>
          <w:color w:val="231F20"/>
        </w:rPr>
        <w:t>agreements</w:t>
      </w:r>
      <w:r>
        <w:rPr>
          <w:color w:val="231F20"/>
          <w:spacing w:val="-13"/>
        </w:rPr>
        <w:t> </w:t>
      </w:r>
      <w:r>
        <w:rPr>
          <w:color w:val="231F20"/>
        </w:rPr>
        <w:t>with</w:t>
      </w:r>
      <w:r>
        <w:rPr>
          <w:color w:val="231F20"/>
          <w:spacing w:val="-13"/>
        </w:rPr>
        <w:t> </w:t>
      </w:r>
      <w:r>
        <w:rPr>
          <w:color w:val="231F20"/>
        </w:rPr>
        <w:t>each</w:t>
      </w:r>
      <w:r>
        <w:rPr>
          <w:color w:val="231F20"/>
          <w:spacing w:val="-13"/>
        </w:rPr>
        <w:t> </w:t>
      </w:r>
      <w:r>
        <w:rPr>
          <w:color w:val="231F20"/>
        </w:rPr>
        <w:t>of</w:t>
      </w:r>
      <w:r>
        <w:rPr>
          <w:color w:val="231F20"/>
          <w:spacing w:val="-13"/>
        </w:rPr>
        <w:t> </w:t>
      </w:r>
      <w:r>
        <w:rPr>
          <w:color w:val="231F20"/>
        </w:rPr>
        <w:t>its</w:t>
      </w:r>
      <w:r>
        <w:rPr>
          <w:color w:val="231F20"/>
          <w:spacing w:val="-13"/>
        </w:rPr>
        <w:t> </w:t>
      </w:r>
      <w:r>
        <w:rPr>
          <w:color w:val="231F20"/>
        </w:rPr>
        <w:t>counterparties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its</w:t>
      </w:r>
      <w:r>
        <w:rPr>
          <w:color w:val="231F20"/>
          <w:spacing w:val="-13"/>
        </w:rPr>
        <w:t> </w:t>
      </w:r>
      <w:r>
        <w:rPr>
          <w:color w:val="231F20"/>
        </w:rPr>
        <w:t>outstanding</w:t>
      </w:r>
      <w:r>
        <w:rPr>
          <w:color w:val="231F20"/>
          <w:spacing w:val="-13"/>
        </w:rPr>
        <w:t> </w:t>
      </w:r>
      <w:r>
        <w:rPr>
          <w:color w:val="231F20"/>
        </w:rPr>
        <w:t>interest</w:t>
      </w:r>
      <w:r>
        <w:rPr>
          <w:color w:val="231F20"/>
          <w:spacing w:val="-13"/>
        </w:rPr>
        <w:t> </w:t>
      </w:r>
      <w:r>
        <w:rPr>
          <w:color w:val="231F20"/>
        </w:rPr>
        <w:t>rate swap agreements in which cash collateral may be required based on the fair value of outstanding derivative instruments,</w:t>
      </w:r>
      <w:r>
        <w:rPr>
          <w:color w:val="231F20"/>
          <w:spacing w:val="-12"/>
        </w:rPr>
        <w:t> </w:t>
      </w:r>
      <w:r>
        <w:rPr>
          <w:color w:val="231F20"/>
        </w:rPr>
        <w:t>as</w:t>
      </w:r>
      <w:r>
        <w:rPr>
          <w:color w:val="231F20"/>
          <w:spacing w:val="-12"/>
        </w:rPr>
        <w:t> </w:t>
      </w:r>
      <w:r>
        <w:rPr>
          <w:color w:val="231F20"/>
        </w:rPr>
        <w:t>well</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and</w:t>
      </w:r>
      <w:r>
        <w:rPr>
          <w:color w:val="231F20"/>
          <w:spacing w:val="-12"/>
        </w:rPr>
        <w:t> </w:t>
      </w:r>
      <w:r>
        <w:rPr>
          <w:color w:val="231F20"/>
        </w:rPr>
        <w:t>its</w:t>
      </w:r>
      <w:r>
        <w:rPr>
          <w:color w:val="231F20"/>
          <w:spacing w:val="-12"/>
        </w:rPr>
        <w:t> </w:t>
      </w:r>
      <w:r>
        <w:rPr>
          <w:color w:val="231F20"/>
        </w:rPr>
        <w:t>counterparty’s</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As</w:t>
      </w:r>
      <w:r>
        <w:rPr>
          <w:color w:val="231F20"/>
          <w:spacing w:val="-12"/>
        </w:rPr>
        <w:t> </w:t>
      </w:r>
      <w:r>
        <w:rPr>
          <w:color w:val="231F20"/>
        </w:rPr>
        <w:t>of</w:t>
      </w:r>
      <w:r>
        <w:rPr>
          <w:color w:val="231F20"/>
          <w:spacing w:val="-12"/>
        </w:rPr>
        <w:t> </w:t>
      </w:r>
      <w:r>
        <w:rPr>
          <w:color w:val="231F20"/>
        </w:rPr>
        <w:t>December</w:t>
      </w:r>
      <w:r>
        <w:rPr>
          <w:color w:val="231F20"/>
          <w:spacing w:val="-12"/>
        </w:rPr>
        <w:t> </w:t>
      </w:r>
      <w:r>
        <w:rPr>
          <w:color w:val="231F20"/>
        </w:rPr>
        <w:t>31,</w:t>
      </w:r>
      <w:r>
        <w:rPr>
          <w:color w:val="231F20"/>
          <w:spacing w:val="-12"/>
        </w:rPr>
        <w:t> </w:t>
      </w:r>
      <w:r>
        <w:rPr>
          <w:color w:val="231F20"/>
        </w:rPr>
        <w:t>2012,</w:t>
      </w:r>
      <w:r>
        <w:rPr>
          <w:color w:val="231F20"/>
          <w:spacing w:val="-12"/>
        </w:rPr>
        <w:t> </w:t>
      </w:r>
      <w:r>
        <w:rPr>
          <w:color w:val="231F20"/>
        </w:rPr>
        <w:t>$66</w:t>
      </w:r>
      <w:r>
        <w:rPr>
          <w:color w:val="231F20"/>
          <w:spacing w:val="-12"/>
        </w:rPr>
        <w:t> </w:t>
      </w:r>
      <w:r>
        <w:rPr>
          <w:color w:val="231F20"/>
        </w:rPr>
        <w:t>million had</w:t>
      </w:r>
      <w:r>
        <w:rPr>
          <w:color w:val="231F20"/>
          <w:spacing w:val="-15"/>
        </w:rPr>
        <w:t> </w:t>
      </w:r>
      <w:r>
        <w:rPr>
          <w:color w:val="231F20"/>
        </w:rPr>
        <w:t>been</w:t>
      </w:r>
      <w:r>
        <w:rPr>
          <w:color w:val="231F20"/>
          <w:spacing w:val="-15"/>
        </w:rPr>
        <w:t> </w:t>
      </w:r>
      <w:r>
        <w:rPr>
          <w:color w:val="231F20"/>
        </w:rPr>
        <w:t>provided</w:t>
      </w:r>
      <w:r>
        <w:rPr>
          <w:color w:val="231F20"/>
          <w:spacing w:val="-15"/>
        </w:rPr>
        <w:t> </w:t>
      </w:r>
      <w:r>
        <w:rPr>
          <w:color w:val="231F20"/>
        </w:rPr>
        <w:t>to</w:t>
      </w:r>
      <w:r>
        <w:rPr>
          <w:color w:val="231F20"/>
          <w:spacing w:val="-15"/>
        </w:rPr>
        <w:t> </w:t>
      </w:r>
      <w:r>
        <w:rPr>
          <w:color w:val="231F20"/>
        </w:rPr>
        <w:t>one</w:t>
      </w:r>
      <w:r>
        <w:rPr>
          <w:color w:val="231F20"/>
          <w:spacing w:val="-15"/>
        </w:rPr>
        <w:t> </w:t>
      </w:r>
      <w:r>
        <w:rPr>
          <w:color w:val="231F20"/>
        </w:rPr>
        <w:t>counterparty</w:t>
      </w:r>
      <w:r>
        <w:rPr>
          <w:color w:val="231F20"/>
          <w:spacing w:val="-15"/>
        </w:rPr>
        <w:t> </w:t>
      </w:r>
      <w:r>
        <w:rPr>
          <w:color w:val="231F20"/>
        </w:rPr>
        <w:t>associated</w:t>
      </w:r>
      <w:r>
        <w:rPr>
          <w:color w:val="231F20"/>
          <w:spacing w:val="-15"/>
        </w:rPr>
        <w:t> </w:t>
      </w:r>
      <w:r>
        <w:rPr>
          <w:color w:val="231F20"/>
        </w:rPr>
        <w:t>with</w:t>
      </w:r>
      <w:r>
        <w:rPr>
          <w:color w:val="231F20"/>
          <w:spacing w:val="-15"/>
        </w:rPr>
        <w:t> </w:t>
      </w:r>
      <w:r>
        <w:rPr>
          <w:color w:val="231F20"/>
        </w:rPr>
        <w:t>interest</w:t>
      </w:r>
      <w:r>
        <w:rPr>
          <w:color w:val="231F20"/>
          <w:spacing w:val="-15"/>
        </w:rPr>
        <w:t> </w:t>
      </w:r>
      <w:r>
        <w:rPr>
          <w:color w:val="231F20"/>
        </w:rPr>
        <w:t>rate</w:t>
      </w:r>
      <w:r>
        <w:rPr>
          <w:color w:val="231F20"/>
          <w:spacing w:val="-15"/>
        </w:rPr>
        <w:t> </w:t>
      </w:r>
      <w:r>
        <w:rPr>
          <w:color w:val="231F20"/>
        </w:rPr>
        <w:t>derivatives</w:t>
      </w:r>
      <w:r>
        <w:rPr>
          <w:color w:val="231F20"/>
          <w:spacing w:val="-15"/>
        </w:rPr>
        <w:t> </w:t>
      </w:r>
      <w:r>
        <w:rPr>
          <w:color w:val="231F20"/>
        </w:rPr>
        <w:t>based</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rPr>
        <w:t>Company’s</w:t>
      </w:r>
      <w:r>
        <w:rPr>
          <w:color w:val="231F20"/>
          <w:spacing w:val="-15"/>
        </w:rPr>
        <w:t> </w:t>
      </w:r>
      <w:r>
        <w:rPr>
          <w:color w:val="231F20"/>
        </w:rPr>
        <w:t>outstanding net liability derivative position with that counterparty. In addition, in connection with interest rate swaps entered into by AirTran, a total of $23 million in cash collateral had been provided to one counterparty at December </w:t>
      </w:r>
      <w:r>
        <w:rPr>
          <w:color w:val="231F20"/>
          <w:spacing w:val="-2"/>
        </w:rPr>
        <w:t>31, </w:t>
      </w:r>
      <w:r>
        <w:rPr>
          <w:color w:val="231F20"/>
        </w:rPr>
        <w:t>2012, as a result of a net liability derivative position with that counterparty. The outstanding interest rate </w:t>
      </w:r>
      <w:r>
        <w:rPr>
          <w:color w:val="231F20"/>
          <w:spacing w:val="-2"/>
        </w:rPr>
        <w:t>net </w:t>
      </w:r>
      <w:r>
        <w:rPr>
          <w:color w:val="231F20"/>
        </w:rPr>
        <w:t>derivative</w:t>
      </w:r>
      <w:r>
        <w:rPr>
          <w:color w:val="231F20"/>
          <w:spacing w:val="-15"/>
        </w:rPr>
        <w:t> </w:t>
      </w:r>
      <w:r>
        <w:rPr>
          <w:color w:val="231F20"/>
        </w:rPr>
        <w:t>positions</w:t>
      </w:r>
      <w:r>
        <w:rPr>
          <w:color w:val="231F20"/>
          <w:spacing w:val="-15"/>
        </w:rPr>
        <w:t> </w:t>
      </w:r>
      <w:r>
        <w:rPr>
          <w:color w:val="231F20"/>
        </w:rPr>
        <w:t>with</w:t>
      </w:r>
      <w:r>
        <w:rPr>
          <w:color w:val="231F20"/>
          <w:spacing w:val="-15"/>
        </w:rPr>
        <w:t> </w:t>
      </w:r>
      <w:r>
        <w:rPr>
          <w:color w:val="231F20"/>
        </w:rPr>
        <w:t>all</w:t>
      </w:r>
      <w:r>
        <w:rPr>
          <w:color w:val="231F20"/>
          <w:spacing w:val="-15"/>
        </w:rPr>
        <w:t> </w:t>
      </w:r>
      <w:r>
        <w:rPr>
          <w:color w:val="231F20"/>
        </w:rPr>
        <w:t>other</w:t>
      </w:r>
      <w:r>
        <w:rPr>
          <w:color w:val="231F20"/>
          <w:spacing w:val="-15"/>
        </w:rPr>
        <w:t> </w:t>
      </w:r>
      <w:r>
        <w:rPr>
          <w:color w:val="231F20"/>
        </w:rPr>
        <w:t>counterparties</w:t>
      </w:r>
      <w:r>
        <w:rPr>
          <w:color w:val="231F20"/>
          <w:spacing w:val="-15"/>
        </w:rPr>
        <w:t> </w:t>
      </w:r>
      <w:r>
        <w:rPr>
          <w:color w:val="231F20"/>
        </w:rPr>
        <w:t>at</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2012,</w:t>
      </w:r>
      <w:r>
        <w:rPr>
          <w:color w:val="231F20"/>
          <w:spacing w:val="-15"/>
        </w:rPr>
        <w:t> </w:t>
      </w:r>
      <w:r>
        <w:rPr>
          <w:color w:val="231F20"/>
        </w:rPr>
        <w:t>were</w:t>
      </w:r>
      <w:r>
        <w:rPr>
          <w:color w:val="231F20"/>
          <w:spacing w:val="-15"/>
        </w:rPr>
        <w:t> </w:t>
      </w:r>
      <w:r>
        <w:rPr>
          <w:color w:val="231F20"/>
        </w:rPr>
        <w:t>assets</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Company.</w:t>
      </w:r>
    </w:p>
    <w:p>
      <w:pPr>
        <w:pStyle w:val="BodyText"/>
        <w:spacing w:before="11"/>
      </w:pPr>
    </w:p>
    <w:p>
      <w:pPr>
        <w:pStyle w:val="BodyText"/>
        <w:spacing w:line="249" w:lineRule="auto"/>
        <w:ind w:left="100" w:right="215" w:firstLine="40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BodyText"/>
        <w:spacing w:line="249" w:lineRule="auto" w:before="1"/>
        <w:ind w:left="100" w:right="132"/>
      </w:pPr>
      <w:r>
        <w:rPr>
          <w:color w:val="231F20"/>
        </w:rPr>
        <w:t>(iv)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spacing w:after="0" w:line="249" w:lineRule="auto"/>
        <w:sectPr>
          <w:pgSz w:w="11880" w:h="15480"/>
          <w:pgMar w:header="0" w:footer="1253" w:top="1240" w:bottom="1440" w:left="1280" w:right="1300"/>
        </w:sectPr>
      </w:pPr>
    </w:p>
    <w:p>
      <w:pPr>
        <w:pStyle w:val="Heading4"/>
        <w:spacing w:before="73"/>
        <w:ind w:left="300"/>
        <w:rPr>
          <w:i/>
        </w:rPr>
      </w:pPr>
      <w:r>
        <w:rPr>
          <w:i/>
          <w:color w:val="231F20"/>
        </w:rPr>
        <w:t>Financial market risk</w:t>
      </w:r>
    </w:p>
    <w:p>
      <w:pPr>
        <w:pStyle w:val="BodyText"/>
        <w:spacing w:line="249" w:lineRule="auto" w:before="129"/>
        <w:ind w:left="100" w:right="116" w:firstLine="40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2012,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interest rate swap agreements. Although there is interest rate risk associated with these floating rate borrowings, the risk of the French Credit Agreements due 2018 is somewhat mitigated by the fact that the Company may prepay this debt under certain conditions. See Notes 6 and 7 to the Consolidated Financial Statements for more information on the material terms of the Company’s short-term and long-term debt.</w:t>
      </w:r>
    </w:p>
    <w:p>
      <w:pPr>
        <w:pStyle w:val="BodyText"/>
        <w:spacing w:before="10"/>
      </w:pPr>
    </w:p>
    <w:p>
      <w:pPr>
        <w:pStyle w:val="BodyText"/>
        <w:spacing w:line="249" w:lineRule="auto"/>
        <w:ind w:left="100" w:right="121" w:firstLine="400"/>
      </w:pPr>
      <w:r>
        <w:rPr>
          <w:color w:val="231F20"/>
        </w:rPr>
        <w:t>As of December 31, 2012, excluding the notes or debentures that have been converted to a floating rate, the Company’s fixed-rate senior unsecured notes outstanding included its $350 million 5.25% senior unsecured notes due 2014,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See Note 10 to the Consolidated Financial Statements for further information. The effect of these terminations was that the interest associated with these debts prospectively reverted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 2012:</w:t>
      </w:r>
    </w:p>
    <w:p>
      <w:pPr>
        <w:pStyle w:val="BodyText"/>
        <w:spacing w:before="9"/>
        <w:rPr>
          <w:sz w:val="12"/>
        </w:rPr>
      </w:pPr>
    </w:p>
    <w:p>
      <w:pPr>
        <w:spacing w:after="0"/>
        <w:rPr>
          <w:sz w:val="12"/>
        </w:rPr>
        <w:sectPr>
          <w:pgSz w:w="11880" w:h="15480"/>
          <w:pgMar w:header="0" w:footer="1253" w:top="1240" w:bottom="1440" w:left="1280" w:right="1260"/>
        </w:sectPr>
      </w:pPr>
    </w:p>
    <w:p>
      <w:pPr>
        <w:spacing w:line="254" w:lineRule="auto" w:before="92"/>
        <w:ind w:left="2667" w:right="106" w:firstLine="0"/>
        <w:jc w:val="center"/>
        <w:rPr>
          <w:b/>
          <w:sz w:val="18"/>
        </w:rPr>
      </w:pPr>
      <w:r>
        <w:rPr>
          <w:b/>
          <w:color w:val="231F20"/>
          <w:sz w:val="18"/>
        </w:rPr>
        <w:t>Principal</w:t>
      </w:r>
      <w:r>
        <w:rPr>
          <w:b/>
          <w:color w:val="231F20"/>
          <w:w w:val="100"/>
          <w:sz w:val="18"/>
        </w:rPr>
        <w:t> </w:t>
      </w:r>
      <w:r>
        <w:rPr>
          <w:b/>
          <w:color w:val="231F20"/>
          <w:sz w:val="18"/>
        </w:rPr>
        <w:t>amount</w:t>
      </w:r>
    </w:p>
    <w:p>
      <w:pPr>
        <w:spacing w:before="0"/>
        <w:ind w:left="0" w:right="0" w:firstLine="0"/>
        <w:jc w:val="right"/>
        <w:rPr>
          <w:b/>
          <w:sz w:val="18"/>
        </w:rPr>
      </w:pPr>
      <w:r>
        <w:rPr>
          <w:b/>
          <w:color w:val="231F20"/>
          <w:sz w:val="18"/>
        </w:rPr>
        <w:t>(in millions)</w:t>
      </w:r>
    </w:p>
    <w:p>
      <w:pPr>
        <w:pStyle w:val="BodyText"/>
        <w:spacing w:before="1"/>
        <w:rPr>
          <w:b/>
          <w:sz w:val="27"/>
        </w:rPr>
      </w:pPr>
      <w:r>
        <w:rPr/>
        <w:br w:type="column"/>
      </w:r>
      <w:r>
        <w:rPr>
          <w:b/>
          <w:sz w:val="27"/>
        </w:rPr>
      </w:r>
    </w:p>
    <w:p>
      <w:pPr>
        <w:spacing w:line="254" w:lineRule="auto" w:before="1"/>
        <w:ind w:left="479" w:right="-19" w:firstLine="27"/>
        <w:jc w:val="left"/>
        <w:rPr>
          <w:b/>
          <w:sz w:val="18"/>
        </w:rPr>
      </w:pPr>
      <w:r>
        <w:rPr>
          <w:b/>
          <w:color w:val="231F20"/>
          <w:sz w:val="18"/>
        </w:rPr>
        <w:t>Effective fixed rate</w:t>
      </w:r>
    </w:p>
    <w:p>
      <w:pPr>
        <w:pStyle w:val="BodyText"/>
        <w:spacing w:before="1"/>
        <w:rPr>
          <w:b/>
          <w:sz w:val="27"/>
        </w:rPr>
      </w:pPr>
      <w:r>
        <w:rPr/>
        <w:br w:type="column"/>
      </w:r>
      <w:r>
        <w:rPr>
          <w:b/>
          <w:sz w:val="27"/>
        </w:rPr>
      </w:r>
    </w:p>
    <w:p>
      <w:pPr>
        <w:spacing w:before="1"/>
        <w:ind w:left="620" w:right="0" w:firstLine="0"/>
        <w:jc w:val="left"/>
        <w:rPr>
          <w:b/>
          <w:sz w:val="18"/>
        </w:rPr>
      </w:pPr>
      <w:r>
        <w:rPr>
          <w:b/>
          <w:color w:val="231F20"/>
          <w:sz w:val="18"/>
        </w:rPr>
        <w:t>Final</w:t>
      </w:r>
    </w:p>
    <w:p>
      <w:pPr>
        <w:tabs>
          <w:tab w:pos="2152" w:val="left" w:leader="none"/>
        </w:tabs>
        <w:spacing w:before="13"/>
        <w:ind w:left="480" w:right="0" w:firstLine="0"/>
        <w:jc w:val="left"/>
        <w:rPr>
          <w:b/>
          <w:sz w:val="18"/>
        </w:rPr>
      </w:pPr>
      <w:r>
        <w:rPr>
          <w:b/>
          <w:color w:val="231F20"/>
          <w:sz w:val="18"/>
        </w:rPr>
        <w:t>maturity</w:t>
        <w:tab/>
        <w:t>Underlying</w:t>
      </w:r>
      <w:r>
        <w:rPr>
          <w:b/>
          <w:color w:val="231F20"/>
          <w:spacing w:val="-1"/>
          <w:sz w:val="18"/>
        </w:rPr>
        <w:t> </w:t>
      </w:r>
      <w:r>
        <w:rPr>
          <w:b/>
          <w:color w:val="231F20"/>
          <w:sz w:val="18"/>
        </w:rPr>
        <w:t>collateral</w:t>
      </w:r>
    </w:p>
    <w:p>
      <w:pPr>
        <w:spacing w:after="0"/>
        <w:jc w:val="left"/>
        <w:rPr>
          <w:sz w:val="18"/>
        </w:rPr>
        <w:sectPr>
          <w:type w:val="continuous"/>
          <w:pgSz w:w="11880" w:h="15480"/>
          <w:pgMar w:top="1200" w:bottom="280" w:left="1280" w:right="1260"/>
          <w:cols w:num="3" w:equalWidth="0">
            <w:col w:w="3486" w:space="40"/>
            <w:col w:w="1215" w:space="40"/>
            <w:col w:w="4559"/>
          </w:cols>
        </w:sectPr>
      </w:pPr>
    </w:p>
    <w:p>
      <w:pPr>
        <w:spacing w:line="20" w:lineRule="exact"/>
        <w:ind w:left="2370" w:right="0" w:firstLine="0"/>
        <w:rPr>
          <w:sz w:val="2"/>
        </w:rPr>
      </w:pPr>
      <w:r>
        <w:rPr>
          <w:sz w:val="2"/>
        </w:rPr>
        <w:pict>
          <v:group style="width:65.25pt;height:1pt;mso-position-horizontal-relative:char;mso-position-vertical-relative:line" coordorigin="0,0" coordsize="1305,20">
            <v:line style="position:absolute" from="10,10" to="1295,10" stroked="true" strokeweight="1pt" strokecolor="#231f20">
              <v:stroke dashstyle="solid"/>
            </v:line>
          </v:group>
        </w:pict>
      </w:r>
      <w:r>
        <w:rPr>
          <w:sz w:val="2"/>
        </w:rPr>
      </w:r>
      <w:r>
        <w:rPr>
          <w:spacing w:val="120"/>
          <w:sz w:val="2"/>
        </w:rPr>
        <w:t> </w:t>
      </w:r>
      <w:r>
        <w:rPr>
          <w:spacing w:val="120"/>
          <w:sz w:val="2"/>
        </w:rPr>
        <w:pict>
          <v:group style="width:55.75pt;height:1pt;mso-position-horizontal-relative:char;mso-position-vertical-relative:line" coordorigin="0,0" coordsize="1115,20">
            <v:line style="position:absolute" from="10,10" to="1105,10" stroked="true" strokeweight="1pt" strokecolor="#231f20">
              <v:stroke dashstyle="solid"/>
            </v:line>
          </v:group>
        </w:pict>
      </w:r>
      <w:r>
        <w:rPr>
          <w:spacing w:val="120"/>
          <w:sz w:val="2"/>
        </w:rPr>
      </w:r>
      <w:r>
        <w:rPr>
          <w:spacing w:val="125"/>
          <w:sz w:val="2"/>
        </w:rPr>
        <w:t> </w:t>
      </w:r>
      <w:r>
        <w:rPr>
          <w:spacing w:val="125"/>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25"/>
          <w:sz w:val="2"/>
        </w:rPr>
      </w:r>
      <w:r>
        <w:rPr>
          <w:spacing w:val="130"/>
          <w:sz w:val="2"/>
        </w:rPr>
        <w:t> </w:t>
      </w:r>
      <w:r>
        <w:rPr>
          <w:spacing w:val="130"/>
          <w:sz w:val="2"/>
        </w:rPr>
        <w:pict>
          <v:group style="width:148pt;height:1pt;mso-position-horizontal-relative:char;mso-position-vertical-relative:line" coordorigin="0,0" coordsize="2960,20">
            <v:line style="position:absolute" from="10,10" to="2950,10" stroked="true" strokeweight="1pt" strokecolor="#231f20">
              <v:stroke dashstyle="solid"/>
            </v:line>
          </v:group>
        </w:pict>
      </w:r>
      <w:r>
        <w:rPr>
          <w:spacing w:val="130"/>
          <w:sz w:val="2"/>
        </w:rPr>
      </w:r>
    </w:p>
    <w:p>
      <w:pPr>
        <w:tabs>
          <w:tab w:pos="2932" w:val="left" w:leader="none"/>
          <w:tab w:pos="3022" w:val="left" w:leader="none"/>
          <w:tab w:pos="4147" w:val="left" w:leader="none"/>
          <w:tab w:pos="4237" w:val="left" w:leader="none"/>
          <w:tab w:pos="5279" w:val="left" w:leader="none"/>
          <w:tab w:pos="6279" w:val="left" w:leader="none"/>
        </w:tabs>
        <w:spacing w:line="254" w:lineRule="auto" w:before="61"/>
        <w:ind w:left="100" w:right="408" w:firstLine="0"/>
        <w:jc w:val="left"/>
        <w:rPr>
          <w:sz w:val="18"/>
        </w:rPr>
      </w:pPr>
      <w:r>
        <w:rPr>
          <w:color w:val="231F20"/>
          <w:sz w:val="18"/>
        </w:rPr>
        <w:t>Term Loan Agreement   . . . .</w:t>
      </w:r>
      <w:r>
        <w:rPr>
          <w:color w:val="231F20"/>
          <w:spacing w:val="-10"/>
          <w:sz w:val="18"/>
        </w:rPr>
        <w:t> </w:t>
      </w:r>
      <w:r>
        <w:rPr>
          <w:color w:val="231F20"/>
          <w:sz w:val="18"/>
        </w:rPr>
        <w:t>. </w:t>
      </w:r>
      <w:r>
        <w:rPr>
          <w:color w:val="231F20"/>
          <w:spacing w:val="10"/>
          <w:sz w:val="18"/>
        </w:rPr>
        <w:t> </w:t>
      </w:r>
      <w:r>
        <w:rPr>
          <w:color w:val="231F20"/>
          <w:sz w:val="18"/>
        </w:rPr>
        <w:t>$</w:t>
        <w:tab/>
        <w:t>241</w:t>
        <w:tab/>
        <w:t>6.315 %</w:t>
        <w:tab/>
        <w:t>5/6/2019</w:t>
        <w:tab/>
        <w:t>14 specified Boeing 737-700 aircraft</w:t>
      </w:r>
      <w:r>
        <w:rPr>
          <w:color w:val="231F20"/>
          <w:w w:val="100"/>
          <w:sz w:val="18"/>
        </w:rPr>
        <w:t> </w:t>
      </w:r>
      <w:r>
        <w:rPr>
          <w:color w:val="231F20"/>
          <w:sz w:val="18"/>
        </w:rPr>
        <w:t>Term Loan Agreement   . . .</w:t>
      </w:r>
      <w:r>
        <w:rPr>
          <w:color w:val="231F20"/>
          <w:spacing w:val="-10"/>
          <w:sz w:val="18"/>
        </w:rPr>
        <w:t> </w:t>
      </w:r>
      <w:r>
        <w:rPr>
          <w:color w:val="231F20"/>
          <w:sz w:val="18"/>
        </w:rPr>
        <w:t>. .</w:t>
        <w:tab/>
        <w:tab/>
        <w:t>95</w:t>
        <w:tab/>
        <w:tab/>
        <w:t>6.84 %</w:t>
        <w:tab/>
        <w:t>7/1/2019</w:t>
        <w:tab/>
        <w:t>5 specified Boeing 737-700 aircraft</w:t>
      </w:r>
    </w:p>
    <w:p>
      <w:pPr>
        <w:tabs>
          <w:tab w:pos="2932" w:val="left" w:leader="none"/>
          <w:tab w:pos="4147" w:val="left" w:leader="none"/>
          <w:tab w:pos="5279" w:val="left" w:leader="none"/>
          <w:tab w:pos="6279" w:val="left" w:leader="none"/>
        </w:tabs>
        <w:spacing w:before="1"/>
        <w:ind w:left="100" w:right="0" w:firstLine="0"/>
        <w:jc w:val="left"/>
        <w:rPr>
          <w:sz w:val="18"/>
        </w:rPr>
      </w:pPr>
      <w:r>
        <w:rPr>
          <w:color w:val="231F20"/>
          <w:sz w:val="18"/>
        </w:rPr>
        <w:t>Term Loan Agreement   . . .</w:t>
      </w:r>
      <w:r>
        <w:rPr>
          <w:color w:val="231F20"/>
          <w:spacing w:val="-10"/>
          <w:sz w:val="18"/>
        </w:rPr>
        <w:t> </w:t>
      </w:r>
      <w:r>
        <w:rPr>
          <w:color w:val="231F20"/>
          <w:sz w:val="18"/>
        </w:rPr>
        <w:t>. .</w:t>
        <w:tab/>
        <w:t>451</w:t>
        <w:tab/>
        <w:t>5.223 %</w:t>
        <w:tab/>
        <w:t>5/9/2020</w:t>
        <w:tab/>
        <w:t>21 specified Boeing 737-700 aircraft</w:t>
      </w:r>
    </w:p>
    <w:p>
      <w:pPr>
        <w:pStyle w:val="BodyText"/>
        <w:spacing w:before="1"/>
        <w:rPr>
          <w:sz w:val="22"/>
        </w:rPr>
      </w:pPr>
    </w:p>
    <w:p>
      <w:pPr>
        <w:pStyle w:val="BodyText"/>
        <w:spacing w:line="249" w:lineRule="auto"/>
        <w:ind w:left="100" w:right="167" w:firstLine="400"/>
      </w:pPr>
      <w:r>
        <w:rPr>
          <w:color w:val="231F20"/>
        </w:rPr>
        <w:t>The carrying value of the Company’s floating rate debt totaled $610 million, and this debt had a weighted- average maturity of 5.01 years at floating rates averaging 2.62 percent for the year ended December 31, 2012. In total, the Company’s fixed-rate debt and floating rate debt represented 17.7 percent and 4.2 percent, respectively, of consolidated noncurrent assets at December 31, 2012.</w:t>
      </w:r>
    </w:p>
    <w:p>
      <w:pPr>
        <w:pStyle w:val="BodyText"/>
        <w:spacing w:before="10"/>
      </w:pPr>
    </w:p>
    <w:p>
      <w:pPr>
        <w:pStyle w:val="BodyText"/>
        <w:spacing w:line="249" w:lineRule="auto"/>
        <w:ind w:left="100" w:right="119" w:firstLine="400"/>
      </w:pPr>
      <w:r>
        <w:rPr>
          <w:color w:val="231F20"/>
        </w:rPr>
        <w:t>The Company also has some risk associated with changing interest rates due to the short-term nature of its invested cash, which totaled $1.1 billion, and short-term investments, which totaled $1.9 billion, at December 31, 2012.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spacing w:after="0" w:line="249" w:lineRule="auto"/>
        <w:sectPr>
          <w:type w:val="continuous"/>
          <w:pgSz w:w="11880" w:h="15480"/>
          <w:pgMar w:top="1200" w:bottom="280" w:left="1280" w:right="1260"/>
        </w:sectPr>
      </w:pPr>
    </w:p>
    <w:p>
      <w:pPr>
        <w:pStyle w:val="BodyText"/>
        <w:spacing w:line="249" w:lineRule="auto" w:before="73"/>
        <w:ind w:left="100" w:right="140" w:firstLine="400"/>
      </w:pPr>
      <w:r>
        <w:rPr>
          <w:color w:val="231F20"/>
        </w:rPr>
        <w:t>A hypothetical 10 percent change in market interest rates as of December 31, 2012,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2012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2012,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10"/>
      </w:pPr>
    </w:p>
    <w:p>
      <w:pPr>
        <w:pStyle w:val="BodyText"/>
        <w:spacing w:line="249" w:lineRule="auto" w:before="1"/>
        <w:ind w:left="100" w:right="194" w:firstLine="400"/>
      </w:pPr>
      <w:r>
        <w:rPr>
          <w:color w:val="231F20"/>
        </w:rPr>
        <w:t>The</w:t>
      </w:r>
      <w:r>
        <w:rPr>
          <w:color w:val="231F20"/>
          <w:spacing w:val="-12"/>
        </w:rPr>
        <w:t> </w:t>
      </w:r>
      <w:r>
        <w:rPr>
          <w:color w:val="231F20"/>
        </w:rPr>
        <w:t>Company</w:t>
      </w:r>
      <w:r>
        <w:rPr>
          <w:color w:val="231F20"/>
          <w:spacing w:val="-12"/>
        </w:rPr>
        <w:t> </w:t>
      </w:r>
      <w:r>
        <w:rPr>
          <w:color w:val="231F20"/>
        </w:rPr>
        <w:t>is</w:t>
      </w:r>
      <w:r>
        <w:rPr>
          <w:color w:val="231F20"/>
          <w:spacing w:val="-12"/>
        </w:rPr>
        <w:t> </w:t>
      </w:r>
      <w:r>
        <w:rPr>
          <w:color w:val="231F20"/>
        </w:rPr>
        <w:t>also</w:t>
      </w:r>
      <w:r>
        <w:rPr>
          <w:color w:val="231F20"/>
          <w:spacing w:val="-12"/>
        </w:rPr>
        <w:t> </w:t>
      </w:r>
      <w:r>
        <w:rPr>
          <w:color w:val="231F20"/>
        </w:rPr>
        <w:t>subject</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financial</w:t>
      </w:r>
      <w:r>
        <w:rPr>
          <w:color w:val="231F20"/>
          <w:spacing w:val="-12"/>
        </w:rPr>
        <w:t> </w:t>
      </w:r>
      <w:r>
        <w:rPr>
          <w:color w:val="231F20"/>
        </w:rPr>
        <w:t>covenant</w:t>
      </w:r>
      <w:r>
        <w:rPr>
          <w:color w:val="231F20"/>
          <w:spacing w:val="-12"/>
        </w:rPr>
        <w:t> </w:t>
      </w:r>
      <w:r>
        <w:rPr>
          <w:color w:val="231F20"/>
        </w:rPr>
        <w:t>included</w:t>
      </w:r>
      <w:r>
        <w:rPr>
          <w:color w:val="231F20"/>
          <w:spacing w:val="-12"/>
        </w:rPr>
        <w:t> </w:t>
      </w:r>
      <w:r>
        <w:rPr>
          <w:color w:val="231F20"/>
        </w:rPr>
        <w:t>in</w:t>
      </w:r>
      <w:r>
        <w:rPr>
          <w:color w:val="231F20"/>
          <w:spacing w:val="-12"/>
        </w:rPr>
        <w:t> </w:t>
      </w:r>
      <w:r>
        <w:rPr>
          <w:color w:val="231F20"/>
        </w:rPr>
        <w:t>its</w:t>
      </w:r>
      <w:r>
        <w:rPr>
          <w:color w:val="231F20"/>
          <w:spacing w:val="-12"/>
        </w:rPr>
        <w:t> </w:t>
      </w:r>
      <w:r>
        <w:rPr>
          <w:color w:val="231F20"/>
        </w:rPr>
        <w:t>revolving</w:t>
      </w:r>
      <w:r>
        <w:rPr>
          <w:color w:val="231F20"/>
          <w:spacing w:val="-12"/>
        </w:rPr>
        <w:t> </w:t>
      </w:r>
      <w:r>
        <w:rPr>
          <w:color w:val="231F20"/>
        </w:rPr>
        <w:t>credit</w:t>
      </w:r>
      <w:r>
        <w:rPr>
          <w:color w:val="231F20"/>
          <w:spacing w:val="-12"/>
        </w:rPr>
        <w:t> </w:t>
      </w:r>
      <w:r>
        <w:rPr>
          <w:color w:val="231F20"/>
        </w:rPr>
        <w:t>facility,</w:t>
      </w:r>
      <w:r>
        <w:rPr>
          <w:color w:val="231F20"/>
          <w:spacing w:val="-12"/>
        </w:rPr>
        <w:t> </w:t>
      </w:r>
      <w:r>
        <w:rPr>
          <w:color w:val="231F20"/>
        </w:rPr>
        <w:t>and</w:t>
      </w:r>
      <w:r>
        <w:rPr>
          <w:color w:val="231F20"/>
          <w:spacing w:val="-12"/>
        </w:rPr>
        <w:t> </w:t>
      </w:r>
      <w:r>
        <w:rPr>
          <w:color w:val="231F20"/>
        </w:rPr>
        <w:t>is</w:t>
      </w:r>
      <w:r>
        <w:rPr>
          <w:color w:val="231F20"/>
          <w:spacing w:val="-12"/>
        </w:rPr>
        <w:t> </w:t>
      </w:r>
      <w:r>
        <w:rPr>
          <w:color w:val="231F20"/>
        </w:rPr>
        <w:t>subject</w:t>
      </w:r>
      <w:r>
        <w:rPr>
          <w:color w:val="231F20"/>
          <w:spacing w:val="-12"/>
        </w:rPr>
        <w:t> </w:t>
      </w:r>
      <w:r>
        <w:rPr>
          <w:color w:val="231F20"/>
        </w:rPr>
        <w:t>to credit rating triggers related to its credit card transaction processing agreements, the pricing related to any funds drawn under its revolving credit facility, and some of its hedging counterparty agreements. Certain covenants include</w:t>
      </w:r>
      <w:r>
        <w:rPr>
          <w:color w:val="231F20"/>
          <w:spacing w:val="-12"/>
        </w:rPr>
        <w:t> </w:t>
      </w:r>
      <w:r>
        <w:rPr>
          <w:color w:val="231F20"/>
        </w:rPr>
        <w:t>the</w:t>
      </w:r>
      <w:r>
        <w:rPr>
          <w:color w:val="231F20"/>
          <w:spacing w:val="-12"/>
        </w:rPr>
        <w:t> </w:t>
      </w:r>
      <w:r>
        <w:rPr>
          <w:color w:val="231F20"/>
        </w:rPr>
        <w:t>maintenance</w:t>
      </w:r>
      <w:r>
        <w:rPr>
          <w:color w:val="231F20"/>
          <w:spacing w:val="-12"/>
        </w:rPr>
        <w:t> </w:t>
      </w:r>
      <w:r>
        <w:rPr>
          <w:color w:val="231F20"/>
        </w:rPr>
        <w:t>of</w:t>
      </w:r>
      <w:r>
        <w:rPr>
          <w:color w:val="231F20"/>
          <w:spacing w:val="-12"/>
        </w:rPr>
        <w:t> </w:t>
      </w:r>
      <w:r>
        <w:rPr>
          <w:color w:val="231F20"/>
        </w:rPr>
        <w:t>minimum</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and/or</w:t>
      </w:r>
      <w:r>
        <w:rPr>
          <w:color w:val="231F20"/>
          <w:spacing w:val="-12"/>
        </w:rPr>
        <w:t> </w:t>
      </w:r>
      <w:r>
        <w:rPr>
          <w:color w:val="231F20"/>
        </w:rPr>
        <w:t>triggers</w:t>
      </w:r>
      <w:r>
        <w:rPr>
          <w:color w:val="231F20"/>
          <w:spacing w:val="-12"/>
        </w:rPr>
        <w:t> </w:t>
      </w:r>
      <w:r>
        <w:rPr>
          <w:color w:val="231F20"/>
        </w:rPr>
        <w:t>that</w:t>
      </w:r>
      <w:r>
        <w:rPr>
          <w:color w:val="231F20"/>
          <w:spacing w:val="-12"/>
        </w:rPr>
        <w:t> </w:t>
      </w:r>
      <w:r>
        <w:rPr>
          <w:color w:val="231F20"/>
        </w:rPr>
        <w:t>are</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changes</w:t>
      </w:r>
      <w:r>
        <w:rPr>
          <w:color w:val="231F20"/>
          <w:spacing w:val="-12"/>
        </w:rPr>
        <w:t> </w:t>
      </w:r>
      <w:r>
        <w:rPr>
          <w:color w:val="231F20"/>
        </w:rPr>
        <w:t>in</w:t>
      </w:r>
      <w:r>
        <w:rPr>
          <w:color w:val="231F20"/>
          <w:spacing w:val="-12"/>
        </w:rPr>
        <w:t> </w:t>
      </w:r>
      <w:r>
        <w:rPr>
          <w:color w:val="231F20"/>
        </w:rPr>
        <w:t>these</w:t>
      </w:r>
      <w:r>
        <w:rPr>
          <w:color w:val="231F20"/>
          <w:spacing w:val="-12"/>
        </w:rPr>
        <w:t> </w:t>
      </w:r>
      <w:r>
        <w:rPr>
          <w:color w:val="231F20"/>
        </w:rPr>
        <w:t>ratings.</w:t>
      </w:r>
      <w:r>
        <w:rPr>
          <w:color w:val="231F20"/>
          <w:spacing w:val="-12"/>
        </w:rPr>
        <w:t> </w:t>
      </w:r>
      <w:r>
        <w:rPr>
          <w:color w:val="231F20"/>
          <w:spacing w:val="-3"/>
        </w:rPr>
        <w:t>The </w:t>
      </w:r>
      <w:r>
        <w:rPr>
          <w:color w:val="231F20"/>
        </w:rPr>
        <w:t>Company’s</w:t>
      </w:r>
      <w:r>
        <w:rPr>
          <w:color w:val="231F20"/>
          <w:spacing w:val="-15"/>
        </w:rPr>
        <w:t> </w:t>
      </w:r>
      <w:r>
        <w:rPr>
          <w:color w:val="231F20"/>
        </w:rPr>
        <w:t>revolving</w:t>
      </w:r>
      <w:r>
        <w:rPr>
          <w:color w:val="231F20"/>
          <w:spacing w:val="-15"/>
        </w:rPr>
        <w:t> </w:t>
      </w:r>
      <w:r>
        <w:rPr>
          <w:color w:val="231F20"/>
        </w:rPr>
        <w:t>credit</w:t>
      </w:r>
      <w:r>
        <w:rPr>
          <w:color w:val="231F20"/>
          <w:spacing w:val="-15"/>
        </w:rPr>
        <w:t> </w:t>
      </w:r>
      <w:r>
        <w:rPr>
          <w:color w:val="231F20"/>
        </w:rPr>
        <w:t>facility</w:t>
      </w:r>
      <w:r>
        <w:rPr>
          <w:color w:val="231F20"/>
          <w:spacing w:val="-15"/>
        </w:rPr>
        <w:t> </w:t>
      </w:r>
      <w:r>
        <w:rPr>
          <w:color w:val="231F20"/>
        </w:rPr>
        <w:t>contains</w:t>
      </w:r>
      <w:r>
        <w:rPr>
          <w:color w:val="231F20"/>
          <w:spacing w:val="-15"/>
        </w:rPr>
        <w:t> </w:t>
      </w:r>
      <w:r>
        <w:rPr>
          <w:color w:val="231F20"/>
        </w:rPr>
        <w:t>a</w:t>
      </w:r>
      <w:r>
        <w:rPr>
          <w:color w:val="231F20"/>
          <w:spacing w:val="-15"/>
        </w:rPr>
        <w:t> </w:t>
      </w:r>
      <w:r>
        <w:rPr>
          <w:color w:val="231F20"/>
        </w:rPr>
        <w:t>financial</w:t>
      </w:r>
      <w:r>
        <w:rPr>
          <w:color w:val="231F20"/>
          <w:spacing w:val="-15"/>
        </w:rPr>
        <w:t> </w:t>
      </w:r>
      <w:r>
        <w:rPr>
          <w:color w:val="231F20"/>
        </w:rPr>
        <w:t>covenant</w:t>
      </w:r>
      <w:r>
        <w:rPr>
          <w:color w:val="231F20"/>
          <w:spacing w:val="-15"/>
        </w:rPr>
        <w:t> </w:t>
      </w:r>
      <w:r>
        <w:rPr>
          <w:color w:val="231F20"/>
        </w:rPr>
        <w:t>requiring</w:t>
      </w:r>
      <w:r>
        <w:rPr>
          <w:color w:val="231F20"/>
          <w:spacing w:val="-15"/>
        </w:rPr>
        <w:t> </w:t>
      </w:r>
      <w:r>
        <w:rPr>
          <w:color w:val="231F20"/>
        </w:rPr>
        <w:t>a</w:t>
      </w:r>
      <w:r>
        <w:rPr>
          <w:color w:val="231F20"/>
          <w:spacing w:val="-15"/>
        </w:rPr>
        <w:t> </w:t>
      </w:r>
      <w:r>
        <w:rPr>
          <w:color w:val="231F20"/>
        </w:rPr>
        <w:t>minimum</w:t>
      </w:r>
      <w:r>
        <w:rPr>
          <w:color w:val="231F20"/>
          <w:spacing w:val="-15"/>
        </w:rPr>
        <w:t> </w:t>
      </w:r>
      <w:r>
        <w:rPr>
          <w:color w:val="231F20"/>
        </w:rPr>
        <w:t>coverage</w:t>
      </w:r>
      <w:r>
        <w:rPr>
          <w:color w:val="231F20"/>
          <w:spacing w:val="-15"/>
        </w:rPr>
        <w:t> </w:t>
      </w:r>
      <w:r>
        <w:rPr>
          <w:color w:val="231F20"/>
        </w:rPr>
        <w:t>ratio</w:t>
      </w:r>
      <w:r>
        <w:rPr>
          <w:color w:val="231F20"/>
          <w:spacing w:val="-15"/>
        </w:rPr>
        <w:t> </w:t>
      </w:r>
      <w:r>
        <w:rPr>
          <w:color w:val="231F20"/>
        </w:rPr>
        <w:t>of</w:t>
      </w:r>
      <w:r>
        <w:rPr>
          <w:color w:val="231F20"/>
          <w:spacing w:val="-15"/>
        </w:rPr>
        <w:t> </w:t>
      </w:r>
      <w:r>
        <w:rPr>
          <w:color w:val="231F20"/>
        </w:rPr>
        <w:t>adjusted pre-tax</w:t>
      </w:r>
      <w:r>
        <w:rPr>
          <w:color w:val="231F20"/>
          <w:spacing w:val="-11"/>
        </w:rPr>
        <w:t> </w:t>
      </w:r>
      <w:r>
        <w:rPr>
          <w:color w:val="231F20"/>
        </w:rPr>
        <w:t>income</w:t>
      </w:r>
      <w:r>
        <w:rPr>
          <w:color w:val="231F20"/>
          <w:spacing w:val="-11"/>
        </w:rPr>
        <w:t> </w:t>
      </w:r>
      <w:r>
        <w:rPr>
          <w:color w:val="231F20"/>
        </w:rPr>
        <w:t>to</w:t>
      </w:r>
      <w:r>
        <w:rPr>
          <w:color w:val="231F20"/>
          <w:spacing w:val="-11"/>
        </w:rPr>
        <w:t> </w:t>
      </w:r>
      <w:r>
        <w:rPr>
          <w:color w:val="231F20"/>
        </w:rPr>
        <w:t>fixed</w:t>
      </w:r>
      <w:r>
        <w:rPr>
          <w:color w:val="231F20"/>
          <w:spacing w:val="-11"/>
        </w:rPr>
        <w:t> </w:t>
      </w:r>
      <w:r>
        <w:rPr>
          <w:color w:val="231F20"/>
        </w:rPr>
        <w:t>obligations,</w:t>
      </w:r>
      <w:r>
        <w:rPr>
          <w:color w:val="231F20"/>
          <w:spacing w:val="-11"/>
        </w:rPr>
        <w:t> </w:t>
      </w:r>
      <w:r>
        <w:rPr>
          <w:color w:val="231F20"/>
        </w:rPr>
        <w:t>as</w:t>
      </w:r>
      <w:r>
        <w:rPr>
          <w:color w:val="231F20"/>
          <w:spacing w:val="-11"/>
        </w:rPr>
        <w:t> </w:t>
      </w:r>
      <w:r>
        <w:rPr>
          <w:color w:val="231F20"/>
        </w:rPr>
        <w:t>defined.</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2012,</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was</w:t>
      </w:r>
      <w:r>
        <w:rPr>
          <w:color w:val="231F20"/>
          <w:spacing w:val="-11"/>
        </w:rPr>
        <w:t> </w:t>
      </w:r>
      <w:r>
        <w:rPr>
          <w:color w:val="231F20"/>
        </w:rPr>
        <w:t>in</w:t>
      </w:r>
      <w:r>
        <w:rPr>
          <w:color w:val="231F20"/>
          <w:spacing w:val="-11"/>
        </w:rPr>
        <w:t> </w:t>
      </w:r>
      <w:r>
        <w:rPr>
          <w:color w:val="231F20"/>
        </w:rPr>
        <w:t>compliance</w:t>
      </w:r>
      <w:r>
        <w:rPr>
          <w:color w:val="231F20"/>
          <w:spacing w:val="-11"/>
        </w:rPr>
        <w:t> </w:t>
      </w:r>
      <w:r>
        <w:rPr>
          <w:color w:val="231F20"/>
          <w:spacing w:val="-3"/>
        </w:rPr>
        <w:t>with </w:t>
      </w:r>
      <w:r>
        <w:rPr>
          <w:color w:val="231F20"/>
        </w:rPr>
        <w:t>this covenant and there were no amounts outstanding under the revolving credit facility. However, if conditions change</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fails</w:t>
      </w:r>
      <w:r>
        <w:rPr>
          <w:color w:val="231F20"/>
          <w:spacing w:val="-12"/>
        </w:rPr>
        <w:t> </w:t>
      </w:r>
      <w:r>
        <w:rPr>
          <w:color w:val="231F20"/>
        </w:rPr>
        <w:t>to</w:t>
      </w:r>
      <w:r>
        <w:rPr>
          <w:color w:val="231F20"/>
          <w:spacing w:val="-12"/>
        </w:rPr>
        <w:t> </w:t>
      </w:r>
      <w:r>
        <w:rPr>
          <w:color w:val="231F20"/>
        </w:rPr>
        <w:t>meet</w:t>
      </w:r>
      <w:r>
        <w:rPr>
          <w:color w:val="231F20"/>
          <w:spacing w:val="-12"/>
        </w:rPr>
        <w:t> </w:t>
      </w:r>
      <w:r>
        <w:rPr>
          <w:color w:val="231F20"/>
        </w:rPr>
        <w:t>the</w:t>
      </w:r>
      <w:r>
        <w:rPr>
          <w:color w:val="231F20"/>
          <w:spacing w:val="-12"/>
        </w:rPr>
        <w:t> </w:t>
      </w:r>
      <w:r>
        <w:rPr>
          <w:color w:val="231F20"/>
        </w:rPr>
        <w:t>minimum</w:t>
      </w:r>
      <w:r>
        <w:rPr>
          <w:color w:val="231F20"/>
          <w:spacing w:val="-12"/>
        </w:rPr>
        <w:t> </w:t>
      </w:r>
      <w:r>
        <w:rPr>
          <w:color w:val="231F20"/>
        </w:rPr>
        <w:t>standards</w:t>
      </w:r>
      <w:r>
        <w:rPr>
          <w:color w:val="231F20"/>
          <w:spacing w:val="-12"/>
        </w:rPr>
        <w:t> </w:t>
      </w:r>
      <w:r>
        <w:rPr>
          <w:color w:val="231F20"/>
        </w:rPr>
        <w:t>set</w:t>
      </w:r>
      <w:r>
        <w:rPr>
          <w:color w:val="231F20"/>
          <w:spacing w:val="-12"/>
        </w:rPr>
        <w:t> </w:t>
      </w:r>
      <w:r>
        <w:rPr>
          <w:color w:val="231F20"/>
        </w:rPr>
        <w:t>forth</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revolving</w:t>
      </w:r>
      <w:r>
        <w:rPr>
          <w:color w:val="231F20"/>
          <w:spacing w:val="-12"/>
        </w:rPr>
        <w:t> </w:t>
      </w:r>
      <w:r>
        <w:rPr>
          <w:color w:val="231F20"/>
        </w:rPr>
        <w:t>credit</w:t>
      </w:r>
      <w:r>
        <w:rPr>
          <w:color w:val="231F20"/>
          <w:spacing w:val="-12"/>
        </w:rPr>
        <w:t> </w:t>
      </w:r>
      <w:r>
        <w:rPr>
          <w:color w:val="231F20"/>
        </w:rPr>
        <w:t>facility,</w:t>
      </w:r>
      <w:r>
        <w:rPr>
          <w:color w:val="231F20"/>
          <w:spacing w:val="-12"/>
        </w:rPr>
        <w:t> </w:t>
      </w:r>
      <w:r>
        <w:rPr>
          <w:color w:val="231F20"/>
        </w:rPr>
        <w:t>there</w:t>
      </w:r>
      <w:r>
        <w:rPr>
          <w:color w:val="231F20"/>
          <w:spacing w:val="-12"/>
        </w:rPr>
        <w:t> </w:t>
      </w:r>
      <w:r>
        <w:rPr>
          <w:color w:val="231F20"/>
        </w:rPr>
        <w:t>could be</w:t>
      </w:r>
      <w:r>
        <w:rPr>
          <w:color w:val="231F20"/>
          <w:spacing w:val="-10"/>
        </w:rPr>
        <w:t> </w:t>
      </w:r>
      <w:r>
        <w:rPr>
          <w:color w:val="231F20"/>
        </w:rPr>
        <w:t>a</w:t>
      </w:r>
      <w:r>
        <w:rPr>
          <w:color w:val="231F20"/>
          <w:spacing w:val="-10"/>
        </w:rPr>
        <w:t> </w:t>
      </w:r>
      <w:r>
        <w:rPr>
          <w:color w:val="231F20"/>
        </w:rPr>
        <w:t>reduction</w:t>
      </w:r>
      <w:r>
        <w:rPr>
          <w:color w:val="231F20"/>
          <w:spacing w:val="-11"/>
        </w:rPr>
        <w:t> </w:t>
      </w:r>
      <w:r>
        <w:rPr>
          <w:color w:val="231F20"/>
        </w:rPr>
        <w:t>in</w:t>
      </w:r>
      <w:r>
        <w:rPr>
          <w:color w:val="231F20"/>
          <w:spacing w:val="-10"/>
        </w:rPr>
        <w:t> </w:t>
      </w:r>
      <w:r>
        <w:rPr>
          <w:color w:val="231F20"/>
        </w:rPr>
        <w:t>the</w:t>
      </w:r>
      <w:r>
        <w:rPr>
          <w:color w:val="231F20"/>
          <w:spacing w:val="-10"/>
        </w:rPr>
        <w:t> </w:t>
      </w:r>
      <w:r>
        <w:rPr>
          <w:color w:val="231F20"/>
        </w:rPr>
        <w:t>availability</w:t>
      </w:r>
      <w:r>
        <w:rPr>
          <w:color w:val="231F20"/>
          <w:spacing w:val="-10"/>
        </w:rPr>
        <w:t> </w:t>
      </w:r>
      <w:r>
        <w:rPr>
          <w:color w:val="231F20"/>
        </w:rPr>
        <w:t>of</w:t>
      </w:r>
      <w:r>
        <w:rPr>
          <w:color w:val="231F20"/>
          <w:spacing w:val="-10"/>
        </w:rPr>
        <w:t> </w:t>
      </w:r>
      <w:r>
        <w:rPr>
          <w:color w:val="231F20"/>
        </w:rPr>
        <w:t>cash</w:t>
      </w:r>
      <w:r>
        <w:rPr>
          <w:color w:val="231F20"/>
          <w:spacing w:val="-10"/>
        </w:rPr>
        <w:t> </w:t>
      </w:r>
      <w:r>
        <w:rPr>
          <w:color w:val="231F20"/>
        </w:rPr>
        <w:t>under</w:t>
      </w:r>
      <w:r>
        <w:rPr>
          <w:color w:val="231F20"/>
          <w:spacing w:val="-10"/>
        </w:rPr>
        <w:t> </w:t>
      </w:r>
      <w:r>
        <w:rPr>
          <w:color w:val="231F20"/>
        </w:rPr>
        <w:t>the</w:t>
      </w:r>
      <w:r>
        <w:rPr>
          <w:color w:val="231F20"/>
          <w:spacing w:val="-10"/>
        </w:rPr>
        <w:t> </w:t>
      </w:r>
      <w:r>
        <w:rPr>
          <w:color w:val="231F20"/>
        </w:rPr>
        <w:t>facility,</w:t>
      </w:r>
      <w:r>
        <w:rPr>
          <w:color w:val="231F20"/>
          <w:spacing w:val="-10"/>
        </w:rPr>
        <w:t> </w:t>
      </w:r>
      <w:r>
        <w:rPr>
          <w:color w:val="231F20"/>
        </w:rPr>
        <w:t>or</w:t>
      </w:r>
      <w:r>
        <w:rPr>
          <w:color w:val="231F20"/>
          <w:spacing w:val="-10"/>
        </w:rPr>
        <w:t> </w:t>
      </w:r>
      <w:r>
        <w:rPr>
          <w:color w:val="231F20"/>
        </w:rPr>
        <w:t>an</w:t>
      </w:r>
      <w:r>
        <w:rPr>
          <w:color w:val="231F20"/>
          <w:spacing w:val="-10"/>
        </w:rPr>
        <w:t> </w:t>
      </w:r>
      <w:r>
        <w:rPr>
          <w:color w:val="231F20"/>
        </w:rPr>
        <w:t>increase</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costs</w:t>
      </w:r>
      <w:r>
        <w:rPr>
          <w:color w:val="231F20"/>
          <w:spacing w:val="-10"/>
        </w:rPr>
        <w:t> </w:t>
      </w:r>
      <w:r>
        <w:rPr>
          <w:color w:val="231F20"/>
        </w:rPr>
        <w:t>to</w:t>
      </w:r>
      <w:r>
        <w:rPr>
          <w:color w:val="231F20"/>
          <w:spacing w:val="-10"/>
        </w:rPr>
        <w:t> </w:t>
      </w:r>
      <w:r>
        <w:rPr>
          <w:color w:val="231F20"/>
        </w:rPr>
        <w:t>keep</w:t>
      </w:r>
      <w:r>
        <w:rPr>
          <w:color w:val="231F20"/>
          <w:spacing w:val="-10"/>
        </w:rPr>
        <w:t> </w:t>
      </w:r>
      <w:r>
        <w:rPr>
          <w:color w:val="231F20"/>
        </w:rPr>
        <w:t>the</w:t>
      </w:r>
      <w:r>
        <w:rPr>
          <w:color w:val="231F20"/>
          <w:spacing w:val="-10"/>
        </w:rPr>
        <w:t> </w:t>
      </w:r>
      <w:r>
        <w:rPr>
          <w:color w:val="231F20"/>
        </w:rPr>
        <w:t>facility</w:t>
      </w:r>
      <w:r>
        <w:rPr>
          <w:color w:val="231F20"/>
          <w:spacing w:val="-10"/>
        </w:rPr>
        <w:t> </w:t>
      </w:r>
      <w:r>
        <w:rPr>
          <w:color w:val="231F20"/>
        </w:rPr>
        <w:t>intact</w:t>
      </w:r>
      <w:r>
        <w:rPr>
          <w:color w:val="231F20"/>
          <w:spacing w:val="-10"/>
        </w:rPr>
        <w:t> </w:t>
      </w:r>
      <w:r>
        <w:rPr>
          <w:color w:val="231F20"/>
        </w:rPr>
        <w:t>as written.</w:t>
      </w:r>
      <w:r>
        <w:rPr>
          <w:color w:val="231F20"/>
          <w:spacing w:val="-16"/>
        </w:rPr>
        <w:t> </w:t>
      </w:r>
      <w:r>
        <w:rPr>
          <w:color w:val="231F20"/>
        </w:rPr>
        <w:t>Seven</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Company’s</w:t>
      </w:r>
      <w:r>
        <w:rPr>
          <w:color w:val="231F20"/>
          <w:spacing w:val="-16"/>
        </w:rPr>
        <w:t> </w:t>
      </w:r>
      <w:r>
        <w:rPr>
          <w:color w:val="231F20"/>
        </w:rPr>
        <w:t>hedging</w:t>
      </w:r>
      <w:r>
        <w:rPr>
          <w:color w:val="231F20"/>
          <w:spacing w:val="-16"/>
        </w:rPr>
        <w:t> </w:t>
      </w:r>
      <w:r>
        <w:rPr>
          <w:color w:val="231F20"/>
        </w:rPr>
        <w:t>counterparty</w:t>
      </w:r>
      <w:r>
        <w:rPr>
          <w:color w:val="231F20"/>
          <w:spacing w:val="-16"/>
        </w:rPr>
        <w:t> </w:t>
      </w:r>
      <w:r>
        <w:rPr>
          <w:color w:val="231F20"/>
        </w:rPr>
        <w:t>agreements</w:t>
      </w:r>
      <w:r>
        <w:rPr>
          <w:color w:val="231F20"/>
          <w:spacing w:val="-16"/>
        </w:rPr>
        <w:t> </w:t>
      </w:r>
      <w:r>
        <w:rPr>
          <w:color w:val="231F20"/>
        </w:rPr>
        <w:t>contain</w:t>
      </w:r>
      <w:r>
        <w:rPr>
          <w:color w:val="231F20"/>
          <w:spacing w:val="-16"/>
        </w:rPr>
        <w:t> </w:t>
      </w:r>
      <w:r>
        <w:rPr>
          <w:color w:val="231F20"/>
        </w:rPr>
        <w:t>ratings</w:t>
      </w:r>
      <w:r>
        <w:rPr>
          <w:color w:val="231F20"/>
          <w:spacing w:val="-16"/>
        </w:rPr>
        <w:t> </w:t>
      </w:r>
      <w:r>
        <w:rPr>
          <w:color w:val="231F20"/>
        </w:rPr>
        <w:t>triggers</w:t>
      </w:r>
      <w:r>
        <w:rPr>
          <w:color w:val="231F20"/>
          <w:spacing w:val="-16"/>
        </w:rPr>
        <w:t> </w:t>
      </w:r>
      <w:r>
        <w:rPr>
          <w:color w:val="231F20"/>
        </w:rPr>
        <w:t>in</w:t>
      </w:r>
      <w:r>
        <w:rPr>
          <w:color w:val="231F20"/>
          <w:spacing w:val="-16"/>
        </w:rPr>
        <w:t> </w:t>
      </w:r>
      <w:r>
        <w:rPr>
          <w:color w:val="231F20"/>
        </w:rPr>
        <w:t>which</w:t>
      </w:r>
      <w:r>
        <w:rPr>
          <w:color w:val="231F20"/>
          <w:spacing w:val="-16"/>
        </w:rPr>
        <w:t> </w:t>
      </w:r>
      <w:r>
        <w:rPr>
          <w:color w:val="231F20"/>
        </w:rPr>
        <w:t>cash</w:t>
      </w:r>
      <w:r>
        <w:rPr>
          <w:color w:val="231F20"/>
          <w:spacing w:val="-16"/>
        </w:rPr>
        <w:t> </w:t>
      </w:r>
      <w:r>
        <w:rPr>
          <w:color w:val="231F20"/>
        </w:rPr>
        <w:t>collateral would</w:t>
      </w:r>
      <w:r>
        <w:rPr>
          <w:color w:val="231F20"/>
          <w:spacing w:val="-12"/>
        </w:rPr>
        <w:t> </w:t>
      </w:r>
      <w:r>
        <w:rPr>
          <w:color w:val="231F20"/>
        </w:rPr>
        <w:t>be</w:t>
      </w:r>
      <w:r>
        <w:rPr>
          <w:color w:val="231F20"/>
          <w:spacing w:val="-12"/>
        </w:rPr>
        <w:t> </w:t>
      </w:r>
      <w:r>
        <w:rPr>
          <w:color w:val="231F20"/>
        </w:rPr>
        <w:t>required</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posted</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counterparty</w:t>
      </w:r>
      <w:r>
        <w:rPr>
          <w:color w:val="231F20"/>
          <w:spacing w:val="-12"/>
        </w:rPr>
        <w:t> </w:t>
      </w:r>
      <w:r>
        <w:rPr>
          <w:color w:val="231F20"/>
        </w:rPr>
        <w:t>if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credit</w:t>
      </w:r>
      <w:r>
        <w:rPr>
          <w:color w:val="231F20"/>
          <w:spacing w:val="-12"/>
        </w:rPr>
        <w:t> </w:t>
      </w:r>
      <w:r>
        <w:rPr>
          <w:color w:val="231F20"/>
        </w:rPr>
        <w:t>rating</w:t>
      </w:r>
      <w:r>
        <w:rPr>
          <w:color w:val="231F20"/>
          <w:spacing w:val="-12"/>
        </w:rPr>
        <w:t> </w:t>
      </w:r>
      <w:r>
        <w:rPr>
          <w:color w:val="231F20"/>
        </w:rPr>
        <w:t>were</w:t>
      </w:r>
      <w:r>
        <w:rPr>
          <w:color w:val="231F20"/>
          <w:spacing w:val="-12"/>
        </w:rPr>
        <w:t> </w:t>
      </w:r>
      <w:r>
        <w:rPr>
          <w:color w:val="231F20"/>
        </w:rPr>
        <w:t>to</w:t>
      </w:r>
      <w:r>
        <w:rPr>
          <w:color w:val="231F20"/>
          <w:spacing w:val="-12"/>
        </w:rPr>
        <w:t> </w:t>
      </w:r>
      <w:r>
        <w:rPr>
          <w:color w:val="231F20"/>
        </w:rPr>
        <w:t>fall</w:t>
      </w:r>
      <w:r>
        <w:rPr>
          <w:color w:val="231F20"/>
          <w:spacing w:val="-12"/>
        </w:rPr>
        <w:t> </w:t>
      </w:r>
      <w:r>
        <w:rPr>
          <w:color w:val="231F20"/>
        </w:rPr>
        <w:t>below</w:t>
      </w:r>
      <w:r>
        <w:rPr>
          <w:color w:val="231F20"/>
          <w:spacing w:val="-13"/>
        </w:rPr>
        <w:t> </w:t>
      </w:r>
      <w:r>
        <w:rPr>
          <w:color w:val="231F20"/>
        </w:rPr>
        <w:t>investment grade by two of the three major rating agencies, and if the Company were in a net liability position with </w:t>
      </w:r>
      <w:r>
        <w:rPr>
          <w:color w:val="231F20"/>
          <w:spacing w:val="-2"/>
        </w:rPr>
        <w:t>the </w:t>
      </w:r>
      <w:r>
        <w:rPr>
          <w:color w:val="231F20"/>
        </w:rPr>
        <w:t>counterparty.</w:t>
      </w:r>
      <w:r>
        <w:rPr>
          <w:color w:val="231F20"/>
          <w:spacing w:val="-12"/>
        </w:rPr>
        <w:t> </w:t>
      </w:r>
      <w:r>
        <w:rPr>
          <w:color w:val="231F20"/>
        </w:rPr>
        <w:t>See</w:t>
      </w:r>
      <w:r>
        <w:rPr>
          <w:color w:val="231F20"/>
          <w:spacing w:val="-12"/>
        </w:rPr>
        <w:t> </w:t>
      </w:r>
      <w:r>
        <w:rPr>
          <w:color w:val="231F20"/>
        </w:rPr>
        <w:t>Note</w:t>
      </w:r>
      <w:r>
        <w:rPr>
          <w:color w:val="231F20"/>
          <w:spacing w:val="-12"/>
        </w:rPr>
        <w:t> </w:t>
      </w:r>
      <w:r>
        <w:rPr>
          <w:color w:val="231F20"/>
        </w:rPr>
        <w:t>10</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Consolidated</w:t>
      </w:r>
      <w:r>
        <w:rPr>
          <w:color w:val="231F20"/>
          <w:spacing w:val="-12"/>
        </w:rPr>
        <w:t> </w:t>
      </w:r>
      <w:r>
        <w:rPr>
          <w:color w:val="231F20"/>
        </w:rPr>
        <w:t>Financial</w:t>
      </w:r>
      <w:r>
        <w:rPr>
          <w:color w:val="231F20"/>
          <w:spacing w:val="-12"/>
        </w:rPr>
        <w:t> </w:t>
      </w:r>
      <w:r>
        <w:rPr>
          <w:color w:val="231F20"/>
        </w:rPr>
        <w:t>Statements</w:t>
      </w:r>
      <w:r>
        <w:rPr>
          <w:color w:val="231F20"/>
          <w:spacing w:val="-12"/>
        </w:rPr>
        <w:t> </w:t>
      </w:r>
      <w:r>
        <w:rPr>
          <w:color w:val="231F20"/>
        </w:rPr>
        <w:t>for</w:t>
      </w:r>
      <w:r>
        <w:rPr>
          <w:color w:val="231F20"/>
          <w:spacing w:val="-12"/>
        </w:rPr>
        <w:t> </w:t>
      </w:r>
      <w:r>
        <w:rPr>
          <w:color w:val="231F20"/>
        </w:rPr>
        <w:t>further</w:t>
      </w:r>
      <w:r>
        <w:rPr>
          <w:color w:val="231F20"/>
          <w:spacing w:val="-12"/>
        </w:rPr>
        <w:t> </w:t>
      </w:r>
      <w:r>
        <w:rPr>
          <w:color w:val="231F20"/>
        </w:rPr>
        <w:t>information.</w:t>
      </w:r>
      <w:r>
        <w:rPr>
          <w:color w:val="231F20"/>
          <w:spacing w:val="-12"/>
        </w:rPr>
        <w:t> </w:t>
      </w:r>
      <w:r>
        <w:rPr>
          <w:color w:val="231F20"/>
        </w:rPr>
        <w:t>As</w:t>
      </w:r>
      <w:r>
        <w:rPr>
          <w:color w:val="231F20"/>
          <w:spacing w:val="-12"/>
        </w:rPr>
        <w:t> </w:t>
      </w:r>
      <w:r>
        <w:rPr>
          <w:color w:val="231F20"/>
        </w:rPr>
        <w:t>of</w:t>
      </w:r>
      <w:r>
        <w:rPr>
          <w:color w:val="231F20"/>
          <w:spacing w:val="-12"/>
        </w:rPr>
        <w:t> </w:t>
      </w:r>
      <w:r>
        <w:rPr>
          <w:color w:val="231F20"/>
        </w:rPr>
        <w:t>December</w:t>
      </w:r>
      <w:r>
        <w:rPr>
          <w:color w:val="231F20"/>
          <w:spacing w:val="-12"/>
        </w:rPr>
        <w:t> </w:t>
      </w:r>
      <w:r>
        <w:rPr>
          <w:color w:val="231F20"/>
          <w:spacing w:val="-2"/>
        </w:rPr>
        <w:t>31, </w:t>
      </w:r>
      <w:r>
        <w:rPr>
          <w:color w:val="231F20"/>
        </w:rPr>
        <w:t>2012, no cash collateral deposits were provided by or held by the Company under these provisions. If </w:t>
      </w:r>
      <w:r>
        <w:rPr>
          <w:color w:val="231F20"/>
          <w:spacing w:val="-2"/>
        </w:rPr>
        <w:t>the </w:t>
      </w:r>
      <w:r>
        <w:rPr>
          <w:color w:val="231F20"/>
        </w:rPr>
        <w:t>Company’s</w:t>
      </w:r>
      <w:r>
        <w:rPr>
          <w:color w:val="231F20"/>
          <w:spacing w:val="-13"/>
        </w:rPr>
        <w:t> </w:t>
      </w:r>
      <w:r>
        <w:rPr>
          <w:color w:val="231F20"/>
        </w:rPr>
        <w:t>credit</w:t>
      </w:r>
      <w:r>
        <w:rPr>
          <w:color w:val="231F20"/>
          <w:spacing w:val="-13"/>
        </w:rPr>
        <w:t> </w:t>
      </w:r>
      <w:r>
        <w:rPr>
          <w:color w:val="231F20"/>
        </w:rPr>
        <w:t>rating</w:t>
      </w:r>
      <w:r>
        <w:rPr>
          <w:color w:val="231F20"/>
          <w:spacing w:val="-13"/>
        </w:rPr>
        <w:t> </w:t>
      </w:r>
      <w:r>
        <w:rPr>
          <w:color w:val="231F20"/>
        </w:rPr>
        <w:t>had</w:t>
      </w:r>
      <w:r>
        <w:rPr>
          <w:color w:val="231F20"/>
          <w:spacing w:val="-13"/>
        </w:rPr>
        <w:t> </w:t>
      </w:r>
      <w:r>
        <w:rPr>
          <w:color w:val="231F20"/>
        </w:rPr>
        <w:t>been</w:t>
      </w:r>
      <w:r>
        <w:rPr>
          <w:color w:val="231F20"/>
          <w:spacing w:val="-13"/>
        </w:rPr>
        <w:t> </w:t>
      </w:r>
      <w:r>
        <w:rPr>
          <w:color w:val="231F20"/>
        </w:rPr>
        <w:t>below</w:t>
      </w:r>
      <w:r>
        <w:rPr>
          <w:color w:val="231F20"/>
          <w:spacing w:val="-13"/>
        </w:rPr>
        <w:t> </w:t>
      </w:r>
      <w:r>
        <w:rPr>
          <w:color w:val="231F20"/>
        </w:rPr>
        <w:t>investment</w:t>
      </w:r>
      <w:r>
        <w:rPr>
          <w:color w:val="231F20"/>
          <w:spacing w:val="-13"/>
        </w:rPr>
        <w:t> </w:t>
      </w:r>
      <w:r>
        <w:rPr>
          <w:color w:val="231F20"/>
        </w:rPr>
        <w:t>grade</w:t>
      </w:r>
      <w:r>
        <w:rPr>
          <w:color w:val="231F20"/>
          <w:spacing w:val="-13"/>
        </w:rPr>
        <w:t> </w:t>
      </w:r>
      <w:r>
        <w:rPr>
          <w:color w:val="231F20"/>
        </w:rPr>
        <w:t>as</w:t>
      </w:r>
      <w:r>
        <w:rPr>
          <w:color w:val="231F20"/>
          <w:spacing w:val="-13"/>
        </w:rPr>
        <w:t> </w:t>
      </w:r>
      <w:r>
        <w:rPr>
          <w:color w:val="231F20"/>
        </w:rPr>
        <w:t>of</w:t>
      </w:r>
      <w:r>
        <w:rPr>
          <w:color w:val="231F20"/>
          <w:spacing w:val="-13"/>
        </w:rPr>
        <w:t> </w:t>
      </w:r>
      <w:r>
        <w:rPr>
          <w:color w:val="231F20"/>
        </w:rPr>
        <w:t>that</w:t>
      </w:r>
      <w:r>
        <w:rPr>
          <w:color w:val="231F20"/>
          <w:spacing w:val="-13"/>
        </w:rPr>
        <w:t> </w:t>
      </w:r>
      <w:r>
        <w:rPr>
          <w:color w:val="231F20"/>
        </w:rPr>
        <w:t>date,</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would</w:t>
      </w:r>
      <w:r>
        <w:rPr>
          <w:color w:val="231F20"/>
          <w:spacing w:val="-13"/>
        </w:rPr>
        <w:t> </w:t>
      </w:r>
      <w:r>
        <w:rPr>
          <w:color w:val="231F20"/>
        </w:rPr>
        <w:t>have</w:t>
      </w:r>
      <w:r>
        <w:rPr>
          <w:color w:val="231F20"/>
          <w:spacing w:val="-13"/>
        </w:rPr>
        <w:t> </w:t>
      </w:r>
      <w:r>
        <w:rPr>
          <w:color w:val="231F20"/>
        </w:rPr>
        <w:t>been</w:t>
      </w:r>
      <w:r>
        <w:rPr>
          <w:color w:val="231F20"/>
          <w:spacing w:val="-13"/>
        </w:rPr>
        <w:t> </w:t>
      </w:r>
      <w:r>
        <w:rPr>
          <w:color w:val="231F20"/>
        </w:rPr>
        <w:t>required to</w:t>
      </w:r>
      <w:r>
        <w:rPr>
          <w:color w:val="231F20"/>
          <w:spacing w:val="-16"/>
        </w:rPr>
        <w:t> </w:t>
      </w:r>
      <w:r>
        <w:rPr>
          <w:color w:val="231F20"/>
        </w:rPr>
        <w:t>post</w:t>
      </w:r>
      <w:r>
        <w:rPr>
          <w:color w:val="231F20"/>
          <w:spacing w:val="-16"/>
        </w:rPr>
        <w:t> </w:t>
      </w:r>
      <w:r>
        <w:rPr>
          <w:color w:val="231F20"/>
        </w:rPr>
        <w:t>approximately</w:t>
      </w:r>
      <w:r>
        <w:rPr>
          <w:color w:val="231F20"/>
          <w:spacing w:val="-16"/>
        </w:rPr>
        <w:t> </w:t>
      </w:r>
      <w:r>
        <w:rPr>
          <w:color w:val="231F20"/>
        </w:rPr>
        <w:t>$11</w:t>
      </w:r>
      <w:r>
        <w:rPr>
          <w:color w:val="231F20"/>
          <w:spacing w:val="-16"/>
        </w:rPr>
        <w:t> </w:t>
      </w:r>
      <w:r>
        <w:rPr>
          <w:color w:val="231F20"/>
        </w:rPr>
        <w:t>million</w:t>
      </w:r>
      <w:r>
        <w:rPr>
          <w:color w:val="231F20"/>
          <w:spacing w:val="-16"/>
        </w:rPr>
        <w:t> </w:t>
      </w:r>
      <w:r>
        <w:rPr>
          <w:color w:val="231F20"/>
        </w:rPr>
        <w:t>in</w:t>
      </w:r>
      <w:r>
        <w:rPr>
          <w:color w:val="231F20"/>
          <w:spacing w:val="-16"/>
        </w:rPr>
        <w:t> </w:t>
      </w:r>
      <w:r>
        <w:rPr>
          <w:color w:val="231F20"/>
        </w:rPr>
        <w:t>additional</w:t>
      </w:r>
      <w:r>
        <w:rPr>
          <w:color w:val="231F20"/>
          <w:spacing w:val="-16"/>
        </w:rPr>
        <w:t> </w:t>
      </w:r>
      <w:r>
        <w:rPr>
          <w:color w:val="231F20"/>
        </w:rPr>
        <w:t>cash</w:t>
      </w:r>
      <w:r>
        <w:rPr>
          <w:color w:val="231F20"/>
          <w:spacing w:val="-16"/>
        </w:rPr>
        <w:t> </w:t>
      </w:r>
      <w:r>
        <w:rPr>
          <w:color w:val="231F20"/>
        </w:rPr>
        <w:t>collateral</w:t>
      </w:r>
      <w:r>
        <w:rPr>
          <w:color w:val="231F20"/>
          <w:spacing w:val="-16"/>
        </w:rPr>
        <w:t> </w:t>
      </w:r>
      <w:r>
        <w:rPr>
          <w:color w:val="231F20"/>
        </w:rPr>
        <w:t>deposits</w:t>
      </w:r>
      <w:r>
        <w:rPr>
          <w:color w:val="231F20"/>
          <w:spacing w:val="-16"/>
        </w:rPr>
        <w:t> </w:t>
      </w:r>
      <w:r>
        <w:rPr>
          <w:color w:val="231F20"/>
        </w:rPr>
        <w:t>with</w:t>
      </w:r>
      <w:r>
        <w:rPr>
          <w:color w:val="231F20"/>
          <w:spacing w:val="-16"/>
        </w:rPr>
        <w:t> </w:t>
      </w:r>
      <w:r>
        <w:rPr>
          <w:color w:val="231F20"/>
        </w:rPr>
        <w:t>fuel</w:t>
      </w:r>
      <w:r>
        <w:rPr>
          <w:color w:val="231F20"/>
          <w:spacing w:val="-16"/>
        </w:rPr>
        <w:t> </w:t>
      </w:r>
      <w:r>
        <w:rPr>
          <w:color w:val="231F20"/>
        </w:rPr>
        <w:t>hedge</w:t>
      </w:r>
      <w:r>
        <w:rPr>
          <w:color w:val="231F20"/>
          <w:spacing w:val="-16"/>
        </w:rPr>
        <w:t> </w:t>
      </w:r>
      <w:r>
        <w:rPr>
          <w:color w:val="231F20"/>
        </w:rPr>
        <w:t>counterparties.</w:t>
      </w:r>
    </w:p>
    <w:p>
      <w:pPr>
        <w:pStyle w:val="BodyText"/>
        <w:spacing w:before="11"/>
      </w:pPr>
    </w:p>
    <w:p>
      <w:pPr>
        <w:pStyle w:val="BodyText"/>
        <w:spacing w:line="249" w:lineRule="auto"/>
        <w:ind w:left="100" w:right="10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1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before="11"/>
      </w:pPr>
    </w:p>
    <w:p>
      <w:pPr>
        <w:pStyle w:val="BodyText"/>
        <w:spacing w:line="249" w:lineRule="auto"/>
        <w:ind w:left="100" w:right="295" w:firstLine="400"/>
      </w:pPr>
      <w:r>
        <w:rPr>
          <w:color w:val="231F20"/>
        </w:rPr>
        <w:t>As of December 31, 2012,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53" w:top="1240" w:bottom="1440" w:left="1280" w:right="132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35"/>
        <w:gridCol w:w="2335"/>
      </w:tblGrid>
      <w:tr>
        <w:trPr>
          <w:trHeight w:val="311" w:hRule="exact"/>
        </w:trPr>
        <w:tc>
          <w:tcPr>
            <w:tcW w:w="6835" w:type="dxa"/>
          </w:tcPr>
          <w:p>
            <w:pPr>
              <w:pStyle w:val="TableParagraph"/>
              <w:tabs>
                <w:tab w:pos="1129" w:val="left" w:leader="none"/>
              </w:tabs>
              <w:spacing w:line="221" w:lineRule="exact"/>
              <w:ind w:left="50"/>
              <w:jc w:val="left"/>
              <w:rPr>
                <w:b/>
                <w:i/>
                <w:sz w:val="20"/>
              </w:rPr>
            </w:pPr>
            <w:bookmarkStart w:name="Item 8. Financial Statements and Supplem" w:id="24"/>
            <w:bookmarkEnd w:id="24"/>
            <w:r>
              <w:rPr/>
            </w:r>
            <w:r>
              <w:rPr>
                <w:b/>
                <w:color w:val="231F20"/>
                <w:sz w:val="20"/>
              </w:rPr>
              <w:t>Item</w:t>
            </w:r>
            <w:r>
              <w:rPr>
                <w:b/>
                <w:color w:val="231F20"/>
                <w:spacing w:val="1"/>
                <w:sz w:val="20"/>
              </w:rPr>
              <w:t> </w:t>
            </w:r>
            <w:r>
              <w:rPr>
                <w:b/>
                <w:color w:val="231F20"/>
                <w:sz w:val="20"/>
              </w:rPr>
              <w:t>8.</w:t>
              <w:tab/>
            </w:r>
            <w:r>
              <w:rPr>
                <w:b/>
                <w:i/>
                <w:color w:val="231F20"/>
                <w:sz w:val="20"/>
              </w:rPr>
              <w:t>Financial Statements and Supplementary</w:t>
            </w:r>
            <w:r>
              <w:rPr>
                <w:b/>
                <w:i/>
                <w:color w:val="231F20"/>
                <w:spacing w:val="1"/>
                <w:sz w:val="20"/>
              </w:rPr>
              <w:t> </w:t>
            </w:r>
            <w:r>
              <w:rPr>
                <w:b/>
                <w:i/>
                <w:color w:val="231F20"/>
                <w:sz w:val="20"/>
              </w:rPr>
              <w:t>Data</w:t>
            </w:r>
          </w:p>
        </w:tc>
        <w:tc>
          <w:tcPr>
            <w:tcW w:w="2335" w:type="dxa"/>
            <w:vMerge w:val="restart"/>
          </w:tcPr>
          <w:p>
            <w:pPr/>
          </w:p>
        </w:tc>
      </w:tr>
      <w:tr>
        <w:trPr>
          <w:trHeight w:val="380" w:hRule="exact"/>
        </w:trPr>
        <w:tc>
          <w:tcPr>
            <w:tcW w:w="6835" w:type="dxa"/>
          </w:tcPr>
          <w:p>
            <w:pPr>
              <w:pStyle w:val="TableParagraph"/>
              <w:spacing w:before="79"/>
              <w:ind w:left="3264"/>
              <w:jc w:val="left"/>
              <w:rPr>
                <w:b/>
                <w:sz w:val="20"/>
              </w:rPr>
            </w:pPr>
            <w:bookmarkStart w:name="Southwest Airlines Co. Consolidated Bala" w:id="25"/>
            <w:bookmarkEnd w:id="25"/>
            <w:r>
              <w:rPr/>
            </w:r>
            <w:r>
              <w:rPr>
                <w:b/>
                <w:color w:val="231F20"/>
                <w:sz w:val="20"/>
              </w:rPr>
              <w:t>SOUTHWEST AIRLINES CO.</w:t>
            </w:r>
          </w:p>
        </w:tc>
        <w:tc>
          <w:tcPr>
            <w:tcW w:w="2335" w:type="dxa"/>
            <w:vMerge/>
          </w:tcPr>
          <w:p>
            <w:pPr/>
          </w:p>
        </w:tc>
      </w:tr>
      <w:tr>
        <w:trPr>
          <w:trHeight w:val="301" w:hRule="exact"/>
        </w:trPr>
        <w:tc>
          <w:tcPr>
            <w:tcW w:w="6835" w:type="dxa"/>
          </w:tcPr>
          <w:p>
            <w:pPr>
              <w:pStyle w:val="TableParagraph"/>
              <w:spacing w:before="59"/>
              <w:ind w:left="2929"/>
              <w:jc w:val="left"/>
              <w:rPr>
                <w:b/>
                <w:sz w:val="20"/>
              </w:rPr>
            </w:pPr>
            <w:r>
              <w:rPr>
                <w:b/>
                <w:color w:val="231F20"/>
                <w:sz w:val="20"/>
              </w:rPr>
              <w:t>CONSOLIDATED BALANCE SHEET</w:t>
            </w:r>
          </w:p>
        </w:tc>
        <w:tc>
          <w:tcPr>
            <w:tcW w:w="2335" w:type="dxa"/>
            <w:vMerge/>
          </w:tcPr>
          <w:p>
            <w:pPr/>
          </w:p>
        </w:tc>
      </w:tr>
      <w:tr>
        <w:trPr>
          <w:trHeight w:val="298" w:hRule="exact"/>
        </w:trPr>
        <w:tc>
          <w:tcPr>
            <w:tcW w:w="6835" w:type="dxa"/>
          </w:tcPr>
          <w:p>
            <w:pPr>
              <w:pStyle w:val="TableParagraph"/>
              <w:spacing w:line="229" w:lineRule="exact"/>
              <w:ind w:left="3370"/>
              <w:jc w:val="left"/>
              <w:rPr>
                <w:sz w:val="20"/>
              </w:rPr>
            </w:pPr>
            <w:r>
              <w:rPr>
                <w:color w:val="231F20"/>
                <w:sz w:val="20"/>
              </w:rPr>
              <w:t>(in millions, except share data)</w:t>
            </w:r>
          </w:p>
        </w:tc>
        <w:tc>
          <w:tcPr>
            <w:tcW w:w="2335" w:type="dxa"/>
            <w:vMerge/>
          </w:tcPr>
          <w:p>
            <w:pPr/>
          </w:p>
        </w:tc>
      </w:tr>
      <w:tr>
        <w:trPr>
          <w:trHeight w:val="317" w:hRule="exact"/>
        </w:trPr>
        <w:tc>
          <w:tcPr>
            <w:tcW w:w="6835" w:type="dxa"/>
          </w:tcPr>
          <w:p>
            <w:pPr/>
          </w:p>
        </w:tc>
        <w:tc>
          <w:tcPr>
            <w:tcW w:w="2335" w:type="dxa"/>
            <w:tcBorders>
              <w:bottom w:val="single" w:sz="8" w:space="0" w:color="231F20"/>
            </w:tcBorders>
          </w:tcPr>
          <w:p>
            <w:pPr>
              <w:pStyle w:val="TableParagraph"/>
              <w:spacing w:before="60"/>
              <w:ind w:left="620"/>
              <w:jc w:val="left"/>
              <w:rPr>
                <w:b/>
                <w:sz w:val="20"/>
              </w:rPr>
            </w:pPr>
            <w:r>
              <w:rPr>
                <w:b/>
                <w:color w:val="231F20"/>
                <w:sz w:val="20"/>
              </w:rPr>
              <w:t>December 31,</w:t>
            </w:r>
          </w:p>
        </w:tc>
      </w:tr>
      <w:tr>
        <w:trPr>
          <w:trHeight w:val="280" w:hRule="exact"/>
        </w:trPr>
        <w:tc>
          <w:tcPr>
            <w:tcW w:w="6835" w:type="dxa"/>
          </w:tcPr>
          <w:p>
            <w:pPr/>
          </w:p>
        </w:tc>
        <w:tc>
          <w:tcPr>
            <w:tcW w:w="2335" w:type="dxa"/>
            <w:tcBorders>
              <w:top w:val="single" w:sz="8" w:space="0" w:color="231F20"/>
              <w:bottom w:val="single" w:sz="8" w:space="0" w:color="231F20"/>
            </w:tcBorders>
          </w:tcPr>
          <w:p>
            <w:pPr>
              <w:pStyle w:val="TableParagraph"/>
              <w:tabs>
                <w:tab w:pos="1609" w:val="left" w:leader="none"/>
              </w:tabs>
              <w:spacing w:before="13"/>
              <w:ind w:left="399"/>
              <w:jc w:val="left"/>
              <w:rPr>
                <w:b/>
                <w:sz w:val="20"/>
              </w:rPr>
            </w:pPr>
            <w:r>
              <w:rPr>
                <w:b/>
                <w:color w:val="231F20"/>
                <w:sz w:val="20"/>
              </w:rPr>
              <w:t>2012</w:t>
              <w:tab/>
              <w:t>2011</w:t>
            </w:r>
          </w:p>
        </w:tc>
      </w:tr>
      <w:tr>
        <w:trPr>
          <w:trHeight w:val="749" w:hRule="exact"/>
        </w:trPr>
        <w:tc>
          <w:tcPr>
            <w:tcW w:w="6835" w:type="dxa"/>
          </w:tcPr>
          <w:p>
            <w:pPr>
              <w:pStyle w:val="TableParagraph"/>
              <w:spacing w:before="53"/>
              <w:ind w:left="50"/>
              <w:jc w:val="left"/>
              <w:rPr>
                <w:b/>
                <w:sz w:val="20"/>
              </w:rPr>
            </w:pPr>
            <w:r>
              <w:rPr>
                <w:b/>
                <w:color w:val="231F20"/>
                <w:sz w:val="20"/>
              </w:rPr>
              <w:t>ASSETS</w:t>
            </w:r>
          </w:p>
          <w:p>
            <w:pPr>
              <w:pStyle w:val="TableParagraph"/>
              <w:ind w:left="50"/>
              <w:jc w:val="left"/>
              <w:rPr>
                <w:sz w:val="20"/>
              </w:rPr>
            </w:pPr>
            <w:r>
              <w:rPr>
                <w:color w:val="231F20"/>
                <w:sz w:val="20"/>
              </w:rPr>
              <w:t>Current assets:</w:t>
            </w:r>
          </w:p>
          <w:p>
            <w:pPr>
              <w:pStyle w:val="TableParagraph"/>
              <w:ind w:left="150"/>
              <w:jc w:val="left"/>
              <w:rPr>
                <w:sz w:val="20"/>
              </w:rPr>
            </w:pPr>
            <w:r>
              <w:rPr>
                <w:color w:val="231F20"/>
                <w:sz w:val="20"/>
              </w:rPr>
              <w:t>Cash and cash equivalents  . . . . . . . . . . . . . . . . . . . . . . . . . . . . . . . . . . . . . . . . . . . . </w:t>
            </w:r>
          </w:p>
        </w:tc>
        <w:tc>
          <w:tcPr>
            <w:tcW w:w="2335" w:type="dxa"/>
            <w:tcBorders>
              <w:top w:val="single" w:sz="8" w:space="0" w:color="231F20"/>
            </w:tcBorders>
          </w:tcPr>
          <w:p>
            <w:pPr>
              <w:pStyle w:val="TableParagraph"/>
              <w:jc w:val="left"/>
              <w:rPr>
                <w:sz w:val="22"/>
              </w:rPr>
            </w:pPr>
          </w:p>
          <w:p>
            <w:pPr>
              <w:pStyle w:val="TableParagraph"/>
              <w:spacing w:before="8"/>
              <w:jc w:val="left"/>
              <w:rPr>
                <w:sz w:val="21"/>
              </w:rPr>
            </w:pPr>
          </w:p>
          <w:p>
            <w:pPr>
              <w:pStyle w:val="TableParagraph"/>
              <w:tabs>
                <w:tab w:pos="539" w:val="left" w:leader="none"/>
                <w:tab w:pos="1209" w:val="left" w:leader="none"/>
                <w:tab w:pos="1899" w:val="left" w:leader="none"/>
              </w:tabs>
              <w:spacing w:before="1"/>
              <w:ind w:right="59"/>
              <w:rPr>
                <w:sz w:val="20"/>
              </w:rPr>
            </w:pPr>
            <w:r>
              <w:rPr>
                <w:color w:val="231F20"/>
                <w:sz w:val="20"/>
              </w:rPr>
              <w:t>$</w:t>
              <w:tab/>
              <w:t>1,113</w:t>
              <w:tab/>
              <w:t>$</w:t>
              <w:tab/>
              <w:t>829</w:t>
            </w:r>
          </w:p>
        </w:tc>
      </w:tr>
      <w:tr>
        <w:trPr>
          <w:trHeight w:val="230" w:hRule="exact"/>
        </w:trPr>
        <w:tc>
          <w:tcPr>
            <w:tcW w:w="6835" w:type="dxa"/>
          </w:tcPr>
          <w:p>
            <w:pPr>
              <w:pStyle w:val="TableParagraph"/>
              <w:spacing w:line="224" w:lineRule="exact"/>
              <w:ind w:right="73"/>
              <w:rPr>
                <w:sz w:val="20"/>
              </w:rPr>
            </w:pPr>
            <w:r>
              <w:rPr>
                <w:color w:val="231F20"/>
                <w:sz w:val="20"/>
              </w:rPr>
              <w:t>Short-term investments   . . . . . .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1,857</w:t>
              <w:tab/>
              <w:t>2,315</w:t>
            </w:r>
          </w:p>
        </w:tc>
      </w:tr>
      <w:tr>
        <w:trPr>
          <w:trHeight w:val="230" w:hRule="exact"/>
        </w:trPr>
        <w:tc>
          <w:tcPr>
            <w:tcW w:w="6835" w:type="dxa"/>
          </w:tcPr>
          <w:p>
            <w:pPr>
              <w:pStyle w:val="TableParagraph"/>
              <w:spacing w:line="224" w:lineRule="exact"/>
              <w:ind w:right="73"/>
              <w:rPr>
                <w:sz w:val="20"/>
              </w:rPr>
            </w:pPr>
            <w:r>
              <w:rPr>
                <w:color w:val="231F20"/>
                <w:sz w:val="20"/>
              </w:rPr>
              <w:t>Accounts and other receivables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332</w:t>
              <w:tab/>
              <w:t>299</w:t>
            </w:r>
          </w:p>
        </w:tc>
      </w:tr>
      <w:tr>
        <w:trPr>
          <w:trHeight w:val="230" w:hRule="exact"/>
        </w:trPr>
        <w:tc>
          <w:tcPr>
            <w:tcW w:w="6835" w:type="dxa"/>
          </w:tcPr>
          <w:p>
            <w:pPr>
              <w:pStyle w:val="TableParagraph"/>
              <w:spacing w:line="224" w:lineRule="exact"/>
              <w:ind w:right="73"/>
              <w:rPr>
                <w:sz w:val="20"/>
              </w:rPr>
            </w:pPr>
            <w:r>
              <w:rPr>
                <w:color w:val="231F20"/>
                <w:sz w:val="20"/>
              </w:rPr>
              <w:t>Inventories of parts and supplies, at cost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469</w:t>
              <w:tab/>
              <w:t>401</w:t>
            </w:r>
          </w:p>
        </w:tc>
      </w:tr>
      <w:tr>
        <w:trPr>
          <w:trHeight w:val="230" w:hRule="exact"/>
        </w:trPr>
        <w:tc>
          <w:tcPr>
            <w:tcW w:w="6835" w:type="dxa"/>
          </w:tcPr>
          <w:p>
            <w:pPr>
              <w:pStyle w:val="TableParagraph"/>
              <w:spacing w:line="224" w:lineRule="exact"/>
              <w:ind w:right="74"/>
              <w:rPr>
                <w:sz w:val="20"/>
              </w:rPr>
            </w:pPr>
            <w:r>
              <w:rPr>
                <w:color w:val="231F20"/>
                <w:sz w:val="20"/>
              </w:rPr>
              <w:t>Deferred income taxes  . . . . . . .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246</w:t>
              <w:tab/>
              <w:t>263</w:t>
            </w:r>
          </w:p>
        </w:tc>
      </w:tr>
      <w:tr>
        <w:trPr>
          <w:trHeight w:val="256" w:hRule="exact"/>
        </w:trPr>
        <w:tc>
          <w:tcPr>
            <w:tcW w:w="6835" w:type="dxa"/>
          </w:tcPr>
          <w:p>
            <w:pPr>
              <w:pStyle w:val="TableParagraph"/>
              <w:spacing w:line="224" w:lineRule="exact"/>
              <w:ind w:right="73"/>
              <w:rPr>
                <w:sz w:val="20"/>
              </w:rPr>
            </w:pPr>
            <w:r>
              <w:rPr>
                <w:color w:val="231F20"/>
                <w:sz w:val="20"/>
              </w:rPr>
              <w:t>Prepaid expenses and other current assets  . . . . . . . . . . . . . . . . . . . . . . . . . . . . . . . . </w:t>
            </w:r>
          </w:p>
        </w:tc>
        <w:tc>
          <w:tcPr>
            <w:tcW w:w="2335" w:type="dxa"/>
            <w:tcBorders>
              <w:bottom w:val="single" w:sz="4" w:space="0" w:color="231F20"/>
            </w:tcBorders>
          </w:tcPr>
          <w:p>
            <w:pPr>
              <w:pStyle w:val="TableParagraph"/>
              <w:tabs>
                <w:tab w:pos="1209" w:val="left" w:leader="none"/>
              </w:tabs>
              <w:spacing w:line="224" w:lineRule="exact"/>
              <w:ind w:right="59"/>
              <w:rPr>
                <w:sz w:val="20"/>
              </w:rPr>
            </w:pPr>
            <w:r>
              <w:rPr>
                <w:color w:val="231F20"/>
                <w:sz w:val="20"/>
              </w:rPr>
              <w:t>210</w:t>
              <w:tab/>
              <w:t>238</w:t>
            </w:r>
          </w:p>
        </w:tc>
      </w:tr>
      <w:tr>
        <w:trPr>
          <w:trHeight w:val="278" w:hRule="exact"/>
        </w:trPr>
        <w:tc>
          <w:tcPr>
            <w:tcW w:w="6835" w:type="dxa"/>
          </w:tcPr>
          <w:p>
            <w:pPr>
              <w:pStyle w:val="TableParagraph"/>
              <w:spacing w:before="48"/>
              <w:ind w:right="74"/>
              <w:rPr>
                <w:sz w:val="20"/>
              </w:rPr>
            </w:pPr>
            <w:r>
              <w:rPr>
                <w:color w:val="231F20"/>
                <w:sz w:val="20"/>
              </w:rPr>
              <w:t>Total current assets . . . . . . . . . . . . . . . . . . . . . . . . . . . . . . . . . . . . . . . . . . . . . . . . . </w:t>
            </w:r>
          </w:p>
        </w:tc>
        <w:tc>
          <w:tcPr>
            <w:tcW w:w="2335" w:type="dxa"/>
            <w:tcBorders>
              <w:top w:val="single" w:sz="4" w:space="0" w:color="231F20"/>
            </w:tcBorders>
          </w:tcPr>
          <w:p>
            <w:pPr>
              <w:pStyle w:val="TableParagraph"/>
              <w:spacing w:line="20" w:lineRule="exact"/>
              <w:ind w:left="70"/>
              <w:jc w:val="left"/>
              <w:rPr>
                <w:sz w:val="2"/>
              </w:rPr>
            </w:pPr>
            <w:r>
              <w:rPr>
                <w:sz w:val="2"/>
              </w:rPr>
              <w:pict>
                <v:group style="width:53pt;height:.5pt;mso-position-horizontal-relative:char;mso-position-vertical-relative:line" coordorigin="0,0" coordsize="1060,10">
                  <v:line style="position:absolute" from="5,5" to="1055,5" stroked="true" strokeweight=".5pt" strokecolor="#231f20">
                    <v:stroke dashstyle="solid"/>
                  </v:line>
                </v:group>
              </w:pict>
            </w:r>
            <w:r>
              <w:rPr>
                <w:sz w:val="2"/>
              </w:rPr>
            </w:r>
          </w:p>
          <w:p>
            <w:pPr>
              <w:pStyle w:val="TableParagraph"/>
              <w:tabs>
                <w:tab w:pos="1209" w:val="left" w:leader="none"/>
              </w:tabs>
              <w:spacing w:before="23"/>
              <w:ind w:right="59"/>
              <w:rPr>
                <w:sz w:val="20"/>
              </w:rPr>
            </w:pPr>
            <w:r>
              <w:rPr>
                <w:color w:val="231F20"/>
                <w:sz w:val="20"/>
              </w:rPr>
              <w:t>4,227</w:t>
              <w:tab/>
              <w:t>4,345</w:t>
            </w:r>
          </w:p>
        </w:tc>
      </w:tr>
    </w:tbl>
    <w:p>
      <w:pPr>
        <w:pStyle w:val="BodyText"/>
        <w:spacing w:before="2"/>
        <w:ind w:left="160"/>
      </w:pPr>
      <w:r>
        <w:rPr/>
        <w:pict>
          <v:line style="position:absolute;mso-position-horizontal-relative:page;mso-position-vertical-relative:page;z-index:-355048" from="412pt,160.399994pt" to="464.5pt,160.399994pt" stroked="true" strokeweight="1pt" strokecolor="#231f20">
            <v:stroke dashstyle="solid"/>
            <w10:wrap type="none"/>
          </v:line>
        </w:pict>
      </w:r>
      <w:r>
        <w:rPr/>
        <w:pict>
          <v:line style="position:absolute;mso-position-horizontal-relative:page;mso-position-vertical-relative:page;z-index:-354976" from="412pt,664.650024pt" to="464.5pt,664.650024pt" stroked="true" strokeweight=".5pt" strokecolor="#231f20">
            <v:stroke dashstyle="solid"/>
            <w10:wrap type="none"/>
          </v:line>
        </w:pict>
      </w:r>
      <w:r>
        <w:rPr/>
        <w:pict>
          <v:line style="position:absolute;mso-position-horizontal-relative:page;mso-position-vertical-relative:page;z-index:-354952" from="472.5pt,664.650024pt" to="525pt,664.650024pt" stroked="true" strokeweight=".5pt" strokecolor="#231f20">
            <v:stroke dashstyle="solid"/>
            <w10:wrap type="none"/>
          </v:line>
        </w:pict>
      </w:r>
      <w:r>
        <w:rPr>
          <w:color w:val="231F20"/>
        </w:rPr>
        <w:t>Property and equipment, at cost:</w:t>
      </w:r>
    </w:p>
    <w:p>
      <w:pPr>
        <w:pStyle w:val="BodyText"/>
        <w:tabs>
          <w:tab w:pos="7199" w:val="left" w:leader="none"/>
          <w:tab w:pos="8409" w:val="left" w:leader="none"/>
        </w:tabs>
        <w:ind w:right="219"/>
        <w:jc w:val="right"/>
      </w:pPr>
      <w:r>
        <w:rPr>
          <w:color w:val="231F20"/>
        </w:rPr>
        <w:t>Flight equipment   . . . . . . . . . . . . . . . . . . . . . . . . . . . . . . . . . . . . . . . . . . . . . . . . .</w:t>
      </w:r>
      <w:r>
        <w:rPr>
          <w:color w:val="231F20"/>
          <w:spacing w:val="-13"/>
        </w:rPr>
        <w:t> </w:t>
      </w:r>
      <w:r>
        <w:rPr>
          <w:color w:val="231F20"/>
        </w:rPr>
        <w:t>. .</w:t>
        <w:tab/>
        <w:t>16,367</w:t>
        <w:tab/>
        <w:t>15,542</w:t>
      </w:r>
    </w:p>
    <w:p>
      <w:pPr>
        <w:pStyle w:val="BodyText"/>
        <w:tabs>
          <w:tab w:pos="7559" w:val="left" w:leader="none"/>
          <w:tab w:pos="7709" w:val="left" w:leader="none"/>
          <w:tab w:pos="8769" w:val="left" w:leader="none"/>
          <w:tab w:pos="9219" w:val="right" w:leader="none"/>
        </w:tabs>
        <w:ind w:left="260" w:right="219"/>
        <w:jc w:val="right"/>
      </w:pPr>
      <w:r>
        <w:rPr/>
        <w:pict>
          <v:line style="position:absolute;mso-position-horizontal-relative:page;mso-position-vertical-relative:paragraph;z-index:3376;mso-wrap-distance-left:0;mso-wrap-distance-right:0" from="412pt,24.585943pt" to="464.5pt,24.585943pt" stroked="true" strokeweight=".5pt" strokecolor="#231f20">
            <v:stroke dashstyle="solid"/>
            <w10:wrap type="topAndBottom"/>
          </v:line>
        </w:pict>
      </w:r>
      <w:r>
        <w:rPr/>
        <w:pict>
          <v:line style="position:absolute;mso-position-horizontal-relative:page;mso-position-vertical-relative:paragraph;z-index:3400;mso-wrap-distance-left:0;mso-wrap-distance-right:0" from="472.5pt,24.585943pt" to="525pt,24.585943pt" stroked="true" strokeweight=".5pt" strokecolor="#231f20">
            <v:stroke dashstyle="solid"/>
            <w10:wrap type="topAndBottom"/>
          </v:line>
        </w:pict>
      </w:r>
      <w:r>
        <w:rPr>
          <w:color w:val="231F20"/>
        </w:rPr>
        <w:t>Ground property and equipment   . . . . . . . . . . . . . . . . . . . . . . . . . . . . . . . . . . . . .</w:t>
      </w:r>
      <w:r>
        <w:rPr>
          <w:color w:val="231F20"/>
          <w:spacing w:val="-13"/>
        </w:rPr>
        <w:t> </w:t>
      </w:r>
      <w:r>
        <w:rPr>
          <w:color w:val="231F20"/>
        </w:rPr>
        <w:t>. .</w:t>
        <w:tab/>
        <w:t>2,714</w:t>
        <w:tab/>
        <w:t>2,423 Deposits on flight equipment purchase contracts   . . . . . . . . . . . . . . . . . . . . . . . .</w:t>
      </w:r>
      <w:r>
        <w:rPr>
          <w:color w:val="231F20"/>
          <w:spacing w:val="-3"/>
        </w:rPr>
        <w:t> </w:t>
      </w:r>
      <w:r>
        <w:rPr>
          <w:color w:val="231F20"/>
        </w:rPr>
        <w:t>. .</w:t>
        <w:tab/>
        <w:tab/>
        <w:t>416</w:t>
        <w:tab/>
        <w:tab/>
        <w:t>456</w:t>
      </w:r>
    </w:p>
    <w:p>
      <w:pPr>
        <w:pStyle w:val="BodyText"/>
        <w:tabs>
          <w:tab w:pos="1209" w:val="left" w:leader="none"/>
        </w:tabs>
        <w:spacing w:before="14"/>
        <w:ind w:right="219"/>
        <w:jc w:val="right"/>
      </w:pPr>
      <w:r>
        <w:rPr>
          <w:color w:val="231F20"/>
        </w:rPr>
        <w:t>19,497</w:t>
        <w:tab/>
        <w:t>18,421</w:t>
      </w:r>
    </w:p>
    <w:p>
      <w:pPr>
        <w:pStyle w:val="BodyText"/>
        <w:tabs>
          <w:tab w:pos="7299" w:val="left" w:leader="none"/>
          <w:tab w:pos="8509" w:val="left" w:leader="none"/>
        </w:tabs>
        <w:ind w:right="219"/>
        <w:jc w:val="right"/>
      </w:pPr>
      <w:r>
        <w:rPr/>
        <w:pict>
          <v:line style="position:absolute;mso-position-horizontal-relative:page;mso-position-vertical-relative:paragraph;z-index:3424;mso-wrap-distance-left:0;mso-wrap-distance-right:0" from="412pt,13.085943pt" to="464.5pt,13.085943pt" stroked="true" strokeweight=".5pt" strokecolor="#231f20">
            <v:stroke dashstyle="solid"/>
            <w10:wrap type="topAndBottom"/>
          </v:line>
        </w:pict>
      </w:r>
      <w:r>
        <w:rPr/>
        <w:pict>
          <v:line style="position:absolute;mso-position-horizontal-relative:page;mso-position-vertical-relative:paragraph;z-index:3448;mso-wrap-distance-left:0;mso-wrap-distance-right:0" from="472.5pt,13.085943pt" to="525pt,13.085943pt" stroked="true" strokeweight=".5pt" strokecolor="#231f20">
            <v:stroke dashstyle="solid"/>
            <w10:wrap type="topAndBottom"/>
          </v:line>
        </w:pict>
      </w:r>
      <w:r>
        <w:rPr>
          <w:color w:val="231F20"/>
        </w:rPr>
        <w:t>Less allowance for depreciation and amortization . . . . . . . . . . . . . . . . . . . . . . . .</w:t>
      </w:r>
      <w:r>
        <w:rPr>
          <w:color w:val="231F20"/>
          <w:spacing w:val="8"/>
        </w:rPr>
        <w:t> </w:t>
      </w:r>
      <w:r>
        <w:rPr>
          <w:color w:val="231F20"/>
        </w:rPr>
        <w:t>. .</w:t>
        <w:tab/>
        <w:t>6,731</w:t>
        <w:tab/>
        <w:t>6,294</w:t>
      </w:r>
    </w:p>
    <w:p>
      <w:pPr>
        <w:pStyle w:val="BodyText"/>
        <w:tabs>
          <w:tab w:pos="1209" w:val="left" w:leader="none"/>
        </w:tabs>
        <w:spacing w:before="14"/>
        <w:ind w:right="219"/>
        <w:jc w:val="right"/>
      </w:pPr>
      <w:r>
        <w:rPr>
          <w:color w:val="231F20"/>
        </w:rPr>
        <w:t>12,766</w:t>
        <w:tab/>
        <w:t>12,127</w:t>
      </w:r>
    </w:p>
    <w:p>
      <w:pPr>
        <w:pStyle w:val="BodyText"/>
        <w:tabs>
          <w:tab w:pos="7549" w:val="left" w:leader="none"/>
          <w:tab w:pos="9059" w:val="right" w:leader="none"/>
        </w:tabs>
        <w:ind w:right="219"/>
        <w:jc w:val="right"/>
      </w:pPr>
      <w:r>
        <w:rPr>
          <w:color w:val="231F20"/>
        </w:rPr>
        <w:t>Goodwill . . . . . . . . . . . . . . . . . . . . . . . . . . . . . . . . . . . . . . . . . . . . . . . . . . . . . . . . .</w:t>
      </w:r>
      <w:r>
        <w:rPr>
          <w:color w:val="231F20"/>
          <w:spacing w:val="4"/>
        </w:rPr>
        <w:t> </w:t>
      </w:r>
      <w:r>
        <w:rPr>
          <w:color w:val="231F20"/>
        </w:rPr>
        <w:t>. .</w:t>
        <w:tab/>
        <w:t>970</w:t>
        <w:tab/>
        <w:t>970</w:t>
      </w:r>
    </w:p>
    <w:p>
      <w:pPr>
        <w:pStyle w:val="BodyText"/>
        <w:tabs>
          <w:tab w:pos="7549" w:val="left" w:leader="none"/>
          <w:tab w:pos="9059" w:val="right" w:leader="none"/>
        </w:tabs>
        <w:ind w:right="219"/>
        <w:jc w:val="right"/>
      </w:pPr>
      <w:r>
        <w:rPr/>
        <w:pict>
          <v:line style="position:absolute;mso-position-horizontal-relative:page;mso-position-vertical-relative:paragraph;z-index:3592" from="412pt,13.085943pt" to="464.5pt,13.085943pt" stroked="true" strokeweight=".5pt" strokecolor="#231f20">
            <v:stroke dashstyle="solid"/>
            <w10:wrap type="none"/>
          </v:line>
        </w:pict>
      </w:r>
      <w:r>
        <w:rPr/>
        <w:pict>
          <v:line style="position:absolute;mso-position-horizontal-relative:page;mso-position-vertical-relative:paragraph;z-index:3616" from="472.5pt,13.085943pt" to="525pt,13.085943pt" stroked="true" strokeweight=".5pt" strokecolor="#231f20">
            <v:stroke dashstyle="solid"/>
            <w10:wrap type="none"/>
          </v:line>
        </w:pict>
      </w:r>
      <w:r>
        <w:rPr>
          <w:color w:val="231F20"/>
        </w:rPr>
        <w:t>Other assets   . . . . . . . . . . . . . . . . . . . . . . . . . . . . . . . . . . . . . . . . . . . . . . . . . . . . . .</w:t>
      </w:r>
      <w:r>
        <w:rPr>
          <w:color w:val="231F20"/>
          <w:spacing w:val="-13"/>
        </w:rPr>
        <w:t> </w:t>
      </w:r>
      <w:r>
        <w:rPr>
          <w:color w:val="231F20"/>
        </w:rPr>
        <w:t>. .</w:t>
        <w:tab/>
        <w:t>633</w:t>
        <w:tab/>
        <w:t>626</w:t>
      </w:r>
    </w:p>
    <w:p>
      <w:pPr>
        <w:pStyle w:val="BodyText"/>
        <w:tabs>
          <w:tab w:pos="439" w:val="left" w:leader="none"/>
          <w:tab w:pos="1209" w:val="left" w:leader="none"/>
          <w:tab w:pos="1649" w:val="left" w:leader="none"/>
        </w:tabs>
        <w:spacing w:before="79"/>
        <w:ind w:right="219"/>
        <w:jc w:val="right"/>
      </w:pPr>
      <w:r>
        <w:rPr/>
        <w:pict>
          <v:group style="position:absolute;margin-left:411.75pt;margin-top:16.785944pt;width:53pt;height:2.5pt;mso-position-horizontal-relative:page;mso-position-vertical-relative:paragraph;z-index:3472;mso-wrap-distance-left:0;mso-wrap-distance-right:0" coordorigin="8235,336" coordsize="1060,50">
            <v:line style="position:absolute" from="8240,341" to="9290,341" stroked="true" strokeweight=".5pt" strokecolor="#231f20">
              <v:stroke dashstyle="solid"/>
            </v:line>
            <v:line style="position:absolute" from="8240,381" to="9290,381" stroked="true" strokeweight=".5pt" strokecolor="#231f20">
              <v:stroke dashstyle="solid"/>
            </v:line>
            <w10:wrap type="topAndBottom"/>
          </v:group>
        </w:pict>
      </w:r>
      <w:r>
        <w:rPr/>
        <w:pict>
          <v:group style="position:absolute;margin-left:472.25pt;margin-top:16.785944pt;width:53pt;height:2.5pt;mso-position-horizontal-relative:page;mso-position-vertical-relative:paragraph;z-index:3496;mso-wrap-distance-left:0;mso-wrap-distance-right:0" coordorigin="9445,336" coordsize="1060,50">
            <v:line style="position:absolute" from="9450,341" to="10500,341" stroked="true" strokeweight=".5pt" strokecolor="#231f20">
              <v:stroke dashstyle="solid"/>
            </v:line>
            <v:line style="position:absolute" from="9450,381" to="10500,381" stroked="true" strokeweight=".5pt" strokecolor="#231f20">
              <v:stroke dashstyle="solid"/>
            </v:line>
            <w10:wrap type="topAndBottom"/>
          </v:group>
        </w:pict>
      </w:r>
      <w:r>
        <w:rPr>
          <w:color w:val="231F20"/>
        </w:rPr>
        <w:t>$</w:t>
        <w:tab/>
        <w:t>18,596</w:t>
        <w:tab/>
        <w:t>$</w:t>
        <w:tab/>
        <w:t>18,068</w:t>
      </w:r>
    </w:p>
    <w:p>
      <w:pPr>
        <w:pStyle w:val="Heading3"/>
        <w:spacing w:before="14"/>
        <w:ind w:left="160"/>
      </w:pPr>
      <w:r>
        <w:rPr>
          <w:color w:val="231F20"/>
        </w:rPr>
        <w:t>LIABILITIES AND STOCKHOLDERS’ EQUITY</w:t>
      </w:r>
    </w:p>
    <w:p>
      <w:pPr>
        <w:pStyle w:val="BodyText"/>
        <w:ind w:left="160"/>
      </w:pPr>
      <w:r>
        <w:rPr>
          <w:color w:val="231F20"/>
        </w:rPr>
        <w:t>Current liabilities:</w:t>
      </w:r>
    </w:p>
    <w:p>
      <w:pPr>
        <w:pStyle w:val="BodyText"/>
        <w:tabs>
          <w:tab w:pos="7339" w:val="left" w:leader="none"/>
          <w:tab w:pos="8009" w:val="left" w:leader="none"/>
          <w:tab w:pos="8549" w:val="left" w:leader="none"/>
        </w:tabs>
        <w:ind w:left="40"/>
        <w:jc w:val="center"/>
      </w:pPr>
      <w:r>
        <w:rPr>
          <w:color w:val="231F20"/>
        </w:rPr>
        <w:t>Accounts payable  . . . . . . . . . . . . . . . . . . . . . . . . . . . . . . . . . . . . . . . . . . . . . . . . . .</w:t>
      </w:r>
      <w:r>
        <w:rPr>
          <w:color w:val="231F20"/>
          <w:spacing w:val="-19"/>
        </w:rPr>
        <w:t> </w:t>
      </w:r>
      <w:r>
        <w:rPr>
          <w:color w:val="231F20"/>
        </w:rPr>
        <w:t>.    $</w:t>
        <w:tab/>
        <w:t>1,107</w:t>
        <w:tab/>
        <w:t>$</w:t>
        <w:tab/>
        <w:t>1,057</w:t>
      </w:r>
    </w:p>
    <w:p>
      <w:pPr>
        <w:pStyle w:val="BodyText"/>
        <w:tabs>
          <w:tab w:pos="7339" w:val="left" w:leader="none"/>
          <w:tab w:pos="8699" w:val="left" w:leader="none"/>
        </w:tabs>
        <w:ind w:left="40"/>
        <w:jc w:val="center"/>
      </w:pPr>
      <w:r>
        <w:rPr>
          <w:color w:val="231F20"/>
        </w:rPr>
        <w:t>Accrued liabilities   . . . . . . . . . . . . . . . . . . . . . . . . . . . . . . . . . . . . . . . . . . . . . . . .</w:t>
      </w:r>
      <w:r>
        <w:rPr>
          <w:color w:val="231F20"/>
          <w:spacing w:val="-13"/>
        </w:rPr>
        <w:t> </w:t>
      </w:r>
      <w:r>
        <w:rPr>
          <w:color w:val="231F20"/>
        </w:rPr>
        <w:t>. .</w:t>
        <w:tab/>
        <w:t>1,102</w:t>
        <w:tab/>
        <w:t>996</w:t>
      </w:r>
    </w:p>
    <w:p>
      <w:pPr>
        <w:pStyle w:val="BodyText"/>
        <w:tabs>
          <w:tab w:pos="7339" w:val="left" w:leader="none"/>
          <w:tab w:pos="8549" w:val="left" w:leader="none"/>
        </w:tabs>
        <w:ind w:left="40"/>
        <w:jc w:val="center"/>
      </w:pPr>
      <w:r>
        <w:rPr>
          <w:color w:val="231F20"/>
        </w:rPr>
        <w:t>Air traffic liability   . . . . . . . . . . . . . . . . . . . . . . . . . . . . . . . . . . . . . . . . . . . . . . . .</w:t>
      </w:r>
      <w:r>
        <w:rPr>
          <w:color w:val="231F20"/>
          <w:spacing w:val="-19"/>
        </w:rPr>
        <w:t> </w:t>
      </w:r>
      <w:r>
        <w:rPr>
          <w:color w:val="231F20"/>
        </w:rPr>
        <w:t>. .</w:t>
        <w:tab/>
        <w:t>2,170</w:t>
        <w:tab/>
        <w:t>1,836</w:t>
      </w:r>
    </w:p>
    <w:p>
      <w:pPr>
        <w:pStyle w:val="BodyText"/>
        <w:tabs>
          <w:tab w:pos="7489" w:val="left" w:leader="none"/>
          <w:tab w:pos="8699" w:val="left" w:leader="none"/>
        </w:tabs>
        <w:ind w:left="40"/>
        <w:jc w:val="center"/>
      </w:pPr>
      <w:r>
        <w:rPr/>
        <w:pict>
          <v:line style="position:absolute;mso-position-horizontal-relative:page;mso-position-vertical-relative:paragraph;z-index:3520;mso-wrap-distance-left:0;mso-wrap-distance-right:0" from="412pt,13.085943pt" to="464.5pt,13.085943pt" stroked="true" strokeweight=".5pt" strokecolor="#231f20">
            <v:stroke dashstyle="solid"/>
            <w10:wrap type="topAndBottom"/>
          </v:line>
        </w:pict>
      </w:r>
      <w:r>
        <w:rPr/>
        <w:pict>
          <v:line style="position:absolute;mso-position-horizontal-relative:page;mso-position-vertical-relative:paragraph;z-index:3544;mso-wrap-distance-left:0;mso-wrap-distance-right:0" from="472.5pt,13.085943pt" to="525pt,13.085943pt" stroked="true" strokeweight=".5pt" strokecolor="#231f20">
            <v:stroke dashstyle="solid"/>
            <w10:wrap type="topAndBottom"/>
          </v:line>
        </w:pict>
      </w:r>
      <w:r>
        <w:rPr>
          <w:color w:val="231F20"/>
        </w:rPr>
        <w:t>Current maturities of long-term debt  . . . . . . . . . . . . . . . . . . . . . . . . . . . . . . . . . .</w:t>
      </w:r>
      <w:r>
        <w:rPr>
          <w:color w:val="231F20"/>
          <w:spacing w:val="-2"/>
        </w:rPr>
        <w:t> </w:t>
      </w:r>
      <w:r>
        <w:rPr>
          <w:color w:val="231F20"/>
        </w:rPr>
        <w:t>. .</w:t>
        <w:tab/>
        <w:t>271</w:t>
        <w:tab/>
        <w:t>644</w:t>
      </w:r>
    </w:p>
    <w:p>
      <w:pPr>
        <w:pStyle w:val="BodyText"/>
        <w:tabs>
          <w:tab w:pos="7339" w:val="left" w:leader="none"/>
          <w:tab w:pos="8549" w:val="left" w:leader="none"/>
        </w:tabs>
        <w:spacing w:before="14"/>
        <w:ind w:left="140"/>
        <w:jc w:val="center"/>
      </w:pPr>
      <w:r>
        <w:rPr>
          <w:color w:val="231F20"/>
        </w:rPr>
        <w:t>Total current liabilities . . . . . . . . . . . . . . . . . . . . . . . . . . . . . . . . . . . . . . . . . . . .</w:t>
      </w:r>
      <w:r>
        <w:rPr>
          <w:color w:val="231F20"/>
          <w:spacing w:val="25"/>
        </w:rPr>
        <w:t> </w:t>
      </w:r>
      <w:r>
        <w:rPr>
          <w:color w:val="231F20"/>
        </w:rPr>
        <w:t>. .</w:t>
        <w:tab/>
        <w:t>4,650</w:t>
        <w:tab/>
        <w:t>4,533</w:t>
      </w:r>
    </w:p>
    <w:p>
      <w:pPr>
        <w:pStyle w:val="BodyText"/>
        <w:tabs>
          <w:tab w:pos="7399" w:val="left" w:leader="none"/>
          <w:tab w:pos="8609" w:val="left" w:leader="none"/>
        </w:tabs>
        <w:spacing w:before="119"/>
        <w:ind w:right="59"/>
        <w:jc w:val="center"/>
      </w:pPr>
      <w:r>
        <w:rPr>
          <w:color w:val="231F20"/>
        </w:rPr>
        <w:t>Long-term debt less current maturities   . . . . . . . . . . . . . . . . . . . . . . . . . . . . . . . . .</w:t>
      </w:r>
      <w:r>
        <w:rPr>
          <w:color w:val="231F20"/>
          <w:spacing w:val="-9"/>
        </w:rPr>
        <w:t> </w:t>
      </w:r>
      <w:r>
        <w:rPr>
          <w:color w:val="231F20"/>
        </w:rPr>
        <w:t>. .</w:t>
        <w:tab/>
        <w:t>2,883</w:t>
        <w:tab/>
        <w:t>3,107</w:t>
      </w:r>
    </w:p>
    <w:p>
      <w:pPr>
        <w:pStyle w:val="BodyText"/>
        <w:tabs>
          <w:tab w:pos="7399" w:val="left" w:leader="none"/>
          <w:tab w:pos="8609" w:val="left" w:leader="none"/>
        </w:tabs>
        <w:ind w:right="59"/>
        <w:jc w:val="center"/>
      </w:pPr>
      <w:r>
        <w:rPr>
          <w:color w:val="231F20"/>
        </w:rPr>
        <w:t>Deferred income taxes  . . . . . . . . . . . . . . . . . . . . . . . . . . . . . . . . . . . . . . . . . . . . . .</w:t>
      </w:r>
      <w:r>
        <w:rPr>
          <w:color w:val="231F20"/>
          <w:spacing w:val="-1"/>
        </w:rPr>
        <w:t> </w:t>
      </w:r>
      <w:r>
        <w:rPr>
          <w:color w:val="231F20"/>
        </w:rPr>
        <w:t>. .</w:t>
        <w:tab/>
        <w:t>2,884</w:t>
        <w:tab/>
        <w:t>2,566</w:t>
      </w:r>
    </w:p>
    <w:p>
      <w:pPr>
        <w:pStyle w:val="BodyText"/>
        <w:tabs>
          <w:tab w:pos="7809" w:val="left" w:leader="none"/>
          <w:tab w:pos="9019" w:val="left" w:leader="none"/>
        </w:tabs>
        <w:ind w:left="160"/>
      </w:pPr>
      <w:r>
        <w:rPr>
          <w:color w:val="231F20"/>
        </w:rPr>
        <w:t>Deferred gains from sale and leaseback of aircraft  . . . . . . . . . . . . . . . . . . . . . . . .</w:t>
      </w:r>
      <w:r>
        <w:rPr>
          <w:color w:val="231F20"/>
          <w:spacing w:val="14"/>
        </w:rPr>
        <w:t> </w:t>
      </w:r>
      <w:r>
        <w:rPr>
          <w:color w:val="231F20"/>
        </w:rPr>
        <w:t>. .</w:t>
        <w:tab/>
        <w:t>63</w:t>
        <w:tab/>
        <w:t>75</w:t>
      </w:r>
    </w:p>
    <w:p>
      <w:pPr>
        <w:pStyle w:val="BodyText"/>
        <w:tabs>
          <w:tab w:pos="7559" w:val="left" w:leader="none"/>
          <w:tab w:pos="8919" w:val="left" w:leader="none"/>
        </w:tabs>
        <w:ind w:left="160"/>
      </w:pPr>
      <w:r>
        <w:rPr>
          <w:color w:val="231F20"/>
        </w:rPr>
        <w:t>Other noncurrent liabilities   . . . . . . . . . . . . . . . . . . . . . . . . . . . . . . . . . . . . . . . . . .</w:t>
      </w:r>
      <w:r>
        <w:rPr>
          <w:color w:val="231F20"/>
          <w:spacing w:val="-8"/>
        </w:rPr>
        <w:t> </w:t>
      </w:r>
      <w:r>
        <w:rPr>
          <w:color w:val="231F20"/>
        </w:rPr>
        <w:t>. .</w:t>
        <w:tab/>
        <w:t>1,124</w:t>
        <w:tab/>
        <w:t>910</w:t>
      </w:r>
    </w:p>
    <w:p>
      <w:pPr>
        <w:pStyle w:val="BodyText"/>
        <w:ind w:left="160"/>
      </w:pPr>
      <w:r>
        <w:rPr>
          <w:color w:val="231F20"/>
        </w:rPr>
        <w:t>Stockholders’ equity:</w:t>
      </w:r>
    </w:p>
    <w:p>
      <w:pPr>
        <w:pStyle w:val="BodyText"/>
        <w:spacing w:after="12"/>
        <w:ind w:left="260"/>
      </w:pPr>
      <w:r>
        <w:rPr>
          <w:color w:val="231F20"/>
        </w:rPr>
        <w:t>Common stock, $1.00 par value: 2,000,000,000 shares authorized;</w:t>
      </w:r>
    </w:p>
    <w:tbl>
      <w:tblPr>
        <w:tblW w:w="0" w:type="auto"/>
        <w:jc w:val="left"/>
        <w:tblInd w:w="2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35"/>
        <w:gridCol w:w="1208"/>
        <w:gridCol w:w="1183"/>
      </w:tblGrid>
      <w:tr>
        <w:trPr>
          <w:trHeight w:val="224" w:hRule="exact"/>
        </w:trPr>
        <w:tc>
          <w:tcPr>
            <w:tcW w:w="6735" w:type="dxa"/>
          </w:tcPr>
          <w:p>
            <w:pPr>
              <w:pStyle w:val="TableParagraph"/>
              <w:spacing w:line="219" w:lineRule="exact"/>
              <w:ind w:right="74"/>
              <w:rPr>
                <w:sz w:val="20"/>
              </w:rPr>
            </w:pPr>
            <w:r>
              <w:rPr>
                <w:color w:val="231F20"/>
                <w:sz w:val="20"/>
              </w:rPr>
              <w:t>807,611,634 shares issued in 2012 and 2011 . . . . . . . . . . . . . . . . . . . . . . . . . . . . . </w:t>
            </w:r>
          </w:p>
        </w:tc>
        <w:tc>
          <w:tcPr>
            <w:tcW w:w="1208" w:type="dxa"/>
          </w:tcPr>
          <w:p>
            <w:pPr>
              <w:pStyle w:val="TableParagraph"/>
              <w:spacing w:line="219" w:lineRule="exact"/>
              <w:ind w:right="141"/>
              <w:rPr>
                <w:sz w:val="20"/>
              </w:rPr>
            </w:pPr>
            <w:r>
              <w:rPr>
                <w:color w:val="231F20"/>
                <w:sz w:val="20"/>
              </w:rPr>
              <w:t>808</w:t>
            </w:r>
          </w:p>
        </w:tc>
        <w:tc>
          <w:tcPr>
            <w:tcW w:w="1183" w:type="dxa"/>
          </w:tcPr>
          <w:p>
            <w:pPr>
              <w:pStyle w:val="TableParagraph"/>
              <w:spacing w:line="219" w:lineRule="exact"/>
              <w:ind w:right="114"/>
              <w:rPr>
                <w:sz w:val="20"/>
              </w:rPr>
            </w:pPr>
            <w:r>
              <w:rPr>
                <w:color w:val="231F20"/>
                <w:sz w:val="20"/>
              </w:rPr>
              <w:t>808</w:t>
            </w:r>
          </w:p>
        </w:tc>
      </w:tr>
      <w:tr>
        <w:trPr>
          <w:trHeight w:val="230" w:hRule="exact"/>
        </w:trPr>
        <w:tc>
          <w:tcPr>
            <w:tcW w:w="6735" w:type="dxa"/>
          </w:tcPr>
          <w:p>
            <w:pPr>
              <w:pStyle w:val="TableParagraph"/>
              <w:spacing w:line="224" w:lineRule="exact"/>
              <w:ind w:left="50"/>
              <w:jc w:val="left"/>
              <w:rPr>
                <w:sz w:val="20"/>
              </w:rPr>
            </w:pPr>
            <w:r>
              <w:rPr>
                <w:color w:val="231F20"/>
                <w:sz w:val="20"/>
              </w:rPr>
              <w:t>Capital in excess of par value   . . . . . . . . . . . . . . . . . . . . . . . . . . . . . . . . . . . . . . . . . </w:t>
            </w:r>
          </w:p>
        </w:tc>
        <w:tc>
          <w:tcPr>
            <w:tcW w:w="1208" w:type="dxa"/>
          </w:tcPr>
          <w:p>
            <w:pPr>
              <w:pStyle w:val="TableParagraph"/>
              <w:spacing w:line="224" w:lineRule="exact"/>
              <w:ind w:right="141"/>
              <w:rPr>
                <w:sz w:val="20"/>
              </w:rPr>
            </w:pPr>
            <w:r>
              <w:rPr>
                <w:color w:val="231F20"/>
                <w:sz w:val="20"/>
              </w:rPr>
              <w:t>1,210</w:t>
            </w:r>
          </w:p>
        </w:tc>
        <w:tc>
          <w:tcPr>
            <w:tcW w:w="1183" w:type="dxa"/>
          </w:tcPr>
          <w:p>
            <w:pPr>
              <w:pStyle w:val="TableParagraph"/>
              <w:spacing w:line="224" w:lineRule="exact"/>
              <w:ind w:right="114"/>
              <w:rPr>
                <w:sz w:val="20"/>
              </w:rPr>
            </w:pPr>
            <w:r>
              <w:rPr>
                <w:color w:val="231F20"/>
                <w:sz w:val="20"/>
              </w:rPr>
              <w:t>1,222</w:t>
            </w:r>
          </w:p>
        </w:tc>
      </w:tr>
      <w:tr>
        <w:trPr>
          <w:trHeight w:val="230" w:hRule="exact"/>
        </w:trPr>
        <w:tc>
          <w:tcPr>
            <w:tcW w:w="6735" w:type="dxa"/>
          </w:tcPr>
          <w:p>
            <w:pPr>
              <w:pStyle w:val="TableParagraph"/>
              <w:spacing w:line="224" w:lineRule="exact"/>
              <w:ind w:left="50"/>
              <w:jc w:val="left"/>
              <w:rPr>
                <w:sz w:val="20"/>
              </w:rPr>
            </w:pPr>
            <w:r>
              <w:rPr>
                <w:color w:val="231F20"/>
                <w:sz w:val="20"/>
              </w:rPr>
              <w:t>Retained earnings . . . . . . . . . . . . . . . . . . . . . . . . . . . . . . . . . . . . . . . . . . . . . . . . . . . </w:t>
            </w:r>
          </w:p>
        </w:tc>
        <w:tc>
          <w:tcPr>
            <w:tcW w:w="1208" w:type="dxa"/>
          </w:tcPr>
          <w:p>
            <w:pPr>
              <w:pStyle w:val="TableParagraph"/>
              <w:spacing w:line="224" w:lineRule="exact"/>
              <w:ind w:right="141"/>
              <w:rPr>
                <w:sz w:val="20"/>
              </w:rPr>
            </w:pPr>
            <w:r>
              <w:rPr>
                <w:color w:val="231F20"/>
                <w:sz w:val="20"/>
              </w:rPr>
              <w:t>5,768</w:t>
            </w:r>
          </w:p>
        </w:tc>
        <w:tc>
          <w:tcPr>
            <w:tcW w:w="1183" w:type="dxa"/>
          </w:tcPr>
          <w:p>
            <w:pPr>
              <w:pStyle w:val="TableParagraph"/>
              <w:spacing w:line="224" w:lineRule="exact"/>
              <w:ind w:right="114"/>
              <w:rPr>
                <w:sz w:val="20"/>
              </w:rPr>
            </w:pPr>
            <w:r>
              <w:rPr>
                <w:color w:val="231F20"/>
                <w:sz w:val="20"/>
              </w:rPr>
              <w:t>5,395</w:t>
            </w:r>
          </w:p>
        </w:tc>
      </w:tr>
      <w:tr>
        <w:trPr>
          <w:trHeight w:val="230" w:hRule="exact"/>
        </w:trPr>
        <w:tc>
          <w:tcPr>
            <w:tcW w:w="6735" w:type="dxa"/>
          </w:tcPr>
          <w:p>
            <w:pPr>
              <w:pStyle w:val="TableParagraph"/>
              <w:spacing w:line="224" w:lineRule="exact"/>
              <w:ind w:left="50"/>
              <w:jc w:val="left"/>
              <w:rPr>
                <w:sz w:val="20"/>
              </w:rPr>
            </w:pPr>
            <w:r>
              <w:rPr>
                <w:color w:val="231F20"/>
                <w:sz w:val="20"/>
              </w:rPr>
              <w:t>Accumulated other comprehensive loss . . . . . . . . . . . . . . . . . . . . . . . . . . . . . . . . . . </w:t>
            </w:r>
          </w:p>
        </w:tc>
        <w:tc>
          <w:tcPr>
            <w:tcW w:w="1208" w:type="dxa"/>
          </w:tcPr>
          <w:p>
            <w:pPr>
              <w:pStyle w:val="TableParagraph"/>
              <w:spacing w:line="224" w:lineRule="exact"/>
              <w:ind w:right="74"/>
              <w:rPr>
                <w:sz w:val="20"/>
              </w:rPr>
            </w:pPr>
            <w:r>
              <w:rPr>
                <w:color w:val="231F20"/>
                <w:sz w:val="20"/>
              </w:rPr>
              <w:t>(119)</w:t>
            </w:r>
          </w:p>
        </w:tc>
        <w:tc>
          <w:tcPr>
            <w:tcW w:w="1183" w:type="dxa"/>
          </w:tcPr>
          <w:p>
            <w:pPr>
              <w:pStyle w:val="TableParagraph"/>
              <w:spacing w:line="224" w:lineRule="exact"/>
              <w:ind w:right="48"/>
              <w:rPr>
                <w:sz w:val="20"/>
              </w:rPr>
            </w:pPr>
            <w:r>
              <w:rPr>
                <w:color w:val="231F20"/>
                <w:sz w:val="20"/>
              </w:rPr>
              <w:t>(224)</w:t>
            </w:r>
          </w:p>
        </w:tc>
      </w:tr>
      <w:tr>
        <w:trPr>
          <w:trHeight w:val="230" w:hRule="exact"/>
        </w:trPr>
        <w:tc>
          <w:tcPr>
            <w:tcW w:w="6735" w:type="dxa"/>
          </w:tcPr>
          <w:p>
            <w:pPr>
              <w:pStyle w:val="TableParagraph"/>
              <w:spacing w:line="224" w:lineRule="exact"/>
              <w:ind w:left="50"/>
              <w:jc w:val="left"/>
              <w:rPr>
                <w:sz w:val="20"/>
              </w:rPr>
            </w:pPr>
            <w:r>
              <w:rPr>
                <w:color w:val="231F20"/>
                <w:sz w:val="20"/>
              </w:rPr>
              <w:t>Treasury stock, at cost: 77,292,145 and 35,050,991 shares in 2012 and 2011</w:t>
            </w:r>
          </w:p>
        </w:tc>
        <w:tc>
          <w:tcPr>
            <w:tcW w:w="1208" w:type="dxa"/>
          </w:tcPr>
          <w:p>
            <w:pPr/>
          </w:p>
        </w:tc>
        <w:tc>
          <w:tcPr>
            <w:tcW w:w="1183" w:type="dxa"/>
          </w:tcPr>
          <w:p>
            <w:pPr/>
          </w:p>
        </w:tc>
      </w:tr>
      <w:tr>
        <w:trPr>
          <w:trHeight w:val="256" w:hRule="exact"/>
        </w:trPr>
        <w:tc>
          <w:tcPr>
            <w:tcW w:w="6735" w:type="dxa"/>
          </w:tcPr>
          <w:p>
            <w:pPr>
              <w:pStyle w:val="TableParagraph"/>
              <w:spacing w:line="224" w:lineRule="exact"/>
              <w:ind w:right="74"/>
              <w:rPr>
                <w:sz w:val="20"/>
              </w:rPr>
            </w:pPr>
            <w:r>
              <w:rPr>
                <w:color w:val="231F20"/>
                <w:sz w:val="20"/>
              </w:rPr>
              <w:t>respectively   . . . . . . . . . . . . . . . . . . . . . . . . . . . . . . . . . . . . . . . . . . . . . . . . . . . . . . </w:t>
            </w:r>
          </w:p>
        </w:tc>
        <w:tc>
          <w:tcPr>
            <w:tcW w:w="1208" w:type="dxa"/>
            <w:tcBorders>
              <w:bottom w:val="single" w:sz="4" w:space="0" w:color="231F20"/>
            </w:tcBorders>
          </w:tcPr>
          <w:p>
            <w:pPr>
              <w:pStyle w:val="TableParagraph"/>
              <w:spacing w:line="224" w:lineRule="exact"/>
              <w:ind w:right="74"/>
              <w:rPr>
                <w:sz w:val="20"/>
              </w:rPr>
            </w:pPr>
            <w:r>
              <w:rPr>
                <w:color w:val="231F20"/>
                <w:sz w:val="20"/>
              </w:rPr>
              <w:t>(675)</w:t>
            </w:r>
          </w:p>
        </w:tc>
        <w:tc>
          <w:tcPr>
            <w:tcW w:w="1183" w:type="dxa"/>
            <w:tcBorders>
              <w:bottom w:val="single" w:sz="4" w:space="0" w:color="231F20"/>
            </w:tcBorders>
          </w:tcPr>
          <w:p>
            <w:pPr>
              <w:pStyle w:val="TableParagraph"/>
              <w:spacing w:line="224" w:lineRule="exact"/>
              <w:ind w:right="48"/>
              <w:rPr>
                <w:sz w:val="20"/>
              </w:rPr>
            </w:pPr>
            <w:r>
              <w:rPr>
                <w:color w:val="231F20"/>
                <w:sz w:val="20"/>
              </w:rPr>
              <w:t>(324)</w:t>
            </w:r>
          </w:p>
        </w:tc>
      </w:tr>
      <w:tr>
        <w:trPr>
          <w:trHeight w:val="310" w:hRule="exact"/>
        </w:trPr>
        <w:tc>
          <w:tcPr>
            <w:tcW w:w="6735" w:type="dxa"/>
          </w:tcPr>
          <w:p>
            <w:pPr>
              <w:pStyle w:val="TableParagraph"/>
              <w:spacing w:before="48"/>
              <w:ind w:right="74"/>
              <w:rPr>
                <w:sz w:val="20"/>
              </w:rPr>
            </w:pPr>
            <w:r>
              <w:rPr>
                <w:color w:val="231F20"/>
                <w:sz w:val="20"/>
              </w:rPr>
              <w:t>Total stockholders’ equity  . . . . . . . . . . . . . . . . . . . . . . . . . . . . . . . . . . . . . . . . . . . </w:t>
            </w:r>
          </w:p>
        </w:tc>
        <w:tc>
          <w:tcPr>
            <w:tcW w:w="1208" w:type="dxa"/>
            <w:tcBorders>
              <w:top w:val="single" w:sz="4" w:space="0" w:color="231F20"/>
              <w:bottom w:val="single" w:sz="4" w:space="0" w:color="231F20"/>
            </w:tcBorders>
          </w:tcPr>
          <w:p>
            <w:pPr>
              <w:pStyle w:val="TableParagraph"/>
              <w:spacing w:before="43"/>
              <w:ind w:right="141"/>
              <w:rPr>
                <w:sz w:val="20"/>
              </w:rPr>
            </w:pPr>
            <w:r>
              <w:rPr>
                <w:color w:val="231F20"/>
                <w:sz w:val="20"/>
              </w:rPr>
              <w:t>6,992</w:t>
            </w:r>
          </w:p>
        </w:tc>
        <w:tc>
          <w:tcPr>
            <w:tcW w:w="1183" w:type="dxa"/>
            <w:tcBorders>
              <w:top w:val="single" w:sz="4" w:space="0" w:color="231F20"/>
              <w:bottom w:val="single" w:sz="4" w:space="0" w:color="231F20"/>
            </w:tcBorders>
          </w:tcPr>
          <w:p>
            <w:pPr>
              <w:pStyle w:val="TableParagraph"/>
              <w:spacing w:before="43"/>
              <w:ind w:right="114"/>
              <w:rPr>
                <w:sz w:val="20"/>
              </w:rPr>
            </w:pPr>
            <w:r>
              <w:rPr>
                <w:color w:val="231F20"/>
                <w:sz w:val="20"/>
              </w:rPr>
              <w:t>6,877</w:t>
            </w:r>
          </w:p>
        </w:tc>
      </w:tr>
      <w:tr>
        <w:trPr>
          <w:trHeight w:val="350" w:hRule="exact"/>
        </w:trPr>
        <w:tc>
          <w:tcPr>
            <w:tcW w:w="6735" w:type="dxa"/>
          </w:tcPr>
          <w:p>
            <w:pPr/>
          </w:p>
        </w:tc>
        <w:tc>
          <w:tcPr>
            <w:tcW w:w="1208" w:type="dxa"/>
            <w:tcBorders>
              <w:top w:val="single" w:sz="4" w:space="0" w:color="231F20"/>
              <w:bottom w:val="single" w:sz="4" w:space="0" w:color="231F20"/>
            </w:tcBorders>
          </w:tcPr>
          <w:p>
            <w:pPr>
              <w:pStyle w:val="TableParagraph"/>
              <w:tabs>
                <w:tab w:pos="514" w:val="left" w:leader="none"/>
              </w:tabs>
              <w:spacing w:before="43"/>
              <w:ind w:left="74"/>
              <w:jc w:val="left"/>
              <w:rPr>
                <w:sz w:val="20"/>
              </w:rPr>
            </w:pPr>
            <w:r>
              <w:rPr>
                <w:color w:val="231F20"/>
                <w:sz w:val="20"/>
              </w:rPr>
              <w:t>$</w:t>
              <w:tab/>
              <w:t>18,596</w:t>
            </w:r>
          </w:p>
        </w:tc>
        <w:tc>
          <w:tcPr>
            <w:tcW w:w="1183" w:type="dxa"/>
            <w:tcBorders>
              <w:top w:val="single" w:sz="4" w:space="0" w:color="231F20"/>
              <w:bottom w:val="single" w:sz="4" w:space="0" w:color="231F20"/>
            </w:tcBorders>
          </w:tcPr>
          <w:p>
            <w:pPr>
              <w:pStyle w:val="TableParagraph"/>
              <w:tabs>
                <w:tab w:pos="439" w:val="left" w:leader="none"/>
              </w:tabs>
              <w:spacing w:before="43"/>
              <w:ind w:right="114"/>
              <w:rPr>
                <w:sz w:val="20"/>
              </w:rPr>
            </w:pPr>
            <w:r>
              <w:rPr>
                <w:color w:val="231F20"/>
                <w:sz w:val="20"/>
              </w:rPr>
              <w:t>$</w:t>
              <w:tab/>
            </w:r>
            <w:r>
              <w:rPr>
                <w:color w:val="231F20"/>
                <w:spacing w:val="-1"/>
                <w:sz w:val="20"/>
              </w:rPr>
              <w:t>18,068</w:t>
            </w:r>
          </w:p>
        </w:tc>
      </w:tr>
    </w:tbl>
    <w:p>
      <w:pPr>
        <w:spacing w:after="0"/>
        <w:rPr>
          <w:sz w:val="20"/>
        </w:rPr>
        <w:sectPr>
          <w:footerReference w:type="default" r:id="rId21"/>
          <w:pgSz w:w="11880" w:h="15480"/>
          <w:pgMar w:footer="1718" w:header="0" w:top="1320" w:bottom="1900" w:left="1220" w:right="1220"/>
          <w:pgNumType w:start="75"/>
        </w:sectPr>
      </w:pPr>
    </w:p>
    <w:p>
      <w:pPr>
        <w:pStyle w:val="Heading3"/>
        <w:spacing w:before="73"/>
        <w:ind w:left="2625" w:right="2643"/>
        <w:jc w:val="center"/>
      </w:pPr>
      <w:r>
        <w:rPr/>
        <w:pict>
          <v:line style="position:absolute;mso-position-horizontal-relative:page;mso-position-vertical-relative:page;z-index:-354928" from="331.5pt,488.299988pt" to="384pt,488.299988pt" stroked="true" strokeweight=".5pt" strokecolor="#231f20">
            <v:stroke dashstyle="solid"/>
            <w10:wrap type="none"/>
          </v:line>
        </w:pict>
      </w:r>
      <w:r>
        <w:rPr/>
        <w:pict>
          <v:line style="position:absolute;mso-position-horizontal-relative:page;mso-position-vertical-relative:page;z-index:-354904" from="402pt,488.299988pt" to="454.5pt,488.299988pt" stroked="true" strokeweight=".5pt" strokecolor="#231f20">
            <v:stroke dashstyle="solid"/>
            <w10:wrap type="none"/>
          </v:line>
        </w:pict>
      </w:r>
      <w:r>
        <w:rPr/>
        <w:pict>
          <v:line style="position:absolute;mso-position-horizontal-relative:page;mso-position-vertical-relative:page;z-index:-354880" from="472.5pt,488.299988pt" to="525pt,488.299988pt" stroked="true" strokeweight=".5pt" strokecolor="#231f20">
            <v:stroke dashstyle="solid"/>
            <w10:wrap type="none"/>
          </v:line>
        </w:pict>
      </w:r>
      <w:r>
        <w:rPr/>
        <w:pict>
          <v:line style="position:absolute;mso-position-horizontal-relative:page;mso-position-vertical-relative:page;z-index:-354856" from="331.5pt,506.299988pt" to="384pt,506.299988pt" stroked="true" strokeweight=".5pt" strokecolor="#231f20">
            <v:stroke dashstyle="solid"/>
            <w10:wrap type="none"/>
          </v:line>
        </w:pict>
      </w:r>
      <w:r>
        <w:rPr/>
        <w:pict>
          <v:line style="position:absolute;mso-position-horizontal-relative:page;mso-position-vertical-relative:page;z-index:-354832" from="402pt,506.299988pt" to="454.5pt,506.299988pt" stroked="true" strokeweight=".5pt" strokecolor="#231f20">
            <v:stroke dashstyle="solid"/>
            <w10:wrap type="none"/>
          </v:line>
        </w:pict>
      </w:r>
      <w:r>
        <w:rPr/>
        <w:pict>
          <v:line style="position:absolute;mso-position-horizontal-relative:page;mso-position-vertical-relative:page;z-index:-354808" from="472.5pt,506.299988pt" to="525pt,506.299988pt" stroked="true" strokeweight=".5pt" strokecolor="#231f20">
            <v:stroke dashstyle="solid"/>
            <w10:wrap type="none"/>
          </v:line>
        </w:pict>
      </w:r>
      <w:r>
        <w:rPr/>
        <w:pict>
          <v:line style="position:absolute;mso-position-horizontal-relative:page;mso-position-vertical-relative:page;z-index:-354784" from="331.5pt,524.299988pt" to="384pt,524.299988pt" stroked="true" strokeweight=".5pt" strokecolor="#231f20">
            <v:stroke dashstyle="solid"/>
            <w10:wrap type="none"/>
          </v:line>
        </w:pict>
      </w:r>
      <w:r>
        <w:rPr/>
        <w:pict>
          <v:line style="position:absolute;mso-position-horizontal-relative:page;mso-position-vertical-relative:page;z-index:-354760" from="402pt,524.299988pt" to="454.5pt,524.299988pt" stroked="true" strokeweight=".5pt" strokecolor="#231f20">
            <v:stroke dashstyle="solid"/>
            <w10:wrap type="none"/>
          </v:line>
        </w:pict>
      </w:r>
      <w:r>
        <w:rPr/>
        <w:pict>
          <v:line style="position:absolute;mso-position-horizontal-relative:page;mso-position-vertical-relative:page;z-index:-354736" from="472.5pt,524.299988pt" to="525pt,524.299988pt" stroked="true" strokeweight=".5pt" strokecolor="#231f20">
            <v:stroke dashstyle="solid"/>
            <w10:wrap type="none"/>
          </v:line>
        </w:pict>
      </w:r>
      <w:bookmarkStart w:name="Southwest Airlines Co. Consolidated Stat" w:id="26"/>
      <w:bookmarkEnd w:id="26"/>
      <w:r>
        <w:rPr>
          <w:b w:val="0"/>
        </w:rPr>
      </w:r>
      <w:r>
        <w:rPr>
          <w:color w:val="231F20"/>
        </w:rPr>
        <w:t>SOUTHWEST AIRLINES CO.</w:t>
      </w:r>
    </w:p>
    <w:p>
      <w:pPr>
        <w:spacing w:before="129"/>
        <w:ind w:left="2625" w:right="2643" w:firstLine="0"/>
        <w:jc w:val="center"/>
        <w:rPr>
          <w:b/>
          <w:sz w:val="20"/>
        </w:rPr>
      </w:pPr>
      <w:r>
        <w:rPr>
          <w:b/>
          <w:color w:val="231F20"/>
          <w:sz w:val="20"/>
        </w:rPr>
        <w:t>CONSOLIDATED STATEMENT OF INCOME</w:t>
      </w:r>
    </w:p>
    <w:p>
      <w:pPr>
        <w:pStyle w:val="BodyText"/>
        <w:spacing w:before="9"/>
        <w:ind w:left="2623" w:right="2643"/>
        <w:jc w:val="center"/>
      </w:pPr>
      <w:r>
        <w:rPr>
          <w:color w:val="231F20"/>
        </w:rPr>
        <w:t>(in millions, except per share amounts)</w:t>
      </w:r>
    </w:p>
    <w:p>
      <w:pPr>
        <w:pStyle w:val="Heading3"/>
        <w:spacing w:before="154" w:after="26"/>
        <w:ind w:left="5937"/>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5"/>
        <w:gridCol w:w="1125"/>
        <w:gridCol w:w="360"/>
        <w:gridCol w:w="1050"/>
        <w:gridCol w:w="360"/>
        <w:gridCol w:w="1050"/>
        <w:gridCol w:w="76"/>
      </w:tblGrid>
      <w:tr>
        <w:trPr>
          <w:trHeight w:val="280" w:hRule="exact"/>
        </w:trPr>
        <w:tc>
          <w:tcPr>
            <w:tcW w:w="5225" w:type="dxa"/>
          </w:tcPr>
          <w:p>
            <w:pPr/>
          </w:p>
        </w:tc>
        <w:tc>
          <w:tcPr>
            <w:tcW w:w="1125" w:type="dxa"/>
            <w:tcBorders>
              <w:top w:val="single" w:sz="8" w:space="0" w:color="231F20"/>
              <w:bottom w:val="single" w:sz="8" w:space="0" w:color="231F20"/>
            </w:tcBorders>
          </w:tcPr>
          <w:p>
            <w:pPr>
              <w:pStyle w:val="TableParagraph"/>
              <w:spacing w:before="13"/>
              <w:ind w:left="399"/>
              <w:jc w:val="left"/>
              <w:rPr>
                <w:b/>
                <w:sz w:val="20"/>
              </w:rPr>
            </w:pPr>
            <w:r>
              <w:rPr>
                <w:b/>
                <w:color w:val="231F20"/>
                <w:sz w:val="20"/>
              </w:rPr>
              <w:t>2012</w:t>
            </w:r>
          </w:p>
        </w:tc>
        <w:tc>
          <w:tcPr>
            <w:tcW w:w="36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2011</w:t>
            </w:r>
          </w:p>
        </w:tc>
        <w:tc>
          <w:tcPr>
            <w:tcW w:w="36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2010</w:t>
            </w:r>
          </w:p>
        </w:tc>
        <w:tc>
          <w:tcPr>
            <w:tcW w:w="76" w:type="dxa"/>
            <w:vMerge w:val="restart"/>
          </w:tcPr>
          <w:p>
            <w:pPr/>
          </w:p>
        </w:tc>
      </w:tr>
      <w:tr>
        <w:trPr>
          <w:trHeight w:val="305" w:hRule="exact"/>
        </w:trPr>
        <w:tc>
          <w:tcPr>
            <w:tcW w:w="5225" w:type="dxa"/>
          </w:tcPr>
          <w:p>
            <w:pPr>
              <w:pStyle w:val="TableParagraph"/>
              <w:spacing w:before="63"/>
              <w:ind w:left="50"/>
              <w:jc w:val="left"/>
              <w:rPr>
                <w:b/>
                <w:sz w:val="20"/>
              </w:rPr>
            </w:pPr>
            <w:r>
              <w:rPr>
                <w:b/>
                <w:color w:val="231F20"/>
                <w:sz w:val="20"/>
              </w:rPr>
              <w:t>OPERATING REVENUES:</w:t>
            </w:r>
          </w:p>
        </w:tc>
        <w:tc>
          <w:tcPr>
            <w:tcW w:w="1125" w:type="dxa"/>
            <w:tcBorders>
              <w:top w:val="single" w:sz="8" w:space="0" w:color="231F20"/>
            </w:tcBorders>
          </w:tcPr>
          <w:p>
            <w:pPr/>
          </w:p>
        </w:tc>
        <w:tc>
          <w:tcPr>
            <w:tcW w:w="360" w:type="dxa"/>
          </w:tcPr>
          <w:p>
            <w:pPr/>
          </w:p>
        </w:tc>
        <w:tc>
          <w:tcPr>
            <w:tcW w:w="1050" w:type="dxa"/>
            <w:tcBorders>
              <w:top w:val="single" w:sz="8" w:space="0" w:color="231F20"/>
            </w:tcBorders>
          </w:tcPr>
          <w:p>
            <w:pPr/>
          </w:p>
        </w:tc>
        <w:tc>
          <w:tcPr>
            <w:tcW w:w="360" w:type="dxa"/>
          </w:tcPr>
          <w:p>
            <w:pPr/>
          </w:p>
        </w:tc>
        <w:tc>
          <w:tcPr>
            <w:tcW w:w="1050" w:type="dxa"/>
            <w:tcBorders>
              <w:top w:val="single" w:sz="8" w:space="0" w:color="231F20"/>
            </w:tcBorders>
          </w:tcPr>
          <w:p>
            <w:pPr/>
          </w:p>
        </w:tc>
        <w:tc>
          <w:tcPr>
            <w:tcW w:w="76" w:type="dxa"/>
            <w:vMerge/>
          </w:tcPr>
          <w:p>
            <w:pPr/>
          </w:p>
        </w:tc>
      </w:tr>
      <w:tr>
        <w:trPr>
          <w:trHeight w:val="239" w:hRule="exact"/>
        </w:trPr>
        <w:tc>
          <w:tcPr>
            <w:tcW w:w="5225" w:type="dxa"/>
          </w:tcPr>
          <w:p>
            <w:pPr>
              <w:pStyle w:val="TableParagraph"/>
              <w:spacing w:line="229" w:lineRule="exact"/>
              <w:ind w:right="73"/>
              <w:rPr>
                <w:sz w:val="20"/>
              </w:rPr>
            </w:pPr>
            <w:r>
              <w:rPr>
                <w:color w:val="231F20"/>
                <w:sz w:val="20"/>
              </w:rPr>
              <w:t>Passenger  . . . . . . . . . . . . . . . . . . . . . . . . . . . . . . . . . . . . . . . . </w:t>
            </w:r>
          </w:p>
        </w:tc>
        <w:tc>
          <w:tcPr>
            <w:tcW w:w="1125"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16,093</w:t>
            </w:r>
          </w:p>
        </w:tc>
        <w:tc>
          <w:tcPr>
            <w:tcW w:w="360" w:type="dxa"/>
          </w:tcPr>
          <w:p>
            <w:pPr/>
          </w:p>
        </w:tc>
        <w:tc>
          <w:tcPr>
            <w:tcW w:w="1050"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14,754</w:t>
            </w:r>
          </w:p>
        </w:tc>
        <w:tc>
          <w:tcPr>
            <w:tcW w:w="360" w:type="dxa"/>
          </w:tcPr>
          <w:p>
            <w:pPr/>
          </w:p>
        </w:tc>
        <w:tc>
          <w:tcPr>
            <w:tcW w:w="1050"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11,489</w:t>
            </w:r>
          </w:p>
        </w:tc>
        <w:tc>
          <w:tcPr>
            <w:tcW w:w="76" w:type="dxa"/>
            <w:vMerge/>
          </w:tcPr>
          <w:p>
            <w:pPr/>
          </w:p>
        </w:tc>
      </w:tr>
      <w:tr>
        <w:trPr>
          <w:trHeight w:val="240" w:hRule="exact"/>
        </w:trPr>
        <w:tc>
          <w:tcPr>
            <w:tcW w:w="5225" w:type="dxa"/>
          </w:tcPr>
          <w:p>
            <w:pPr>
              <w:pStyle w:val="TableParagraph"/>
              <w:spacing w:line="229" w:lineRule="exact"/>
              <w:ind w:right="74"/>
              <w:rPr>
                <w:sz w:val="20"/>
              </w:rPr>
            </w:pPr>
            <w:r>
              <w:rPr>
                <w:color w:val="231F20"/>
                <w:sz w:val="20"/>
              </w:rPr>
              <w:t>Freight  . . . . . . . . . . . . . . . . . . . . . . . . . . . . . . . . . . . . . . . . . . </w:t>
            </w:r>
          </w:p>
        </w:tc>
        <w:tc>
          <w:tcPr>
            <w:tcW w:w="1125" w:type="dxa"/>
          </w:tcPr>
          <w:p>
            <w:pPr>
              <w:pStyle w:val="TableParagraph"/>
              <w:spacing w:line="229" w:lineRule="exact"/>
              <w:ind w:right="39"/>
              <w:rPr>
                <w:sz w:val="20"/>
              </w:rPr>
            </w:pPr>
            <w:r>
              <w:rPr>
                <w:color w:val="231F20"/>
                <w:sz w:val="20"/>
              </w:rPr>
              <w:t>160</w:t>
            </w:r>
          </w:p>
        </w:tc>
        <w:tc>
          <w:tcPr>
            <w:tcW w:w="360" w:type="dxa"/>
          </w:tcPr>
          <w:p>
            <w:pPr/>
          </w:p>
        </w:tc>
        <w:tc>
          <w:tcPr>
            <w:tcW w:w="1050" w:type="dxa"/>
          </w:tcPr>
          <w:p>
            <w:pPr>
              <w:pStyle w:val="TableParagraph"/>
              <w:spacing w:line="229" w:lineRule="exact"/>
              <w:ind w:right="39"/>
              <w:rPr>
                <w:sz w:val="20"/>
              </w:rPr>
            </w:pPr>
            <w:r>
              <w:rPr>
                <w:color w:val="231F20"/>
                <w:sz w:val="20"/>
              </w:rPr>
              <w:t>139</w:t>
            </w:r>
          </w:p>
        </w:tc>
        <w:tc>
          <w:tcPr>
            <w:tcW w:w="360" w:type="dxa"/>
          </w:tcPr>
          <w:p>
            <w:pPr/>
          </w:p>
        </w:tc>
        <w:tc>
          <w:tcPr>
            <w:tcW w:w="1050" w:type="dxa"/>
          </w:tcPr>
          <w:p>
            <w:pPr>
              <w:pStyle w:val="TableParagraph"/>
              <w:spacing w:line="229" w:lineRule="exact"/>
              <w:ind w:right="39"/>
              <w:rPr>
                <w:sz w:val="20"/>
              </w:rPr>
            </w:pPr>
            <w:r>
              <w:rPr>
                <w:color w:val="231F20"/>
                <w:sz w:val="20"/>
              </w:rPr>
              <w:t>125</w:t>
            </w:r>
          </w:p>
        </w:tc>
        <w:tc>
          <w:tcPr>
            <w:tcW w:w="76" w:type="dxa"/>
            <w:vMerge/>
          </w:tcPr>
          <w:p>
            <w:pPr/>
          </w:p>
        </w:tc>
      </w:tr>
      <w:tr>
        <w:trPr>
          <w:trHeight w:val="261" w:hRule="exact"/>
        </w:trPr>
        <w:tc>
          <w:tcPr>
            <w:tcW w:w="5225" w:type="dxa"/>
          </w:tcPr>
          <w:p>
            <w:pPr>
              <w:pStyle w:val="TableParagraph"/>
              <w:spacing w:line="229" w:lineRule="exact"/>
              <w:ind w:right="74"/>
              <w:rPr>
                <w:sz w:val="20"/>
              </w:rPr>
            </w:pPr>
            <w:r>
              <w:rPr>
                <w:color w:val="231F20"/>
                <w:sz w:val="20"/>
              </w:rPr>
              <w:t>Other   . . . . . . . . . . . . . . . . . . . . . . . . . . . . . . . . . . . . . . . . . . . </w:t>
            </w:r>
          </w:p>
        </w:tc>
        <w:tc>
          <w:tcPr>
            <w:tcW w:w="1125" w:type="dxa"/>
            <w:tcBorders>
              <w:bottom w:val="single" w:sz="4" w:space="0" w:color="231F20"/>
            </w:tcBorders>
          </w:tcPr>
          <w:p>
            <w:pPr>
              <w:pStyle w:val="TableParagraph"/>
              <w:spacing w:line="229" w:lineRule="exact"/>
              <w:ind w:right="39"/>
              <w:rPr>
                <w:sz w:val="20"/>
              </w:rPr>
            </w:pPr>
            <w:r>
              <w:rPr>
                <w:color w:val="231F20"/>
                <w:sz w:val="20"/>
              </w:rPr>
              <w:t>835</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765</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490</w:t>
            </w:r>
          </w:p>
        </w:tc>
        <w:tc>
          <w:tcPr>
            <w:tcW w:w="76" w:type="dxa"/>
            <w:vMerge/>
          </w:tcPr>
          <w:p>
            <w:pPr/>
          </w:p>
        </w:tc>
      </w:tr>
      <w:tr>
        <w:trPr>
          <w:trHeight w:val="288" w:hRule="exact"/>
        </w:trPr>
        <w:tc>
          <w:tcPr>
            <w:tcW w:w="5225" w:type="dxa"/>
          </w:tcPr>
          <w:p>
            <w:pPr>
              <w:pStyle w:val="TableParagraph"/>
              <w:spacing w:before="58"/>
              <w:ind w:right="73"/>
              <w:rPr>
                <w:sz w:val="20"/>
              </w:rPr>
            </w:pPr>
            <w:r>
              <w:rPr>
                <w:color w:val="231F20"/>
                <w:sz w:val="20"/>
              </w:rPr>
              <w:t>Total operating revenues  . . . . . . . . . . . . . . . . . . . . . . . . . . </w:t>
            </w:r>
          </w:p>
        </w:tc>
        <w:tc>
          <w:tcPr>
            <w:tcW w:w="1125" w:type="dxa"/>
            <w:tcBorders>
              <w:top w:val="single" w:sz="4" w:space="0" w:color="231F20"/>
            </w:tcBorders>
          </w:tcPr>
          <w:p>
            <w:pPr>
              <w:pStyle w:val="TableParagraph"/>
              <w:spacing w:before="53"/>
              <w:ind w:right="39"/>
              <w:rPr>
                <w:sz w:val="20"/>
              </w:rPr>
            </w:pPr>
            <w:r>
              <w:rPr>
                <w:color w:val="231F20"/>
                <w:sz w:val="20"/>
              </w:rPr>
              <w:t>17,088</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15,658</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12,104</w:t>
            </w:r>
          </w:p>
        </w:tc>
        <w:tc>
          <w:tcPr>
            <w:tcW w:w="76" w:type="dxa"/>
            <w:vMerge/>
          </w:tcPr>
          <w:p>
            <w:pPr/>
          </w:p>
        </w:tc>
      </w:tr>
      <w:tr>
        <w:trPr>
          <w:trHeight w:val="365" w:hRule="exact"/>
        </w:trPr>
        <w:tc>
          <w:tcPr>
            <w:tcW w:w="5225" w:type="dxa"/>
          </w:tcPr>
          <w:p>
            <w:pPr>
              <w:pStyle w:val="TableParagraph"/>
              <w:spacing w:before="133"/>
              <w:ind w:left="50"/>
              <w:jc w:val="left"/>
              <w:rPr>
                <w:b/>
                <w:sz w:val="20"/>
              </w:rPr>
            </w:pPr>
            <w:r>
              <w:rPr>
                <w:b/>
                <w:color w:val="231F20"/>
                <w:sz w:val="20"/>
              </w:rPr>
              <w:t>OPERATING EXPENSES:</w:t>
            </w:r>
          </w:p>
        </w:tc>
        <w:tc>
          <w:tcPr>
            <w:tcW w:w="1125" w:type="dxa"/>
          </w:tcPr>
          <w:p>
            <w:pPr/>
          </w:p>
        </w:tc>
        <w:tc>
          <w:tcPr>
            <w:tcW w:w="360" w:type="dxa"/>
          </w:tcPr>
          <w:p>
            <w:pPr/>
          </w:p>
        </w:tc>
        <w:tc>
          <w:tcPr>
            <w:tcW w:w="1050" w:type="dxa"/>
          </w:tcPr>
          <w:p>
            <w:pPr/>
          </w:p>
        </w:tc>
        <w:tc>
          <w:tcPr>
            <w:tcW w:w="360" w:type="dxa"/>
          </w:tcPr>
          <w:p>
            <w:pPr/>
          </w:p>
        </w:tc>
        <w:tc>
          <w:tcPr>
            <w:tcW w:w="1050" w:type="dxa"/>
          </w:tcPr>
          <w:p>
            <w:pPr/>
          </w:p>
        </w:tc>
        <w:tc>
          <w:tcPr>
            <w:tcW w:w="76" w:type="dxa"/>
            <w:vMerge/>
          </w:tcPr>
          <w:p>
            <w:pPr/>
          </w:p>
        </w:tc>
      </w:tr>
      <w:tr>
        <w:trPr>
          <w:trHeight w:val="249" w:hRule="exact"/>
        </w:trPr>
        <w:tc>
          <w:tcPr>
            <w:tcW w:w="5225" w:type="dxa"/>
          </w:tcPr>
          <w:p>
            <w:pPr>
              <w:pStyle w:val="TableParagraph"/>
              <w:spacing w:line="219" w:lineRule="exact"/>
              <w:ind w:right="73"/>
              <w:rPr>
                <w:sz w:val="20"/>
              </w:rPr>
            </w:pPr>
            <w:r>
              <w:rPr>
                <w:color w:val="231F20"/>
                <w:sz w:val="20"/>
              </w:rPr>
              <w:t>Salaries, wages, and benefits  . . . . . . . . . . . . . . . . . . . . . . . . . </w:t>
            </w:r>
          </w:p>
        </w:tc>
        <w:tc>
          <w:tcPr>
            <w:tcW w:w="1125" w:type="dxa"/>
          </w:tcPr>
          <w:p>
            <w:pPr>
              <w:pStyle w:val="TableParagraph"/>
              <w:spacing w:line="219" w:lineRule="exact"/>
              <w:ind w:right="39"/>
              <w:rPr>
                <w:sz w:val="20"/>
              </w:rPr>
            </w:pPr>
            <w:r>
              <w:rPr>
                <w:color w:val="231F20"/>
                <w:sz w:val="20"/>
              </w:rPr>
              <w:t>4,749</w:t>
            </w:r>
          </w:p>
        </w:tc>
        <w:tc>
          <w:tcPr>
            <w:tcW w:w="360" w:type="dxa"/>
          </w:tcPr>
          <w:p>
            <w:pPr/>
          </w:p>
        </w:tc>
        <w:tc>
          <w:tcPr>
            <w:tcW w:w="1050" w:type="dxa"/>
          </w:tcPr>
          <w:p>
            <w:pPr>
              <w:pStyle w:val="TableParagraph"/>
              <w:spacing w:line="219" w:lineRule="exact"/>
              <w:ind w:right="39"/>
              <w:rPr>
                <w:sz w:val="20"/>
              </w:rPr>
            </w:pPr>
            <w:r>
              <w:rPr>
                <w:color w:val="231F20"/>
                <w:sz w:val="20"/>
              </w:rPr>
              <w:t>4,371</w:t>
            </w:r>
          </w:p>
        </w:tc>
        <w:tc>
          <w:tcPr>
            <w:tcW w:w="360" w:type="dxa"/>
          </w:tcPr>
          <w:p>
            <w:pPr/>
          </w:p>
        </w:tc>
        <w:tc>
          <w:tcPr>
            <w:tcW w:w="1126" w:type="dxa"/>
            <w:gridSpan w:val="2"/>
          </w:tcPr>
          <w:p>
            <w:pPr>
              <w:pStyle w:val="TableParagraph"/>
              <w:spacing w:line="219" w:lineRule="exact"/>
              <w:ind w:left="560"/>
              <w:jc w:val="left"/>
              <w:rPr>
                <w:sz w:val="20"/>
              </w:rPr>
            </w:pPr>
            <w:r>
              <w:rPr>
                <w:color w:val="231F20"/>
                <w:sz w:val="20"/>
              </w:rPr>
              <w:t>3,704</w:t>
            </w:r>
          </w:p>
        </w:tc>
      </w:tr>
      <w:tr>
        <w:trPr>
          <w:trHeight w:val="240" w:hRule="exact"/>
        </w:trPr>
        <w:tc>
          <w:tcPr>
            <w:tcW w:w="5225" w:type="dxa"/>
          </w:tcPr>
          <w:p>
            <w:pPr>
              <w:pStyle w:val="TableParagraph"/>
              <w:spacing w:line="229" w:lineRule="exact"/>
              <w:ind w:right="73"/>
              <w:rPr>
                <w:sz w:val="20"/>
              </w:rPr>
            </w:pPr>
            <w:r>
              <w:rPr>
                <w:color w:val="231F20"/>
                <w:sz w:val="20"/>
              </w:rPr>
              <w:t>Fuel and oil   . . . . . . . . . . . . . . . . . . . . . . . . . . . . . . . . . . . . . . </w:t>
            </w:r>
          </w:p>
        </w:tc>
        <w:tc>
          <w:tcPr>
            <w:tcW w:w="1125" w:type="dxa"/>
          </w:tcPr>
          <w:p>
            <w:pPr>
              <w:pStyle w:val="TableParagraph"/>
              <w:spacing w:line="229" w:lineRule="exact"/>
              <w:ind w:right="39"/>
              <w:rPr>
                <w:sz w:val="20"/>
              </w:rPr>
            </w:pPr>
            <w:r>
              <w:rPr>
                <w:color w:val="231F20"/>
                <w:sz w:val="20"/>
              </w:rPr>
              <w:t>6,120</w:t>
            </w:r>
          </w:p>
        </w:tc>
        <w:tc>
          <w:tcPr>
            <w:tcW w:w="360" w:type="dxa"/>
          </w:tcPr>
          <w:p>
            <w:pPr/>
          </w:p>
        </w:tc>
        <w:tc>
          <w:tcPr>
            <w:tcW w:w="1050" w:type="dxa"/>
          </w:tcPr>
          <w:p>
            <w:pPr>
              <w:pStyle w:val="TableParagraph"/>
              <w:spacing w:line="229" w:lineRule="exact"/>
              <w:ind w:right="39"/>
              <w:rPr>
                <w:sz w:val="20"/>
              </w:rPr>
            </w:pPr>
            <w:r>
              <w:rPr>
                <w:color w:val="231F20"/>
                <w:sz w:val="20"/>
              </w:rPr>
              <w:t>5,644</w:t>
            </w:r>
          </w:p>
        </w:tc>
        <w:tc>
          <w:tcPr>
            <w:tcW w:w="360" w:type="dxa"/>
          </w:tcPr>
          <w:p>
            <w:pPr/>
          </w:p>
        </w:tc>
        <w:tc>
          <w:tcPr>
            <w:tcW w:w="1126" w:type="dxa"/>
            <w:gridSpan w:val="2"/>
          </w:tcPr>
          <w:p>
            <w:pPr>
              <w:pStyle w:val="TableParagraph"/>
              <w:spacing w:line="229" w:lineRule="exact"/>
              <w:ind w:left="560"/>
              <w:jc w:val="left"/>
              <w:rPr>
                <w:sz w:val="20"/>
              </w:rPr>
            </w:pPr>
            <w:r>
              <w:rPr>
                <w:color w:val="231F20"/>
                <w:sz w:val="20"/>
              </w:rPr>
              <w:t>3,620</w:t>
            </w:r>
          </w:p>
        </w:tc>
      </w:tr>
      <w:tr>
        <w:trPr>
          <w:trHeight w:val="240" w:hRule="exact"/>
        </w:trPr>
        <w:tc>
          <w:tcPr>
            <w:tcW w:w="5225" w:type="dxa"/>
          </w:tcPr>
          <w:p>
            <w:pPr>
              <w:pStyle w:val="TableParagraph"/>
              <w:spacing w:line="229" w:lineRule="exact"/>
              <w:ind w:right="73"/>
              <w:rPr>
                <w:sz w:val="20"/>
              </w:rPr>
            </w:pPr>
            <w:r>
              <w:rPr>
                <w:color w:val="231F20"/>
                <w:sz w:val="20"/>
              </w:rPr>
              <w:t>Maintenance materials and repairs   . . . . . . . . . . . . . . . . . . . . </w:t>
            </w:r>
          </w:p>
        </w:tc>
        <w:tc>
          <w:tcPr>
            <w:tcW w:w="1125" w:type="dxa"/>
          </w:tcPr>
          <w:p>
            <w:pPr>
              <w:pStyle w:val="TableParagraph"/>
              <w:spacing w:line="229" w:lineRule="exact"/>
              <w:ind w:right="39"/>
              <w:rPr>
                <w:sz w:val="20"/>
              </w:rPr>
            </w:pPr>
            <w:r>
              <w:rPr>
                <w:color w:val="231F20"/>
                <w:sz w:val="20"/>
              </w:rPr>
              <w:t>1,132</w:t>
            </w:r>
          </w:p>
        </w:tc>
        <w:tc>
          <w:tcPr>
            <w:tcW w:w="360" w:type="dxa"/>
          </w:tcPr>
          <w:p>
            <w:pPr/>
          </w:p>
        </w:tc>
        <w:tc>
          <w:tcPr>
            <w:tcW w:w="1050" w:type="dxa"/>
          </w:tcPr>
          <w:p>
            <w:pPr>
              <w:pStyle w:val="TableParagraph"/>
              <w:spacing w:line="229" w:lineRule="exact"/>
              <w:ind w:right="39"/>
              <w:rPr>
                <w:sz w:val="20"/>
              </w:rPr>
            </w:pPr>
            <w:r>
              <w:rPr>
                <w:color w:val="231F20"/>
                <w:sz w:val="20"/>
              </w:rPr>
              <w:t>955</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751</w:t>
            </w:r>
          </w:p>
        </w:tc>
      </w:tr>
      <w:tr>
        <w:trPr>
          <w:trHeight w:val="240" w:hRule="exact"/>
        </w:trPr>
        <w:tc>
          <w:tcPr>
            <w:tcW w:w="5225" w:type="dxa"/>
          </w:tcPr>
          <w:p>
            <w:pPr>
              <w:pStyle w:val="TableParagraph"/>
              <w:spacing w:line="229" w:lineRule="exact"/>
              <w:ind w:right="73"/>
              <w:rPr>
                <w:sz w:val="20"/>
              </w:rPr>
            </w:pPr>
            <w:r>
              <w:rPr>
                <w:color w:val="231F20"/>
                <w:sz w:val="20"/>
              </w:rPr>
              <w:t>Aircraft rentals  . . . . . . . . . . . . . . . . . . . . . . . . . . . . . . . . . . . . </w:t>
            </w:r>
          </w:p>
        </w:tc>
        <w:tc>
          <w:tcPr>
            <w:tcW w:w="1125" w:type="dxa"/>
          </w:tcPr>
          <w:p>
            <w:pPr>
              <w:pStyle w:val="TableParagraph"/>
              <w:spacing w:line="229" w:lineRule="exact"/>
              <w:ind w:right="39"/>
              <w:rPr>
                <w:sz w:val="20"/>
              </w:rPr>
            </w:pPr>
            <w:r>
              <w:rPr>
                <w:color w:val="231F20"/>
                <w:sz w:val="20"/>
              </w:rPr>
              <w:t>355</w:t>
            </w:r>
          </w:p>
        </w:tc>
        <w:tc>
          <w:tcPr>
            <w:tcW w:w="360" w:type="dxa"/>
          </w:tcPr>
          <w:p>
            <w:pPr/>
          </w:p>
        </w:tc>
        <w:tc>
          <w:tcPr>
            <w:tcW w:w="1050" w:type="dxa"/>
          </w:tcPr>
          <w:p>
            <w:pPr>
              <w:pStyle w:val="TableParagraph"/>
              <w:spacing w:line="229" w:lineRule="exact"/>
              <w:ind w:right="39"/>
              <w:rPr>
                <w:sz w:val="20"/>
              </w:rPr>
            </w:pPr>
            <w:r>
              <w:rPr>
                <w:color w:val="231F20"/>
                <w:sz w:val="20"/>
              </w:rPr>
              <w:t>308</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180</w:t>
            </w:r>
          </w:p>
        </w:tc>
      </w:tr>
      <w:tr>
        <w:trPr>
          <w:trHeight w:val="240" w:hRule="exact"/>
        </w:trPr>
        <w:tc>
          <w:tcPr>
            <w:tcW w:w="5225" w:type="dxa"/>
          </w:tcPr>
          <w:p>
            <w:pPr>
              <w:pStyle w:val="TableParagraph"/>
              <w:spacing w:line="229" w:lineRule="exact"/>
              <w:ind w:right="73"/>
              <w:rPr>
                <w:sz w:val="20"/>
              </w:rPr>
            </w:pPr>
            <w:r>
              <w:rPr>
                <w:color w:val="231F20"/>
                <w:sz w:val="20"/>
              </w:rPr>
              <w:t>Landing fees and other rentals  . . . . . . . . . . . . . . . . . . . . . . . . </w:t>
            </w:r>
          </w:p>
        </w:tc>
        <w:tc>
          <w:tcPr>
            <w:tcW w:w="1125" w:type="dxa"/>
          </w:tcPr>
          <w:p>
            <w:pPr>
              <w:pStyle w:val="TableParagraph"/>
              <w:spacing w:line="229" w:lineRule="exact"/>
              <w:ind w:right="39"/>
              <w:rPr>
                <w:sz w:val="20"/>
              </w:rPr>
            </w:pPr>
            <w:r>
              <w:rPr>
                <w:color w:val="231F20"/>
                <w:sz w:val="20"/>
              </w:rPr>
              <w:t>1,043</w:t>
            </w:r>
          </w:p>
        </w:tc>
        <w:tc>
          <w:tcPr>
            <w:tcW w:w="360" w:type="dxa"/>
          </w:tcPr>
          <w:p>
            <w:pPr/>
          </w:p>
        </w:tc>
        <w:tc>
          <w:tcPr>
            <w:tcW w:w="1050" w:type="dxa"/>
          </w:tcPr>
          <w:p>
            <w:pPr>
              <w:pStyle w:val="TableParagraph"/>
              <w:spacing w:line="229" w:lineRule="exact"/>
              <w:ind w:right="39"/>
              <w:rPr>
                <w:sz w:val="20"/>
              </w:rPr>
            </w:pPr>
            <w:r>
              <w:rPr>
                <w:color w:val="231F20"/>
                <w:sz w:val="20"/>
              </w:rPr>
              <w:t>959</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807</w:t>
            </w:r>
          </w:p>
        </w:tc>
      </w:tr>
      <w:tr>
        <w:trPr>
          <w:trHeight w:val="240" w:hRule="exact"/>
        </w:trPr>
        <w:tc>
          <w:tcPr>
            <w:tcW w:w="5225" w:type="dxa"/>
          </w:tcPr>
          <w:p>
            <w:pPr>
              <w:pStyle w:val="TableParagraph"/>
              <w:spacing w:line="229" w:lineRule="exact"/>
              <w:ind w:right="73"/>
              <w:rPr>
                <w:sz w:val="20"/>
              </w:rPr>
            </w:pPr>
            <w:r>
              <w:rPr>
                <w:color w:val="231F20"/>
                <w:sz w:val="20"/>
              </w:rPr>
              <w:t>Depreciation and amortization . . . . . . . . . . . . . . . . . . . . . . . . </w:t>
            </w:r>
          </w:p>
        </w:tc>
        <w:tc>
          <w:tcPr>
            <w:tcW w:w="1125" w:type="dxa"/>
          </w:tcPr>
          <w:p>
            <w:pPr>
              <w:pStyle w:val="TableParagraph"/>
              <w:spacing w:line="229" w:lineRule="exact"/>
              <w:ind w:right="39"/>
              <w:rPr>
                <w:sz w:val="20"/>
              </w:rPr>
            </w:pPr>
            <w:r>
              <w:rPr>
                <w:color w:val="231F20"/>
                <w:sz w:val="20"/>
              </w:rPr>
              <w:t>844</w:t>
            </w:r>
          </w:p>
        </w:tc>
        <w:tc>
          <w:tcPr>
            <w:tcW w:w="360" w:type="dxa"/>
          </w:tcPr>
          <w:p>
            <w:pPr/>
          </w:p>
        </w:tc>
        <w:tc>
          <w:tcPr>
            <w:tcW w:w="1050" w:type="dxa"/>
          </w:tcPr>
          <w:p>
            <w:pPr>
              <w:pStyle w:val="TableParagraph"/>
              <w:spacing w:line="229" w:lineRule="exact"/>
              <w:ind w:right="39"/>
              <w:rPr>
                <w:sz w:val="20"/>
              </w:rPr>
            </w:pPr>
            <w:r>
              <w:rPr>
                <w:color w:val="231F20"/>
                <w:sz w:val="20"/>
              </w:rPr>
              <w:t>715</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628</w:t>
            </w:r>
          </w:p>
        </w:tc>
      </w:tr>
      <w:tr>
        <w:trPr>
          <w:trHeight w:val="240" w:hRule="exact"/>
        </w:trPr>
        <w:tc>
          <w:tcPr>
            <w:tcW w:w="5225" w:type="dxa"/>
          </w:tcPr>
          <w:p>
            <w:pPr>
              <w:pStyle w:val="TableParagraph"/>
              <w:spacing w:line="229" w:lineRule="exact"/>
              <w:ind w:right="73"/>
              <w:rPr>
                <w:sz w:val="20"/>
              </w:rPr>
            </w:pPr>
            <w:r>
              <w:rPr>
                <w:color w:val="231F20"/>
                <w:sz w:val="20"/>
              </w:rPr>
              <w:t>Acquisition and integration  . . . . . . . . . . . . . . . . . . . . . . . . . . </w:t>
            </w:r>
          </w:p>
        </w:tc>
        <w:tc>
          <w:tcPr>
            <w:tcW w:w="1125" w:type="dxa"/>
          </w:tcPr>
          <w:p>
            <w:pPr>
              <w:pStyle w:val="TableParagraph"/>
              <w:spacing w:line="229" w:lineRule="exact"/>
              <w:ind w:right="39"/>
              <w:rPr>
                <w:sz w:val="20"/>
              </w:rPr>
            </w:pPr>
            <w:r>
              <w:rPr>
                <w:color w:val="231F20"/>
                <w:sz w:val="20"/>
              </w:rPr>
              <w:t>183</w:t>
            </w:r>
          </w:p>
        </w:tc>
        <w:tc>
          <w:tcPr>
            <w:tcW w:w="360" w:type="dxa"/>
          </w:tcPr>
          <w:p>
            <w:pPr/>
          </w:p>
        </w:tc>
        <w:tc>
          <w:tcPr>
            <w:tcW w:w="1050" w:type="dxa"/>
          </w:tcPr>
          <w:p>
            <w:pPr>
              <w:pStyle w:val="TableParagraph"/>
              <w:spacing w:line="229" w:lineRule="exact"/>
              <w:ind w:right="39"/>
              <w:rPr>
                <w:sz w:val="20"/>
              </w:rPr>
            </w:pPr>
            <w:r>
              <w:rPr>
                <w:color w:val="231F20"/>
                <w:sz w:val="20"/>
              </w:rPr>
              <w:t>134</w:t>
            </w:r>
          </w:p>
        </w:tc>
        <w:tc>
          <w:tcPr>
            <w:tcW w:w="360" w:type="dxa"/>
          </w:tcPr>
          <w:p>
            <w:pPr/>
          </w:p>
        </w:tc>
        <w:tc>
          <w:tcPr>
            <w:tcW w:w="1126" w:type="dxa"/>
            <w:gridSpan w:val="2"/>
          </w:tcPr>
          <w:p>
            <w:pPr>
              <w:pStyle w:val="TableParagraph"/>
              <w:spacing w:line="229" w:lineRule="exact"/>
              <w:ind w:right="114"/>
              <w:rPr>
                <w:sz w:val="20"/>
              </w:rPr>
            </w:pPr>
            <w:r>
              <w:rPr>
                <w:color w:val="231F20"/>
                <w:sz w:val="20"/>
              </w:rPr>
              <w:t>8</w:t>
            </w:r>
          </w:p>
        </w:tc>
      </w:tr>
      <w:tr>
        <w:trPr>
          <w:trHeight w:val="261" w:hRule="exact"/>
        </w:trPr>
        <w:tc>
          <w:tcPr>
            <w:tcW w:w="5225" w:type="dxa"/>
          </w:tcPr>
          <w:p>
            <w:pPr>
              <w:pStyle w:val="TableParagraph"/>
              <w:spacing w:line="229" w:lineRule="exact"/>
              <w:ind w:right="73"/>
              <w:rPr>
                <w:sz w:val="20"/>
              </w:rPr>
            </w:pPr>
            <w:r>
              <w:rPr>
                <w:color w:val="231F20"/>
                <w:sz w:val="20"/>
              </w:rPr>
              <w:t>Other operating expenses . . . . . . . . . . . . . . . . . . . . . . . . . . . . </w:t>
            </w:r>
          </w:p>
        </w:tc>
        <w:tc>
          <w:tcPr>
            <w:tcW w:w="1125" w:type="dxa"/>
            <w:tcBorders>
              <w:bottom w:val="single" w:sz="4" w:space="0" w:color="231F20"/>
            </w:tcBorders>
          </w:tcPr>
          <w:p>
            <w:pPr>
              <w:pStyle w:val="TableParagraph"/>
              <w:spacing w:line="229" w:lineRule="exact"/>
              <w:ind w:right="39"/>
              <w:rPr>
                <w:sz w:val="20"/>
              </w:rPr>
            </w:pPr>
            <w:r>
              <w:rPr>
                <w:color w:val="231F20"/>
                <w:sz w:val="20"/>
              </w:rPr>
              <w:t>2,039</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1,879</w:t>
            </w:r>
          </w:p>
        </w:tc>
        <w:tc>
          <w:tcPr>
            <w:tcW w:w="360" w:type="dxa"/>
          </w:tcPr>
          <w:p>
            <w:pPr/>
          </w:p>
        </w:tc>
        <w:tc>
          <w:tcPr>
            <w:tcW w:w="1126" w:type="dxa"/>
            <w:gridSpan w:val="2"/>
            <w:tcBorders>
              <w:bottom w:val="single" w:sz="4" w:space="0" w:color="231F20"/>
            </w:tcBorders>
          </w:tcPr>
          <w:p>
            <w:pPr>
              <w:pStyle w:val="TableParagraph"/>
              <w:spacing w:line="229" w:lineRule="exact"/>
              <w:ind w:left="560"/>
              <w:jc w:val="left"/>
              <w:rPr>
                <w:sz w:val="20"/>
              </w:rPr>
            </w:pPr>
            <w:r>
              <w:rPr>
                <w:color w:val="231F20"/>
                <w:sz w:val="20"/>
              </w:rPr>
              <w:t>1,418</w:t>
            </w:r>
          </w:p>
        </w:tc>
      </w:tr>
      <w:tr>
        <w:trPr>
          <w:trHeight w:val="320" w:hRule="exact"/>
        </w:trPr>
        <w:tc>
          <w:tcPr>
            <w:tcW w:w="5225" w:type="dxa"/>
          </w:tcPr>
          <w:p>
            <w:pPr>
              <w:pStyle w:val="TableParagraph"/>
              <w:spacing w:before="58"/>
              <w:ind w:right="73"/>
              <w:rPr>
                <w:sz w:val="20"/>
              </w:rPr>
            </w:pPr>
            <w:r>
              <w:rPr>
                <w:color w:val="231F20"/>
                <w:sz w:val="20"/>
              </w:rPr>
              <w:t>Total operating expenses  . . . . . . . . . . . . . . . . . . . . . . . . . . </w:t>
            </w:r>
          </w:p>
        </w:tc>
        <w:tc>
          <w:tcPr>
            <w:tcW w:w="1125" w:type="dxa"/>
            <w:tcBorders>
              <w:top w:val="single" w:sz="4" w:space="0" w:color="231F20"/>
              <w:bottom w:val="single" w:sz="4" w:space="0" w:color="231F20"/>
            </w:tcBorders>
          </w:tcPr>
          <w:p>
            <w:pPr>
              <w:pStyle w:val="TableParagraph"/>
              <w:spacing w:before="53"/>
              <w:ind w:right="39"/>
              <w:rPr>
                <w:sz w:val="20"/>
              </w:rPr>
            </w:pPr>
            <w:r>
              <w:rPr>
                <w:color w:val="231F20"/>
                <w:sz w:val="20"/>
              </w:rPr>
              <w:t>16,465</w:t>
            </w:r>
          </w:p>
        </w:tc>
        <w:tc>
          <w:tcPr>
            <w:tcW w:w="360" w:type="dxa"/>
          </w:tcPr>
          <w:p>
            <w:pPr/>
          </w:p>
        </w:tc>
        <w:tc>
          <w:tcPr>
            <w:tcW w:w="1050" w:type="dxa"/>
            <w:tcBorders>
              <w:top w:val="single" w:sz="4" w:space="0" w:color="231F20"/>
              <w:bottom w:val="single" w:sz="4" w:space="0" w:color="231F20"/>
            </w:tcBorders>
          </w:tcPr>
          <w:p>
            <w:pPr>
              <w:pStyle w:val="TableParagraph"/>
              <w:spacing w:before="53"/>
              <w:ind w:right="39"/>
              <w:rPr>
                <w:sz w:val="20"/>
              </w:rPr>
            </w:pPr>
            <w:r>
              <w:rPr>
                <w:color w:val="231F20"/>
                <w:sz w:val="20"/>
              </w:rPr>
              <w:t>14,965</w:t>
            </w:r>
          </w:p>
        </w:tc>
        <w:tc>
          <w:tcPr>
            <w:tcW w:w="360" w:type="dxa"/>
          </w:tcPr>
          <w:p>
            <w:pPr/>
          </w:p>
        </w:tc>
        <w:tc>
          <w:tcPr>
            <w:tcW w:w="1126" w:type="dxa"/>
            <w:gridSpan w:val="2"/>
            <w:tcBorders>
              <w:top w:val="single" w:sz="4" w:space="0" w:color="231F20"/>
              <w:bottom w:val="single" w:sz="4" w:space="0" w:color="231F20"/>
            </w:tcBorders>
          </w:tcPr>
          <w:p>
            <w:pPr>
              <w:pStyle w:val="TableParagraph"/>
              <w:spacing w:before="53"/>
              <w:ind w:left="460"/>
              <w:jc w:val="left"/>
              <w:rPr>
                <w:sz w:val="20"/>
              </w:rPr>
            </w:pPr>
            <w:r>
              <w:rPr>
                <w:color w:val="231F20"/>
                <w:sz w:val="20"/>
              </w:rPr>
              <w:t>11,116</w:t>
            </w:r>
          </w:p>
        </w:tc>
      </w:tr>
      <w:tr>
        <w:trPr>
          <w:trHeight w:val="359" w:hRule="exact"/>
        </w:trPr>
        <w:tc>
          <w:tcPr>
            <w:tcW w:w="5225" w:type="dxa"/>
          </w:tcPr>
          <w:p>
            <w:pPr>
              <w:pStyle w:val="TableParagraph"/>
              <w:spacing w:before="58"/>
              <w:ind w:right="73"/>
              <w:rPr>
                <w:sz w:val="20"/>
              </w:rPr>
            </w:pPr>
            <w:r>
              <w:rPr>
                <w:b/>
                <w:color w:val="231F20"/>
                <w:sz w:val="20"/>
              </w:rPr>
              <w:t>OPERATING INCOME  </w:t>
            </w:r>
            <w:r>
              <w:rPr>
                <w:color w:val="231F20"/>
                <w:sz w:val="20"/>
              </w:rPr>
              <w:t>. . . . . . . . . . . . . . . . . . . . . . . . . . . . . </w:t>
            </w:r>
          </w:p>
        </w:tc>
        <w:tc>
          <w:tcPr>
            <w:tcW w:w="1125" w:type="dxa"/>
            <w:tcBorders>
              <w:top w:val="single" w:sz="4" w:space="0" w:color="231F20"/>
            </w:tcBorders>
          </w:tcPr>
          <w:p>
            <w:pPr>
              <w:pStyle w:val="TableParagraph"/>
              <w:spacing w:before="53"/>
              <w:ind w:right="39"/>
              <w:rPr>
                <w:sz w:val="20"/>
              </w:rPr>
            </w:pPr>
            <w:r>
              <w:rPr>
                <w:color w:val="231F20"/>
                <w:sz w:val="20"/>
              </w:rPr>
              <w:t>623</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693</w:t>
            </w:r>
          </w:p>
        </w:tc>
        <w:tc>
          <w:tcPr>
            <w:tcW w:w="360" w:type="dxa"/>
          </w:tcPr>
          <w:p>
            <w:pPr/>
          </w:p>
        </w:tc>
        <w:tc>
          <w:tcPr>
            <w:tcW w:w="1126" w:type="dxa"/>
            <w:gridSpan w:val="2"/>
            <w:tcBorders>
              <w:top w:val="single" w:sz="4" w:space="0" w:color="231F20"/>
            </w:tcBorders>
          </w:tcPr>
          <w:p>
            <w:pPr>
              <w:pStyle w:val="TableParagraph"/>
              <w:spacing w:before="53"/>
              <w:ind w:left="710"/>
              <w:jc w:val="left"/>
              <w:rPr>
                <w:sz w:val="20"/>
              </w:rPr>
            </w:pPr>
            <w:r>
              <w:rPr>
                <w:color w:val="231F20"/>
                <w:sz w:val="20"/>
              </w:rPr>
              <w:t>988</w:t>
            </w:r>
          </w:p>
        </w:tc>
      </w:tr>
      <w:tr>
        <w:trPr>
          <w:trHeight w:val="301" w:hRule="exact"/>
        </w:trPr>
        <w:tc>
          <w:tcPr>
            <w:tcW w:w="5225" w:type="dxa"/>
          </w:tcPr>
          <w:p>
            <w:pPr>
              <w:pStyle w:val="TableParagraph"/>
              <w:spacing w:before="59"/>
              <w:ind w:left="50"/>
              <w:jc w:val="left"/>
              <w:rPr>
                <w:b/>
                <w:sz w:val="20"/>
              </w:rPr>
            </w:pPr>
            <w:r>
              <w:rPr>
                <w:b/>
                <w:color w:val="231F20"/>
                <w:sz w:val="20"/>
              </w:rPr>
              <w:t>OTHER EXPENSES (INCOME):</w:t>
            </w:r>
          </w:p>
        </w:tc>
        <w:tc>
          <w:tcPr>
            <w:tcW w:w="1125" w:type="dxa"/>
          </w:tcPr>
          <w:p>
            <w:pPr/>
          </w:p>
        </w:tc>
        <w:tc>
          <w:tcPr>
            <w:tcW w:w="360" w:type="dxa"/>
          </w:tcPr>
          <w:p>
            <w:pPr/>
          </w:p>
        </w:tc>
        <w:tc>
          <w:tcPr>
            <w:tcW w:w="1050" w:type="dxa"/>
          </w:tcPr>
          <w:p>
            <w:pPr/>
          </w:p>
        </w:tc>
        <w:tc>
          <w:tcPr>
            <w:tcW w:w="360" w:type="dxa"/>
          </w:tcPr>
          <w:p>
            <w:pPr/>
          </w:p>
        </w:tc>
        <w:tc>
          <w:tcPr>
            <w:tcW w:w="1126" w:type="dxa"/>
            <w:gridSpan w:val="2"/>
          </w:tcPr>
          <w:p>
            <w:pPr/>
          </w:p>
        </w:tc>
      </w:tr>
      <w:tr>
        <w:trPr>
          <w:trHeight w:val="239" w:hRule="exact"/>
        </w:trPr>
        <w:tc>
          <w:tcPr>
            <w:tcW w:w="5225" w:type="dxa"/>
          </w:tcPr>
          <w:p>
            <w:pPr>
              <w:pStyle w:val="TableParagraph"/>
              <w:spacing w:line="229" w:lineRule="exact"/>
              <w:ind w:right="73"/>
              <w:rPr>
                <w:sz w:val="20"/>
              </w:rPr>
            </w:pPr>
            <w:r>
              <w:rPr>
                <w:color w:val="231F20"/>
                <w:sz w:val="20"/>
              </w:rPr>
              <w:t>Interest expense  . . . . . . . . . . . . . . . . . . . . . . . . . . . . . . . . . . . </w:t>
            </w:r>
          </w:p>
        </w:tc>
        <w:tc>
          <w:tcPr>
            <w:tcW w:w="1125" w:type="dxa"/>
          </w:tcPr>
          <w:p>
            <w:pPr>
              <w:pStyle w:val="TableParagraph"/>
              <w:spacing w:line="229" w:lineRule="exact"/>
              <w:ind w:right="39"/>
              <w:rPr>
                <w:sz w:val="20"/>
              </w:rPr>
            </w:pPr>
            <w:r>
              <w:rPr>
                <w:color w:val="231F20"/>
                <w:sz w:val="20"/>
              </w:rPr>
              <w:t>147</w:t>
            </w:r>
          </w:p>
        </w:tc>
        <w:tc>
          <w:tcPr>
            <w:tcW w:w="360" w:type="dxa"/>
          </w:tcPr>
          <w:p>
            <w:pPr/>
          </w:p>
        </w:tc>
        <w:tc>
          <w:tcPr>
            <w:tcW w:w="1050" w:type="dxa"/>
          </w:tcPr>
          <w:p>
            <w:pPr>
              <w:pStyle w:val="TableParagraph"/>
              <w:spacing w:line="229" w:lineRule="exact"/>
              <w:ind w:right="39"/>
              <w:rPr>
                <w:sz w:val="20"/>
              </w:rPr>
            </w:pPr>
            <w:r>
              <w:rPr>
                <w:color w:val="231F20"/>
                <w:sz w:val="20"/>
              </w:rPr>
              <w:t>194</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167</w:t>
            </w:r>
          </w:p>
        </w:tc>
      </w:tr>
      <w:tr>
        <w:trPr>
          <w:trHeight w:val="240" w:hRule="exact"/>
        </w:trPr>
        <w:tc>
          <w:tcPr>
            <w:tcW w:w="5225" w:type="dxa"/>
          </w:tcPr>
          <w:p>
            <w:pPr>
              <w:pStyle w:val="TableParagraph"/>
              <w:spacing w:line="229" w:lineRule="exact"/>
              <w:ind w:right="73"/>
              <w:rPr>
                <w:sz w:val="20"/>
              </w:rPr>
            </w:pPr>
            <w:r>
              <w:rPr>
                <w:color w:val="231F20"/>
                <w:sz w:val="20"/>
              </w:rPr>
              <w:t>Capitalized interest   . . . . . . . . . . . . . . . . . . . . . . . . . . . . . . . . </w:t>
            </w:r>
          </w:p>
        </w:tc>
        <w:tc>
          <w:tcPr>
            <w:tcW w:w="1125" w:type="dxa"/>
          </w:tcPr>
          <w:p>
            <w:pPr>
              <w:pStyle w:val="TableParagraph"/>
              <w:spacing w:line="229" w:lineRule="exact"/>
              <w:ind w:right="-27"/>
              <w:rPr>
                <w:sz w:val="20"/>
              </w:rPr>
            </w:pPr>
            <w:r>
              <w:rPr>
                <w:color w:val="231F20"/>
                <w:sz w:val="20"/>
              </w:rPr>
              <w:t>(21)</w:t>
            </w:r>
          </w:p>
        </w:tc>
        <w:tc>
          <w:tcPr>
            <w:tcW w:w="360" w:type="dxa"/>
          </w:tcPr>
          <w:p>
            <w:pPr/>
          </w:p>
        </w:tc>
        <w:tc>
          <w:tcPr>
            <w:tcW w:w="1050" w:type="dxa"/>
          </w:tcPr>
          <w:p>
            <w:pPr>
              <w:pStyle w:val="TableParagraph"/>
              <w:spacing w:line="229" w:lineRule="exact"/>
              <w:ind w:right="-27"/>
              <w:rPr>
                <w:sz w:val="20"/>
              </w:rPr>
            </w:pPr>
            <w:r>
              <w:rPr>
                <w:color w:val="231F20"/>
                <w:sz w:val="20"/>
              </w:rPr>
              <w:t>(12)</w:t>
            </w:r>
          </w:p>
        </w:tc>
        <w:tc>
          <w:tcPr>
            <w:tcW w:w="360" w:type="dxa"/>
          </w:tcPr>
          <w:p>
            <w:pPr/>
          </w:p>
        </w:tc>
        <w:tc>
          <w:tcPr>
            <w:tcW w:w="1126" w:type="dxa"/>
            <w:gridSpan w:val="2"/>
          </w:tcPr>
          <w:p>
            <w:pPr>
              <w:pStyle w:val="TableParagraph"/>
              <w:spacing w:line="229" w:lineRule="exact"/>
              <w:ind w:left="743"/>
              <w:jc w:val="left"/>
              <w:rPr>
                <w:sz w:val="20"/>
              </w:rPr>
            </w:pPr>
            <w:r>
              <w:rPr>
                <w:color w:val="231F20"/>
                <w:sz w:val="20"/>
              </w:rPr>
              <w:t>(18)</w:t>
            </w:r>
          </w:p>
        </w:tc>
      </w:tr>
      <w:tr>
        <w:trPr>
          <w:trHeight w:val="240" w:hRule="exact"/>
        </w:trPr>
        <w:tc>
          <w:tcPr>
            <w:tcW w:w="5225" w:type="dxa"/>
          </w:tcPr>
          <w:p>
            <w:pPr>
              <w:pStyle w:val="TableParagraph"/>
              <w:spacing w:line="229" w:lineRule="exact"/>
              <w:ind w:right="73"/>
              <w:rPr>
                <w:sz w:val="20"/>
              </w:rPr>
            </w:pPr>
            <w:r>
              <w:rPr>
                <w:color w:val="231F20"/>
                <w:sz w:val="20"/>
              </w:rPr>
              <w:t>Interest income . . . . . . . . . . . . . . . . . . . . . . . . . . . . . . . . . . . . </w:t>
            </w:r>
          </w:p>
        </w:tc>
        <w:tc>
          <w:tcPr>
            <w:tcW w:w="1125" w:type="dxa"/>
          </w:tcPr>
          <w:p>
            <w:pPr>
              <w:pStyle w:val="TableParagraph"/>
              <w:spacing w:line="229" w:lineRule="exact"/>
              <w:ind w:right="-27"/>
              <w:rPr>
                <w:sz w:val="20"/>
              </w:rPr>
            </w:pPr>
            <w:r>
              <w:rPr>
                <w:color w:val="231F20"/>
                <w:sz w:val="20"/>
              </w:rPr>
              <w:t>(7)</w:t>
            </w:r>
          </w:p>
        </w:tc>
        <w:tc>
          <w:tcPr>
            <w:tcW w:w="360" w:type="dxa"/>
          </w:tcPr>
          <w:p>
            <w:pPr/>
          </w:p>
        </w:tc>
        <w:tc>
          <w:tcPr>
            <w:tcW w:w="1050" w:type="dxa"/>
          </w:tcPr>
          <w:p>
            <w:pPr>
              <w:pStyle w:val="TableParagraph"/>
              <w:spacing w:line="229" w:lineRule="exact"/>
              <w:ind w:right="-27"/>
              <w:rPr>
                <w:sz w:val="20"/>
              </w:rPr>
            </w:pPr>
            <w:r>
              <w:rPr>
                <w:color w:val="231F20"/>
                <w:sz w:val="20"/>
              </w:rPr>
              <w:t>(10)</w:t>
            </w:r>
          </w:p>
        </w:tc>
        <w:tc>
          <w:tcPr>
            <w:tcW w:w="360" w:type="dxa"/>
          </w:tcPr>
          <w:p>
            <w:pPr/>
          </w:p>
        </w:tc>
        <w:tc>
          <w:tcPr>
            <w:tcW w:w="1126" w:type="dxa"/>
            <w:gridSpan w:val="2"/>
          </w:tcPr>
          <w:p>
            <w:pPr>
              <w:pStyle w:val="TableParagraph"/>
              <w:spacing w:line="229" w:lineRule="exact"/>
              <w:ind w:left="743"/>
              <w:jc w:val="left"/>
              <w:rPr>
                <w:sz w:val="20"/>
              </w:rPr>
            </w:pPr>
            <w:r>
              <w:rPr>
                <w:color w:val="231F20"/>
                <w:sz w:val="20"/>
              </w:rPr>
              <w:t>(12)</w:t>
            </w:r>
          </w:p>
        </w:tc>
      </w:tr>
      <w:tr>
        <w:trPr>
          <w:trHeight w:val="261" w:hRule="exact"/>
        </w:trPr>
        <w:tc>
          <w:tcPr>
            <w:tcW w:w="5225" w:type="dxa"/>
          </w:tcPr>
          <w:p>
            <w:pPr>
              <w:pStyle w:val="TableParagraph"/>
              <w:spacing w:line="229" w:lineRule="exact"/>
              <w:ind w:right="73"/>
              <w:rPr>
                <w:sz w:val="20"/>
              </w:rPr>
            </w:pPr>
            <w:r>
              <w:rPr>
                <w:color w:val="231F20"/>
                <w:sz w:val="20"/>
              </w:rPr>
              <w:t>Other (gains) losses, net . . . . . . . . . . . . . . . . . . . . . . . . . . . . . </w:t>
            </w:r>
          </w:p>
        </w:tc>
        <w:tc>
          <w:tcPr>
            <w:tcW w:w="1125" w:type="dxa"/>
            <w:tcBorders>
              <w:bottom w:val="single" w:sz="4" w:space="0" w:color="231F20"/>
            </w:tcBorders>
          </w:tcPr>
          <w:p>
            <w:pPr>
              <w:pStyle w:val="TableParagraph"/>
              <w:spacing w:line="229" w:lineRule="exact"/>
              <w:ind w:right="-27"/>
              <w:rPr>
                <w:sz w:val="20"/>
              </w:rPr>
            </w:pPr>
            <w:r>
              <w:rPr>
                <w:color w:val="231F20"/>
                <w:sz w:val="20"/>
              </w:rPr>
              <w:t>(181)</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198</w:t>
            </w:r>
          </w:p>
        </w:tc>
        <w:tc>
          <w:tcPr>
            <w:tcW w:w="360" w:type="dxa"/>
          </w:tcPr>
          <w:p>
            <w:pPr/>
          </w:p>
        </w:tc>
        <w:tc>
          <w:tcPr>
            <w:tcW w:w="1126" w:type="dxa"/>
            <w:gridSpan w:val="2"/>
            <w:tcBorders>
              <w:bottom w:val="single" w:sz="4" w:space="0" w:color="231F20"/>
            </w:tcBorders>
          </w:tcPr>
          <w:p>
            <w:pPr>
              <w:pStyle w:val="TableParagraph"/>
              <w:spacing w:line="229" w:lineRule="exact"/>
              <w:ind w:left="710"/>
              <w:jc w:val="left"/>
              <w:rPr>
                <w:sz w:val="20"/>
              </w:rPr>
            </w:pPr>
            <w:r>
              <w:rPr>
                <w:color w:val="231F20"/>
                <w:sz w:val="20"/>
              </w:rPr>
              <w:t>106</w:t>
            </w:r>
          </w:p>
        </w:tc>
      </w:tr>
      <w:tr>
        <w:trPr>
          <w:trHeight w:val="320" w:hRule="exact"/>
        </w:trPr>
        <w:tc>
          <w:tcPr>
            <w:tcW w:w="5225" w:type="dxa"/>
          </w:tcPr>
          <w:p>
            <w:pPr>
              <w:pStyle w:val="TableParagraph"/>
              <w:spacing w:before="58"/>
              <w:ind w:right="73"/>
              <w:rPr>
                <w:sz w:val="20"/>
              </w:rPr>
            </w:pPr>
            <w:r>
              <w:rPr>
                <w:color w:val="231F20"/>
                <w:sz w:val="20"/>
              </w:rPr>
              <w:t>Total other expenses (income) . . . . . . . . . . . . . . . . . . . . . . </w:t>
            </w:r>
          </w:p>
        </w:tc>
        <w:tc>
          <w:tcPr>
            <w:tcW w:w="1125" w:type="dxa"/>
            <w:tcBorders>
              <w:top w:val="single" w:sz="4" w:space="0" w:color="231F20"/>
              <w:bottom w:val="single" w:sz="4" w:space="0" w:color="231F20"/>
            </w:tcBorders>
          </w:tcPr>
          <w:p>
            <w:pPr>
              <w:pStyle w:val="TableParagraph"/>
              <w:spacing w:before="53"/>
              <w:ind w:right="-27"/>
              <w:rPr>
                <w:sz w:val="20"/>
              </w:rPr>
            </w:pPr>
            <w:r>
              <w:rPr>
                <w:color w:val="231F20"/>
                <w:sz w:val="20"/>
              </w:rPr>
              <w:t>(62)</w:t>
            </w:r>
          </w:p>
        </w:tc>
        <w:tc>
          <w:tcPr>
            <w:tcW w:w="360" w:type="dxa"/>
          </w:tcPr>
          <w:p>
            <w:pPr/>
          </w:p>
        </w:tc>
        <w:tc>
          <w:tcPr>
            <w:tcW w:w="1050" w:type="dxa"/>
            <w:tcBorders>
              <w:top w:val="single" w:sz="4" w:space="0" w:color="231F20"/>
              <w:bottom w:val="single" w:sz="4" w:space="0" w:color="231F20"/>
            </w:tcBorders>
          </w:tcPr>
          <w:p>
            <w:pPr>
              <w:pStyle w:val="TableParagraph"/>
              <w:spacing w:before="53"/>
              <w:ind w:right="39"/>
              <w:rPr>
                <w:sz w:val="20"/>
              </w:rPr>
            </w:pPr>
            <w:r>
              <w:rPr>
                <w:color w:val="231F20"/>
                <w:sz w:val="20"/>
              </w:rPr>
              <w:t>370</w:t>
            </w:r>
          </w:p>
        </w:tc>
        <w:tc>
          <w:tcPr>
            <w:tcW w:w="360" w:type="dxa"/>
          </w:tcPr>
          <w:p>
            <w:pPr/>
          </w:p>
        </w:tc>
        <w:tc>
          <w:tcPr>
            <w:tcW w:w="1126" w:type="dxa"/>
            <w:gridSpan w:val="2"/>
            <w:tcBorders>
              <w:top w:val="single" w:sz="4" w:space="0" w:color="231F20"/>
              <w:bottom w:val="single" w:sz="4" w:space="0" w:color="231F20"/>
            </w:tcBorders>
          </w:tcPr>
          <w:p>
            <w:pPr>
              <w:pStyle w:val="TableParagraph"/>
              <w:spacing w:before="53"/>
              <w:ind w:left="710"/>
              <w:jc w:val="left"/>
              <w:rPr>
                <w:sz w:val="20"/>
              </w:rPr>
            </w:pPr>
            <w:r>
              <w:rPr>
                <w:color w:val="231F20"/>
                <w:sz w:val="20"/>
              </w:rPr>
              <w:t>243</w:t>
            </w:r>
          </w:p>
        </w:tc>
      </w:tr>
      <w:tr>
        <w:trPr>
          <w:trHeight w:val="422" w:hRule="exact"/>
        </w:trPr>
        <w:tc>
          <w:tcPr>
            <w:tcW w:w="5225" w:type="dxa"/>
          </w:tcPr>
          <w:p>
            <w:pPr>
              <w:pStyle w:val="TableParagraph"/>
              <w:spacing w:before="181"/>
              <w:ind w:right="73"/>
              <w:rPr>
                <w:sz w:val="20"/>
              </w:rPr>
            </w:pPr>
            <w:r>
              <w:rPr>
                <w:b/>
                <w:color w:val="231F20"/>
                <w:sz w:val="20"/>
              </w:rPr>
              <w:t>INCOME BEFORE INCOME TAXES </w:t>
            </w:r>
            <w:r>
              <w:rPr>
                <w:color w:val="231F20"/>
                <w:sz w:val="20"/>
              </w:rPr>
              <w:t>. . . . . . . . . . . . . . . . . </w:t>
            </w:r>
          </w:p>
        </w:tc>
        <w:tc>
          <w:tcPr>
            <w:tcW w:w="1125" w:type="dxa"/>
            <w:tcBorders>
              <w:top w:val="single" w:sz="4" w:space="0" w:color="231F20"/>
            </w:tcBorders>
          </w:tcPr>
          <w:p>
            <w:pPr>
              <w:pStyle w:val="TableParagraph"/>
              <w:spacing w:before="176"/>
              <w:ind w:right="39"/>
              <w:rPr>
                <w:sz w:val="20"/>
              </w:rPr>
            </w:pPr>
            <w:r>
              <w:rPr>
                <w:color w:val="231F20"/>
                <w:sz w:val="20"/>
              </w:rPr>
              <w:t>685</w:t>
            </w:r>
          </w:p>
        </w:tc>
        <w:tc>
          <w:tcPr>
            <w:tcW w:w="360" w:type="dxa"/>
          </w:tcPr>
          <w:p>
            <w:pPr/>
          </w:p>
        </w:tc>
        <w:tc>
          <w:tcPr>
            <w:tcW w:w="1050" w:type="dxa"/>
            <w:tcBorders>
              <w:top w:val="single" w:sz="4" w:space="0" w:color="231F20"/>
            </w:tcBorders>
          </w:tcPr>
          <w:p>
            <w:pPr>
              <w:pStyle w:val="TableParagraph"/>
              <w:spacing w:before="176"/>
              <w:ind w:right="39"/>
              <w:rPr>
                <w:sz w:val="20"/>
              </w:rPr>
            </w:pPr>
            <w:r>
              <w:rPr>
                <w:color w:val="231F20"/>
                <w:sz w:val="20"/>
              </w:rPr>
              <w:t>323</w:t>
            </w:r>
          </w:p>
        </w:tc>
        <w:tc>
          <w:tcPr>
            <w:tcW w:w="360" w:type="dxa"/>
          </w:tcPr>
          <w:p>
            <w:pPr/>
          </w:p>
        </w:tc>
        <w:tc>
          <w:tcPr>
            <w:tcW w:w="1126" w:type="dxa"/>
            <w:gridSpan w:val="2"/>
            <w:tcBorders>
              <w:top w:val="single" w:sz="4" w:space="0" w:color="231F20"/>
            </w:tcBorders>
          </w:tcPr>
          <w:p>
            <w:pPr>
              <w:pStyle w:val="TableParagraph"/>
              <w:spacing w:before="176"/>
              <w:ind w:left="710"/>
              <w:jc w:val="left"/>
              <w:rPr>
                <w:sz w:val="20"/>
              </w:rPr>
            </w:pPr>
            <w:r>
              <w:rPr>
                <w:color w:val="231F20"/>
                <w:sz w:val="20"/>
              </w:rPr>
              <w:t>745</w:t>
            </w:r>
          </w:p>
        </w:tc>
      </w:tr>
      <w:tr>
        <w:trPr>
          <w:trHeight w:val="261" w:hRule="exact"/>
        </w:trPr>
        <w:tc>
          <w:tcPr>
            <w:tcW w:w="5225" w:type="dxa"/>
          </w:tcPr>
          <w:p>
            <w:pPr>
              <w:pStyle w:val="TableParagraph"/>
              <w:spacing w:line="230" w:lineRule="exact"/>
              <w:ind w:right="73"/>
              <w:rPr>
                <w:sz w:val="20"/>
              </w:rPr>
            </w:pPr>
            <w:r>
              <w:rPr>
                <w:b/>
                <w:color w:val="231F20"/>
                <w:sz w:val="20"/>
              </w:rPr>
              <w:t>PROVISION FOR INCOME TAXES  </w:t>
            </w:r>
            <w:r>
              <w:rPr>
                <w:color w:val="231F20"/>
                <w:sz w:val="20"/>
              </w:rPr>
              <w:t>. . . . . . . . . . . . . . . . . . </w:t>
            </w:r>
          </w:p>
        </w:tc>
        <w:tc>
          <w:tcPr>
            <w:tcW w:w="1125" w:type="dxa"/>
            <w:tcBorders>
              <w:bottom w:val="single" w:sz="4" w:space="0" w:color="231F20"/>
            </w:tcBorders>
          </w:tcPr>
          <w:p>
            <w:pPr>
              <w:pStyle w:val="TableParagraph"/>
              <w:spacing w:line="230" w:lineRule="exact"/>
              <w:ind w:right="39"/>
              <w:rPr>
                <w:sz w:val="20"/>
              </w:rPr>
            </w:pPr>
            <w:r>
              <w:rPr>
                <w:color w:val="231F20"/>
                <w:sz w:val="20"/>
              </w:rPr>
              <w:t>264</w:t>
            </w:r>
          </w:p>
        </w:tc>
        <w:tc>
          <w:tcPr>
            <w:tcW w:w="360" w:type="dxa"/>
          </w:tcPr>
          <w:p>
            <w:pPr/>
          </w:p>
        </w:tc>
        <w:tc>
          <w:tcPr>
            <w:tcW w:w="1050" w:type="dxa"/>
            <w:tcBorders>
              <w:bottom w:val="single" w:sz="4" w:space="0" w:color="231F20"/>
            </w:tcBorders>
          </w:tcPr>
          <w:p>
            <w:pPr>
              <w:pStyle w:val="TableParagraph"/>
              <w:spacing w:line="230" w:lineRule="exact"/>
              <w:ind w:right="39"/>
              <w:rPr>
                <w:sz w:val="20"/>
              </w:rPr>
            </w:pPr>
            <w:r>
              <w:rPr>
                <w:color w:val="231F20"/>
                <w:sz w:val="20"/>
              </w:rPr>
              <w:t>145</w:t>
            </w:r>
          </w:p>
        </w:tc>
        <w:tc>
          <w:tcPr>
            <w:tcW w:w="360" w:type="dxa"/>
          </w:tcPr>
          <w:p>
            <w:pPr/>
          </w:p>
        </w:tc>
        <w:tc>
          <w:tcPr>
            <w:tcW w:w="1126" w:type="dxa"/>
            <w:gridSpan w:val="2"/>
            <w:tcBorders>
              <w:bottom w:val="single" w:sz="4" w:space="0" w:color="231F20"/>
            </w:tcBorders>
          </w:tcPr>
          <w:p>
            <w:pPr>
              <w:pStyle w:val="TableParagraph"/>
              <w:spacing w:line="230" w:lineRule="exact"/>
              <w:ind w:left="710"/>
              <w:jc w:val="left"/>
              <w:rPr>
                <w:sz w:val="20"/>
              </w:rPr>
            </w:pPr>
            <w:r>
              <w:rPr>
                <w:color w:val="231F20"/>
                <w:sz w:val="20"/>
              </w:rPr>
              <w:t>286</w:t>
            </w:r>
          </w:p>
        </w:tc>
      </w:tr>
      <w:tr>
        <w:trPr>
          <w:trHeight w:val="360" w:hRule="exact"/>
        </w:trPr>
        <w:tc>
          <w:tcPr>
            <w:tcW w:w="5225" w:type="dxa"/>
          </w:tcPr>
          <w:p>
            <w:pPr>
              <w:pStyle w:val="TableParagraph"/>
              <w:spacing w:before="58"/>
              <w:ind w:right="73"/>
              <w:rPr>
                <w:sz w:val="20"/>
              </w:rPr>
            </w:pPr>
            <w:r>
              <w:rPr>
                <w:b/>
                <w:color w:val="231F20"/>
                <w:sz w:val="20"/>
              </w:rPr>
              <w:t>NET INCOME  </w:t>
            </w:r>
            <w:r>
              <w:rPr>
                <w:color w:val="231F20"/>
                <w:sz w:val="20"/>
              </w:rPr>
              <w:t>. . . . . . . . . . . . . . . . . . . . . . . . . . . . . . . . . . . . . </w:t>
            </w:r>
          </w:p>
        </w:tc>
        <w:tc>
          <w:tcPr>
            <w:tcW w:w="1125" w:type="dxa"/>
            <w:tcBorders>
              <w:top w:val="single" w:sz="4" w:space="0" w:color="231F20"/>
              <w:bottom w:val="single" w:sz="4" w:space="0" w:color="231F20"/>
            </w:tcBorders>
          </w:tcPr>
          <w:p>
            <w:pPr>
              <w:pStyle w:val="TableParagraph"/>
              <w:tabs>
                <w:tab w:pos="709" w:val="left" w:leader="none"/>
              </w:tabs>
              <w:spacing w:before="53"/>
              <w:ind w:right="39"/>
              <w:rPr>
                <w:sz w:val="20"/>
              </w:rPr>
            </w:pPr>
            <w:r>
              <w:rPr>
                <w:color w:val="231F20"/>
                <w:sz w:val="20"/>
              </w:rPr>
              <w:t>$</w:t>
              <w:tab/>
              <w:t>421</w:t>
            </w:r>
          </w:p>
        </w:tc>
        <w:tc>
          <w:tcPr>
            <w:tcW w:w="360" w:type="dxa"/>
          </w:tcPr>
          <w:p>
            <w:pPr/>
          </w:p>
        </w:tc>
        <w:tc>
          <w:tcPr>
            <w:tcW w:w="1050" w:type="dxa"/>
            <w:tcBorders>
              <w:top w:val="single" w:sz="4" w:space="0" w:color="231F20"/>
              <w:bottom w:val="single" w:sz="4" w:space="0" w:color="231F20"/>
            </w:tcBorders>
          </w:tcPr>
          <w:p>
            <w:pPr>
              <w:pStyle w:val="TableParagraph"/>
              <w:tabs>
                <w:tab w:pos="709" w:val="left" w:leader="none"/>
              </w:tabs>
              <w:spacing w:before="53"/>
              <w:ind w:right="39"/>
              <w:rPr>
                <w:sz w:val="20"/>
              </w:rPr>
            </w:pPr>
            <w:r>
              <w:rPr>
                <w:color w:val="231F20"/>
                <w:sz w:val="20"/>
              </w:rPr>
              <w:t>$</w:t>
              <w:tab/>
              <w:t>178</w:t>
            </w:r>
          </w:p>
        </w:tc>
        <w:tc>
          <w:tcPr>
            <w:tcW w:w="360" w:type="dxa"/>
          </w:tcPr>
          <w:p>
            <w:pPr/>
          </w:p>
        </w:tc>
        <w:tc>
          <w:tcPr>
            <w:tcW w:w="1126" w:type="dxa"/>
            <w:gridSpan w:val="2"/>
            <w:tcBorders>
              <w:top w:val="single" w:sz="4" w:space="0" w:color="231F20"/>
              <w:bottom w:val="single" w:sz="4" w:space="0" w:color="231F20"/>
            </w:tcBorders>
          </w:tcPr>
          <w:p>
            <w:pPr>
              <w:pStyle w:val="TableParagraph"/>
              <w:tabs>
                <w:tab w:pos="709" w:val="left" w:leader="none"/>
              </w:tabs>
              <w:spacing w:before="53"/>
              <w:jc w:val="left"/>
              <w:rPr>
                <w:sz w:val="20"/>
              </w:rPr>
            </w:pPr>
            <w:r>
              <w:rPr>
                <w:color w:val="231F20"/>
                <w:sz w:val="20"/>
              </w:rPr>
              <w:t>$</w:t>
              <w:tab/>
              <w:t>459</w:t>
            </w:r>
          </w:p>
        </w:tc>
      </w:tr>
      <w:tr>
        <w:trPr>
          <w:trHeight w:val="360" w:hRule="exact"/>
        </w:trPr>
        <w:tc>
          <w:tcPr>
            <w:tcW w:w="5225" w:type="dxa"/>
          </w:tcPr>
          <w:p>
            <w:pPr>
              <w:pStyle w:val="TableParagraph"/>
              <w:spacing w:before="58"/>
              <w:ind w:right="73"/>
              <w:rPr>
                <w:sz w:val="20"/>
              </w:rPr>
            </w:pPr>
            <w:r>
              <w:rPr>
                <w:b/>
                <w:color w:val="231F20"/>
                <w:sz w:val="20"/>
              </w:rPr>
              <w:t>NET INCOME PER SHARE, BASIC  </w:t>
            </w:r>
            <w:r>
              <w:rPr>
                <w:color w:val="231F20"/>
                <w:sz w:val="20"/>
              </w:rPr>
              <w:t>. . . . . . . . . . . . . . . . . . </w:t>
            </w:r>
          </w:p>
        </w:tc>
        <w:tc>
          <w:tcPr>
            <w:tcW w:w="1125"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.56</w:t>
            </w:r>
          </w:p>
        </w:tc>
        <w:tc>
          <w:tcPr>
            <w:tcW w:w="360" w:type="dxa"/>
          </w:tcPr>
          <w:p>
            <w:pPr/>
          </w:p>
        </w:tc>
        <w:tc>
          <w:tcPr>
            <w:tcW w:w="1050"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.23</w:t>
            </w:r>
          </w:p>
        </w:tc>
        <w:tc>
          <w:tcPr>
            <w:tcW w:w="360" w:type="dxa"/>
          </w:tcPr>
          <w:p>
            <w:pPr/>
          </w:p>
        </w:tc>
        <w:tc>
          <w:tcPr>
            <w:tcW w:w="1126" w:type="dxa"/>
            <w:gridSpan w:val="2"/>
            <w:tcBorders>
              <w:top w:val="single" w:sz="4" w:space="0" w:color="231F20"/>
              <w:bottom w:val="single" w:sz="4" w:space="0" w:color="231F20"/>
            </w:tcBorders>
          </w:tcPr>
          <w:p>
            <w:pPr>
              <w:pStyle w:val="TableParagraph"/>
              <w:tabs>
                <w:tab w:pos="759" w:val="left" w:leader="none"/>
              </w:tabs>
              <w:spacing w:before="53"/>
              <w:jc w:val="left"/>
              <w:rPr>
                <w:sz w:val="20"/>
              </w:rPr>
            </w:pPr>
            <w:r>
              <w:rPr>
                <w:color w:val="231F20"/>
                <w:sz w:val="20"/>
              </w:rPr>
              <w:t>$</w:t>
              <w:tab/>
              <w:t>.62</w:t>
            </w:r>
          </w:p>
        </w:tc>
      </w:tr>
      <w:tr>
        <w:trPr>
          <w:trHeight w:val="360" w:hRule="exact"/>
        </w:trPr>
        <w:tc>
          <w:tcPr>
            <w:tcW w:w="5225" w:type="dxa"/>
          </w:tcPr>
          <w:p>
            <w:pPr>
              <w:pStyle w:val="TableParagraph"/>
              <w:spacing w:before="58"/>
              <w:ind w:right="73"/>
              <w:rPr>
                <w:sz w:val="20"/>
              </w:rPr>
            </w:pPr>
            <w:r>
              <w:rPr>
                <w:b/>
                <w:color w:val="231F20"/>
                <w:sz w:val="20"/>
              </w:rPr>
              <w:t>NET INCOME PER SHARE, DILUTED  </w:t>
            </w:r>
            <w:r>
              <w:rPr>
                <w:color w:val="231F20"/>
                <w:sz w:val="20"/>
              </w:rPr>
              <w:t>. . . . . . . . . . . . . . . </w:t>
            </w:r>
          </w:p>
        </w:tc>
        <w:tc>
          <w:tcPr>
            <w:tcW w:w="1125"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.56</w:t>
            </w:r>
          </w:p>
        </w:tc>
        <w:tc>
          <w:tcPr>
            <w:tcW w:w="360" w:type="dxa"/>
          </w:tcPr>
          <w:p>
            <w:pPr/>
          </w:p>
        </w:tc>
        <w:tc>
          <w:tcPr>
            <w:tcW w:w="1050"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.23</w:t>
            </w:r>
          </w:p>
        </w:tc>
        <w:tc>
          <w:tcPr>
            <w:tcW w:w="360" w:type="dxa"/>
          </w:tcPr>
          <w:p>
            <w:pPr/>
          </w:p>
        </w:tc>
        <w:tc>
          <w:tcPr>
            <w:tcW w:w="1126" w:type="dxa"/>
            <w:gridSpan w:val="2"/>
            <w:tcBorders>
              <w:top w:val="single" w:sz="4" w:space="0" w:color="231F20"/>
              <w:bottom w:val="single" w:sz="4" w:space="0" w:color="231F20"/>
            </w:tcBorders>
          </w:tcPr>
          <w:p>
            <w:pPr>
              <w:pStyle w:val="TableParagraph"/>
              <w:tabs>
                <w:tab w:pos="759" w:val="left" w:leader="none"/>
              </w:tabs>
              <w:spacing w:before="53"/>
              <w:jc w:val="left"/>
              <w:rPr>
                <w:sz w:val="20"/>
              </w:rPr>
            </w:pPr>
            <w:r>
              <w:rPr>
                <w:color w:val="231F20"/>
                <w:sz w:val="20"/>
              </w:rPr>
              <w:t>$</w:t>
              <w:tab/>
              <w:t>.61</w:t>
            </w:r>
          </w:p>
        </w:tc>
      </w:tr>
      <w:tr>
        <w:trPr>
          <w:trHeight w:val="290" w:hRule="exact"/>
        </w:trPr>
        <w:tc>
          <w:tcPr>
            <w:tcW w:w="5225" w:type="dxa"/>
          </w:tcPr>
          <w:p>
            <w:pPr>
              <w:pStyle w:val="TableParagraph"/>
              <w:spacing w:before="58"/>
              <w:ind w:right="73"/>
              <w:rPr>
                <w:sz w:val="20"/>
              </w:rPr>
            </w:pPr>
            <w:r>
              <w:rPr>
                <w:b/>
                <w:color w:val="231F20"/>
                <w:sz w:val="20"/>
              </w:rPr>
              <w:t>Cash dividends declared per common share </w:t>
            </w:r>
            <w:r>
              <w:rPr>
                <w:color w:val="231F20"/>
                <w:sz w:val="20"/>
              </w:rPr>
              <w:t>. . . . . . . . . . . . . </w:t>
            </w:r>
          </w:p>
        </w:tc>
        <w:tc>
          <w:tcPr>
            <w:tcW w:w="1125" w:type="dxa"/>
            <w:tcBorders>
              <w:top w:val="single" w:sz="4" w:space="0" w:color="231F20"/>
            </w:tcBorders>
          </w:tcPr>
          <w:p>
            <w:pPr>
              <w:pStyle w:val="TableParagraph"/>
              <w:tabs>
                <w:tab w:pos="559" w:val="left" w:leader="none"/>
              </w:tabs>
              <w:spacing w:before="53"/>
              <w:ind w:right="39"/>
              <w:rPr>
                <w:sz w:val="20"/>
              </w:rPr>
            </w:pPr>
            <w:r>
              <w:rPr>
                <w:color w:val="231F20"/>
                <w:sz w:val="20"/>
              </w:rPr>
              <w:t>$</w:t>
              <w:tab/>
            </w:r>
            <w:r>
              <w:rPr>
                <w:color w:val="231F20"/>
                <w:spacing w:val="-1"/>
                <w:sz w:val="20"/>
              </w:rPr>
              <w:t>.0345</w:t>
            </w:r>
          </w:p>
        </w:tc>
        <w:tc>
          <w:tcPr>
            <w:tcW w:w="360" w:type="dxa"/>
          </w:tcPr>
          <w:p>
            <w:pPr/>
          </w:p>
        </w:tc>
        <w:tc>
          <w:tcPr>
            <w:tcW w:w="1050" w:type="dxa"/>
            <w:tcBorders>
              <w:top w:val="single" w:sz="4" w:space="0" w:color="231F20"/>
            </w:tcBorders>
          </w:tcPr>
          <w:p>
            <w:pPr>
              <w:pStyle w:val="TableParagraph"/>
              <w:tabs>
                <w:tab w:pos="559" w:val="left" w:leader="none"/>
              </w:tabs>
              <w:spacing w:before="53"/>
              <w:ind w:right="39"/>
              <w:rPr>
                <w:sz w:val="20"/>
              </w:rPr>
            </w:pPr>
            <w:r>
              <w:rPr>
                <w:color w:val="231F20"/>
                <w:sz w:val="20"/>
              </w:rPr>
              <w:t>$</w:t>
              <w:tab/>
            </w:r>
            <w:r>
              <w:rPr>
                <w:color w:val="231F20"/>
                <w:spacing w:val="-1"/>
                <w:sz w:val="20"/>
              </w:rPr>
              <w:t>.0180</w:t>
            </w:r>
          </w:p>
        </w:tc>
        <w:tc>
          <w:tcPr>
            <w:tcW w:w="360" w:type="dxa"/>
          </w:tcPr>
          <w:p>
            <w:pPr/>
          </w:p>
        </w:tc>
        <w:tc>
          <w:tcPr>
            <w:tcW w:w="1126" w:type="dxa"/>
            <w:gridSpan w:val="2"/>
            <w:tcBorders>
              <w:top w:val="single" w:sz="4" w:space="0" w:color="231F20"/>
            </w:tcBorders>
          </w:tcPr>
          <w:p>
            <w:pPr>
              <w:pStyle w:val="TableParagraph"/>
              <w:tabs>
                <w:tab w:pos="559" w:val="left" w:leader="none"/>
              </w:tabs>
              <w:spacing w:before="53"/>
              <w:jc w:val="left"/>
              <w:rPr>
                <w:sz w:val="20"/>
              </w:rPr>
            </w:pPr>
            <w:r>
              <w:rPr>
                <w:color w:val="231F20"/>
                <w:sz w:val="20"/>
              </w:rPr>
              <w:t>$</w:t>
              <w:tab/>
              <w:t>.0180</w:t>
            </w:r>
          </w:p>
        </w:tc>
      </w:tr>
    </w:tbl>
    <w:p>
      <w:pPr>
        <w:spacing w:after="0"/>
        <w:jc w:val="left"/>
        <w:rPr>
          <w:sz w:val="20"/>
        </w:rPr>
        <w:sectPr>
          <w:pgSz w:w="11880" w:h="15480"/>
          <w:pgMar w:header="0" w:footer="1718" w:top="1240" w:bottom="1900" w:left="1220" w:right="1200"/>
        </w:sectPr>
      </w:pPr>
    </w:p>
    <w:p>
      <w:pPr>
        <w:pStyle w:val="Heading3"/>
        <w:spacing w:line="376" w:lineRule="auto" w:before="73"/>
        <w:ind w:left="1728" w:right="1726" w:firstLine="1645"/>
      </w:pPr>
      <w:r>
        <w:rPr/>
        <w:pict>
          <v:shape style="position:absolute;margin-left:66.5pt;margin-top:34.205936pt;width:461.35pt;height:199.75pt;mso-position-horizontal-relative:page;mso-position-vertical-relative:paragraph;z-index:39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5"/>
                    <w:gridCol w:w="1125"/>
                    <w:gridCol w:w="200"/>
                    <w:gridCol w:w="1050"/>
                    <w:gridCol w:w="200"/>
                    <w:gridCol w:w="1106"/>
                  </w:tblGrid>
                  <w:tr>
                    <w:trPr>
                      <w:trHeight w:val="793" w:hRule="exact"/>
                    </w:trPr>
                    <w:tc>
                      <w:tcPr>
                        <w:tcW w:w="9226" w:type="dxa"/>
                        <w:gridSpan w:val="6"/>
                      </w:tcPr>
                      <w:p>
                        <w:pPr>
                          <w:pStyle w:val="TableParagraph"/>
                          <w:spacing w:line="219" w:lineRule="exact"/>
                          <w:ind w:left="4092" w:right="4098"/>
                          <w:jc w:val="center"/>
                          <w:rPr>
                            <w:sz w:val="20"/>
                          </w:rPr>
                        </w:pPr>
                        <w:r>
                          <w:rPr>
                            <w:color w:val="231F20"/>
                            <w:sz w:val="20"/>
                          </w:rPr>
                          <w:t>(in millions)</w:t>
                        </w:r>
                      </w:p>
                      <w:p>
                        <w:pPr>
                          <w:pStyle w:val="TableParagraph"/>
                          <w:spacing w:before="6"/>
                          <w:jc w:val="left"/>
                          <w:rPr>
                            <w:b/>
                            <w:sz w:val="27"/>
                          </w:rPr>
                        </w:pPr>
                      </w:p>
                      <w:p>
                        <w:pPr>
                          <w:pStyle w:val="TableParagraph"/>
                          <w:ind w:left="5987"/>
                          <w:jc w:val="left"/>
                          <w:rPr>
                            <w:b/>
                            <w:sz w:val="20"/>
                          </w:rPr>
                        </w:pPr>
                        <w:r>
                          <w:rPr>
                            <w:b/>
                            <w:color w:val="231F20"/>
                            <w:sz w:val="20"/>
                          </w:rPr>
                          <w:t>YEAR ENDED DECEMBER 31,</w:t>
                        </w:r>
                      </w:p>
                    </w:tc>
                  </w:tr>
                  <w:tr>
                    <w:trPr>
                      <w:trHeight w:val="280" w:hRule="exact"/>
                    </w:trPr>
                    <w:tc>
                      <w:tcPr>
                        <w:tcW w:w="5545" w:type="dxa"/>
                      </w:tcPr>
                      <w:p>
                        <w:pPr/>
                      </w:p>
                    </w:tc>
                    <w:tc>
                      <w:tcPr>
                        <w:tcW w:w="1125" w:type="dxa"/>
                        <w:tcBorders>
                          <w:top w:val="single" w:sz="8" w:space="0" w:color="231F20"/>
                          <w:bottom w:val="single" w:sz="8" w:space="0" w:color="231F20"/>
                        </w:tcBorders>
                      </w:tcPr>
                      <w:p>
                        <w:pPr>
                          <w:pStyle w:val="TableParagraph"/>
                          <w:spacing w:before="13"/>
                          <w:ind w:left="399"/>
                          <w:jc w:val="left"/>
                          <w:rPr>
                            <w:b/>
                            <w:sz w:val="20"/>
                          </w:rPr>
                        </w:pPr>
                        <w:r>
                          <w:rPr>
                            <w:b/>
                            <w:color w:val="231F20"/>
                            <w:sz w:val="20"/>
                          </w:rPr>
                          <w:t>2012</w:t>
                        </w:r>
                      </w:p>
                    </w:tc>
                    <w:tc>
                      <w:tcPr>
                        <w:tcW w:w="20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2011</w:t>
                        </w:r>
                      </w:p>
                    </w:tc>
                    <w:tc>
                      <w:tcPr>
                        <w:tcW w:w="200" w:type="dxa"/>
                        <w:tcBorders>
                          <w:top w:val="single" w:sz="8" w:space="0" w:color="231F20"/>
                        </w:tcBorders>
                      </w:tcPr>
                      <w:p>
                        <w:pPr/>
                      </w:p>
                    </w:tc>
                    <w:tc>
                      <w:tcPr>
                        <w:tcW w:w="1106"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2010</w:t>
                        </w:r>
                      </w:p>
                    </w:tc>
                  </w:tr>
                  <w:tr>
                    <w:trPr>
                      <w:trHeight w:val="477" w:hRule="exact"/>
                    </w:trPr>
                    <w:tc>
                      <w:tcPr>
                        <w:tcW w:w="5545" w:type="dxa"/>
                      </w:tcPr>
                      <w:p>
                        <w:pPr>
                          <w:pStyle w:val="TableParagraph"/>
                          <w:spacing w:before="63"/>
                          <w:ind w:right="73"/>
                          <w:rPr>
                            <w:sz w:val="20"/>
                          </w:rPr>
                        </w:pPr>
                        <w:r>
                          <w:rPr>
                            <w:b/>
                            <w:color w:val="231F20"/>
                            <w:sz w:val="20"/>
                          </w:rPr>
                          <w:t>NET INCOME  </w:t>
                        </w:r>
                        <w:r>
                          <w:rPr>
                            <w:color w:val="231F20"/>
                            <w:sz w:val="20"/>
                          </w:rPr>
                          <w:t>. . . . . . . . . . . . . . . . . . . . . . . . . . . . . . . . . . . . . . . . </w:t>
                        </w:r>
                      </w:p>
                    </w:tc>
                    <w:tc>
                      <w:tcPr>
                        <w:tcW w:w="1125" w:type="dxa"/>
                        <w:tcBorders>
                          <w:top w:val="single" w:sz="8" w:space="0" w:color="231F20"/>
                        </w:tcBorders>
                      </w:tcPr>
                      <w:p>
                        <w:pPr>
                          <w:pStyle w:val="TableParagraph"/>
                          <w:tabs>
                            <w:tab w:pos="764" w:val="left" w:leader="none"/>
                          </w:tabs>
                          <w:spacing w:before="53"/>
                          <w:ind w:left="75"/>
                          <w:jc w:val="left"/>
                          <w:rPr>
                            <w:sz w:val="20"/>
                          </w:rPr>
                        </w:pPr>
                        <w:r>
                          <w:rPr>
                            <w:color w:val="231F20"/>
                            <w:sz w:val="20"/>
                          </w:rPr>
                          <w:t>$</w:t>
                          <w:tab/>
                          <w:t>421</w:t>
                        </w:r>
                      </w:p>
                    </w:tc>
                    <w:tc>
                      <w:tcPr>
                        <w:tcW w:w="200" w:type="dxa"/>
                      </w:tcPr>
                      <w:p>
                        <w:pPr/>
                      </w:p>
                    </w:tc>
                    <w:tc>
                      <w:tcPr>
                        <w:tcW w:w="1050" w:type="dxa"/>
                        <w:tcBorders>
                          <w:top w:val="single" w:sz="8" w:space="0" w:color="231F20"/>
                        </w:tcBorders>
                      </w:tcPr>
                      <w:p>
                        <w:pPr>
                          <w:pStyle w:val="TableParagraph"/>
                          <w:tabs>
                            <w:tab w:pos="689" w:val="left" w:leader="none"/>
                          </w:tabs>
                          <w:spacing w:before="53"/>
                          <w:jc w:val="left"/>
                          <w:rPr>
                            <w:sz w:val="20"/>
                          </w:rPr>
                        </w:pPr>
                        <w:r>
                          <w:rPr>
                            <w:color w:val="231F20"/>
                            <w:sz w:val="20"/>
                          </w:rPr>
                          <w:t>$</w:t>
                          <w:tab/>
                          <w:t>178</w:t>
                        </w:r>
                      </w:p>
                    </w:tc>
                    <w:tc>
                      <w:tcPr>
                        <w:tcW w:w="200" w:type="dxa"/>
                      </w:tcPr>
                      <w:p>
                        <w:pPr/>
                      </w:p>
                    </w:tc>
                    <w:tc>
                      <w:tcPr>
                        <w:tcW w:w="1106" w:type="dxa"/>
                        <w:tcBorders>
                          <w:top w:val="single" w:sz="8" w:space="0" w:color="231F20"/>
                        </w:tcBorders>
                      </w:tcPr>
                      <w:p>
                        <w:pPr>
                          <w:pStyle w:val="TableParagraph"/>
                          <w:tabs>
                            <w:tab w:pos="689" w:val="left" w:leader="none"/>
                          </w:tabs>
                          <w:spacing w:before="53"/>
                          <w:ind w:right="114"/>
                          <w:rPr>
                            <w:sz w:val="20"/>
                          </w:rPr>
                        </w:pPr>
                        <w:r>
                          <w:rPr>
                            <w:color w:val="231F20"/>
                            <w:sz w:val="20"/>
                          </w:rPr>
                          <w:t>$</w:t>
                          <w:tab/>
                          <w:t>459</w:t>
                        </w:r>
                      </w:p>
                    </w:tc>
                  </w:tr>
                  <w:tr>
                    <w:trPr>
                      <w:trHeight w:val="1134" w:hRule="exact"/>
                    </w:trPr>
                    <w:tc>
                      <w:tcPr>
                        <w:tcW w:w="5545" w:type="dxa"/>
                      </w:tcPr>
                      <w:p>
                        <w:pPr>
                          <w:pStyle w:val="TableParagraph"/>
                          <w:spacing w:before="173"/>
                          <w:ind w:left="29" w:right="642"/>
                          <w:jc w:val="center"/>
                          <w:rPr>
                            <w:b/>
                            <w:sz w:val="20"/>
                          </w:rPr>
                        </w:pPr>
                        <w:r>
                          <w:rPr>
                            <w:b/>
                            <w:color w:val="231F20"/>
                            <w:sz w:val="20"/>
                          </w:rPr>
                          <w:t>OTHER COMPREHENSIVE INCOME, NET OF TAX:</w:t>
                        </w:r>
                      </w:p>
                      <w:p>
                        <w:pPr>
                          <w:pStyle w:val="TableParagraph"/>
                          <w:spacing w:before="10"/>
                          <w:ind w:left="250"/>
                          <w:jc w:val="left"/>
                          <w:rPr>
                            <w:sz w:val="20"/>
                          </w:rPr>
                        </w:pPr>
                        <w:r>
                          <w:rPr>
                            <w:color w:val="231F20"/>
                            <w:sz w:val="20"/>
                          </w:rPr>
                          <w:t>Unrealized gain on fuel derivative instruments, net of</w:t>
                        </w:r>
                      </w:p>
                      <w:p>
                        <w:pPr>
                          <w:pStyle w:val="TableParagraph"/>
                          <w:spacing w:before="10"/>
                          <w:ind w:left="450"/>
                          <w:jc w:val="left"/>
                          <w:rPr>
                            <w:sz w:val="20"/>
                          </w:rPr>
                        </w:pPr>
                        <w:r>
                          <w:rPr>
                            <w:color w:val="231F20"/>
                            <w:sz w:val="20"/>
                          </w:rPr>
                          <w:t>deferred taxes of $74, $42, and $205  . . . . . . . . . . . . . . . . . . . . </w:t>
                        </w:r>
                      </w:p>
                      <w:p>
                        <w:pPr>
                          <w:pStyle w:val="TableParagraph"/>
                          <w:spacing w:before="10"/>
                          <w:ind w:left="250"/>
                          <w:jc w:val="left"/>
                          <w:rPr>
                            <w:sz w:val="20"/>
                          </w:rPr>
                        </w:pPr>
                        <w:r>
                          <w:rPr>
                            <w:color w:val="231F20"/>
                            <w:sz w:val="20"/>
                          </w:rPr>
                          <w:t>Unrealized loss on interest rate derivative instruments, net of</w:t>
                        </w:r>
                      </w:p>
                    </w:tc>
                    <w:tc>
                      <w:tcPr>
                        <w:tcW w:w="1125" w:type="dxa"/>
                      </w:tcPr>
                      <w:p>
                        <w:pPr>
                          <w:pStyle w:val="TableParagraph"/>
                          <w:jc w:val="left"/>
                          <w:rPr>
                            <w:b/>
                            <w:sz w:val="22"/>
                          </w:rPr>
                        </w:pPr>
                      </w:p>
                      <w:p>
                        <w:pPr>
                          <w:pStyle w:val="TableParagraph"/>
                          <w:jc w:val="left"/>
                          <w:rPr>
                            <w:b/>
                            <w:sz w:val="22"/>
                          </w:rPr>
                        </w:pPr>
                      </w:p>
                      <w:p>
                        <w:pPr>
                          <w:pStyle w:val="TableParagraph"/>
                          <w:spacing w:before="147"/>
                          <w:ind w:right="59"/>
                          <w:rPr>
                            <w:sz w:val="20"/>
                          </w:rPr>
                        </w:pPr>
                        <w:r>
                          <w:rPr>
                            <w:color w:val="231F20"/>
                            <w:sz w:val="20"/>
                          </w:rPr>
                          <w:t>120</w:t>
                        </w:r>
                      </w:p>
                    </w:tc>
                    <w:tc>
                      <w:tcPr>
                        <w:tcW w:w="200" w:type="dxa"/>
                      </w:tcPr>
                      <w:p>
                        <w:pPr/>
                      </w:p>
                    </w:tc>
                    <w:tc>
                      <w:tcPr>
                        <w:tcW w:w="1050" w:type="dxa"/>
                      </w:tcPr>
                      <w:p>
                        <w:pPr>
                          <w:pStyle w:val="TableParagraph"/>
                          <w:jc w:val="left"/>
                          <w:rPr>
                            <w:b/>
                            <w:sz w:val="22"/>
                          </w:rPr>
                        </w:pPr>
                      </w:p>
                      <w:p>
                        <w:pPr>
                          <w:pStyle w:val="TableParagraph"/>
                          <w:jc w:val="left"/>
                          <w:rPr>
                            <w:b/>
                            <w:sz w:val="22"/>
                          </w:rPr>
                        </w:pPr>
                      </w:p>
                      <w:p>
                        <w:pPr>
                          <w:pStyle w:val="TableParagraph"/>
                          <w:spacing w:before="147"/>
                          <w:ind w:right="59"/>
                          <w:rPr>
                            <w:sz w:val="20"/>
                          </w:rPr>
                        </w:pPr>
                        <w:r>
                          <w:rPr>
                            <w:color w:val="231F20"/>
                            <w:sz w:val="20"/>
                          </w:rPr>
                          <w:t>67</w:t>
                        </w:r>
                      </w:p>
                    </w:tc>
                    <w:tc>
                      <w:tcPr>
                        <w:tcW w:w="200" w:type="dxa"/>
                      </w:tcPr>
                      <w:p>
                        <w:pPr/>
                      </w:p>
                    </w:tc>
                    <w:tc>
                      <w:tcPr>
                        <w:tcW w:w="1106" w:type="dxa"/>
                      </w:tcPr>
                      <w:p>
                        <w:pPr>
                          <w:pStyle w:val="TableParagraph"/>
                          <w:jc w:val="left"/>
                          <w:rPr>
                            <w:b/>
                            <w:sz w:val="22"/>
                          </w:rPr>
                        </w:pPr>
                      </w:p>
                      <w:p>
                        <w:pPr>
                          <w:pStyle w:val="TableParagraph"/>
                          <w:jc w:val="left"/>
                          <w:rPr>
                            <w:b/>
                            <w:sz w:val="22"/>
                          </w:rPr>
                        </w:pPr>
                      </w:p>
                      <w:p>
                        <w:pPr>
                          <w:pStyle w:val="TableParagraph"/>
                          <w:spacing w:before="147"/>
                          <w:ind w:right="114"/>
                          <w:rPr>
                            <w:sz w:val="20"/>
                          </w:rPr>
                        </w:pPr>
                        <w:r>
                          <w:rPr>
                            <w:color w:val="231F20"/>
                            <w:sz w:val="20"/>
                          </w:rPr>
                          <w:t>330</w:t>
                        </w:r>
                      </w:p>
                    </w:tc>
                  </w:tr>
                  <w:tr>
                    <w:trPr>
                      <w:trHeight w:val="240" w:hRule="exact"/>
                    </w:trPr>
                    <w:tc>
                      <w:tcPr>
                        <w:tcW w:w="5545" w:type="dxa"/>
                      </w:tcPr>
                      <w:p>
                        <w:pPr>
                          <w:pStyle w:val="TableParagraph"/>
                          <w:spacing w:line="219" w:lineRule="exact"/>
                          <w:ind w:right="73"/>
                          <w:rPr>
                            <w:sz w:val="20"/>
                          </w:rPr>
                        </w:pPr>
                        <w:r>
                          <w:rPr>
                            <w:color w:val="231F20"/>
                            <w:sz w:val="20"/>
                          </w:rPr>
                          <w:t>deferred taxes of $0, ($20), and ($9)  . . . . . . . . . . . . . . . . . . . . </w:t>
                        </w:r>
                      </w:p>
                    </w:tc>
                    <w:tc>
                      <w:tcPr>
                        <w:tcW w:w="1125" w:type="dxa"/>
                      </w:tcPr>
                      <w:p>
                        <w:pPr>
                          <w:pStyle w:val="TableParagraph"/>
                          <w:spacing w:line="219" w:lineRule="exact"/>
                          <w:ind w:right="-7"/>
                          <w:rPr>
                            <w:sz w:val="20"/>
                          </w:rPr>
                        </w:pPr>
                        <w:r>
                          <w:rPr>
                            <w:color w:val="231F20"/>
                            <w:sz w:val="20"/>
                          </w:rPr>
                          <w:t>(1)</w:t>
                        </w:r>
                      </w:p>
                    </w:tc>
                    <w:tc>
                      <w:tcPr>
                        <w:tcW w:w="200" w:type="dxa"/>
                      </w:tcPr>
                      <w:p>
                        <w:pPr/>
                      </w:p>
                    </w:tc>
                    <w:tc>
                      <w:tcPr>
                        <w:tcW w:w="1050" w:type="dxa"/>
                      </w:tcPr>
                      <w:p>
                        <w:pPr>
                          <w:pStyle w:val="TableParagraph"/>
                          <w:spacing w:line="219" w:lineRule="exact"/>
                          <w:ind w:right="-7"/>
                          <w:rPr>
                            <w:sz w:val="20"/>
                          </w:rPr>
                        </w:pPr>
                        <w:r>
                          <w:rPr>
                            <w:color w:val="231F20"/>
                            <w:sz w:val="20"/>
                          </w:rPr>
                          <w:t>(32)</w:t>
                        </w:r>
                      </w:p>
                    </w:tc>
                    <w:tc>
                      <w:tcPr>
                        <w:tcW w:w="200" w:type="dxa"/>
                      </w:tcPr>
                      <w:p>
                        <w:pPr/>
                      </w:p>
                    </w:tc>
                    <w:tc>
                      <w:tcPr>
                        <w:tcW w:w="1106" w:type="dxa"/>
                      </w:tcPr>
                      <w:p>
                        <w:pPr>
                          <w:pStyle w:val="TableParagraph"/>
                          <w:spacing w:line="219" w:lineRule="exact"/>
                          <w:ind w:right="48"/>
                          <w:rPr>
                            <w:sz w:val="20"/>
                          </w:rPr>
                        </w:pPr>
                        <w:r>
                          <w:rPr>
                            <w:color w:val="231F20"/>
                            <w:sz w:val="20"/>
                          </w:rPr>
                          <w:t>(15)</w:t>
                        </w:r>
                      </w:p>
                    </w:tc>
                  </w:tr>
                  <w:tr>
                    <w:trPr>
                      <w:trHeight w:val="261" w:hRule="exact"/>
                    </w:trPr>
                    <w:tc>
                      <w:tcPr>
                        <w:tcW w:w="5545" w:type="dxa"/>
                      </w:tcPr>
                      <w:p>
                        <w:pPr>
                          <w:pStyle w:val="TableParagraph"/>
                          <w:spacing w:line="229" w:lineRule="exact"/>
                          <w:ind w:right="73"/>
                          <w:rPr>
                            <w:sz w:val="20"/>
                          </w:rPr>
                        </w:pPr>
                        <w:r>
                          <w:rPr>
                            <w:color w:val="231F20"/>
                            <w:sz w:val="20"/>
                          </w:rPr>
                          <w:t>Other, net of deferred taxes of ($8), $1, and $1  . . . . . . . . . . . . . . </w:t>
                        </w:r>
                      </w:p>
                    </w:tc>
                    <w:tc>
                      <w:tcPr>
                        <w:tcW w:w="1125" w:type="dxa"/>
                        <w:tcBorders>
                          <w:bottom w:val="single" w:sz="4" w:space="0" w:color="231F20"/>
                        </w:tcBorders>
                      </w:tcPr>
                      <w:p>
                        <w:pPr>
                          <w:pStyle w:val="TableParagraph"/>
                          <w:spacing w:line="229" w:lineRule="exact"/>
                          <w:ind w:right="-7"/>
                          <w:rPr>
                            <w:sz w:val="20"/>
                          </w:rPr>
                        </w:pPr>
                        <w:r>
                          <w:rPr>
                            <w:color w:val="231F20"/>
                            <w:sz w:val="20"/>
                          </w:rPr>
                          <w:t>(14)</w:t>
                        </w:r>
                      </w:p>
                    </w:tc>
                    <w:tc>
                      <w:tcPr>
                        <w:tcW w:w="200" w:type="dxa"/>
                      </w:tcPr>
                      <w:p>
                        <w:pPr/>
                      </w:p>
                    </w:tc>
                    <w:tc>
                      <w:tcPr>
                        <w:tcW w:w="1050" w:type="dxa"/>
                        <w:tcBorders>
                          <w:bottom w:val="single" w:sz="4" w:space="0" w:color="231F20"/>
                        </w:tcBorders>
                      </w:tcPr>
                      <w:p>
                        <w:pPr>
                          <w:pStyle w:val="TableParagraph"/>
                          <w:spacing w:line="229" w:lineRule="exact"/>
                          <w:ind w:right="59"/>
                          <w:rPr>
                            <w:sz w:val="20"/>
                          </w:rPr>
                        </w:pPr>
                        <w:r>
                          <w:rPr>
                            <w:color w:val="231F20"/>
                            <w:sz w:val="20"/>
                          </w:rPr>
                          <w:t>3</w:t>
                        </w:r>
                      </w:p>
                    </w:tc>
                    <w:tc>
                      <w:tcPr>
                        <w:tcW w:w="200" w:type="dxa"/>
                      </w:tcPr>
                      <w:p>
                        <w:pPr/>
                      </w:p>
                    </w:tc>
                    <w:tc>
                      <w:tcPr>
                        <w:tcW w:w="1106" w:type="dxa"/>
                        <w:tcBorders>
                          <w:bottom w:val="single" w:sz="4" w:space="0" w:color="231F20"/>
                        </w:tcBorders>
                      </w:tcPr>
                      <w:p>
                        <w:pPr>
                          <w:pStyle w:val="TableParagraph"/>
                          <w:spacing w:line="229" w:lineRule="exact"/>
                          <w:ind w:right="114"/>
                          <w:rPr>
                            <w:sz w:val="20"/>
                          </w:rPr>
                        </w:pPr>
                        <w:r>
                          <w:rPr>
                            <w:color w:val="231F20"/>
                            <w:sz w:val="20"/>
                          </w:rPr>
                          <w:t>1</w:t>
                        </w:r>
                      </w:p>
                    </w:tc>
                  </w:tr>
                  <w:tr>
                    <w:trPr>
                      <w:trHeight w:val="440" w:hRule="exact"/>
                    </w:trPr>
                    <w:tc>
                      <w:tcPr>
                        <w:tcW w:w="5545" w:type="dxa"/>
                      </w:tcPr>
                      <w:p>
                        <w:pPr>
                          <w:pStyle w:val="TableParagraph"/>
                          <w:spacing w:before="178"/>
                          <w:ind w:right="73"/>
                          <w:rPr>
                            <w:sz w:val="20"/>
                          </w:rPr>
                        </w:pPr>
                        <w:r>
                          <w:rPr>
                            <w:b/>
                            <w:color w:val="231F20"/>
                            <w:sz w:val="20"/>
                          </w:rPr>
                          <w:t>OTHER COMPREHENSIVE INCOME </w:t>
                        </w:r>
                        <w:r>
                          <w:rPr>
                            <w:color w:val="231F20"/>
                            <w:sz w:val="20"/>
                          </w:rPr>
                          <w:t>. . . . . . . . . . . . . . . . . . . </w:t>
                        </w:r>
                      </w:p>
                    </w:tc>
                    <w:tc>
                      <w:tcPr>
                        <w:tcW w:w="1125" w:type="dxa"/>
                        <w:tcBorders>
                          <w:top w:val="single" w:sz="4" w:space="0" w:color="231F20"/>
                          <w:bottom w:val="single" w:sz="4" w:space="0" w:color="231F20"/>
                        </w:tcBorders>
                      </w:tcPr>
                      <w:p>
                        <w:pPr>
                          <w:pStyle w:val="TableParagraph"/>
                          <w:tabs>
                            <w:tab w:pos="764" w:val="left" w:leader="none"/>
                          </w:tabs>
                          <w:spacing w:before="173"/>
                          <w:ind w:left="74"/>
                          <w:jc w:val="left"/>
                          <w:rPr>
                            <w:sz w:val="20"/>
                          </w:rPr>
                        </w:pPr>
                        <w:r>
                          <w:rPr>
                            <w:color w:val="231F20"/>
                            <w:sz w:val="20"/>
                          </w:rPr>
                          <w:t>$</w:t>
                          <w:tab/>
                          <w:t>105</w:t>
                        </w:r>
                      </w:p>
                    </w:tc>
                    <w:tc>
                      <w:tcPr>
                        <w:tcW w:w="200" w:type="dxa"/>
                      </w:tcPr>
                      <w:p>
                        <w:pPr/>
                      </w:p>
                    </w:tc>
                    <w:tc>
                      <w:tcPr>
                        <w:tcW w:w="1050" w:type="dxa"/>
                        <w:tcBorders>
                          <w:top w:val="single" w:sz="4" w:space="0" w:color="231F20"/>
                          <w:bottom w:val="single" w:sz="4" w:space="0" w:color="231F20"/>
                        </w:tcBorders>
                      </w:tcPr>
                      <w:p>
                        <w:pPr>
                          <w:pStyle w:val="TableParagraph"/>
                          <w:tabs>
                            <w:tab w:pos="789" w:val="left" w:leader="none"/>
                          </w:tabs>
                          <w:spacing w:before="173"/>
                          <w:jc w:val="left"/>
                          <w:rPr>
                            <w:sz w:val="20"/>
                          </w:rPr>
                        </w:pPr>
                        <w:r>
                          <w:rPr>
                            <w:color w:val="231F20"/>
                            <w:sz w:val="20"/>
                          </w:rPr>
                          <w:t>$</w:t>
                          <w:tab/>
                          <w:t>38</w:t>
                        </w:r>
                      </w:p>
                    </w:tc>
                    <w:tc>
                      <w:tcPr>
                        <w:tcW w:w="200" w:type="dxa"/>
                      </w:tcPr>
                      <w:p>
                        <w:pPr/>
                      </w:p>
                    </w:tc>
                    <w:tc>
                      <w:tcPr>
                        <w:tcW w:w="1106" w:type="dxa"/>
                        <w:tcBorders>
                          <w:top w:val="single" w:sz="4" w:space="0" w:color="231F20"/>
                          <w:bottom w:val="single" w:sz="4" w:space="0" w:color="231F20"/>
                        </w:tcBorders>
                      </w:tcPr>
                      <w:p>
                        <w:pPr>
                          <w:pStyle w:val="TableParagraph"/>
                          <w:tabs>
                            <w:tab w:pos="689" w:val="left" w:leader="none"/>
                          </w:tabs>
                          <w:spacing w:before="173"/>
                          <w:ind w:right="114"/>
                          <w:rPr>
                            <w:sz w:val="20"/>
                          </w:rPr>
                        </w:pPr>
                        <w:r>
                          <w:rPr>
                            <w:color w:val="231F20"/>
                            <w:sz w:val="20"/>
                          </w:rPr>
                          <w:t>$</w:t>
                          <w:tab/>
                          <w:t>316</w:t>
                        </w:r>
                      </w:p>
                    </w:tc>
                  </w:tr>
                  <w:tr>
                    <w:trPr>
                      <w:trHeight w:val="360" w:hRule="exact"/>
                    </w:trPr>
                    <w:tc>
                      <w:tcPr>
                        <w:tcW w:w="5545" w:type="dxa"/>
                      </w:tcPr>
                      <w:p>
                        <w:pPr>
                          <w:pStyle w:val="TableParagraph"/>
                          <w:spacing w:before="58"/>
                          <w:ind w:right="73"/>
                          <w:rPr>
                            <w:sz w:val="20"/>
                          </w:rPr>
                        </w:pPr>
                        <w:r>
                          <w:rPr>
                            <w:b/>
                            <w:color w:val="231F20"/>
                            <w:sz w:val="20"/>
                          </w:rPr>
                          <w:t>COMPREHENSIVE INCOME   </w:t>
                        </w:r>
                        <w:r>
                          <w:rPr>
                            <w:color w:val="231F20"/>
                            <w:sz w:val="20"/>
                          </w:rPr>
                          <w:t>. . . . . . . . . . . . . . . . . . . . . . . . . . </w:t>
                        </w:r>
                      </w:p>
                    </w:tc>
                    <w:tc>
                      <w:tcPr>
                        <w:tcW w:w="1125" w:type="dxa"/>
                        <w:tcBorders>
                          <w:top w:val="single" w:sz="4" w:space="0" w:color="231F20"/>
                          <w:bottom w:val="single" w:sz="4" w:space="0" w:color="231F20"/>
                        </w:tcBorders>
                      </w:tcPr>
                      <w:p>
                        <w:pPr>
                          <w:pStyle w:val="TableParagraph"/>
                          <w:tabs>
                            <w:tab w:pos="764" w:val="left" w:leader="none"/>
                          </w:tabs>
                          <w:spacing w:before="53"/>
                          <w:ind w:left="74"/>
                          <w:jc w:val="left"/>
                          <w:rPr>
                            <w:sz w:val="20"/>
                          </w:rPr>
                        </w:pPr>
                        <w:r>
                          <w:rPr>
                            <w:color w:val="231F20"/>
                            <w:sz w:val="20"/>
                          </w:rPr>
                          <w:t>$</w:t>
                          <w:tab/>
                          <w:t>526</w:t>
                        </w:r>
                      </w:p>
                    </w:tc>
                    <w:tc>
                      <w:tcPr>
                        <w:tcW w:w="200" w:type="dxa"/>
                      </w:tcPr>
                      <w:p>
                        <w:pPr/>
                      </w:p>
                    </w:tc>
                    <w:tc>
                      <w:tcPr>
                        <w:tcW w:w="1050" w:type="dxa"/>
                        <w:tcBorders>
                          <w:top w:val="single" w:sz="4" w:space="0" w:color="231F20"/>
                          <w:bottom w:val="single" w:sz="4" w:space="0" w:color="231F20"/>
                        </w:tcBorders>
                      </w:tcPr>
                      <w:p>
                        <w:pPr>
                          <w:pStyle w:val="TableParagraph"/>
                          <w:tabs>
                            <w:tab w:pos="689" w:val="left" w:leader="none"/>
                          </w:tabs>
                          <w:spacing w:before="53"/>
                          <w:jc w:val="left"/>
                          <w:rPr>
                            <w:sz w:val="20"/>
                          </w:rPr>
                        </w:pPr>
                        <w:r>
                          <w:rPr>
                            <w:color w:val="231F20"/>
                            <w:sz w:val="20"/>
                          </w:rPr>
                          <w:t>$</w:t>
                          <w:tab/>
                          <w:t>216</w:t>
                        </w:r>
                      </w:p>
                    </w:tc>
                    <w:tc>
                      <w:tcPr>
                        <w:tcW w:w="200" w:type="dxa"/>
                      </w:tcPr>
                      <w:p>
                        <w:pPr/>
                      </w:p>
                    </w:tc>
                    <w:tc>
                      <w:tcPr>
                        <w:tcW w:w="1106" w:type="dxa"/>
                        <w:tcBorders>
                          <w:top w:val="single" w:sz="4" w:space="0" w:color="231F20"/>
                          <w:bottom w:val="single" w:sz="4" w:space="0" w:color="231F20"/>
                        </w:tcBorders>
                      </w:tcPr>
                      <w:p>
                        <w:pPr>
                          <w:pStyle w:val="TableParagraph"/>
                          <w:tabs>
                            <w:tab w:pos="689" w:val="left" w:leader="none"/>
                          </w:tabs>
                          <w:spacing w:before="53"/>
                          <w:ind w:right="114"/>
                          <w:rPr>
                            <w:sz w:val="20"/>
                          </w:rPr>
                        </w:pPr>
                        <w:r>
                          <w:rPr>
                            <w:color w:val="231F20"/>
                            <w:sz w:val="20"/>
                          </w:rPr>
                          <w:t>$</w:t>
                          <w:tab/>
                          <w:t>775</w:t>
                        </w:r>
                      </w:p>
                    </w:tc>
                  </w:tr>
                </w:tbl>
                <w:p>
                  <w:pPr>
                    <w:pStyle w:val="BodyText"/>
                  </w:pPr>
                </w:p>
              </w:txbxContent>
            </v:textbox>
            <w10:wrap type="none"/>
          </v:shape>
        </w:pict>
      </w:r>
      <w:bookmarkStart w:name="_TOC_250008" w:id="27"/>
      <w:bookmarkStart w:name="Southwest Airlines Co. Consolidated Stat" w:id="28"/>
      <w:r>
        <w:rPr>
          <w:b w:val="0"/>
        </w:rPr>
      </w:r>
      <w:r>
        <w:rPr>
          <w:color w:val="231F20"/>
        </w:rPr>
        <w:t>SOUTHWEST AIRLINES CO. CONSOLIDATED STATEMENT OF COMPREHENSIVE</w:t>
      </w:r>
      <w:r>
        <w:rPr>
          <w:color w:val="231F20"/>
          <w:spacing w:val="-8"/>
        </w:rPr>
        <w:t> </w:t>
      </w:r>
      <w:bookmarkEnd w:id="27"/>
      <w:r>
        <w:rPr>
          <w:color w:val="231F20"/>
        </w:rPr>
        <w:t>INCOME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0"/>
        </w:rPr>
      </w:pPr>
      <w:r>
        <w:rPr/>
        <w:pict>
          <v:line style="position:absolute;mso-position-horizontal-relative:page;mso-position-vertical-relative:paragraph;z-index:3904;mso-wrap-distance-left:0;mso-wrap-distance-right:0" from="347.5pt,7.976172pt" to="400pt,7.976172pt" stroked="true" strokeweight=".5pt" strokecolor="#231f20">
            <v:stroke dashstyle="solid"/>
            <w10:wrap type="topAndBottom"/>
          </v:line>
        </w:pict>
      </w:r>
      <w:r>
        <w:rPr/>
        <w:pict>
          <v:line style="position:absolute;mso-position-horizontal-relative:page;mso-position-vertical-relative:paragraph;z-index:3928;mso-wrap-distance-left:0;mso-wrap-distance-right:0" from="410pt,7.976172pt" to="462.5pt,7.976172pt" stroked="true" strokeweight=".5pt" strokecolor="#231f20">
            <v:stroke dashstyle="solid"/>
            <w10:wrap type="topAndBottom"/>
          </v:line>
        </w:pict>
      </w:r>
      <w:r>
        <w:rPr/>
        <w:pict>
          <v:line style="position:absolute;mso-position-horizontal-relative:page;mso-position-vertical-relative:paragraph;z-index:3952;mso-wrap-distance-left:0;mso-wrap-distance-right:0" from="472.5pt,7.976172pt" to="525pt,7.976172pt" stroked="true" strokeweight=".5pt" strokecolor="#231f20">
            <v:stroke dashstyle="solid"/>
            <w10:wrap type="topAndBottom"/>
          </v:line>
        </w:pict>
      </w:r>
    </w:p>
    <w:p>
      <w:pPr>
        <w:spacing w:after="0"/>
        <w:rPr>
          <w:sz w:val="10"/>
        </w:rPr>
        <w:sectPr>
          <w:pgSz w:w="11880" w:h="15480"/>
          <w:pgMar w:header="0" w:footer="1718" w:top="1240" w:bottom="1900" w:left="1220" w:right="1220"/>
        </w:sectPr>
      </w:pPr>
    </w:p>
    <w:p>
      <w:pPr>
        <w:spacing w:before="73"/>
        <w:ind w:left="3374" w:right="0" w:firstLine="0"/>
        <w:jc w:val="left"/>
        <w:rPr>
          <w:b/>
          <w:sz w:val="20"/>
        </w:rPr>
      </w:pPr>
      <w:bookmarkStart w:name="Southwest Airlines Co. Consolidated Stat" w:id="29"/>
      <w:bookmarkEnd w:id="29"/>
      <w:r>
        <w:rPr/>
      </w:r>
      <w:r>
        <w:rPr>
          <w:b/>
          <w:color w:val="231F20"/>
          <w:sz w:val="20"/>
        </w:rPr>
        <w:t>SOUTHWEST AIRLINES CO.</w:t>
      </w:r>
    </w:p>
    <w:p>
      <w:pPr>
        <w:spacing w:before="129"/>
        <w:ind w:left="40" w:right="0" w:firstLine="0"/>
        <w:jc w:val="center"/>
        <w:rPr>
          <w:b/>
          <w:sz w:val="20"/>
        </w:rPr>
      </w:pPr>
      <w:r>
        <w:rPr>
          <w:b/>
          <w:color w:val="231F20"/>
          <w:sz w:val="20"/>
        </w:rPr>
        <w:t>CONSOLIDATED STATEMENT OF STOCKHOLDERS’ EQUITY</w:t>
      </w:r>
    </w:p>
    <w:p>
      <w:pPr>
        <w:pStyle w:val="BodyText"/>
        <w:spacing w:before="9"/>
        <w:ind w:left="37"/>
        <w:jc w:val="center"/>
      </w:pPr>
      <w:r>
        <w:rPr>
          <w:color w:val="231F20"/>
        </w:rPr>
        <w:t>(in millions, except per share amounts)</w:t>
      </w:r>
    </w:p>
    <w:p>
      <w:pPr>
        <w:pStyle w:val="BodyText"/>
        <w:rPr>
          <w:sz w:val="18"/>
        </w:rPr>
      </w:pPr>
    </w:p>
    <w:p>
      <w:pPr>
        <w:spacing w:before="0"/>
        <w:ind w:left="4696" w:right="0" w:firstLine="0"/>
        <w:jc w:val="left"/>
        <w:rPr>
          <w:b/>
          <w:sz w:val="16"/>
        </w:rPr>
      </w:pPr>
      <w:r>
        <w:rPr/>
        <w:pict>
          <v:shape style="position:absolute;margin-left:257.25pt;margin-top:10.96875pt;width:267.75pt;height:79.45pt;mso-position-horizontal-relative:page;mso-position-vertical-relative:paragraph;z-index:4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51"/>
                    <w:gridCol w:w="100"/>
                    <w:gridCol w:w="799"/>
                    <w:gridCol w:w="100"/>
                    <w:gridCol w:w="733"/>
                    <w:gridCol w:w="100"/>
                    <w:gridCol w:w="1141"/>
                    <w:gridCol w:w="100"/>
                    <w:gridCol w:w="751"/>
                    <w:gridCol w:w="100"/>
                    <w:gridCol w:w="680"/>
                  </w:tblGrid>
                  <w:tr>
                    <w:trPr>
                      <w:trHeight w:val="457" w:hRule="exact"/>
                    </w:trPr>
                    <w:tc>
                      <w:tcPr>
                        <w:tcW w:w="851" w:type="dxa"/>
                        <w:gridSpan w:val="2"/>
                        <w:tcBorders>
                          <w:top w:val="single" w:sz="8" w:space="0" w:color="231F20"/>
                        </w:tcBorders>
                      </w:tcPr>
                      <w:p>
                        <w:pPr/>
                      </w:p>
                    </w:tc>
                    <w:tc>
                      <w:tcPr>
                        <w:tcW w:w="799" w:type="dxa"/>
                        <w:tcBorders>
                          <w:top w:val="single" w:sz="8" w:space="0" w:color="231F20"/>
                        </w:tcBorders>
                      </w:tcPr>
                      <w:p>
                        <w:pPr>
                          <w:pStyle w:val="TableParagraph"/>
                          <w:spacing w:before="9"/>
                          <w:jc w:val="left"/>
                          <w:rPr>
                            <w:sz w:val="21"/>
                          </w:rPr>
                        </w:pPr>
                      </w:p>
                      <w:p>
                        <w:pPr>
                          <w:pStyle w:val="TableParagraph"/>
                          <w:ind w:right="57"/>
                          <w:rPr>
                            <w:b/>
                            <w:sz w:val="16"/>
                          </w:rPr>
                        </w:pPr>
                        <w:r>
                          <w:rPr>
                            <w:b/>
                            <w:color w:val="231F20"/>
                            <w:sz w:val="16"/>
                          </w:rPr>
                          <w:t>Capital in</w:t>
                        </w:r>
                      </w:p>
                    </w:tc>
                    <w:tc>
                      <w:tcPr>
                        <w:tcW w:w="100" w:type="dxa"/>
                        <w:tcBorders>
                          <w:top w:val="single" w:sz="8" w:space="0" w:color="231F20"/>
                        </w:tcBorders>
                      </w:tcPr>
                      <w:p>
                        <w:pPr/>
                      </w:p>
                    </w:tc>
                    <w:tc>
                      <w:tcPr>
                        <w:tcW w:w="733" w:type="dxa"/>
                        <w:tcBorders>
                          <w:top w:val="single" w:sz="8" w:space="0" w:color="231F20"/>
                        </w:tcBorders>
                      </w:tcPr>
                      <w:p>
                        <w:pPr/>
                      </w:p>
                    </w:tc>
                    <w:tc>
                      <w:tcPr>
                        <w:tcW w:w="100" w:type="dxa"/>
                        <w:tcBorders>
                          <w:top w:val="single" w:sz="8" w:space="0" w:color="231F20"/>
                        </w:tcBorders>
                      </w:tcPr>
                      <w:p>
                        <w:pPr/>
                      </w:p>
                    </w:tc>
                    <w:tc>
                      <w:tcPr>
                        <w:tcW w:w="1141" w:type="dxa"/>
                        <w:tcBorders>
                          <w:top w:val="single" w:sz="8" w:space="0" w:color="231F20"/>
                        </w:tcBorders>
                      </w:tcPr>
                      <w:p>
                        <w:pPr>
                          <w:pStyle w:val="TableParagraph"/>
                          <w:spacing w:line="261" w:lineRule="auto" w:before="50"/>
                          <w:ind w:left="387" w:right="98" w:hanging="271"/>
                          <w:jc w:val="left"/>
                          <w:rPr>
                            <w:b/>
                            <w:sz w:val="16"/>
                          </w:rPr>
                        </w:pPr>
                        <w:r>
                          <w:rPr>
                            <w:b/>
                            <w:color w:val="231F20"/>
                            <w:sz w:val="16"/>
                          </w:rPr>
                          <w:t>Accumulated other</w:t>
                        </w:r>
                      </w:p>
                    </w:tc>
                    <w:tc>
                      <w:tcPr>
                        <w:tcW w:w="1631" w:type="dxa"/>
                        <w:gridSpan w:val="4"/>
                        <w:tcBorders>
                          <w:top w:val="single" w:sz="8" w:space="0" w:color="231F20"/>
                        </w:tcBorders>
                      </w:tcPr>
                      <w:p>
                        <w:pPr/>
                      </w:p>
                    </w:tc>
                  </w:tr>
                  <w:tr>
                    <w:trPr>
                      <w:trHeight w:val="423" w:hRule="exact"/>
                    </w:trPr>
                    <w:tc>
                      <w:tcPr>
                        <w:tcW w:w="751" w:type="dxa"/>
                        <w:tcBorders>
                          <w:bottom w:val="single" w:sz="8" w:space="0" w:color="231F20"/>
                        </w:tcBorders>
                      </w:tcPr>
                      <w:p>
                        <w:pPr>
                          <w:pStyle w:val="TableParagraph"/>
                          <w:spacing w:line="261" w:lineRule="auto" w:before="3"/>
                          <w:ind w:left="183" w:right="40" w:hanging="124"/>
                          <w:jc w:val="left"/>
                          <w:rPr>
                            <w:b/>
                            <w:sz w:val="16"/>
                          </w:rPr>
                        </w:pPr>
                        <w:r>
                          <w:rPr>
                            <w:b/>
                            <w:color w:val="231F20"/>
                            <w:sz w:val="16"/>
                          </w:rPr>
                          <w:t>Common Stock</w:t>
                        </w:r>
                      </w:p>
                    </w:tc>
                    <w:tc>
                      <w:tcPr>
                        <w:tcW w:w="100" w:type="dxa"/>
                      </w:tcPr>
                      <w:p>
                        <w:pPr/>
                      </w:p>
                    </w:tc>
                    <w:tc>
                      <w:tcPr>
                        <w:tcW w:w="799" w:type="dxa"/>
                        <w:tcBorders>
                          <w:bottom w:val="single" w:sz="8" w:space="0" w:color="231F20"/>
                        </w:tcBorders>
                      </w:tcPr>
                      <w:p>
                        <w:pPr>
                          <w:pStyle w:val="TableParagraph"/>
                          <w:spacing w:line="261" w:lineRule="auto" w:before="3"/>
                          <w:ind w:left="76" w:right="58" w:firstLine="27"/>
                          <w:jc w:val="left"/>
                          <w:rPr>
                            <w:b/>
                            <w:sz w:val="16"/>
                          </w:rPr>
                        </w:pPr>
                        <w:r>
                          <w:rPr>
                            <w:b/>
                            <w:color w:val="231F20"/>
                            <w:sz w:val="16"/>
                          </w:rPr>
                          <w:t>excess of par value</w:t>
                        </w:r>
                      </w:p>
                    </w:tc>
                    <w:tc>
                      <w:tcPr>
                        <w:tcW w:w="100" w:type="dxa"/>
                      </w:tcPr>
                      <w:p>
                        <w:pPr/>
                      </w:p>
                    </w:tc>
                    <w:tc>
                      <w:tcPr>
                        <w:tcW w:w="733" w:type="dxa"/>
                        <w:tcBorders>
                          <w:bottom w:val="single" w:sz="8" w:space="0" w:color="231F20"/>
                        </w:tcBorders>
                      </w:tcPr>
                      <w:p>
                        <w:pPr>
                          <w:pStyle w:val="TableParagraph"/>
                          <w:spacing w:line="261" w:lineRule="auto" w:before="3"/>
                          <w:ind w:left="73" w:right="39" w:hanging="13"/>
                          <w:jc w:val="left"/>
                          <w:rPr>
                            <w:b/>
                            <w:sz w:val="16"/>
                          </w:rPr>
                        </w:pPr>
                        <w:r>
                          <w:rPr>
                            <w:b/>
                            <w:color w:val="231F20"/>
                            <w:sz w:val="16"/>
                          </w:rPr>
                          <w:t>Retained earnings</w:t>
                        </w:r>
                      </w:p>
                    </w:tc>
                    <w:tc>
                      <w:tcPr>
                        <w:tcW w:w="100" w:type="dxa"/>
                      </w:tcPr>
                      <w:p>
                        <w:pPr/>
                      </w:p>
                    </w:tc>
                    <w:tc>
                      <w:tcPr>
                        <w:tcW w:w="1141" w:type="dxa"/>
                        <w:tcBorders>
                          <w:bottom w:val="single" w:sz="8" w:space="0" w:color="231F20"/>
                        </w:tcBorders>
                      </w:tcPr>
                      <w:p>
                        <w:pPr>
                          <w:pStyle w:val="TableParagraph"/>
                          <w:spacing w:line="261" w:lineRule="auto" w:before="3"/>
                          <w:ind w:left="129" w:right="38" w:hanging="69"/>
                          <w:jc w:val="left"/>
                          <w:rPr>
                            <w:b/>
                            <w:sz w:val="16"/>
                          </w:rPr>
                        </w:pPr>
                        <w:r>
                          <w:rPr>
                            <w:b/>
                            <w:color w:val="231F20"/>
                            <w:sz w:val="16"/>
                          </w:rPr>
                          <w:t>comprehensive income (loss)</w:t>
                        </w:r>
                      </w:p>
                    </w:tc>
                    <w:tc>
                      <w:tcPr>
                        <w:tcW w:w="100" w:type="dxa"/>
                      </w:tcPr>
                      <w:p>
                        <w:pPr/>
                      </w:p>
                    </w:tc>
                    <w:tc>
                      <w:tcPr>
                        <w:tcW w:w="751" w:type="dxa"/>
                        <w:tcBorders>
                          <w:bottom w:val="single" w:sz="8" w:space="0" w:color="231F20"/>
                        </w:tcBorders>
                      </w:tcPr>
                      <w:p>
                        <w:pPr>
                          <w:pStyle w:val="TableParagraph"/>
                          <w:spacing w:line="261" w:lineRule="auto" w:before="3"/>
                          <w:ind w:left="197" w:right="41" w:hanging="138"/>
                          <w:jc w:val="left"/>
                          <w:rPr>
                            <w:b/>
                            <w:sz w:val="16"/>
                          </w:rPr>
                        </w:pPr>
                        <w:r>
                          <w:rPr>
                            <w:b/>
                            <w:color w:val="231F20"/>
                            <w:sz w:val="16"/>
                          </w:rPr>
                          <w:t>Treasury stock</w:t>
                        </w:r>
                      </w:p>
                    </w:tc>
                    <w:tc>
                      <w:tcPr>
                        <w:tcW w:w="100" w:type="dxa"/>
                      </w:tcPr>
                      <w:p>
                        <w:pPr/>
                      </w:p>
                    </w:tc>
                    <w:tc>
                      <w:tcPr>
                        <w:tcW w:w="680" w:type="dxa"/>
                        <w:tcBorders>
                          <w:bottom w:val="single" w:sz="8" w:space="0" w:color="231F20"/>
                        </w:tcBorders>
                      </w:tcPr>
                      <w:p>
                        <w:pPr>
                          <w:pStyle w:val="TableParagraph"/>
                          <w:spacing w:before="8"/>
                          <w:jc w:val="left"/>
                          <w:rPr>
                            <w:sz w:val="17"/>
                          </w:rPr>
                        </w:pPr>
                      </w:p>
                      <w:p>
                        <w:pPr>
                          <w:pStyle w:val="TableParagraph"/>
                          <w:ind w:left="157"/>
                          <w:jc w:val="left"/>
                          <w:rPr>
                            <w:b/>
                            <w:sz w:val="16"/>
                          </w:rPr>
                        </w:pPr>
                        <w:r>
                          <w:rPr>
                            <w:b/>
                            <w:color w:val="231F20"/>
                            <w:sz w:val="16"/>
                          </w:rPr>
                          <w:t>Total</w:t>
                        </w:r>
                      </w:p>
                    </w:tc>
                  </w:tr>
                  <w:tr>
                    <w:trPr>
                      <w:trHeight w:val="390" w:hRule="exact"/>
                    </w:trPr>
                    <w:tc>
                      <w:tcPr>
                        <w:tcW w:w="751" w:type="dxa"/>
                        <w:tcBorders>
                          <w:top w:val="single" w:sz="8"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8" w:space="0" w:color="231F20"/>
                        </w:tcBorders>
                      </w:tcPr>
                      <w:p>
                        <w:pPr>
                          <w:pStyle w:val="TableParagraph"/>
                          <w:spacing w:before="52"/>
                          <w:ind w:right="79"/>
                          <w:rPr>
                            <w:sz w:val="18"/>
                          </w:rPr>
                        </w:pPr>
                        <w:r>
                          <w:rPr>
                            <w:color w:val="231F20"/>
                            <w:sz w:val="18"/>
                          </w:rPr>
                          <w:t>$   1,216</w:t>
                        </w:r>
                      </w:p>
                    </w:tc>
                    <w:tc>
                      <w:tcPr>
                        <w:tcW w:w="100" w:type="dxa"/>
                      </w:tcPr>
                      <w:p>
                        <w:pPr/>
                      </w:p>
                    </w:tc>
                    <w:tc>
                      <w:tcPr>
                        <w:tcW w:w="733" w:type="dxa"/>
                        <w:tcBorders>
                          <w:top w:val="single" w:sz="8" w:space="0" w:color="231F20"/>
                        </w:tcBorders>
                      </w:tcPr>
                      <w:p>
                        <w:pPr>
                          <w:pStyle w:val="TableParagraph"/>
                          <w:spacing w:before="52"/>
                          <w:ind w:left="59"/>
                          <w:jc w:val="left"/>
                          <w:rPr>
                            <w:sz w:val="18"/>
                          </w:rPr>
                        </w:pPr>
                        <w:r>
                          <w:rPr>
                            <w:color w:val="231F20"/>
                            <w:sz w:val="18"/>
                          </w:rPr>
                          <w:t>$  4,971</w:t>
                        </w:r>
                      </w:p>
                    </w:tc>
                    <w:tc>
                      <w:tcPr>
                        <w:tcW w:w="100" w:type="dxa"/>
                      </w:tcPr>
                      <w:p>
                        <w:pPr/>
                      </w:p>
                    </w:tc>
                    <w:tc>
                      <w:tcPr>
                        <w:tcW w:w="1141" w:type="dxa"/>
                        <w:tcBorders>
                          <w:top w:val="single" w:sz="8" w:space="0" w:color="231F20"/>
                        </w:tcBorders>
                      </w:tcPr>
                      <w:p>
                        <w:pPr>
                          <w:pStyle w:val="TableParagraph"/>
                          <w:tabs>
                            <w:tab w:pos="730" w:val="left" w:leader="none"/>
                          </w:tabs>
                          <w:spacing w:before="52"/>
                          <w:ind w:left="59"/>
                          <w:jc w:val="left"/>
                          <w:rPr>
                            <w:sz w:val="18"/>
                          </w:rPr>
                        </w:pPr>
                        <w:r>
                          <w:rPr>
                            <w:color w:val="231F20"/>
                            <w:sz w:val="18"/>
                          </w:rPr>
                          <w:t>$</w:t>
                          <w:tab/>
                          <w:t>(578)</w:t>
                        </w:r>
                      </w:p>
                    </w:tc>
                    <w:tc>
                      <w:tcPr>
                        <w:tcW w:w="100" w:type="dxa"/>
                      </w:tcPr>
                      <w:p>
                        <w:pPr/>
                      </w:p>
                    </w:tc>
                    <w:tc>
                      <w:tcPr>
                        <w:tcW w:w="751" w:type="dxa"/>
                        <w:tcBorders>
                          <w:top w:val="single" w:sz="8" w:space="0" w:color="231F20"/>
                        </w:tcBorders>
                      </w:tcPr>
                      <w:p>
                        <w:pPr>
                          <w:pStyle w:val="TableParagraph"/>
                          <w:spacing w:before="52"/>
                          <w:ind w:right="18"/>
                          <w:rPr>
                            <w:sz w:val="18"/>
                          </w:rPr>
                        </w:pPr>
                        <w:r>
                          <w:rPr>
                            <w:color w:val="231F20"/>
                            <w:sz w:val="18"/>
                          </w:rPr>
                          <w:t>$    (963)</w:t>
                        </w:r>
                      </w:p>
                    </w:tc>
                    <w:tc>
                      <w:tcPr>
                        <w:tcW w:w="100" w:type="dxa"/>
                      </w:tcPr>
                      <w:p>
                        <w:pPr/>
                      </w:p>
                    </w:tc>
                    <w:tc>
                      <w:tcPr>
                        <w:tcW w:w="680" w:type="dxa"/>
                        <w:tcBorders>
                          <w:top w:val="single" w:sz="8" w:space="0" w:color="231F20"/>
                        </w:tcBorders>
                      </w:tcPr>
                      <w:p>
                        <w:pPr>
                          <w:pStyle w:val="TableParagraph"/>
                          <w:spacing w:before="52"/>
                          <w:ind w:right="78"/>
                          <w:rPr>
                            <w:sz w:val="18"/>
                          </w:rPr>
                        </w:pPr>
                        <w:r>
                          <w:rPr>
                            <w:color w:val="231F20"/>
                            <w:sz w:val="18"/>
                          </w:rPr>
                          <w:t>$ 5,454</w:t>
                        </w:r>
                      </w:p>
                    </w:tc>
                  </w:tr>
                  <w:tr>
                    <w:trPr>
                      <w:trHeight w:val="318" w:hRule="exact"/>
                    </w:trPr>
                    <w:tc>
                      <w:tcPr>
                        <w:tcW w:w="751" w:type="dxa"/>
                      </w:tcPr>
                      <w:p>
                        <w:pPr>
                          <w:pStyle w:val="TableParagraph"/>
                          <w:spacing w:before="111"/>
                          <w:ind w:left="400"/>
                          <w:jc w:val="left"/>
                          <w:rPr>
                            <w:sz w:val="18"/>
                          </w:rPr>
                        </w:pPr>
                        <w:r>
                          <w:rPr>
                            <w:color w:val="231F20"/>
                            <w:sz w:val="18"/>
                          </w:rPr>
                          <w:t>—</w:t>
                        </w:r>
                      </w:p>
                    </w:tc>
                    <w:tc>
                      <w:tcPr>
                        <w:tcW w:w="100" w:type="dxa"/>
                      </w:tcPr>
                      <w:p>
                        <w:pPr/>
                      </w:p>
                    </w:tc>
                    <w:tc>
                      <w:tcPr>
                        <w:tcW w:w="799" w:type="dxa"/>
                      </w:tcPr>
                      <w:p>
                        <w:pPr>
                          <w:pStyle w:val="TableParagraph"/>
                          <w:spacing w:before="111"/>
                          <w:ind w:right="168"/>
                          <w:rPr>
                            <w:sz w:val="18"/>
                          </w:rPr>
                        </w:pPr>
                        <w:r>
                          <w:rPr>
                            <w:color w:val="231F20"/>
                            <w:sz w:val="18"/>
                          </w:rPr>
                          <w:t>—</w:t>
                        </w:r>
                      </w:p>
                    </w:tc>
                    <w:tc>
                      <w:tcPr>
                        <w:tcW w:w="100" w:type="dxa"/>
                      </w:tcPr>
                      <w:p>
                        <w:pPr/>
                      </w:p>
                    </w:tc>
                    <w:tc>
                      <w:tcPr>
                        <w:tcW w:w="733" w:type="dxa"/>
                      </w:tcPr>
                      <w:p>
                        <w:pPr>
                          <w:pStyle w:val="TableParagraph"/>
                          <w:spacing w:before="111"/>
                          <w:ind w:left="412"/>
                          <w:jc w:val="left"/>
                          <w:rPr>
                            <w:sz w:val="18"/>
                          </w:rPr>
                        </w:pPr>
                        <w:r>
                          <w:rPr>
                            <w:color w:val="231F20"/>
                            <w:sz w:val="18"/>
                          </w:rPr>
                          <w:t>(18)</w:t>
                        </w:r>
                      </w:p>
                    </w:tc>
                    <w:tc>
                      <w:tcPr>
                        <w:tcW w:w="100" w:type="dxa"/>
                      </w:tcPr>
                      <w:p>
                        <w:pPr/>
                      </w:p>
                    </w:tc>
                    <w:tc>
                      <w:tcPr>
                        <w:tcW w:w="1141" w:type="dxa"/>
                      </w:tcPr>
                      <w:p>
                        <w:pPr>
                          <w:pStyle w:val="TableParagraph"/>
                          <w:spacing w:before="111"/>
                          <w:ind w:right="168"/>
                          <w:rPr>
                            <w:sz w:val="18"/>
                          </w:rPr>
                        </w:pPr>
                        <w:r>
                          <w:rPr>
                            <w:color w:val="231F20"/>
                            <w:sz w:val="18"/>
                          </w:rPr>
                          <w:t>—</w:t>
                        </w:r>
                      </w:p>
                    </w:tc>
                    <w:tc>
                      <w:tcPr>
                        <w:tcW w:w="100" w:type="dxa"/>
                      </w:tcPr>
                      <w:p>
                        <w:pPr/>
                      </w:p>
                    </w:tc>
                    <w:tc>
                      <w:tcPr>
                        <w:tcW w:w="751" w:type="dxa"/>
                      </w:tcPr>
                      <w:p>
                        <w:pPr>
                          <w:pStyle w:val="TableParagraph"/>
                          <w:spacing w:before="111"/>
                          <w:ind w:right="79"/>
                          <w:rPr>
                            <w:sz w:val="18"/>
                          </w:rPr>
                        </w:pPr>
                        <w:r>
                          <w:rPr>
                            <w:color w:val="231F20"/>
                            <w:sz w:val="18"/>
                          </w:rPr>
                          <w:t>72</w:t>
                        </w:r>
                      </w:p>
                    </w:tc>
                    <w:tc>
                      <w:tcPr>
                        <w:tcW w:w="100" w:type="dxa"/>
                      </w:tcPr>
                      <w:p>
                        <w:pPr/>
                      </w:p>
                    </w:tc>
                    <w:tc>
                      <w:tcPr>
                        <w:tcW w:w="680" w:type="dxa"/>
                      </w:tcPr>
                      <w:p>
                        <w:pPr>
                          <w:pStyle w:val="TableParagraph"/>
                          <w:spacing w:before="111"/>
                          <w:ind w:right="78"/>
                          <w:rPr>
                            <w:sz w:val="18"/>
                          </w:rPr>
                        </w:pPr>
                        <w:r>
                          <w:rPr>
                            <w:color w:val="231F20"/>
                            <w:sz w:val="18"/>
                          </w:rPr>
                          <w:t>54</w:t>
                        </w:r>
                      </w:p>
                    </w:tc>
                  </w:tr>
                </w:tbl>
                <w:p>
                  <w:pPr>
                    <w:pStyle w:val="BodyText"/>
                  </w:pPr>
                </w:p>
              </w:txbxContent>
            </v:textbox>
            <w10:wrap type="none"/>
          </v:shape>
        </w:pict>
      </w:r>
      <w:r>
        <w:rPr>
          <w:b/>
          <w:color w:val="231F20"/>
          <w:sz w:val="16"/>
        </w:rPr>
        <w:t>YEAR ENDED DECEMBER 31, 2012, 2011, AND 2010</w:t>
      </w:r>
    </w:p>
    <w:p>
      <w:pPr>
        <w:pStyle w:val="BodyText"/>
        <w:rPr>
          <w:b/>
          <w:sz w:val="18"/>
        </w:rPr>
      </w:pPr>
    </w:p>
    <w:p>
      <w:pPr>
        <w:pStyle w:val="BodyText"/>
        <w:rPr>
          <w:b/>
          <w:sz w:val="18"/>
        </w:rPr>
      </w:pPr>
    </w:p>
    <w:p>
      <w:pPr>
        <w:pStyle w:val="BodyText"/>
        <w:rPr>
          <w:b/>
          <w:sz w:val="18"/>
        </w:rPr>
      </w:pPr>
    </w:p>
    <w:p>
      <w:pPr>
        <w:pStyle w:val="BodyText"/>
        <w:rPr>
          <w:b/>
          <w:sz w:val="18"/>
        </w:rPr>
      </w:pPr>
    </w:p>
    <w:p>
      <w:pPr>
        <w:spacing w:before="149"/>
        <w:ind w:left="168" w:right="5536" w:firstLine="0"/>
        <w:jc w:val="center"/>
        <w:rPr>
          <w:sz w:val="18"/>
        </w:rPr>
      </w:pPr>
      <w:r>
        <w:rPr>
          <w:color w:val="231F20"/>
          <w:sz w:val="18"/>
        </w:rPr>
        <w:t>Balance at December 31, 2009 . . . . . . . . . . . . . . . . </w:t>
      </w:r>
    </w:p>
    <w:p>
      <w:pPr>
        <w:spacing w:line="254" w:lineRule="auto" w:before="12"/>
        <w:ind w:left="699" w:right="5436" w:hanging="180"/>
        <w:jc w:val="left"/>
        <w:rPr>
          <w:sz w:val="18"/>
        </w:rPr>
      </w:pPr>
      <w:r>
        <w:rPr>
          <w:color w:val="231F20"/>
          <w:sz w:val="18"/>
        </w:rPr>
        <w:t>Issuance of common and treasury stock pursuant to Employee stock plans  . . . . . . . </w:t>
      </w:r>
    </w:p>
    <w:p>
      <w:pPr>
        <w:spacing w:before="0"/>
        <w:ind w:left="519" w:right="0" w:firstLine="0"/>
        <w:jc w:val="left"/>
        <w:rPr>
          <w:sz w:val="18"/>
        </w:rPr>
      </w:pPr>
      <w:r>
        <w:rPr>
          <w:color w:val="231F20"/>
          <w:sz w:val="18"/>
        </w:rPr>
        <w:t>Net tax benefit (expense) of options</w:t>
      </w:r>
    </w:p>
    <w:p>
      <w:pPr>
        <w:tabs>
          <w:tab w:pos="4185" w:val="left" w:leader="none"/>
          <w:tab w:pos="5114" w:val="left" w:leader="none"/>
          <w:tab w:pos="5917" w:val="left" w:leader="none"/>
          <w:tab w:pos="7158" w:val="left" w:leader="none"/>
          <w:tab w:pos="8009" w:val="left" w:leader="none"/>
          <w:tab w:pos="8819" w:val="left" w:leader="none"/>
        </w:tabs>
        <w:spacing w:before="12"/>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(45)</w:t>
        <w:tab/>
        <w:t>—</w:t>
        <w:tab/>
        <w:t>—</w:t>
        <w:tab/>
        <w:t>—</w:t>
        <w:tab/>
        <w:t>(45)</w:t>
      </w:r>
    </w:p>
    <w:p>
      <w:pPr>
        <w:tabs>
          <w:tab w:pos="4325" w:val="left" w:leader="none"/>
          <w:tab w:pos="5314" w:val="left" w:leader="none"/>
          <w:tab w:pos="6057" w:val="left" w:leader="none"/>
          <w:tab w:pos="7298" w:val="left" w:leader="none"/>
          <w:tab w:pos="8149" w:val="left" w:leader="none"/>
          <w:tab w:pos="9199" w:val="right" w:leader="none"/>
        </w:tabs>
        <w:spacing w:before="12"/>
        <w:ind w:left="519" w:right="0" w:firstLine="0"/>
        <w:jc w:val="left"/>
        <w:rPr>
          <w:sz w:val="18"/>
        </w:rPr>
      </w:pPr>
      <w:r>
        <w:rPr/>
        <w:pict>
          <v:shape style="position:absolute;margin-left:66.5pt;margin-top:12.100121pt;width:458.5pt;height:35.85pt;mso-position-horizontal-relative:page;mso-position-vertical-relative:paragraph;z-index:43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5"/>
                    <w:gridCol w:w="751"/>
                    <w:gridCol w:w="100"/>
                    <w:gridCol w:w="799"/>
                    <w:gridCol w:w="100"/>
                    <w:gridCol w:w="733"/>
                    <w:gridCol w:w="100"/>
                    <w:gridCol w:w="1141"/>
                    <w:gridCol w:w="100"/>
                    <w:gridCol w:w="751"/>
                    <w:gridCol w:w="100"/>
                    <w:gridCol w:w="680"/>
                  </w:tblGrid>
                  <w:tr>
                    <w:trPr>
                      <w:trHeight w:val="208" w:hRule="exact"/>
                    </w:trPr>
                    <w:tc>
                      <w:tcPr>
                        <w:tcW w:w="3815" w:type="dxa"/>
                      </w:tcPr>
                      <w:p>
                        <w:pPr>
                          <w:pStyle w:val="TableParagraph"/>
                          <w:spacing w:line="197" w:lineRule="exact"/>
                          <w:ind w:right="53"/>
                          <w:rPr>
                            <w:sz w:val="18"/>
                          </w:rPr>
                        </w:pPr>
                        <w:r>
                          <w:rPr>
                            <w:color w:val="231F20"/>
                            <w:sz w:val="18"/>
                          </w:rPr>
                          <w:t>Cash dividends, $.018 per share . . . . . . . . . . . </w:t>
                        </w: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799" w:type="dxa"/>
                      </w:tcPr>
                      <w:p>
                        <w:pPr>
                          <w:pStyle w:val="TableParagraph"/>
                          <w:spacing w:line="197" w:lineRule="exact"/>
                          <w:ind w:right="168"/>
                          <w:rPr>
                            <w:sz w:val="18"/>
                          </w:rPr>
                        </w:pPr>
                        <w:r>
                          <w:rPr>
                            <w:color w:val="231F20"/>
                            <w:sz w:val="18"/>
                          </w:rPr>
                          <w:t>—</w:t>
                        </w:r>
                      </w:p>
                    </w:tc>
                    <w:tc>
                      <w:tcPr>
                        <w:tcW w:w="100" w:type="dxa"/>
                      </w:tcPr>
                      <w:p>
                        <w:pPr/>
                      </w:p>
                    </w:tc>
                    <w:tc>
                      <w:tcPr>
                        <w:tcW w:w="733" w:type="dxa"/>
                      </w:tcPr>
                      <w:p>
                        <w:pPr>
                          <w:pStyle w:val="TableParagraph"/>
                          <w:spacing w:line="197" w:lineRule="exact"/>
                          <w:ind w:left="412"/>
                          <w:jc w:val="left"/>
                          <w:rPr>
                            <w:sz w:val="18"/>
                          </w:rPr>
                        </w:pPr>
                        <w:r>
                          <w:rPr>
                            <w:color w:val="231F20"/>
                            <w:sz w:val="18"/>
                          </w:rPr>
                          <w:t>(13)</w:t>
                        </w:r>
                      </w:p>
                    </w:tc>
                    <w:tc>
                      <w:tcPr>
                        <w:tcW w:w="100" w:type="dxa"/>
                      </w:tcPr>
                      <w:p>
                        <w:pPr/>
                      </w:p>
                    </w:tc>
                    <w:tc>
                      <w:tcPr>
                        <w:tcW w:w="1141" w:type="dxa"/>
                      </w:tcPr>
                      <w:p>
                        <w:pPr>
                          <w:pStyle w:val="TableParagraph"/>
                          <w:spacing w:line="197" w:lineRule="exact"/>
                          <w:ind w:right="168"/>
                          <w:rPr>
                            <w:sz w:val="18"/>
                          </w:rPr>
                        </w:pPr>
                        <w:r>
                          <w:rPr>
                            <w:color w:val="231F20"/>
                            <w:sz w:val="18"/>
                          </w:rPr>
                          <w:t>—</w:t>
                        </w:r>
                      </w:p>
                    </w:tc>
                    <w:tc>
                      <w:tcPr>
                        <w:tcW w:w="100" w:type="dxa"/>
                      </w:tcPr>
                      <w:p>
                        <w:pP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680" w:type="dxa"/>
                      </w:tcPr>
                      <w:p>
                        <w:pPr>
                          <w:pStyle w:val="TableParagraph"/>
                          <w:spacing w:line="197" w:lineRule="exact"/>
                          <w:ind w:right="18"/>
                          <w:rPr>
                            <w:sz w:val="18"/>
                          </w:rPr>
                        </w:pPr>
                        <w:r>
                          <w:rPr>
                            <w:color w:val="231F20"/>
                            <w:sz w:val="18"/>
                          </w:rPr>
                          <w:t>(13)</w:t>
                        </w:r>
                      </w:p>
                    </w:tc>
                  </w:tr>
                  <w:tr>
                    <w:trPr>
                      <w:trHeight w:val="245" w:hRule="exact"/>
                    </w:trPr>
                    <w:tc>
                      <w:tcPr>
                        <w:tcW w:w="3815" w:type="dxa"/>
                      </w:tcPr>
                      <w:p>
                        <w:pPr>
                          <w:pStyle w:val="TableParagraph"/>
                          <w:spacing w:before="1"/>
                          <w:ind w:right="53"/>
                          <w:rPr>
                            <w:sz w:val="18"/>
                          </w:rPr>
                        </w:pPr>
                        <w:r>
                          <w:rPr>
                            <w:color w:val="231F20"/>
                            <w:sz w:val="18"/>
                          </w:rPr>
                          <w:t>Comprehensive income   . . . . . . . . . . . . . . . . . </w:t>
                        </w: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799" w:type="dxa"/>
                        <w:tcBorders>
                          <w:bottom w:val="single" w:sz="4" w:space="0" w:color="231F20"/>
                        </w:tcBorders>
                      </w:tcPr>
                      <w:p>
                        <w:pPr>
                          <w:pStyle w:val="TableParagraph"/>
                          <w:spacing w:before="1"/>
                          <w:ind w:right="168"/>
                          <w:rPr>
                            <w:sz w:val="18"/>
                          </w:rPr>
                        </w:pPr>
                        <w:r>
                          <w:rPr>
                            <w:color w:val="231F20"/>
                            <w:sz w:val="18"/>
                          </w:rPr>
                          <w:t>—</w:t>
                        </w:r>
                      </w:p>
                    </w:tc>
                    <w:tc>
                      <w:tcPr>
                        <w:tcW w:w="100" w:type="dxa"/>
                      </w:tcPr>
                      <w:p>
                        <w:pPr/>
                      </w:p>
                    </w:tc>
                    <w:tc>
                      <w:tcPr>
                        <w:tcW w:w="733" w:type="dxa"/>
                        <w:tcBorders>
                          <w:bottom w:val="single" w:sz="4" w:space="0" w:color="231F20"/>
                        </w:tcBorders>
                      </w:tcPr>
                      <w:p>
                        <w:pPr>
                          <w:pStyle w:val="TableParagraph"/>
                          <w:spacing w:before="1"/>
                          <w:ind w:left="382"/>
                          <w:jc w:val="left"/>
                          <w:rPr>
                            <w:sz w:val="18"/>
                          </w:rPr>
                        </w:pPr>
                        <w:r>
                          <w:rPr>
                            <w:color w:val="231F20"/>
                            <w:sz w:val="18"/>
                          </w:rPr>
                          <w:t>459</w:t>
                        </w:r>
                      </w:p>
                    </w:tc>
                    <w:tc>
                      <w:tcPr>
                        <w:tcW w:w="100" w:type="dxa"/>
                      </w:tcPr>
                      <w:p>
                        <w:pPr/>
                      </w:p>
                    </w:tc>
                    <w:tc>
                      <w:tcPr>
                        <w:tcW w:w="1141" w:type="dxa"/>
                        <w:tcBorders>
                          <w:bottom w:val="single" w:sz="4" w:space="0" w:color="231F20"/>
                        </w:tcBorders>
                      </w:tcPr>
                      <w:p>
                        <w:pPr>
                          <w:pStyle w:val="TableParagraph"/>
                          <w:spacing w:before="1"/>
                          <w:ind w:right="78"/>
                          <w:rPr>
                            <w:sz w:val="18"/>
                          </w:rPr>
                        </w:pPr>
                        <w:r>
                          <w:rPr>
                            <w:color w:val="231F20"/>
                            <w:sz w:val="18"/>
                          </w:rPr>
                          <w:t>316</w:t>
                        </w:r>
                      </w:p>
                    </w:tc>
                    <w:tc>
                      <w:tcPr>
                        <w:tcW w:w="100" w:type="dxa"/>
                      </w:tcPr>
                      <w:p>
                        <w:pP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680" w:type="dxa"/>
                        <w:tcBorders>
                          <w:bottom w:val="single" w:sz="4" w:space="0" w:color="231F20"/>
                        </w:tcBorders>
                      </w:tcPr>
                      <w:p>
                        <w:pPr>
                          <w:pStyle w:val="TableParagraph"/>
                          <w:spacing w:before="1"/>
                          <w:ind w:right="78"/>
                          <w:rPr>
                            <w:sz w:val="18"/>
                          </w:rPr>
                        </w:pPr>
                        <w:r>
                          <w:rPr>
                            <w:color w:val="231F20"/>
                            <w:sz w:val="18"/>
                          </w:rPr>
                          <w:t>775</w:t>
                        </w:r>
                      </w:p>
                    </w:tc>
                  </w:tr>
                  <w:tr>
                    <w:trPr>
                      <w:trHeight w:val="264" w:hRule="exact"/>
                    </w:trPr>
                    <w:tc>
                      <w:tcPr>
                        <w:tcW w:w="3815" w:type="dxa"/>
                      </w:tcPr>
                      <w:p>
                        <w:pPr>
                          <w:pStyle w:val="TableParagraph"/>
                          <w:spacing w:before="57"/>
                          <w:ind w:right="53"/>
                          <w:rPr>
                            <w:sz w:val="18"/>
                          </w:rPr>
                        </w:pPr>
                        <w:r>
                          <w:rPr>
                            <w:color w:val="231F20"/>
                            <w:sz w:val="18"/>
                          </w:rPr>
                          <w:t>Balance at December 31, 2010 . . . . . . . . . . . . . . . . </w:t>
                        </w:r>
                      </w:p>
                    </w:tc>
                    <w:tc>
                      <w:tcPr>
                        <w:tcW w:w="751" w:type="dxa"/>
                        <w:tcBorders>
                          <w:top w:val="single" w:sz="4"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4" w:space="0" w:color="231F20"/>
                        </w:tcBorders>
                      </w:tcPr>
                      <w:p>
                        <w:pPr>
                          <w:pStyle w:val="TableParagraph"/>
                          <w:spacing w:before="52"/>
                          <w:ind w:right="79"/>
                          <w:rPr>
                            <w:sz w:val="18"/>
                          </w:rPr>
                        </w:pPr>
                        <w:r>
                          <w:rPr>
                            <w:color w:val="231F20"/>
                            <w:sz w:val="18"/>
                          </w:rPr>
                          <w:t>$   1,183</w:t>
                        </w:r>
                      </w:p>
                    </w:tc>
                    <w:tc>
                      <w:tcPr>
                        <w:tcW w:w="100" w:type="dxa"/>
                      </w:tcPr>
                      <w:p>
                        <w:pPr/>
                      </w:p>
                    </w:tc>
                    <w:tc>
                      <w:tcPr>
                        <w:tcW w:w="733" w:type="dxa"/>
                        <w:tcBorders>
                          <w:top w:val="single" w:sz="4" w:space="0" w:color="231F20"/>
                        </w:tcBorders>
                      </w:tcPr>
                      <w:p>
                        <w:pPr>
                          <w:pStyle w:val="TableParagraph"/>
                          <w:spacing w:before="52"/>
                          <w:ind w:left="59"/>
                          <w:jc w:val="left"/>
                          <w:rPr>
                            <w:sz w:val="18"/>
                          </w:rPr>
                        </w:pPr>
                        <w:r>
                          <w:rPr>
                            <w:color w:val="231F20"/>
                            <w:sz w:val="18"/>
                          </w:rPr>
                          <w:t>$  5,399</w:t>
                        </w:r>
                      </w:p>
                    </w:tc>
                    <w:tc>
                      <w:tcPr>
                        <w:tcW w:w="100" w:type="dxa"/>
                      </w:tcPr>
                      <w:p>
                        <w:pPr/>
                      </w:p>
                    </w:tc>
                    <w:tc>
                      <w:tcPr>
                        <w:tcW w:w="1141" w:type="dxa"/>
                        <w:tcBorders>
                          <w:top w:val="single" w:sz="4" w:space="0" w:color="231F20"/>
                        </w:tcBorders>
                      </w:tcPr>
                      <w:p>
                        <w:pPr>
                          <w:pStyle w:val="TableParagraph"/>
                          <w:tabs>
                            <w:tab w:pos="670" w:val="left" w:leader="none"/>
                          </w:tabs>
                          <w:spacing w:before="52"/>
                          <w:ind w:right="18"/>
                          <w:rPr>
                            <w:sz w:val="18"/>
                          </w:rPr>
                        </w:pPr>
                        <w:r>
                          <w:rPr>
                            <w:color w:val="231F20"/>
                            <w:sz w:val="18"/>
                          </w:rPr>
                          <w:t>$</w:t>
                          <w:tab/>
                          <w:t>(262)</w:t>
                        </w:r>
                      </w:p>
                    </w:tc>
                    <w:tc>
                      <w:tcPr>
                        <w:tcW w:w="100" w:type="dxa"/>
                      </w:tcPr>
                      <w:p>
                        <w:pPr/>
                      </w:p>
                    </w:tc>
                    <w:tc>
                      <w:tcPr>
                        <w:tcW w:w="751" w:type="dxa"/>
                        <w:tcBorders>
                          <w:top w:val="single" w:sz="4" w:space="0" w:color="231F20"/>
                        </w:tcBorders>
                      </w:tcPr>
                      <w:p>
                        <w:pPr>
                          <w:pStyle w:val="TableParagraph"/>
                          <w:spacing w:before="52"/>
                          <w:ind w:left="59"/>
                          <w:jc w:val="left"/>
                          <w:rPr>
                            <w:sz w:val="18"/>
                          </w:rPr>
                        </w:pPr>
                        <w:r>
                          <w:rPr>
                            <w:color w:val="231F20"/>
                            <w:sz w:val="18"/>
                          </w:rPr>
                          <w:t>$    (891)</w:t>
                        </w:r>
                      </w:p>
                    </w:tc>
                    <w:tc>
                      <w:tcPr>
                        <w:tcW w:w="100" w:type="dxa"/>
                      </w:tcPr>
                      <w:p>
                        <w:pPr/>
                      </w:p>
                    </w:tc>
                    <w:tc>
                      <w:tcPr>
                        <w:tcW w:w="680" w:type="dxa"/>
                        <w:tcBorders>
                          <w:top w:val="single" w:sz="4" w:space="0" w:color="231F20"/>
                        </w:tcBorders>
                      </w:tcPr>
                      <w:p>
                        <w:pPr>
                          <w:pStyle w:val="TableParagraph"/>
                          <w:spacing w:before="52"/>
                          <w:ind w:right="78"/>
                          <w:rPr>
                            <w:sz w:val="18"/>
                          </w:rPr>
                        </w:pPr>
                        <w:r>
                          <w:rPr>
                            <w:color w:val="231F20"/>
                            <w:sz w:val="18"/>
                          </w:rPr>
                          <w:t>$ 6,237</w:t>
                        </w:r>
                      </w:p>
                    </w:tc>
                  </w:tr>
                </w:tbl>
                <w:p>
                  <w:pPr>
                    <w:pStyle w:val="BodyText"/>
                  </w:pPr>
                </w:p>
              </w:txbxContent>
            </v:textbox>
            <w10:wrap type="none"/>
          </v:shape>
        </w:pict>
      </w:r>
      <w:r>
        <w:rPr>
          <w:color w:val="231F20"/>
          <w:sz w:val="18"/>
        </w:rPr>
        <w:t>Share-based compensation  . . . . . . . . . . . . .</w:t>
      </w:r>
      <w:r>
        <w:rPr>
          <w:color w:val="231F20"/>
          <w:spacing w:val="-15"/>
          <w:sz w:val="18"/>
        </w:rPr>
        <w:t> </w:t>
      </w:r>
      <w:r>
        <w:rPr>
          <w:color w:val="231F20"/>
          <w:sz w:val="18"/>
        </w:rPr>
        <w:t>. .</w:t>
        <w:tab/>
        <w:t>—</w:t>
        <w:tab/>
        <w:t>12</w:t>
        <w:tab/>
        <w:t>—</w:t>
        <w:tab/>
        <w:t>—</w:t>
        <w:tab/>
        <w:t>—</w:t>
        <w:tab/>
        <w:t>12</w:t>
      </w:r>
    </w:p>
    <w:p>
      <w:pPr>
        <w:tabs>
          <w:tab w:pos="4325" w:val="left" w:leader="none"/>
          <w:tab w:pos="5224" w:val="left" w:leader="none"/>
          <w:tab w:pos="6057" w:val="left" w:leader="none"/>
          <w:tab w:pos="7298" w:val="left" w:leader="none"/>
          <w:tab w:pos="8089" w:val="left" w:leader="none"/>
          <w:tab w:pos="8869" w:val="left" w:leader="none"/>
        </w:tabs>
        <w:spacing w:before="752"/>
        <w:ind w:left="519" w:right="0" w:firstLine="0"/>
        <w:jc w:val="left"/>
        <w:rPr>
          <w:sz w:val="18"/>
        </w:rPr>
      </w:pPr>
      <w:r>
        <w:rPr>
          <w:color w:val="231F20"/>
          <w:sz w:val="18"/>
        </w:rPr>
        <w:t>Repurchase of common stock . . . . . . . . . . . . .</w:t>
        <w:tab/>
        <w:t>—</w:t>
        <w:tab/>
        <w:t>—</w:t>
        <w:tab/>
        <w:t>—</w:t>
        <w:tab/>
        <w:t>—</w:t>
        <w:tab/>
        <w:t>(225)</w:t>
        <w:tab/>
        <w:t>(225)</w:t>
      </w:r>
    </w:p>
    <w:p>
      <w:pPr>
        <w:spacing w:before="12"/>
        <w:ind w:left="519" w:right="0" w:firstLine="0"/>
        <w:jc w:val="left"/>
        <w:rPr>
          <w:sz w:val="18"/>
        </w:rPr>
      </w:pPr>
      <w:r>
        <w:rPr>
          <w:color w:val="231F20"/>
          <w:sz w:val="18"/>
        </w:rPr>
        <w:t>Issuance of common and treasury stock</w:t>
      </w:r>
    </w:p>
    <w:p>
      <w:pPr>
        <w:tabs>
          <w:tab w:pos="4125" w:val="left" w:leader="none"/>
          <w:tab w:pos="5144" w:val="left" w:leader="none"/>
          <w:tab w:pos="5887" w:val="left" w:leader="none"/>
          <w:tab w:pos="7098" w:val="left" w:leader="none"/>
          <w:tab w:pos="8039" w:val="left" w:leader="none"/>
          <w:tab w:pos="8999" w:val="right" w:leader="none"/>
        </w:tabs>
        <w:spacing w:before="12"/>
        <w:ind w:left="499" w:right="0" w:firstLine="0"/>
        <w:jc w:val="center"/>
        <w:rPr>
          <w:sz w:val="18"/>
        </w:rPr>
      </w:pPr>
      <w:r>
        <w:rPr>
          <w:color w:val="231F20"/>
          <w:sz w:val="18"/>
        </w:rPr>
        <w:t>pursuant to Employee stock plans  . . . . .</w:t>
      </w:r>
      <w:r>
        <w:rPr>
          <w:color w:val="231F20"/>
          <w:spacing w:val="19"/>
          <w:sz w:val="18"/>
        </w:rPr>
        <w:t> </w:t>
      </w:r>
      <w:r>
        <w:rPr>
          <w:color w:val="231F20"/>
          <w:sz w:val="18"/>
        </w:rPr>
        <w:t>. .</w:t>
        <w:tab/>
        <w:t>—</w:t>
        <w:tab/>
        <w:t>(3)</w:t>
        <w:tab/>
        <w:t>(14)</w:t>
        <w:tab/>
        <w:t>—</w:t>
        <w:tab/>
        <w:t>37</w:t>
        <w:tab/>
        <w:t>20</w:t>
      </w:r>
    </w:p>
    <w:p>
      <w:pPr>
        <w:tabs>
          <w:tab w:pos="4325" w:val="left" w:leader="none"/>
          <w:tab w:pos="5224" w:val="left" w:leader="none"/>
          <w:tab w:pos="5997" w:val="left" w:leader="none"/>
          <w:tab w:pos="7298" w:val="left" w:leader="none"/>
          <w:tab w:pos="8149" w:val="left" w:leader="none"/>
          <w:tab w:pos="9199" w:val="right" w:leader="none"/>
        </w:tabs>
        <w:spacing w:before="12"/>
        <w:ind w:left="519" w:right="0" w:firstLine="0"/>
        <w:jc w:val="left"/>
        <w:rPr>
          <w:sz w:val="18"/>
        </w:rPr>
      </w:pPr>
      <w:r>
        <w:rPr>
          <w:color w:val="231F20"/>
          <w:sz w:val="18"/>
        </w:rPr>
        <w:t>Issuance of stock to acquire AirTran  . . . . .</w:t>
      </w:r>
      <w:r>
        <w:rPr>
          <w:color w:val="231F20"/>
          <w:spacing w:val="4"/>
          <w:sz w:val="18"/>
        </w:rPr>
        <w:t> </w:t>
      </w:r>
      <w:r>
        <w:rPr>
          <w:color w:val="231F20"/>
          <w:sz w:val="18"/>
        </w:rPr>
        <w:t>. .</w:t>
        <w:tab/>
        <w:t>—</w:t>
        <w:tab/>
        <w:t>—</w:t>
        <w:tab/>
        <w:t>(127)</w:t>
        <w:tab/>
        <w:t>—</w:t>
        <w:tab/>
        <w:t>650</w:t>
        <w:tab/>
        <w:t>523</w:t>
      </w:r>
    </w:p>
    <w:p>
      <w:pPr>
        <w:spacing w:before="12"/>
        <w:ind w:left="519" w:right="0" w:firstLine="0"/>
        <w:jc w:val="left"/>
        <w:rPr>
          <w:sz w:val="18"/>
        </w:rPr>
      </w:pPr>
      <w:r>
        <w:rPr>
          <w:color w:val="231F20"/>
          <w:sz w:val="18"/>
        </w:rPr>
        <w:t>Issuance of stock for conversion of</w:t>
      </w:r>
    </w:p>
    <w:p>
      <w:pPr>
        <w:tabs>
          <w:tab w:pos="4125" w:val="left" w:leader="none"/>
          <w:tab w:pos="5114" w:val="left" w:leader="none"/>
          <w:tab w:pos="5887" w:val="left" w:leader="none"/>
          <w:tab w:pos="7098" w:val="left" w:leader="none"/>
          <w:tab w:pos="7949" w:val="left" w:leader="none"/>
          <w:tab w:pos="8999" w:val="right" w:leader="none"/>
        </w:tabs>
        <w:spacing w:before="12"/>
        <w:ind w:left="499" w:right="0" w:firstLine="0"/>
        <w:jc w:val="center"/>
        <w:rPr>
          <w:sz w:val="18"/>
        </w:rPr>
      </w:pPr>
      <w:r>
        <w:rPr>
          <w:color w:val="231F20"/>
          <w:sz w:val="18"/>
        </w:rPr>
        <w:t>debt  . . . . . . . . . . . . . . . . . . . . . . . . . . . . .</w:t>
      </w:r>
      <w:r>
        <w:rPr>
          <w:color w:val="231F20"/>
          <w:spacing w:val="-20"/>
          <w:sz w:val="18"/>
        </w:rPr>
        <w:t> </w:t>
      </w:r>
      <w:r>
        <w:rPr>
          <w:color w:val="231F20"/>
          <w:sz w:val="18"/>
        </w:rPr>
        <w:t>. .</w:t>
        <w:tab/>
        <w:t>—</w:t>
        <w:tab/>
        <w:t>34</w:t>
        <w:tab/>
        <w:t>(27)</w:t>
        <w:tab/>
        <w:t>—</w:t>
        <w:tab/>
        <w:t>105</w:t>
        <w:tab/>
        <w:t>112</w:t>
      </w:r>
    </w:p>
    <w:p>
      <w:pPr>
        <w:spacing w:before="12"/>
        <w:ind w:left="519" w:right="0" w:firstLine="0"/>
        <w:jc w:val="left"/>
        <w:rPr>
          <w:sz w:val="18"/>
        </w:rPr>
      </w:pPr>
      <w:r>
        <w:rPr>
          <w:color w:val="231F20"/>
          <w:sz w:val="18"/>
        </w:rPr>
        <w:t>Net tax benefit (expense) of options</w:t>
      </w:r>
    </w:p>
    <w:p>
      <w:pPr>
        <w:tabs>
          <w:tab w:pos="4185" w:val="left" w:leader="none"/>
          <w:tab w:pos="5204" w:val="left" w:leader="none"/>
          <w:tab w:pos="5917" w:val="left" w:leader="none"/>
          <w:tab w:pos="7158" w:val="left" w:leader="none"/>
          <w:tab w:pos="8009" w:val="left" w:leader="none"/>
          <w:tab w:pos="8909" w:val="left" w:leader="none"/>
        </w:tabs>
        <w:spacing w:before="12"/>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(5)</w:t>
        <w:tab/>
        <w:t>—</w:t>
        <w:tab/>
        <w:t>—</w:t>
        <w:tab/>
        <w:t>—</w:t>
        <w:tab/>
        <w:t>(5)</w:t>
      </w:r>
    </w:p>
    <w:p>
      <w:pPr>
        <w:tabs>
          <w:tab w:pos="4325" w:val="left" w:leader="none"/>
          <w:tab w:pos="5314" w:val="left" w:leader="none"/>
          <w:tab w:pos="6057" w:val="left" w:leader="none"/>
          <w:tab w:pos="7298" w:val="left" w:leader="none"/>
          <w:tab w:pos="8149" w:val="left" w:leader="none"/>
          <w:tab w:pos="9199" w:val="right" w:leader="none"/>
        </w:tabs>
        <w:spacing w:before="12"/>
        <w:ind w:left="519" w:right="0" w:firstLine="0"/>
        <w:jc w:val="left"/>
        <w:rPr>
          <w:sz w:val="18"/>
        </w:rPr>
      </w:pPr>
      <w:r>
        <w:rPr>
          <w:color w:val="231F20"/>
          <w:sz w:val="18"/>
        </w:rPr>
        <w:t>Share-based compensation  . . . . . . . . . . . . .</w:t>
      </w:r>
      <w:r>
        <w:rPr>
          <w:color w:val="231F20"/>
          <w:spacing w:val="-15"/>
          <w:sz w:val="18"/>
        </w:rPr>
        <w:t> </w:t>
      </w:r>
      <w:r>
        <w:rPr>
          <w:color w:val="231F20"/>
          <w:sz w:val="18"/>
        </w:rPr>
        <w:t>. .</w:t>
        <w:tab/>
        <w:t>—</w:t>
        <w:tab/>
        <w:t>13</w:t>
        <w:tab/>
        <w:t>—</w:t>
        <w:tab/>
        <w:t>—</w:t>
        <w:tab/>
        <w:t>—</w:t>
        <w:tab/>
        <w:t>13</w:t>
      </w:r>
    </w:p>
    <w:p>
      <w:pPr>
        <w:tabs>
          <w:tab w:pos="4325" w:val="left" w:leader="none"/>
          <w:tab w:pos="5224" w:val="left" w:leader="none"/>
          <w:tab w:pos="6087" w:val="left" w:leader="none"/>
          <w:tab w:pos="7298" w:val="left" w:leader="none"/>
          <w:tab w:pos="8149" w:val="left" w:leader="none"/>
          <w:tab w:pos="8959" w:val="left" w:leader="none"/>
        </w:tabs>
        <w:spacing w:before="12"/>
        <w:ind w:left="519" w:right="0" w:firstLine="0"/>
        <w:jc w:val="left"/>
        <w:rPr>
          <w:sz w:val="18"/>
        </w:rPr>
      </w:pPr>
      <w:r>
        <w:rPr>
          <w:color w:val="231F20"/>
          <w:sz w:val="18"/>
        </w:rPr>
        <w:t>Cash dividends, $.018 per share . . . . . . . . .</w:t>
      </w:r>
      <w:r>
        <w:rPr>
          <w:color w:val="231F20"/>
          <w:spacing w:val="14"/>
          <w:sz w:val="18"/>
        </w:rPr>
        <w:t> </w:t>
      </w:r>
      <w:r>
        <w:rPr>
          <w:color w:val="231F20"/>
          <w:sz w:val="18"/>
        </w:rPr>
        <w:t>. .</w:t>
        <w:tab/>
        <w:t>—</w:t>
        <w:tab/>
        <w:t>—</w:t>
        <w:tab/>
        <w:t>(14)</w:t>
        <w:tab/>
        <w:t>—</w:t>
        <w:tab/>
        <w:t>—</w:t>
        <w:tab/>
        <w:t>(14)</w:t>
      </w:r>
    </w:p>
    <w:p>
      <w:pPr>
        <w:tabs>
          <w:tab w:pos="4325" w:val="left" w:leader="none"/>
          <w:tab w:pos="5224" w:val="left" w:leader="none"/>
          <w:tab w:pos="6057" w:val="left" w:leader="none"/>
          <w:tab w:pos="7388" w:val="left" w:leader="none"/>
          <w:tab w:pos="8149" w:val="left" w:leader="none"/>
          <w:tab w:pos="9199" w:val="right" w:leader="none"/>
        </w:tabs>
        <w:spacing w:before="12"/>
        <w:ind w:left="519" w:right="0" w:firstLine="0"/>
        <w:jc w:val="left"/>
        <w:rPr>
          <w:sz w:val="18"/>
        </w:rPr>
      </w:pPr>
      <w:r>
        <w:rPr/>
        <w:pict>
          <v:line style="position:absolute;mso-position-horizontal-relative:page;mso-position-vertical-relative:paragraph;z-index:4000;mso-wrap-distance-left:0;mso-wrap-distance-right:0" from="257.25pt,12.754541pt" to="294.8pt,12.754541pt" stroked="true" strokeweight=".5pt" strokecolor="#231f20">
            <v:stroke dashstyle="solid"/>
            <w10:wrap type="topAndBottom"/>
          </v:line>
        </w:pict>
      </w:r>
      <w:r>
        <w:rPr/>
        <w:pict>
          <v:line style="position:absolute;mso-position-horizontal-relative:page;mso-position-vertical-relative:paragraph;z-index:4024;mso-wrap-distance-left:0;mso-wrap-distance-right:0" from="299.799988pt,12.754541pt" to="339.749988pt,12.754541pt" stroked="true" strokeweight=".5pt" strokecolor="#231f20">
            <v:stroke dashstyle="solid"/>
            <w10:wrap type="topAndBottom"/>
          </v:line>
        </w:pict>
      </w:r>
      <w:r>
        <w:rPr/>
        <w:pict>
          <v:line style="position:absolute;mso-position-horizontal-relative:page;mso-position-vertical-relative:paragraph;z-index:4048;mso-wrap-distance-left:0;mso-wrap-distance-right:0" from="344.75pt,12.754541pt" to="381.4pt,12.754541pt" stroked="true" strokeweight=".5pt" strokecolor="#231f20">
            <v:stroke dashstyle="solid"/>
            <w10:wrap type="topAndBottom"/>
          </v:line>
        </w:pict>
      </w:r>
      <w:r>
        <w:rPr/>
        <w:pict>
          <v:line style="position:absolute;mso-position-horizontal-relative:page;mso-position-vertical-relative:paragraph;z-index:4072;mso-wrap-distance-left:0;mso-wrap-distance-right:0" from="386.399994pt,12.754541pt" to="443.449994pt,12.754541pt" stroked="true" strokeweight=".5pt" strokecolor="#231f20">
            <v:stroke dashstyle="solid"/>
            <w10:wrap type="topAndBottom"/>
          </v:line>
        </w:pict>
      </w:r>
      <w:r>
        <w:rPr/>
        <w:pict>
          <v:line style="position:absolute;mso-position-horizontal-relative:page;mso-position-vertical-relative:paragraph;z-index:4096;mso-wrap-distance-left:0;mso-wrap-distance-right:0" from="448.450012pt,12.754541pt" to="486.000012pt,12.754541pt" stroked="true" strokeweight=".5pt" strokecolor="#231f20">
            <v:stroke dashstyle="solid"/>
            <w10:wrap type="topAndBottom"/>
          </v:line>
        </w:pict>
      </w:r>
      <w:r>
        <w:rPr/>
        <w:pict>
          <v:line style="position:absolute;mso-position-horizontal-relative:page;mso-position-vertical-relative:paragraph;z-index:4120;mso-wrap-distance-left:0;mso-wrap-distance-right:0" from="491pt,12.754541pt" to="525pt,12.754541pt" stroked="true" strokeweight=".5pt" strokecolor="#231f20">
            <v:stroke dashstyle="solid"/>
            <w10:wrap type="topAndBottom"/>
          </v:line>
        </w:pict>
      </w:r>
      <w:r>
        <w:rPr>
          <w:color w:val="231F20"/>
          <w:sz w:val="18"/>
        </w:rPr>
        <w:t>Comprehensive income   . . . . . . . . . . . . . . .</w:t>
      </w:r>
      <w:r>
        <w:rPr>
          <w:color w:val="231F20"/>
          <w:spacing w:val="-20"/>
          <w:sz w:val="18"/>
        </w:rPr>
        <w:t> </w:t>
      </w:r>
      <w:r>
        <w:rPr>
          <w:color w:val="231F20"/>
          <w:sz w:val="18"/>
        </w:rPr>
        <w:t>. .</w:t>
        <w:tab/>
        <w:t>—</w:t>
        <w:tab/>
        <w:t>—</w:t>
        <w:tab/>
        <w:t>178</w:t>
        <w:tab/>
        <w:t>38</w:t>
        <w:tab/>
        <w:t>—</w:t>
        <w:tab/>
        <w:t>216</w:t>
      </w:r>
    </w:p>
    <w:p>
      <w:pPr>
        <w:tabs>
          <w:tab w:pos="4165" w:val="left" w:leader="none"/>
          <w:tab w:pos="4675" w:val="left" w:leader="none"/>
          <w:tab w:pos="5574" w:val="left" w:leader="none"/>
          <w:tab w:pos="6407" w:val="left" w:leader="none"/>
          <w:tab w:pos="7078" w:val="left" w:leader="none"/>
        </w:tabs>
        <w:spacing w:before="23"/>
        <w:ind w:left="0" w:right="38" w:firstLine="0"/>
        <w:jc w:val="center"/>
        <w:rPr>
          <w:sz w:val="18"/>
        </w:rPr>
      </w:pPr>
      <w:r>
        <w:rPr>
          <w:color w:val="231F20"/>
          <w:sz w:val="18"/>
        </w:rPr>
        <w:t>Balance at December 31, 2011 . . . . . . . . . . . . . . .</w:t>
      </w:r>
      <w:r>
        <w:rPr>
          <w:color w:val="231F20"/>
          <w:spacing w:val="10"/>
          <w:sz w:val="18"/>
        </w:rPr>
        <w:t> </w:t>
      </w:r>
      <w:r>
        <w:rPr>
          <w:color w:val="231F20"/>
          <w:sz w:val="18"/>
        </w:rPr>
        <w:t>.  </w:t>
      </w:r>
      <w:r>
        <w:rPr>
          <w:color w:val="231F20"/>
          <w:spacing w:val="25"/>
          <w:sz w:val="18"/>
        </w:rPr>
        <w:t> </w:t>
      </w:r>
      <w:r>
        <w:rPr>
          <w:color w:val="231F20"/>
          <w:sz w:val="18"/>
        </w:rPr>
        <w:t>$</w:t>
        <w:tab/>
        <w:t>808</w:t>
        <w:tab/>
        <w:t>$  </w:t>
      </w:r>
      <w:r>
        <w:rPr>
          <w:color w:val="231F20"/>
          <w:spacing w:val="29"/>
          <w:sz w:val="18"/>
        </w:rPr>
        <w:t> </w:t>
      </w:r>
      <w:r>
        <w:rPr>
          <w:color w:val="231F20"/>
          <w:sz w:val="18"/>
        </w:rPr>
        <w:t>1,222</w:t>
        <w:tab/>
        <w:t>$ </w:t>
      </w:r>
      <w:r>
        <w:rPr>
          <w:color w:val="231F20"/>
          <w:spacing w:val="8"/>
          <w:sz w:val="18"/>
        </w:rPr>
        <w:t> </w:t>
      </w:r>
      <w:r>
        <w:rPr>
          <w:color w:val="231F20"/>
          <w:sz w:val="18"/>
        </w:rPr>
        <w:t>5,395</w:t>
        <w:tab/>
        <w:t>$</w:t>
        <w:tab/>
        <w:t>(224)    $    (324)    $</w:t>
      </w:r>
      <w:r>
        <w:rPr>
          <w:color w:val="231F20"/>
          <w:spacing w:val="11"/>
          <w:sz w:val="18"/>
        </w:rPr>
        <w:t> </w:t>
      </w:r>
      <w:r>
        <w:rPr>
          <w:color w:val="231F20"/>
          <w:sz w:val="18"/>
        </w:rPr>
        <w:t>6,877</w:t>
      </w:r>
    </w:p>
    <w:p>
      <w:pPr>
        <w:tabs>
          <w:tab w:pos="4325" w:val="left" w:leader="none"/>
          <w:tab w:pos="5224" w:val="left" w:leader="none"/>
          <w:tab w:pos="6057" w:val="left" w:leader="none"/>
          <w:tab w:pos="7298" w:val="left" w:leader="none"/>
          <w:tab w:pos="8089" w:val="left" w:leader="none"/>
          <w:tab w:pos="8869" w:val="left" w:leader="none"/>
        </w:tabs>
        <w:spacing w:before="13"/>
        <w:ind w:left="519" w:right="0" w:firstLine="0"/>
        <w:jc w:val="left"/>
        <w:rPr>
          <w:sz w:val="18"/>
        </w:rPr>
      </w:pPr>
      <w:r>
        <w:rPr>
          <w:color w:val="231F20"/>
          <w:sz w:val="18"/>
        </w:rPr>
        <w:t>Repurchase of common stock . . . . . . . . . . . . .</w:t>
        <w:tab/>
        <w:t>—</w:t>
        <w:tab/>
        <w:t>—</w:t>
        <w:tab/>
        <w:t>—</w:t>
        <w:tab/>
        <w:t>—</w:t>
        <w:tab/>
        <w:t>(400)</w:t>
        <w:tab/>
        <w:t>(400)</w:t>
      </w:r>
    </w:p>
    <w:p>
      <w:pPr>
        <w:spacing w:before="13"/>
        <w:ind w:left="519" w:right="0" w:firstLine="0"/>
        <w:jc w:val="left"/>
        <w:rPr>
          <w:sz w:val="18"/>
        </w:rPr>
      </w:pPr>
      <w:r>
        <w:rPr>
          <w:color w:val="231F20"/>
          <w:sz w:val="18"/>
        </w:rPr>
        <w:t>Issuance of common and treasury stock</w:t>
      </w:r>
    </w:p>
    <w:p>
      <w:pPr>
        <w:tabs>
          <w:tab w:pos="4125" w:val="left" w:leader="none"/>
          <w:tab w:pos="5144" w:val="left" w:leader="none"/>
          <w:tab w:pos="5887" w:val="left" w:leader="none"/>
          <w:tab w:pos="7098" w:val="left" w:leader="none"/>
          <w:tab w:pos="8039" w:val="left" w:leader="none"/>
          <w:tab w:pos="8819" w:val="left" w:leader="none"/>
        </w:tabs>
        <w:spacing w:before="13"/>
        <w:ind w:left="499" w:right="0" w:firstLine="0"/>
        <w:jc w:val="center"/>
        <w:rPr>
          <w:sz w:val="18"/>
        </w:rPr>
      </w:pPr>
      <w:r>
        <w:rPr>
          <w:color w:val="231F20"/>
          <w:sz w:val="18"/>
        </w:rPr>
        <w:t>pursuant to Employee stock plans  . . . . .</w:t>
      </w:r>
      <w:r>
        <w:rPr>
          <w:color w:val="231F20"/>
          <w:spacing w:val="19"/>
          <w:sz w:val="18"/>
        </w:rPr>
        <w:t> </w:t>
      </w:r>
      <w:r>
        <w:rPr>
          <w:color w:val="231F20"/>
          <w:sz w:val="18"/>
        </w:rPr>
        <w:t>. .</w:t>
        <w:tab/>
        <w:t>—</w:t>
        <w:tab/>
        <w:t>(4)</w:t>
        <w:tab/>
        <w:t>(22)</w:t>
        <w:tab/>
        <w:t>—</w:t>
        <w:tab/>
        <w:t>49</w:t>
        <w:tab/>
        <w:t>23</w:t>
      </w:r>
    </w:p>
    <w:p>
      <w:pPr>
        <w:spacing w:before="13"/>
        <w:ind w:left="519" w:right="0" w:firstLine="0"/>
        <w:jc w:val="left"/>
        <w:rPr>
          <w:sz w:val="18"/>
        </w:rPr>
      </w:pPr>
      <w:r>
        <w:rPr>
          <w:color w:val="231F20"/>
          <w:sz w:val="18"/>
        </w:rPr>
        <w:t>Net tax benefit (expense) of options</w:t>
      </w:r>
    </w:p>
    <w:p>
      <w:pPr>
        <w:tabs>
          <w:tab w:pos="4185" w:val="left" w:leader="none"/>
          <w:tab w:pos="5114" w:val="left" w:leader="none"/>
          <w:tab w:pos="5917" w:val="left" w:leader="none"/>
          <w:tab w:pos="7158" w:val="left" w:leader="none"/>
          <w:tab w:pos="8009" w:val="left" w:leader="none"/>
          <w:tab w:pos="8819" w:val="left" w:leader="none"/>
        </w:tabs>
        <w:spacing w:before="13"/>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(24)</w:t>
        <w:tab/>
        <w:t>—</w:t>
        <w:tab/>
        <w:t>—</w:t>
        <w:tab/>
        <w:t>—</w:t>
        <w:tab/>
        <w:t>(24)</w:t>
      </w:r>
    </w:p>
    <w:p>
      <w:pPr>
        <w:tabs>
          <w:tab w:pos="4325" w:val="left" w:leader="none"/>
          <w:tab w:pos="5314" w:val="left" w:leader="none"/>
          <w:tab w:pos="6057" w:val="left" w:leader="none"/>
          <w:tab w:pos="7298" w:val="left" w:leader="none"/>
          <w:tab w:pos="8149" w:val="left" w:leader="none"/>
          <w:tab w:pos="9019" w:val="left" w:leader="none"/>
        </w:tabs>
        <w:spacing w:before="13" w:after="23"/>
        <w:ind w:left="519" w:right="0" w:firstLine="0"/>
        <w:jc w:val="left"/>
        <w:rPr>
          <w:sz w:val="18"/>
        </w:rPr>
      </w:pPr>
      <w:r>
        <w:rPr/>
        <w:pict>
          <v:line style="position:absolute;mso-position-horizontal-relative:page;mso-position-vertical-relative:paragraph;z-index:-354472" from="257.25pt,49.803535pt" to="294.8pt,49.803535pt" stroked="true" strokeweight=".5pt" strokecolor="#231f20">
            <v:stroke dashstyle="solid"/>
            <w10:wrap type="none"/>
          </v:line>
        </w:pict>
      </w:r>
      <w:r>
        <w:rPr/>
        <w:pict>
          <v:line style="position:absolute;mso-position-horizontal-relative:page;mso-position-vertical-relative:paragraph;z-index:-354448" from="299.799988pt,49.803535pt" to="339.749988pt,49.803535pt" stroked="true" strokeweight=".5pt" strokecolor="#231f20">
            <v:stroke dashstyle="solid"/>
            <w10:wrap type="none"/>
          </v:line>
        </w:pict>
      </w:r>
      <w:r>
        <w:rPr/>
        <w:pict>
          <v:line style="position:absolute;mso-position-horizontal-relative:page;mso-position-vertical-relative:paragraph;z-index:-354424" from="344.75pt,49.803535pt" to="381.4pt,49.803535pt" stroked="true" strokeweight=".5pt" strokecolor="#231f20">
            <v:stroke dashstyle="solid"/>
            <w10:wrap type="none"/>
          </v:line>
        </w:pict>
      </w:r>
      <w:r>
        <w:rPr/>
        <w:pict>
          <v:line style="position:absolute;mso-position-horizontal-relative:page;mso-position-vertical-relative:paragraph;z-index:-354400" from="386.399994pt,49.803535pt" to="443.449994pt,49.803535pt" stroked="true" strokeweight=".5pt" strokecolor="#231f20">
            <v:stroke dashstyle="solid"/>
            <w10:wrap type="none"/>
          </v:line>
        </w:pict>
      </w:r>
      <w:r>
        <w:rPr/>
        <w:pict>
          <v:line style="position:absolute;mso-position-horizontal-relative:page;mso-position-vertical-relative:paragraph;z-index:-354376" from="448.450012pt,49.803535pt" to="486.000012pt,49.803535pt" stroked="true" strokeweight=".5pt" strokecolor="#231f20">
            <v:stroke dashstyle="solid"/>
            <w10:wrap type="none"/>
          </v:line>
        </w:pict>
      </w:r>
      <w:r>
        <w:rPr/>
        <w:pict>
          <v:line style="position:absolute;mso-position-horizontal-relative:page;mso-position-vertical-relative:paragraph;z-index:-354352" from="491pt,49.803535pt" to="525pt,49.803535pt" stroked="true" strokeweight=".5pt" strokecolor="#231f20">
            <v:stroke dashstyle="solid"/>
            <w10:wrap type="none"/>
          </v:line>
        </w:pict>
      </w:r>
      <w:r>
        <w:rPr>
          <w:color w:val="231F20"/>
          <w:sz w:val="18"/>
        </w:rPr>
        <w:t>Share-based compensation  . . . . . . . . . . . . .</w:t>
      </w:r>
      <w:r>
        <w:rPr>
          <w:color w:val="231F20"/>
          <w:spacing w:val="-15"/>
          <w:sz w:val="18"/>
        </w:rPr>
        <w:t> </w:t>
      </w:r>
      <w:r>
        <w:rPr>
          <w:color w:val="231F20"/>
          <w:sz w:val="18"/>
        </w:rPr>
        <w:t>. .</w:t>
        <w:tab/>
        <w:t>—</w:t>
        <w:tab/>
        <w:t>16</w:t>
        <w:tab/>
        <w:t>—</w:t>
        <w:tab/>
        <w:t>—</w:t>
        <w:tab/>
        <w:t>—</w:t>
        <w:tab/>
        <w:t>16</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5"/>
        <w:gridCol w:w="751"/>
        <w:gridCol w:w="100"/>
        <w:gridCol w:w="799"/>
        <w:gridCol w:w="100"/>
        <w:gridCol w:w="733"/>
        <w:gridCol w:w="100"/>
        <w:gridCol w:w="1141"/>
        <w:gridCol w:w="100"/>
        <w:gridCol w:w="751"/>
        <w:gridCol w:w="100"/>
        <w:gridCol w:w="680"/>
      </w:tblGrid>
      <w:tr>
        <w:trPr>
          <w:trHeight w:val="208" w:hRule="exact"/>
        </w:trPr>
        <w:tc>
          <w:tcPr>
            <w:tcW w:w="3815" w:type="dxa"/>
          </w:tcPr>
          <w:p>
            <w:pPr>
              <w:pStyle w:val="TableParagraph"/>
              <w:spacing w:line="197" w:lineRule="exact"/>
              <w:ind w:right="53"/>
              <w:rPr>
                <w:sz w:val="18"/>
              </w:rPr>
            </w:pPr>
            <w:r>
              <w:rPr>
                <w:color w:val="231F20"/>
                <w:sz w:val="18"/>
              </w:rPr>
              <w:t>Cash dividends, $.0345 per share . . . . . . . . . . </w:t>
            </w: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799" w:type="dxa"/>
          </w:tcPr>
          <w:p>
            <w:pPr>
              <w:pStyle w:val="TableParagraph"/>
              <w:spacing w:line="197" w:lineRule="exact"/>
              <w:ind w:right="168"/>
              <w:rPr>
                <w:sz w:val="18"/>
              </w:rPr>
            </w:pPr>
            <w:r>
              <w:rPr>
                <w:color w:val="231F20"/>
                <w:sz w:val="18"/>
              </w:rPr>
              <w:t>—</w:t>
            </w:r>
          </w:p>
        </w:tc>
        <w:tc>
          <w:tcPr>
            <w:tcW w:w="100" w:type="dxa"/>
          </w:tcPr>
          <w:p>
            <w:pPr/>
          </w:p>
        </w:tc>
        <w:tc>
          <w:tcPr>
            <w:tcW w:w="733" w:type="dxa"/>
          </w:tcPr>
          <w:p>
            <w:pPr>
              <w:pStyle w:val="TableParagraph"/>
              <w:spacing w:line="197" w:lineRule="exact"/>
              <w:ind w:left="412"/>
              <w:jc w:val="left"/>
              <w:rPr>
                <w:sz w:val="18"/>
              </w:rPr>
            </w:pPr>
            <w:r>
              <w:rPr>
                <w:color w:val="231F20"/>
                <w:sz w:val="18"/>
              </w:rPr>
              <w:t>(26)</w:t>
            </w:r>
          </w:p>
        </w:tc>
        <w:tc>
          <w:tcPr>
            <w:tcW w:w="100" w:type="dxa"/>
          </w:tcPr>
          <w:p>
            <w:pPr/>
          </w:p>
        </w:tc>
        <w:tc>
          <w:tcPr>
            <w:tcW w:w="1141" w:type="dxa"/>
          </w:tcPr>
          <w:p>
            <w:pPr>
              <w:pStyle w:val="TableParagraph"/>
              <w:spacing w:line="197" w:lineRule="exact"/>
              <w:ind w:right="168"/>
              <w:rPr>
                <w:sz w:val="18"/>
              </w:rPr>
            </w:pPr>
            <w:r>
              <w:rPr>
                <w:color w:val="231F20"/>
                <w:sz w:val="18"/>
              </w:rPr>
              <w:t>—</w:t>
            </w:r>
          </w:p>
        </w:tc>
        <w:tc>
          <w:tcPr>
            <w:tcW w:w="100" w:type="dxa"/>
          </w:tcPr>
          <w:p>
            <w:pP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680" w:type="dxa"/>
          </w:tcPr>
          <w:p>
            <w:pPr>
              <w:pStyle w:val="TableParagraph"/>
              <w:spacing w:line="197" w:lineRule="exact"/>
              <w:ind w:right="18"/>
              <w:rPr>
                <w:sz w:val="18"/>
              </w:rPr>
            </w:pPr>
            <w:r>
              <w:rPr>
                <w:color w:val="231F20"/>
                <w:sz w:val="18"/>
              </w:rPr>
              <w:t>(26)</w:t>
            </w:r>
          </w:p>
        </w:tc>
      </w:tr>
      <w:tr>
        <w:trPr>
          <w:trHeight w:val="245" w:hRule="exact"/>
        </w:trPr>
        <w:tc>
          <w:tcPr>
            <w:tcW w:w="3815" w:type="dxa"/>
          </w:tcPr>
          <w:p>
            <w:pPr>
              <w:pStyle w:val="TableParagraph"/>
              <w:spacing w:before="1"/>
              <w:ind w:right="53"/>
              <w:rPr>
                <w:sz w:val="18"/>
              </w:rPr>
            </w:pPr>
            <w:r>
              <w:rPr>
                <w:color w:val="231F20"/>
                <w:sz w:val="18"/>
              </w:rPr>
              <w:t>Comprehensive income   . . . . . . . . . . . . . . . . . </w:t>
            </w: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799" w:type="dxa"/>
            <w:tcBorders>
              <w:bottom w:val="single" w:sz="4" w:space="0" w:color="231F20"/>
            </w:tcBorders>
          </w:tcPr>
          <w:p>
            <w:pPr>
              <w:pStyle w:val="TableParagraph"/>
              <w:spacing w:before="1"/>
              <w:ind w:right="168"/>
              <w:rPr>
                <w:sz w:val="18"/>
              </w:rPr>
            </w:pPr>
            <w:r>
              <w:rPr>
                <w:color w:val="231F20"/>
                <w:sz w:val="18"/>
              </w:rPr>
              <w:t>—</w:t>
            </w:r>
          </w:p>
        </w:tc>
        <w:tc>
          <w:tcPr>
            <w:tcW w:w="100" w:type="dxa"/>
          </w:tcPr>
          <w:p>
            <w:pPr/>
          </w:p>
        </w:tc>
        <w:tc>
          <w:tcPr>
            <w:tcW w:w="733" w:type="dxa"/>
            <w:tcBorders>
              <w:bottom w:val="single" w:sz="4" w:space="0" w:color="231F20"/>
            </w:tcBorders>
          </w:tcPr>
          <w:p>
            <w:pPr>
              <w:pStyle w:val="TableParagraph"/>
              <w:spacing w:before="1"/>
              <w:ind w:left="382"/>
              <w:jc w:val="left"/>
              <w:rPr>
                <w:sz w:val="18"/>
              </w:rPr>
            </w:pPr>
            <w:r>
              <w:rPr>
                <w:color w:val="231F20"/>
                <w:sz w:val="18"/>
              </w:rPr>
              <w:t>421</w:t>
            </w:r>
          </w:p>
        </w:tc>
        <w:tc>
          <w:tcPr>
            <w:tcW w:w="100" w:type="dxa"/>
          </w:tcPr>
          <w:p>
            <w:pPr/>
          </w:p>
        </w:tc>
        <w:tc>
          <w:tcPr>
            <w:tcW w:w="1141" w:type="dxa"/>
            <w:tcBorders>
              <w:bottom w:val="single" w:sz="4" w:space="0" w:color="231F20"/>
            </w:tcBorders>
          </w:tcPr>
          <w:p>
            <w:pPr>
              <w:pStyle w:val="TableParagraph"/>
              <w:spacing w:before="1"/>
              <w:ind w:right="78"/>
              <w:rPr>
                <w:sz w:val="18"/>
              </w:rPr>
            </w:pPr>
            <w:r>
              <w:rPr>
                <w:color w:val="231F20"/>
                <w:sz w:val="18"/>
              </w:rPr>
              <w:t>105</w:t>
            </w:r>
          </w:p>
        </w:tc>
        <w:tc>
          <w:tcPr>
            <w:tcW w:w="100" w:type="dxa"/>
          </w:tcPr>
          <w:p>
            <w:pP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680" w:type="dxa"/>
            <w:tcBorders>
              <w:bottom w:val="single" w:sz="4" w:space="0" w:color="231F20"/>
            </w:tcBorders>
          </w:tcPr>
          <w:p>
            <w:pPr>
              <w:pStyle w:val="TableParagraph"/>
              <w:spacing w:before="1"/>
              <w:ind w:right="78"/>
              <w:rPr>
                <w:sz w:val="18"/>
              </w:rPr>
            </w:pPr>
            <w:r>
              <w:rPr>
                <w:color w:val="231F20"/>
                <w:sz w:val="18"/>
              </w:rPr>
              <w:t>526</w:t>
            </w:r>
          </w:p>
        </w:tc>
      </w:tr>
      <w:tr>
        <w:trPr>
          <w:trHeight w:val="340" w:hRule="exact"/>
        </w:trPr>
        <w:tc>
          <w:tcPr>
            <w:tcW w:w="3815" w:type="dxa"/>
          </w:tcPr>
          <w:p>
            <w:pPr>
              <w:pStyle w:val="TableParagraph"/>
              <w:spacing w:before="57"/>
              <w:ind w:right="53"/>
              <w:rPr>
                <w:sz w:val="18"/>
              </w:rPr>
            </w:pPr>
            <w:r>
              <w:rPr>
                <w:color w:val="231F20"/>
                <w:sz w:val="18"/>
              </w:rPr>
              <w:t>Balance at December 31, 2012 . . . . . . . . . . . . . . . . </w:t>
            </w:r>
          </w:p>
        </w:tc>
        <w:tc>
          <w:tcPr>
            <w:tcW w:w="751" w:type="dxa"/>
            <w:tcBorders>
              <w:top w:val="single" w:sz="4" w:space="0" w:color="231F20"/>
              <w:bottom w:val="single" w:sz="4"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4" w:space="0" w:color="231F20"/>
              <w:bottom w:val="single" w:sz="4" w:space="0" w:color="231F20"/>
            </w:tcBorders>
          </w:tcPr>
          <w:p>
            <w:pPr>
              <w:pStyle w:val="TableParagraph"/>
              <w:spacing w:before="52"/>
              <w:ind w:right="79"/>
              <w:rPr>
                <w:sz w:val="18"/>
              </w:rPr>
            </w:pPr>
            <w:r>
              <w:rPr>
                <w:color w:val="231F20"/>
                <w:sz w:val="18"/>
              </w:rPr>
              <w:t>$   1,210</w:t>
            </w:r>
          </w:p>
        </w:tc>
        <w:tc>
          <w:tcPr>
            <w:tcW w:w="100" w:type="dxa"/>
          </w:tcPr>
          <w:p>
            <w:pPr/>
          </w:p>
        </w:tc>
        <w:tc>
          <w:tcPr>
            <w:tcW w:w="733" w:type="dxa"/>
            <w:tcBorders>
              <w:top w:val="single" w:sz="4" w:space="0" w:color="231F20"/>
              <w:bottom w:val="single" w:sz="4" w:space="0" w:color="231F20"/>
            </w:tcBorders>
          </w:tcPr>
          <w:p>
            <w:pPr>
              <w:pStyle w:val="TableParagraph"/>
              <w:spacing w:before="52"/>
              <w:ind w:left="59"/>
              <w:jc w:val="left"/>
              <w:rPr>
                <w:sz w:val="18"/>
              </w:rPr>
            </w:pPr>
            <w:r>
              <w:rPr>
                <w:color w:val="231F20"/>
                <w:sz w:val="18"/>
              </w:rPr>
              <w:t>$  5,768</w:t>
            </w:r>
          </w:p>
        </w:tc>
        <w:tc>
          <w:tcPr>
            <w:tcW w:w="100" w:type="dxa"/>
          </w:tcPr>
          <w:p>
            <w:pPr/>
          </w:p>
        </w:tc>
        <w:tc>
          <w:tcPr>
            <w:tcW w:w="1141" w:type="dxa"/>
            <w:tcBorders>
              <w:top w:val="single" w:sz="4" w:space="0" w:color="231F20"/>
              <w:bottom w:val="single" w:sz="4" w:space="0" w:color="231F20"/>
            </w:tcBorders>
          </w:tcPr>
          <w:p>
            <w:pPr>
              <w:pStyle w:val="TableParagraph"/>
              <w:tabs>
                <w:tab w:pos="670" w:val="left" w:leader="none"/>
              </w:tabs>
              <w:spacing w:before="52"/>
              <w:ind w:right="18"/>
              <w:rPr>
                <w:sz w:val="18"/>
              </w:rPr>
            </w:pPr>
            <w:r>
              <w:rPr>
                <w:color w:val="231F20"/>
                <w:sz w:val="18"/>
              </w:rPr>
              <w:t>$</w:t>
              <w:tab/>
              <w:t>(119)</w:t>
            </w:r>
          </w:p>
        </w:tc>
        <w:tc>
          <w:tcPr>
            <w:tcW w:w="100" w:type="dxa"/>
          </w:tcPr>
          <w:p>
            <w:pPr/>
          </w:p>
        </w:tc>
        <w:tc>
          <w:tcPr>
            <w:tcW w:w="751" w:type="dxa"/>
            <w:tcBorders>
              <w:top w:val="single" w:sz="4" w:space="0" w:color="231F20"/>
              <w:bottom w:val="single" w:sz="4" w:space="0" w:color="231F20"/>
            </w:tcBorders>
          </w:tcPr>
          <w:p>
            <w:pPr>
              <w:pStyle w:val="TableParagraph"/>
              <w:spacing w:before="52"/>
              <w:ind w:left="59"/>
              <w:jc w:val="left"/>
              <w:rPr>
                <w:sz w:val="18"/>
              </w:rPr>
            </w:pPr>
            <w:r>
              <w:rPr>
                <w:color w:val="231F20"/>
                <w:sz w:val="18"/>
              </w:rPr>
              <w:t>$    (675)</w:t>
            </w:r>
          </w:p>
        </w:tc>
        <w:tc>
          <w:tcPr>
            <w:tcW w:w="100" w:type="dxa"/>
          </w:tcPr>
          <w:p>
            <w:pPr/>
          </w:p>
        </w:tc>
        <w:tc>
          <w:tcPr>
            <w:tcW w:w="680" w:type="dxa"/>
            <w:tcBorders>
              <w:top w:val="single" w:sz="4" w:space="0" w:color="231F20"/>
              <w:bottom w:val="single" w:sz="4" w:space="0" w:color="231F20"/>
            </w:tcBorders>
          </w:tcPr>
          <w:p>
            <w:pPr>
              <w:pStyle w:val="TableParagraph"/>
              <w:spacing w:before="52"/>
              <w:ind w:right="78"/>
              <w:rPr>
                <w:sz w:val="18"/>
              </w:rPr>
            </w:pPr>
            <w:r>
              <w:rPr>
                <w:color w:val="231F20"/>
                <w:sz w:val="18"/>
              </w:rPr>
              <w:t>$ 6,992</w:t>
            </w:r>
          </w:p>
        </w:tc>
      </w:tr>
    </w:tbl>
    <w:p>
      <w:pPr>
        <w:spacing w:after="0"/>
        <w:rPr>
          <w:sz w:val="18"/>
        </w:rPr>
        <w:sectPr>
          <w:footerReference w:type="default" r:id="rId22"/>
          <w:pgSz w:w="11880" w:h="15480"/>
          <w:pgMar w:footer="1253" w:header="0" w:top="1240" w:bottom="1440" w:left="1220" w:right="1260"/>
          <w:pgNumType w:start="78"/>
        </w:sectPr>
      </w:pPr>
    </w:p>
    <w:p>
      <w:pPr>
        <w:pStyle w:val="Heading3"/>
        <w:spacing w:before="73"/>
        <w:ind w:left="3374"/>
      </w:pPr>
      <w:bookmarkStart w:name="Southwest Airlines Co. Consolidated Stat" w:id="30"/>
      <w:bookmarkEnd w:id="30"/>
      <w:r>
        <w:rPr>
          <w:b w:val="0"/>
        </w:rPr>
      </w:r>
      <w:r>
        <w:rPr>
          <w:color w:val="231F20"/>
        </w:rPr>
        <w:t>SOUTHWEST AIRLINES CO.</w:t>
      </w:r>
    </w:p>
    <w:p>
      <w:pPr>
        <w:spacing w:before="129"/>
        <w:ind w:left="0" w:right="0" w:firstLine="0"/>
        <w:jc w:val="center"/>
        <w:rPr>
          <w:b/>
          <w:sz w:val="20"/>
        </w:rPr>
      </w:pPr>
      <w:r>
        <w:rPr>
          <w:b/>
          <w:color w:val="231F20"/>
          <w:sz w:val="20"/>
        </w:rPr>
        <w:t>CONSOLIDATED STATEMENT OF CASH FLOWS</w:t>
      </w:r>
    </w:p>
    <w:p>
      <w:pPr>
        <w:pStyle w:val="BodyText"/>
        <w:spacing w:before="9"/>
        <w:jc w:val="center"/>
      </w:pPr>
      <w:r>
        <w:rPr>
          <w:color w:val="231F20"/>
        </w:rPr>
        <w:t>(in millions)</w:t>
      </w:r>
    </w:p>
    <w:p>
      <w:pPr>
        <w:spacing w:after="0"/>
        <w:jc w:val="center"/>
        <w:sectPr>
          <w:pgSz w:w="11880" w:h="15480"/>
          <w:pgMar w:header="0" w:footer="1253" w:top="1240" w:bottom="1440" w:left="1220" w:right="1220"/>
        </w:sectPr>
      </w:pPr>
    </w:p>
    <w:p>
      <w:pPr>
        <w:pStyle w:val="BodyText"/>
        <w:rPr>
          <w:sz w:val="22"/>
        </w:rPr>
      </w:pPr>
    </w:p>
    <w:p>
      <w:pPr>
        <w:pStyle w:val="BodyText"/>
        <w:rPr>
          <w:sz w:val="22"/>
        </w:rPr>
      </w:pPr>
    </w:p>
    <w:p>
      <w:pPr>
        <w:pStyle w:val="Heading3"/>
        <w:spacing w:line="226" w:lineRule="exact" w:before="173"/>
        <w:ind w:left="160"/>
      </w:pPr>
      <w:r>
        <w:rPr/>
        <w:pict>
          <v:line style="position:absolute;mso-position-horizontal-relative:page;mso-position-vertical-relative:paragraph;z-index:-354280" from="368.5pt,-7.264062pt" to="525pt,-7.264062pt" stroked="true" strokeweight="1pt" strokecolor="#231f20">
            <v:stroke dashstyle="solid"/>
            <w10:wrap type="none"/>
          </v:line>
        </w:pict>
      </w:r>
      <w:r>
        <w:rPr/>
        <w:pict>
          <v:line style="position:absolute;mso-position-horizontal-relative:page;mso-position-vertical-relative:paragraph;z-index:-354256" from="368.5pt,6.735938pt" to="414pt,6.735938pt" stroked="true" strokeweight="1pt" strokecolor="#231f20">
            <v:stroke dashstyle="solid"/>
            <w10:wrap type="none"/>
          </v:line>
        </w:pict>
      </w:r>
      <w:r>
        <w:rPr/>
        <w:pict>
          <v:line style="position:absolute;mso-position-horizontal-relative:page;mso-position-vertical-relative:paragraph;z-index:-354232" from="424pt,6.735938pt" to="469.5pt,6.735938pt" stroked="true" strokeweight="1pt" strokecolor="#231f20">
            <v:stroke dashstyle="solid"/>
            <w10:wrap type="none"/>
          </v:line>
        </w:pict>
      </w:r>
      <w:r>
        <w:rPr/>
        <w:pict>
          <v:line style="position:absolute;mso-position-horizontal-relative:page;mso-position-vertical-relative:paragraph;z-index:-354208" from="479.5pt,6.735938pt" to="525pt,6.735938pt" stroked="true" strokeweight="1pt" strokecolor="#231f20">
            <v:stroke dashstyle="solid"/>
            <w10:wrap type="none"/>
          </v:line>
        </w:pict>
      </w:r>
      <w:r>
        <w:rPr>
          <w:color w:val="231F20"/>
        </w:rPr>
        <w:t>CASH FLOWS FROM OPERATING</w:t>
      </w:r>
      <w:r>
        <w:rPr>
          <w:color w:val="231F20"/>
          <w:spacing w:val="-5"/>
        </w:rPr>
        <w:t> </w:t>
      </w:r>
      <w:r>
        <w:rPr>
          <w:color w:val="231F20"/>
        </w:rPr>
        <w:t>ACTIVITIES:</w:t>
      </w:r>
    </w:p>
    <w:p>
      <w:pPr>
        <w:tabs>
          <w:tab w:pos="1367" w:val="left" w:leader="none"/>
          <w:tab w:pos="2477" w:val="left" w:leader="none"/>
        </w:tabs>
        <w:spacing w:line="292" w:lineRule="auto" w:before="104"/>
        <w:ind w:left="258" w:right="284" w:hanging="98"/>
        <w:jc w:val="left"/>
        <w:rPr>
          <w:b/>
          <w:sz w:val="20"/>
        </w:rPr>
      </w:pPr>
      <w:r>
        <w:rPr/>
        <w:br w:type="column"/>
      </w:r>
      <w:r>
        <w:rPr>
          <w:b/>
          <w:color w:val="231F20"/>
          <w:sz w:val="20"/>
        </w:rPr>
        <w:t>YEAR ENDED DECEMBER</w:t>
      </w:r>
      <w:r>
        <w:rPr>
          <w:b/>
          <w:color w:val="231F20"/>
          <w:spacing w:val="-8"/>
          <w:sz w:val="20"/>
        </w:rPr>
        <w:t> </w:t>
      </w:r>
      <w:r>
        <w:rPr>
          <w:b/>
          <w:color w:val="231F20"/>
          <w:sz w:val="20"/>
        </w:rPr>
        <w:t>31, 2012</w:t>
        <w:tab/>
        <w:t>2011</w:t>
        <w:tab/>
        <w:t>2010</w:t>
      </w:r>
    </w:p>
    <w:p>
      <w:pPr>
        <w:spacing w:after="0" w:line="292" w:lineRule="auto"/>
        <w:jc w:val="left"/>
        <w:rPr>
          <w:sz w:val="20"/>
        </w:rPr>
        <w:sectPr>
          <w:type w:val="continuous"/>
          <w:pgSz w:w="11880" w:h="15480"/>
          <w:pgMar w:top="1200" w:bottom="280" w:left="1220" w:right="1220"/>
          <w:cols w:num="2" w:equalWidth="0">
            <w:col w:w="4703" w:space="1474"/>
            <w:col w:w="3263"/>
          </w:cols>
        </w:sectPr>
      </w:pPr>
    </w:p>
    <w:p>
      <w:pPr>
        <w:pStyle w:val="BodyText"/>
        <w:tabs>
          <w:tab w:pos="5989" w:val="left" w:leader="none"/>
          <w:tab w:pos="6479" w:val="left" w:leader="none"/>
          <w:tab w:pos="7099" w:val="left" w:leader="none"/>
          <w:tab w:pos="7589" w:val="left" w:leader="none"/>
          <w:tab w:pos="8209" w:val="left" w:leader="none"/>
          <w:tab w:pos="8699" w:val="left" w:leader="none"/>
        </w:tabs>
        <w:spacing w:line="211" w:lineRule="exact"/>
        <w:ind w:left="40"/>
        <w:jc w:val="center"/>
      </w:pPr>
      <w:r>
        <w:rPr>
          <w:color w:val="231F20"/>
        </w:rPr>
        <w:t>Net income  . . . . . . . . . . . . . . . . . . . . . . . . . . . . . . . . . . . . . . . . . . . . .</w:t>
      </w:r>
      <w:r>
        <w:rPr>
          <w:color w:val="231F20"/>
          <w:spacing w:val="12"/>
        </w:rPr>
        <w:t> </w:t>
      </w:r>
      <w:r>
        <w:rPr>
          <w:color w:val="231F20"/>
        </w:rPr>
        <w:t>. .</w:t>
        <w:tab/>
        <w:t>$</w:t>
        <w:tab/>
        <w:t>421</w:t>
        <w:tab/>
        <w:t>$</w:t>
        <w:tab/>
        <w:t>178</w:t>
        <w:tab/>
        <w:t>$</w:t>
        <w:tab/>
        <w:t>459</w:t>
      </w:r>
    </w:p>
    <w:p>
      <w:pPr>
        <w:pStyle w:val="BodyText"/>
        <w:spacing w:line="222" w:lineRule="exact"/>
        <w:ind w:left="260"/>
      </w:pPr>
      <w:r>
        <w:rPr>
          <w:color w:val="231F20"/>
        </w:rPr>
        <w:t>Adjustments to reconcile net income to cash provided by operating</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40"/>
        <w:gridCol w:w="916"/>
        <w:gridCol w:w="194"/>
        <w:gridCol w:w="916"/>
        <w:gridCol w:w="194"/>
        <w:gridCol w:w="966"/>
      </w:tblGrid>
      <w:tr>
        <w:trPr>
          <w:trHeight w:val="215" w:hRule="exact"/>
        </w:trPr>
        <w:tc>
          <w:tcPr>
            <w:tcW w:w="6040" w:type="dxa"/>
          </w:tcPr>
          <w:p>
            <w:pPr>
              <w:pStyle w:val="TableParagraph"/>
              <w:spacing w:line="215" w:lineRule="exact"/>
              <w:ind w:left="250"/>
              <w:jc w:val="left"/>
              <w:rPr>
                <w:sz w:val="20"/>
              </w:rPr>
            </w:pPr>
            <w:r>
              <w:rPr>
                <w:color w:val="231F20"/>
                <w:sz w:val="20"/>
              </w:rPr>
              <w:t>activities:</w:t>
            </w:r>
          </w:p>
        </w:tc>
        <w:tc>
          <w:tcPr>
            <w:tcW w:w="3186" w:type="dxa"/>
            <w:gridSpan w:val="5"/>
          </w:tcPr>
          <w:p>
            <w:pPr/>
          </w:p>
        </w:tc>
      </w:tr>
      <w:tr>
        <w:trPr>
          <w:trHeight w:val="217" w:hRule="exact"/>
        </w:trPr>
        <w:tc>
          <w:tcPr>
            <w:tcW w:w="6040" w:type="dxa"/>
          </w:tcPr>
          <w:p>
            <w:pPr>
              <w:pStyle w:val="TableParagraph"/>
              <w:spacing w:line="215" w:lineRule="exact"/>
              <w:ind w:right="149"/>
              <w:rPr>
                <w:sz w:val="20"/>
              </w:rPr>
            </w:pPr>
            <w:r>
              <w:rPr>
                <w:color w:val="231F20"/>
                <w:sz w:val="20"/>
              </w:rPr>
              <w:t>Depreciation and amortization  . . . . . . . . . . . . . . . . . . . . . . . . . . . . . . . . </w:t>
            </w:r>
          </w:p>
        </w:tc>
        <w:tc>
          <w:tcPr>
            <w:tcW w:w="916" w:type="dxa"/>
          </w:tcPr>
          <w:p>
            <w:pPr>
              <w:pStyle w:val="TableParagraph"/>
              <w:spacing w:line="215" w:lineRule="exact"/>
              <w:ind w:right="64"/>
              <w:rPr>
                <w:sz w:val="20"/>
              </w:rPr>
            </w:pPr>
            <w:r>
              <w:rPr>
                <w:color w:val="231F20"/>
                <w:sz w:val="20"/>
              </w:rPr>
              <w:t>844</w:t>
            </w:r>
          </w:p>
        </w:tc>
        <w:tc>
          <w:tcPr>
            <w:tcW w:w="1110" w:type="dxa"/>
            <w:gridSpan w:val="2"/>
          </w:tcPr>
          <w:p>
            <w:pPr>
              <w:pStyle w:val="TableParagraph"/>
              <w:spacing w:line="215" w:lineRule="exact"/>
              <w:ind w:right="64"/>
              <w:rPr>
                <w:sz w:val="20"/>
              </w:rPr>
            </w:pPr>
            <w:r>
              <w:rPr>
                <w:color w:val="231F20"/>
                <w:sz w:val="20"/>
              </w:rPr>
              <w:t>715</w:t>
            </w:r>
          </w:p>
        </w:tc>
        <w:tc>
          <w:tcPr>
            <w:tcW w:w="1160" w:type="dxa"/>
            <w:gridSpan w:val="2"/>
          </w:tcPr>
          <w:p>
            <w:pPr>
              <w:pStyle w:val="TableParagraph"/>
              <w:spacing w:line="215" w:lineRule="exact"/>
              <w:ind w:left="743"/>
              <w:jc w:val="left"/>
              <w:rPr>
                <w:sz w:val="20"/>
              </w:rPr>
            </w:pPr>
            <w:r>
              <w:rPr>
                <w:color w:val="231F20"/>
                <w:sz w:val="20"/>
              </w:rPr>
              <w:t>628</w:t>
            </w:r>
          </w:p>
        </w:tc>
      </w:tr>
      <w:tr>
        <w:trPr>
          <w:trHeight w:val="215" w:hRule="exact"/>
        </w:trPr>
        <w:tc>
          <w:tcPr>
            <w:tcW w:w="6040" w:type="dxa"/>
          </w:tcPr>
          <w:p>
            <w:pPr>
              <w:pStyle w:val="TableParagraph"/>
              <w:spacing w:line="213" w:lineRule="exact"/>
              <w:ind w:right="149"/>
              <w:rPr>
                <w:sz w:val="20"/>
              </w:rPr>
            </w:pPr>
            <w:r>
              <w:rPr>
                <w:color w:val="231F20"/>
                <w:sz w:val="20"/>
              </w:rPr>
              <w:t>Unrealized (gain) loss on fuel derivative instruments  . . . . . . . . . . . . . . </w:t>
            </w:r>
          </w:p>
        </w:tc>
        <w:tc>
          <w:tcPr>
            <w:tcW w:w="916" w:type="dxa"/>
          </w:tcPr>
          <w:p>
            <w:pPr>
              <w:pStyle w:val="TableParagraph"/>
              <w:spacing w:line="213" w:lineRule="exact"/>
              <w:rPr>
                <w:sz w:val="20"/>
              </w:rPr>
            </w:pPr>
            <w:r>
              <w:rPr>
                <w:color w:val="231F20"/>
                <w:sz w:val="20"/>
              </w:rPr>
              <w:t>(189)</w:t>
            </w:r>
          </w:p>
        </w:tc>
        <w:tc>
          <w:tcPr>
            <w:tcW w:w="1110" w:type="dxa"/>
            <w:gridSpan w:val="2"/>
          </w:tcPr>
          <w:p>
            <w:pPr>
              <w:pStyle w:val="TableParagraph"/>
              <w:spacing w:line="213" w:lineRule="exact"/>
              <w:ind w:right="64"/>
              <w:rPr>
                <w:sz w:val="20"/>
              </w:rPr>
            </w:pPr>
            <w:r>
              <w:rPr>
                <w:color w:val="231F20"/>
                <w:sz w:val="20"/>
              </w:rPr>
              <w:t>90</w:t>
            </w:r>
          </w:p>
        </w:tc>
        <w:tc>
          <w:tcPr>
            <w:tcW w:w="1160" w:type="dxa"/>
            <w:gridSpan w:val="2"/>
          </w:tcPr>
          <w:p>
            <w:pPr>
              <w:pStyle w:val="TableParagraph"/>
              <w:spacing w:line="213" w:lineRule="exact"/>
              <w:ind w:left="743"/>
              <w:jc w:val="left"/>
              <w:rPr>
                <w:sz w:val="20"/>
              </w:rPr>
            </w:pPr>
            <w:r>
              <w:rPr>
                <w:color w:val="231F20"/>
                <w:sz w:val="20"/>
              </w:rPr>
              <w:t>139</w:t>
            </w:r>
          </w:p>
        </w:tc>
      </w:tr>
      <w:tr>
        <w:trPr>
          <w:trHeight w:val="215" w:hRule="exact"/>
        </w:trPr>
        <w:tc>
          <w:tcPr>
            <w:tcW w:w="6040" w:type="dxa"/>
          </w:tcPr>
          <w:p>
            <w:pPr>
              <w:pStyle w:val="TableParagraph"/>
              <w:spacing w:line="213" w:lineRule="exact"/>
              <w:ind w:right="149"/>
              <w:rPr>
                <w:sz w:val="20"/>
              </w:rPr>
            </w:pPr>
            <w:r>
              <w:rPr>
                <w:color w:val="231F20"/>
                <w:sz w:val="20"/>
              </w:rPr>
              <w:t>Deferred income taxes   . . . . . . . . . . . . . . . . . . . . . . . . . . . . . . . . . . . . . . </w:t>
            </w:r>
          </w:p>
        </w:tc>
        <w:tc>
          <w:tcPr>
            <w:tcW w:w="916" w:type="dxa"/>
          </w:tcPr>
          <w:p>
            <w:pPr>
              <w:pStyle w:val="TableParagraph"/>
              <w:spacing w:line="213" w:lineRule="exact"/>
              <w:ind w:right="64"/>
              <w:rPr>
                <w:sz w:val="20"/>
              </w:rPr>
            </w:pPr>
            <w:r>
              <w:rPr>
                <w:color w:val="231F20"/>
                <w:sz w:val="20"/>
              </w:rPr>
              <w:t>251</w:t>
            </w:r>
          </w:p>
        </w:tc>
        <w:tc>
          <w:tcPr>
            <w:tcW w:w="1110" w:type="dxa"/>
            <w:gridSpan w:val="2"/>
          </w:tcPr>
          <w:p>
            <w:pPr>
              <w:pStyle w:val="TableParagraph"/>
              <w:spacing w:line="213" w:lineRule="exact"/>
              <w:ind w:right="64"/>
              <w:rPr>
                <w:sz w:val="20"/>
              </w:rPr>
            </w:pPr>
            <w:r>
              <w:rPr>
                <w:color w:val="231F20"/>
                <w:sz w:val="20"/>
              </w:rPr>
              <w:t>123</w:t>
            </w:r>
          </w:p>
        </w:tc>
        <w:tc>
          <w:tcPr>
            <w:tcW w:w="1160" w:type="dxa"/>
            <w:gridSpan w:val="2"/>
          </w:tcPr>
          <w:p>
            <w:pPr>
              <w:pStyle w:val="TableParagraph"/>
              <w:spacing w:line="213" w:lineRule="exact"/>
              <w:ind w:left="743"/>
              <w:jc w:val="left"/>
              <w:rPr>
                <w:sz w:val="20"/>
              </w:rPr>
            </w:pPr>
            <w:r>
              <w:rPr>
                <w:color w:val="231F20"/>
                <w:sz w:val="20"/>
              </w:rPr>
              <w:t>133</w:t>
            </w:r>
          </w:p>
        </w:tc>
      </w:tr>
      <w:tr>
        <w:trPr>
          <w:trHeight w:val="215" w:hRule="exact"/>
        </w:trPr>
        <w:tc>
          <w:tcPr>
            <w:tcW w:w="6040" w:type="dxa"/>
          </w:tcPr>
          <w:p>
            <w:pPr>
              <w:pStyle w:val="TableParagraph"/>
              <w:spacing w:line="213" w:lineRule="exact"/>
              <w:ind w:right="149"/>
              <w:rPr>
                <w:sz w:val="20"/>
              </w:rPr>
            </w:pPr>
            <w:r>
              <w:rPr>
                <w:color w:val="231F20"/>
                <w:sz w:val="20"/>
              </w:rPr>
              <w:t>Amortization of deferred gains on sale and leaseback of aircraft   . . . . . </w:t>
            </w:r>
          </w:p>
        </w:tc>
        <w:tc>
          <w:tcPr>
            <w:tcW w:w="916" w:type="dxa"/>
          </w:tcPr>
          <w:p>
            <w:pPr>
              <w:pStyle w:val="TableParagraph"/>
              <w:spacing w:line="213" w:lineRule="exact"/>
              <w:rPr>
                <w:sz w:val="20"/>
              </w:rPr>
            </w:pPr>
            <w:r>
              <w:rPr>
                <w:color w:val="231F20"/>
                <w:sz w:val="20"/>
              </w:rPr>
              <w:t>(12)</w:t>
            </w:r>
          </w:p>
        </w:tc>
        <w:tc>
          <w:tcPr>
            <w:tcW w:w="1110" w:type="dxa"/>
            <w:gridSpan w:val="2"/>
          </w:tcPr>
          <w:p>
            <w:pPr>
              <w:pStyle w:val="TableParagraph"/>
              <w:spacing w:line="213" w:lineRule="exact"/>
              <w:rPr>
                <w:sz w:val="20"/>
              </w:rPr>
            </w:pPr>
            <w:r>
              <w:rPr>
                <w:color w:val="231F20"/>
                <w:sz w:val="20"/>
              </w:rPr>
              <w:t>(13)</w:t>
            </w:r>
          </w:p>
        </w:tc>
        <w:tc>
          <w:tcPr>
            <w:tcW w:w="1160" w:type="dxa"/>
            <w:gridSpan w:val="2"/>
          </w:tcPr>
          <w:p>
            <w:pPr>
              <w:pStyle w:val="TableParagraph"/>
              <w:spacing w:line="213" w:lineRule="exact"/>
              <w:ind w:right="48"/>
              <w:rPr>
                <w:sz w:val="20"/>
              </w:rPr>
            </w:pPr>
            <w:r>
              <w:rPr>
                <w:color w:val="231F20"/>
                <w:sz w:val="20"/>
              </w:rPr>
              <w:t>(14)</w:t>
            </w:r>
          </w:p>
        </w:tc>
      </w:tr>
      <w:tr>
        <w:trPr>
          <w:trHeight w:val="217" w:hRule="exact"/>
        </w:trPr>
        <w:tc>
          <w:tcPr>
            <w:tcW w:w="6040" w:type="dxa"/>
          </w:tcPr>
          <w:p>
            <w:pPr>
              <w:pStyle w:val="TableParagraph"/>
              <w:spacing w:line="213" w:lineRule="exact"/>
              <w:ind w:left="149"/>
              <w:jc w:val="left"/>
              <w:rPr>
                <w:sz w:val="20"/>
              </w:rPr>
            </w:pPr>
            <w:r>
              <w:rPr>
                <w:color w:val="231F20"/>
                <w:sz w:val="20"/>
              </w:rPr>
              <w:t>Changes in certain assets and liabilities (excluding the effects of</w:t>
            </w:r>
          </w:p>
        </w:tc>
        <w:tc>
          <w:tcPr>
            <w:tcW w:w="916" w:type="dxa"/>
          </w:tcPr>
          <w:p>
            <w:pPr/>
          </w:p>
        </w:tc>
        <w:tc>
          <w:tcPr>
            <w:tcW w:w="1110" w:type="dxa"/>
            <w:gridSpan w:val="2"/>
          </w:tcPr>
          <w:p>
            <w:pPr/>
          </w:p>
        </w:tc>
        <w:tc>
          <w:tcPr>
            <w:tcW w:w="1160" w:type="dxa"/>
            <w:gridSpan w:val="2"/>
          </w:tcPr>
          <w:p>
            <w:pPr/>
          </w:p>
        </w:tc>
      </w:tr>
      <w:tr>
        <w:trPr>
          <w:trHeight w:val="215" w:hRule="exact"/>
        </w:trPr>
        <w:tc>
          <w:tcPr>
            <w:tcW w:w="6040" w:type="dxa"/>
          </w:tcPr>
          <w:p>
            <w:pPr>
              <w:pStyle w:val="TableParagraph"/>
              <w:spacing w:line="211" w:lineRule="exact"/>
              <w:ind w:left="249"/>
              <w:jc w:val="left"/>
              <w:rPr>
                <w:sz w:val="20"/>
              </w:rPr>
            </w:pPr>
            <w:r>
              <w:rPr>
                <w:color w:val="231F20"/>
                <w:sz w:val="20"/>
              </w:rPr>
              <w:t>acquired business):</w:t>
            </w:r>
          </w:p>
        </w:tc>
        <w:tc>
          <w:tcPr>
            <w:tcW w:w="916" w:type="dxa"/>
          </w:tcPr>
          <w:p>
            <w:pPr/>
          </w:p>
        </w:tc>
        <w:tc>
          <w:tcPr>
            <w:tcW w:w="1110" w:type="dxa"/>
            <w:gridSpan w:val="2"/>
          </w:tcPr>
          <w:p>
            <w:pPr/>
          </w:p>
        </w:tc>
        <w:tc>
          <w:tcPr>
            <w:tcW w:w="1160" w:type="dxa"/>
            <w:gridSpan w:val="2"/>
          </w:tcPr>
          <w:p>
            <w:pPr/>
          </w:p>
        </w:tc>
      </w:tr>
      <w:tr>
        <w:trPr>
          <w:trHeight w:val="213" w:hRule="exact"/>
        </w:trPr>
        <w:tc>
          <w:tcPr>
            <w:tcW w:w="6040" w:type="dxa"/>
          </w:tcPr>
          <w:p>
            <w:pPr>
              <w:pStyle w:val="TableParagraph"/>
              <w:spacing w:line="215" w:lineRule="exact"/>
              <w:ind w:right="149"/>
              <w:rPr>
                <w:sz w:val="20"/>
              </w:rPr>
            </w:pPr>
            <w:r>
              <w:rPr>
                <w:color w:val="231F20"/>
                <w:sz w:val="20"/>
              </w:rPr>
              <w:t>Accounts and other receivables   . . . . . . . . . . . . . . . . . . . . . . . . . . . . . . . </w:t>
            </w:r>
          </w:p>
        </w:tc>
        <w:tc>
          <w:tcPr>
            <w:tcW w:w="916" w:type="dxa"/>
          </w:tcPr>
          <w:p>
            <w:pPr>
              <w:pStyle w:val="TableParagraph"/>
              <w:spacing w:line="215" w:lineRule="exact"/>
              <w:rPr>
                <w:sz w:val="20"/>
              </w:rPr>
            </w:pPr>
            <w:r>
              <w:rPr>
                <w:color w:val="231F20"/>
                <w:sz w:val="20"/>
              </w:rPr>
              <w:t>(33)</w:t>
            </w:r>
          </w:p>
        </w:tc>
        <w:tc>
          <w:tcPr>
            <w:tcW w:w="194" w:type="dxa"/>
          </w:tcPr>
          <w:p>
            <w:pPr/>
          </w:p>
        </w:tc>
        <w:tc>
          <w:tcPr>
            <w:tcW w:w="916" w:type="dxa"/>
          </w:tcPr>
          <w:p>
            <w:pPr>
              <w:pStyle w:val="TableParagraph"/>
              <w:spacing w:line="215" w:lineRule="exact"/>
              <w:rPr>
                <w:sz w:val="20"/>
              </w:rPr>
            </w:pPr>
            <w:r>
              <w:rPr>
                <w:color w:val="231F20"/>
                <w:sz w:val="20"/>
              </w:rPr>
              <w:t>(26)</w:t>
            </w:r>
          </w:p>
        </w:tc>
        <w:tc>
          <w:tcPr>
            <w:tcW w:w="194" w:type="dxa"/>
          </w:tcPr>
          <w:p>
            <w:pPr/>
          </w:p>
        </w:tc>
        <w:tc>
          <w:tcPr>
            <w:tcW w:w="966" w:type="dxa"/>
          </w:tcPr>
          <w:p>
            <w:pPr>
              <w:pStyle w:val="TableParagraph"/>
              <w:spacing w:line="215" w:lineRule="exact"/>
              <w:ind w:right="48"/>
              <w:rPr>
                <w:sz w:val="20"/>
              </w:rPr>
            </w:pPr>
            <w:r>
              <w:rPr>
                <w:color w:val="231F20"/>
                <w:sz w:val="20"/>
              </w:rPr>
              <w:t>(26)</w:t>
            </w:r>
          </w:p>
        </w:tc>
      </w:tr>
      <w:tr>
        <w:trPr>
          <w:trHeight w:val="215" w:hRule="exact"/>
        </w:trPr>
        <w:tc>
          <w:tcPr>
            <w:tcW w:w="6040" w:type="dxa"/>
          </w:tcPr>
          <w:p>
            <w:pPr>
              <w:pStyle w:val="TableParagraph"/>
              <w:spacing w:line="213" w:lineRule="exact"/>
              <w:ind w:right="149"/>
              <w:rPr>
                <w:sz w:val="20"/>
              </w:rPr>
            </w:pPr>
            <w:r>
              <w:rPr>
                <w:color w:val="231F20"/>
                <w:sz w:val="20"/>
              </w:rPr>
              <w:t>Other current assets   . . . . . . . . . . . . . . . . . . . . . . . . . . . . . . . . . . . . . . . . </w:t>
            </w:r>
          </w:p>
        </w:tc>
        <w:tc>
          <w:tcPr>
            <w:tcW w:w="916" w:type="dxa"/>
          </w:tcPr>
          <w:p>
            <w:pPr>
              <w:pStyle w:val="TableParagraph"/>
              <w:spacing w:line="213" w:lineRule="exact"/>
              <w:rPr>
                <w:sz w:val="20"/>
              </w:rPr>
            </w:pPr>
            <w:r>
              <w:rPr>
                <w:color w:val="231F20"/>
                <w:sz w:val="20"/>
              </w:rPr>
              <w:t>(104)</w:t>
            </w:r>
          </w:p>
        </w:tc>
        <w:tc>
          <w:tcPr>
            <w:tcW w:w="194" w:type="dxa"/>
          </w:tcPr>
          <w:p>
            <w:pPr/>
          </w:p>
        </w:tc>
        <w:tc>
          <w:tcPr>
            <w:tcW w:w="916" w:type="dxa"/>
          </w:tcPr>
          <w:p>
            <w:pPr>
              <w:pStyle w:val="TableParagraph"/>
              <w:spacing w:line="213" w:lineRule="exact"/>
              <w:rPr>
                <w:sz w:val="20"/>
              </w:rPr>
            </w:pPr>
            <w:r>
              <w:rPr>
                <w:color w:val="231F20"/>
                <w:sz w:val="20"/>
              </w:rPr>
              <w:t>(196)</w:t>
            </w:r>
          </w:p>
        </w:tc>
        <w:tc>
          <w:tcPr>
            <w:tcW w:w="194" w:type="dxa"/>
          </w:tcPr>
          <w:p>
            <w:pPr/>
          </w:p>
        </w:tc>
        <w:tc>
          <w:tcPr>
            <w:tcW w:w="966" w:type="dxa"/>
          </w:tcPr>
          <w:p>
            <w:pPr>
              <w:pStyle w:val="TableParagraph"/>
              <w:spacing w:line="213" w:lineRule="exact"/>
              <w:ind w:right="48"/>
              <w:rPr>
                <w:sz w:val="20"/>
              </w:rPr>
            </w:pPr>
            <w:r>
              <w:rPr>
                <w:color w:val="231F20"/>
                <w:sz w:val="20"/>
              </w:rPr>
              <w:t>(8)</w:t>
            </w:r>
          </w:p>
        </w:tc>
      </w:tr>
      <w:tr>
        <w:trPr>
          <w:trHeight w:val="215" w:hRule="exact"/>
        </w:trPr>
        <w:tc>
          <w:tcPr>
            <w:tcW w:w="6040" w:type="dxa"/>
          </w:tcPr>
          <w:p>
            <w:pPr>
              <w:pStyle w:val="TableParagraph"/>
              <w:spacing w:line="213" w:lineRule="exact"/>
              <w:ind w:right="149"/>
              <w:rPr>
                <w:sz w:val="20"/>
              </w:rPr>
            </w:pPr>
            <w:r>
              <w:rPr>
                <w:color w:val="231F20"/>
                <w:sz w:val="20"/>
              </w:rPr>
              <w:t>Accounts payable and accrued liabilities  . . . . . . . . . . . . . . . . . . . . . . . . </w:t>
            </w:r>
          </w:p>
        </w:tc>
        <w:tc>
          <w:tcPr>
            <w:tcW w:w="916" w:type="dxa"/>
          </w:tcPr>
          <w:p>
            <w:pPr>
              <w:pStyle w:val="TableParagraph"/>
              <w:spacing w:line="213" w:lineRule="exact"/>
              <w:ind w:right="64"/>
              <w:rPr>
                <w:sz w:val="20"/>
              </w:rPr>
            </w:pPr>
            <w:r>
              <w:rPr>
                <w:color w:val="231F20"/>
                <w:sz w:val="20"/>
              </w:rPr>
              <w:t>186</w:t>
            </w:r>
          </w:p>
        </w:tc>
        <w:tc>
          <w:tcPr>
            <w:tcW w:w="194" w:type="dxa"/>
          </w:tcPr>
          <w:p>
            <w:pPr/>
          </w:p>
        </w:tc>
        <w:tc>
          <w:tcPr>
            <w:tcW w:w="916" w:type="dxa"/>
          </w:tcPr>
          <w:p>
            <w:pPr>
              <w:pStyle w:val="TableParagraph"/>
              <w:spacing w:line="213" w:lineRule="exact"/>
              <w:ind w:right="64"/>
              <w:rPr>
                <w:sz w:val="20"/>
              </w:rPr>
            </w:pPr>
            <w:r>
              <w:rPr>
                <w:color w:val="231F20"/>
                <w:sz w:val="20"/>
              </w:rPr>
              <w:t>253</w:t>
            </w:r>
          </w:p>
        </w:tc>
        <w:tc>
          <w:tcPr>
            <w:tcW w:w="194" w:type="dxa"/>
          </w:tcPr>
          <w:p>
            <w:pPr/>
          </w:p>
        </w:tc>
        <w:tc>
          <w:tcPr>
            <w:tcW w:w="966" w:type="dxa"/>
          </w:tcPr>
          <w:p>
            <w:pPr>
              <w:pStyle w:val="TableParagraph"/>
              <w:spacing w:line="213" w:lineRule="exact"/>
              <w:ind w:right="114"/>
              <w:rPr>
                <w:sz w:val="20"/>
              </w:rPr>
            </w:pPr>
            <w:r>
              <w:rPr>
                <w:color w:val="231F20"/>
                <w:sz w:val="20"/>
              </w:rPr>
              <w:t>193</w:t>
            </w:r>
          </w:p>
        </w:tc>
      </w:tr>
      <w:tr>
        <w:trPr>
          <w:trHeight w:val="215" w:hRule="exact"/>
        </w:trPr>
        <w:tc>
          <w:tcPr>
            <w:tcW w:w="6040" w:type="dxa"/>
          </w:tcPr>
          <w:p>
            <w:pPr>
              <w:pStyle w:val="TableParagraph"/>
              <w:spacing w:line="213" w:lineRule="exact"/>
              <w:ind w:right="149"/>
              <w:rPr>
                <w:sz w:val="20"/>
              </w:rPr>
            </w:pPr>
            <w:r>
              <w:rPr>
                <w:color w:val="231F20"/>
                <w:sz w:val="20"/>
              </w:rPr>
              <w:t>Air traffic liability . . . . . . . . . . . . . . . . . . . . . . . . . . . . . . . . . . . . . . . . . . </w:t>
            </w:r>
          </w:p>
        </w:tc>
        <w:tc>
          <w:tcPr>
            <w:tcW w:w="916" w:type="dxa"/>
          </w:tcPr>
          <w:p>
            <w:pPr>
              <w:pStyle w:val="TableParagraph"/>
              <w:spacing w:line="213" w:lineRule="exact"/>
              <w:ind w:right="64"/>
              <w:rPr>
                <w:sz w:val="20"/>
              </w:rPr>
            </w:pPr>
            <w:r>
              <w:rPr>
                <w:color w:val="231F20"/>
                <w:sz w:val="20"/>
              </w:rPr>
              <w:t>334</w:t>
            </w:r>
          </w:p>
        </w:tc>
        <w:tc>
          <w:tcPr>
            <w:tcW w:w="194" w:type="dxa"/>
          </w:tcPr>
          <w:p>
            <w:pPr/>
          </w:p>
        </w:tc>
        <w:tc>
          <w:tcPr>
            <w:tcW w:w="916" w:type="dxa"/>
          </w:tcPr>
          <w:p>
            <w:pPr>
              <w:pStyle w:val="TableParagraph"/>
              <w:spacing w:line="213" w:lineRule="exact"/>
              <w:ind w:right="64"/>
              <w:rPr>
                <w:sz w:val="20"/>
              </w:rPr>
            </w:pPr>
            <w:r>
              <w:rPr>
                <w:color w:val="231F20"/>
                <w:sz w:val="20"/>
              </w:rPr>
              <w:t>262</w:t>
            </w:r>
          </w:p>
        </w:tc>
        <w:tc>
          <w:tcPr>
            <w:tcW w:w="194" w:type="dxa"/>
          </w:tcPr>
          <w:p>
            <w:pPr/>
          </w:p>
        </w:tc>
        <w:tc>
          <w:tcPr>
            <w:tcW w:w="966" w:type="dxa"/>
          </w:tcPr>
          <w:p>
            <w:pPr>
              <w:pStyle w:val="TableParagraph"/>
              <w:spacing w:line="213" w:lineRule="exact"/>
              <w:ind w:right="114"/>
              <w:rPr>
                <w:sz w:val="20"/>
              </w:rPr>
            </w:pPr>
            <w:r>
              <w:rPr>
                <w:color w:val="231F20"/>
                <w:sz w:val="20"/>
              </w:rPr>
              <w:t>153</w:t>
            </w:r>
          </w:p>
        </w:tc>
      </w:tr>
      <w:tr>
        <w:trPr>
          <w:trHeight w:val="215" w:hRule="exact"/>
        </w:trPr>
        <w:tc>
          <w:tcPr>
            <w:tcW w:w="6040" w:type="dxa"/>
          </w:tcPr>
          <w:p>
            <w:pPr>
              <w:pStyle w:val="TableParagraph"/>
              <w:spacing w:line="213" w:lineRule="exact"/>
              <w:ind w:left="149"/>
              <w:jc w:val="left"/>
              <w:rPr>
                <w:sz w:val="20"/>
              </w:rPr>
            </w:pPr>
            <w:r>
              <w:rPr>
                <w:color w:val="231F20"/>
                <w:sz w:val="20"/>
              </w:rPr>
              <w:t>Cash collateral received from (provided to) derivative</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5" w:hRule="exact"/>
        </w:trPr>
        <w:tc>
          <w:tcPr>
            <w:tcW w:w="6040" w:type="dxa"/>
          </w:tcPr>
          <w:p>
            <w:pPr>
              <w:pStyle w:val="TableParagraph"/>
              <w:spacing w:line="213" w:lineRule="exact"/>
              <w:ind w:right="149"/>
              <w:rPr>
                <w:sz w:val="20"/>
              </w:rPr>
            </w:pPr>
            <w:r>
              <w:rPr>
                <w:color w:val="231F20"/>
                <w:sz w:val="20"/>
              </w:rPr>
              <w:t>counterparties  . . . . . . . . . . . . . . . . . . . . . . . . . . . . . . . . . . . . . . . . . . . . </w:t>
            </w:r>
          </w:p>
        </w:tc>
        <w:tc>
          <w:tcPr>
            <w:tcW w:w="916" w:type="dxa"/>
          </w:tcPr>
          <w:p>
            <w:pPr>
              <w:pStyle w:val="TableParagraph"/>
              <w:spacing w:line="213" w:lineRule="exact"/>
              <w:ind w:right="64"/>
              <w:rPr>
                <w:sz w:val="20"/>
              </w:rPr>
            </w:pPr>
            <w:r>
              <w:rPr>
                <w:color w:val="231F20"/>
                <w:sz w:val="20"/>
              </w:rPr>
              <w:t>233</w:t>
            </w:r>
          </w:p>
        </w:tc>
        <w:tc>
          <w:tcPr>
            <w:tcW w:w="194" w:type="dxa"/>
          </w:tcPr>
          <w:p>
            <w:pPr/>
          </w:p>
        </w:tc>
        <w:tc>
          <w:tcPr>
            <w:tcW w:w="916" w:type="dxa"/>
          </w:tcPr>
          <w:p>
            <w:pPr>
              <w:pStyle w:val="TableParagraph"/>
              <w:spacing w:line="213" w:lineRule="exact"/>
              <w:rPr>
                <w:sz w:val="20"/>
              </w:rPr>
            </w:pPr>
            <w:r>
              <w:rPr>
                <w:color w:val="231F20"/>
                <w:sz w:val="20"/>
              </w:rPr>
              <w:t>(195)</w:t>
            </w:r>
          </w:p>
        </w:tc>
        <w:tc>
          <w:tcPr>
            <w:tcW w:w="194" w:type="dxa"/>
          </w:tcPr>
          <w:p>
            <w:pPr/>
          </w:p>
        </w:tc>
        <w:tc>
          <w:tcPr>
            <w:tcW w:w="966" w:type="dxa"/>
          </w:tcPr>
          <w:p>
            <w:pPr>
              <w:pStyle w:val="TableParagraph"/>
              <w:spacing w:line="213" w:lineRule="exact"/>
              <w:ind w:right="114"/>
              <w:rPr>
                <w:sz w:val="20"/>
              </w:rPr>
            </w:pPr>
            <w:r>
              <w:rPr>
                <w:color w:val="231F20"/>
                <w:sz w:val="20"/>
              </w:rPr>
              <w:t>265</w:t>
            </w:r>
          </w:p>
        </w:tc>
      </w:tr>
      <w:tr>
        <w:trPr>
          <w:trHeight w:val="249" w:hRule="exact"/>
        </w:trPr>
        <w:tc>
          <w:tcPr>
            <w:tcW w:w="6040" w:type="dxa"/>
          </w:tcPr>
          <w:p>
            <w:pPr>
              <w:pStyle w:val="TableParagraph"/>
              <w:spacing w:line="213" w:lineRule="exact"/>
              <w:ind w:right="149"/>
              <w:rPr>
                <w:sz w:val="20"/>
              </w:rPr>
            </w:pPr>
            <w:r>
              <w:rPr>
                <w:color w:val="231F20"/>
                <w:sz w:val="20"/>
              </w:rPr>
              <w:t>Other, net   . . . . . . . . . . . . . . . . . . . . . . . . . . . . . . . . . . . . . . . . . . . . . . . . </w:t>
            </w:r>
          </w:p>
        </w:tc>
        <w:tc>
          <w:tcPr>
            <w:tcW w:w="916" w:type="dxa"/>
            <w:tcBorders>
              <w:bottom w:val="single" w:sz="4" w:space="0" w:color="231F20"/>
            </w:tcBorders>
          </w:tcPr>
          <w:p>
            <w:pPr>
              <w:pStyle w:val="TableParagraph"/>
              <w:spacing w:line="213" w:lineRule="exact"/>
              <w:ind w:right="64"/>
              <w:rPr>
                <w:sz w:val="20"/>
              </w:rPr>
            </w:pPr>
            <w:r>
              <w:rPr>
                <w:color w:val="231F20"/>
                <w:sz w:val="20"/>
              </w:rPr>
              <w:t>133</w:t>
            </w:r>
          </w:p>
        </w:tc>
        <w:tc>
          <w:tcPr>
            <w:tcW w:w="194" w:type="dxa"/>
          </w:tcPr>
          <w:p>
            <w:pPr/>
          </w:p>
        </w:tc>
        <w:tc>
          <w:tcPr>
            <w:tcW w:w="916" w:type="dxa"/>
            <w:tcBorders>
              <w:bottom w:val="single" w:sz="4" w:space="0" w:color="231F20"/>
            </w:tcBorders>
          </w:tcPr>
          <w:p>
            <w:pPr>
              <w:pStyle w:val="TableParagraph"/>
              <w:spacing w:line="213" w:lineRule="exact"/>
              <w:ind w:right="64"/>
              <w:rPr>
                <w:sz w:val="20"/>
              </w:rPr>
            </w:pPr>
            <w:r>
              <w:rPr>
                <w:color w:val="231F20"/>
                <w:sz w:val="20"/>
              </w:rPr>
              <w:t>165</w:t>
            </w:r>
          </w:p>
        </w:tc>
        <w:tc>
          <w:tcPr>
            <w:tcW w:w="194" w:type="dxa"/>
          </w:tcPr>
          <w:p>
            <w:pPr/>
          </w:p>
        </w:tc>
        <w:tc>
          <w:tcPr>
            <w:tcW w:w="966" w:type="dxa"/>
            <w:tcBorders>
              <w:bottom w:val="single" w:sz="4" w:space="0" w:color="231F20"/>
            </w:tcBorders>
          </w:tcPr>
          <w:p>
            <w:pPr>
              <w:pStyle w:val="TableParagraph"/>
              <w:spacing w:line="213" w:lineRule="exact"/>
              <w:ind w:right="48"/>
              <w:rPr>
                <w:sz w:val="20"/>
              </w:rPr>
            </w:pPr>
            <w:r>
              <w:rPr>
                <w:color w:val="231F20"/>
                <w:sz w:val="20"/>
              </w:rPr>
              <w:t>(361)</w:t>
            </w:r>
          </w:p>
        </w:tc>
      </w:tr>
      <w:tr>
        <w:trPr>
          <w:trHeight w:val="263" w:hRule="exact"/>
        </w:trPr>
        <w:tc>
          <w:tcPr>
            <w:tcW w:w="6040" w:type="dxa"/>
          </w:tcPr>
          <w:p>
            <w:pPr>
              <w:pStyle w:val="TableParagraph"/>
              <w:spacing w:before="29"/>
              <w:ind w:left="250"/>
              <w:jc w:val="left"/>
              <w:rPr>
                <w:sz w:val="20"/>
              </w:rPr>
            </w:pPr>
            <w:r>
              <w:rPr>
                <w:color w:val="231F20"/>
                <w:sz w:val="20"/>
              </w:rPr>
              <w:t>Net cash provided by operating activities</w:t>
            </w:r>
          </w:p>
        </w:tc>
        <w:tc>
          <w:tcPr>
            <w:tcW w:w="916" w:type="dxa"/>
            <w:tcBorders>
              <w:top w:val="single" w:sz="4" w:space="0" w:color="231F20"/>
            </w:tcBorders>
          </w:tcPr>
          <w:p>
            <w:pPr>
              <w:pStyle w:val="TableParagraph"/>
              <w:spacing w:before="24"/>
              <w:ind w:right="64"/>
              <w:rPr>
                <w:sz w:val="20"/>
              </w:rPr>
            </w:pPr>
            <w:r>
              <w:rPr>
                <w:color w:val="231F20"/>
                <w:sz w:val="20"/>
              </w:rPr>
              <w:t>2,064</w:t>
            </w:r>
          </w:p>
        </w:tc>
        <w:tc>
          <w:tcPr>
            <w:tcW w:w="194" w:type="dxa"/>
          </w:tcPr>
          <w:p>
            <w:pPr/>
          </w:p>
        </w:tc>
        <w:tc>
          <w:tcPr>
            <w:tcW w:w="916" w:type="dxa"/>
            <w:tcBorders>
              <w:top w:val="single" w:sz="4" w:space="0" w:color="231F20"/>
            </w:tcBorders>
          </w:tcPr>
          <w:p>
            <w:pPr>
              <w:pStyle w:val="TableParagraph"/>
              <w:spacing w:before="24"/>
              <w:ind w:right="64"/>
              <w:rPr>
                <w:sz w:val="20"/>
              </w:rPr>
            </w:pPr>
            <w:r>
              <w:rPr>
                <w:color w:val="231F20"/>
                <w:sz w:val="20"/>
              </w:rPr>
              <w:t>1,356</w:t>
            </w:r>
          </w:p>
        </w:tc>
        <w:tc>
          <w:tcPr>
            <w:tcW w:w="194" w:type="dxa"/>
          </w:tcPr>
          <w:p>
            <w:pPr/>
          </w:p>
        </w:tc>
        <w:tc>
          <w:tcPr>
            <w:tcW w:w="966" w:type="dxa"/>
            <w:tcBorders>
              <w:top w:val="single" w:sz="4" w:space="0" w:color="231F20"/>
            </w:tcBorders>
          </w:tcPr>
          <w:p>
            <w:pPr>
              <w:pStyle w:val="TableParagraph"/>
              <w:spacing w:before="24"/>
              <w:ind w:right="114"/>
              <w:rPr>
                <w:sz w:val="20"/>
              </w:rPr>
            </w:pPr>
            <w:r>
              <w:rPr>
                <w:color w:val="231F20"/>
                <w:sz w:val="20"/>
              </w:rPr>
              <w:t>1,561</w:t>
            </w:r>
          </w:p>
        </w:tc>
      </w:tr>
      <w:tr>
        <w:trPr>
          <w:trHeight w:val="337" w:hRule="exact"/>
        </w:trPr>
        <w:tc>
          <w:tcPr>
            <w:tcW w:w="6040" w:type="dxa"/>
          </w:tcPr>
          <w:p>
            <w:pPr>
              <w:pStyle w:val="TableParagraph"/>
              <w:spacing w:before="101"/>
              <w:ind w:left="50"/>
              <w:jc w:val="left"/>
              <w:rPr>
                <w:b/>
                <w:sz w:val="20"/>
              </w:rPr>
            </w:pPr>
            <w:r>
              <w:rPr>
                <w:b/>
                <w:color w:val="231F20"/>
                <w:sz w:val="20"/>
              </w:rPr>
              <w:t>CASH FLOWS FROM INVESTING ACTIVITIES:</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Payment to acquire AirTran, net of AirTran cash on hand   . . . . . . . . . . </w:t>
            </w:r>
          </w:p>
        </w:tc>
        <w:tc>
          <w:tcPr>
            <w:tcW w:w="916" w:type="dxa"/>
          </w:tcPr>
          <w:p>
            <w:pPr>
              <w:pStyle w:val="TableParagraph"/>
              <w:spacing w:line="215" w:lineRule="exact"/>
              <w:ind w:left="550"/>
              <w:jc w:val="left"/>
              <w:rPr>
                <w:sz w:val="20"/>
              </w:rPr>
            </w:pPr>
            <w:r>
              <w:rPr>
                <w:color w:val="231F20"/>
                <w:sz w:val="20"/>
              </w:rPr>
              <w:t>—</w:t>
            </w:r>
          </w:p>
        </w:tc>
        <w:tc>
          <w:tcPr>
            <w:tcW w:w="194" w:type="dxa"/>
          </w:tcPr>
          <w:p>
            <w:pPr/>
          </w:p>
        </w:tc>
        <w:tc>
          <w:tcPr>
            <w:tcW w:w="916" w:type="dxa"/>
          </w:tcPr>
          <w:p>
            <w:pPr>
              <w:pStyle w:val="TableParagraph"/>
              <w:spacing w:line="215" w:lineRule="exact"/>
              <w:rPr>
                <w:sz w:val="20"/>
              </w:rPr>
            </w:pPr>
            <w:r>
              <w:rPr>
                <w:color w:val="231F20"/>
                <w:sz w:val="20"/>
              </w:rPr>
              <w:t>(35)</w:t>
            </w:r>
          </w:p>
        </w:tc>
        <w:tc>
          <w:tcPr>
            <w:tcW w:w="194" w:type="dxa"/>
          </w:tcPr>
          <w:p>
            <w:pPr/>
          </w:p>
        </w:tc>
        <w:tc>
          <w:tcPr>
            <w:tcW w:w="966" w:type="dxa"/>
          </w:tcPr>
          <w:p>
            <w:pPr>
              <w:pStyle w:val="TableParagraph"/>
              <w:spacing w:line="215" w:lineRule="exact"/>
              <w:ind w:right="214"/>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Payments for purchase of property and equipment, net  . . . . . . . . . . . . . </w:t>
            </w:r>
          </w:p>
        </w:tc>
        <w:tc>
          <w:tcPr>
            <w:tcW w:w="916" w:type="dxa"/>
          </w:tcPr>
          <w:p>
            <w:pPr>
              <w:pStyle w:val="TableParagraph"/>
              <w:spacing w:line="213" w:lineRule="exact"/>
              <w:ind w:right="-1"/>
              <w:rPr>
                <w:sz w:val="20"/>
              </w:rPr>
            </w:pPr>
            <w:r>
              <w:rPr>
                <w:color w:val="231F20"/>
                <w:sz w:val="20"/>
              </w:rPr>
              <w:t>(1,348)</w:t>
            </w:r>
          </w:p>
        </w:tc>
        <w:tc>
          <w:tcPr>
            <w:tcW w:w="194" w:type="dxa"/>
          </w:tcPr>
          <w:p>
            <w:pPr/>
          </w:p>
        </w:tc>
        <w:tc>
          <w:tcPr>
            <w:tcW w:w="916" w:type="dxa"/>
          </w:tcPr>
          <w:p>
            <w:pPr>
              <w:pStyle w:val="TableParagraph"/>
              <w:spacing w:line="213" w:lineRule="exact"/>
              <w:ind w:right="-1"/>
              <w:rPr>
                <w:sz w:val="20"/>
              </w:rPr>
            </w:pPr>
            <w:r>
              <w:rPr>
                <w:color w:val="231F20"/>
                <w:sz w:val="20"/>
              </w:rPr>
              <w:t>(968)</w:t>
            </w:r>
          </w:p>
        </w:tc>
        <w:tc>
          <w:tcPr>
            <w:tcW w:w="194" w:type="dxa"/>
          </w:tcPr>
          <w:p>
            <w:pPr/>
          </w:p>
        </w:tc>
        <w:tc>
          <w:tcPr>
            <w:tcW w:w="966" w:type="dxa"/>
          </w:tcPr>
          <w:p>
            <w:pPr>
              <w:pStyle w:val="TableParagraph"/>
              <w:spacing w:line="213" w:lineRule="exact"/>
              <w:ind w:right="48"/>
              <w:rPr>
                <w:sz w:val="20"/>
              </w:rPr>
            </w:pPr>
            <w:r>
              <w:rPr>
                <w:color w:val="231F20"/>
                <w:sz w:val="20"/>
              </w:rPr>
              <w:t>(493)</w:t>
            </w:r>
          </w:p>
        </w:tc>
      </w:tr>
      <w:tr>
        <w:trPr>
          <w:trHeight w:val="215" w:hRule="exact"/>
        </w:trPr>
        <w:tc>
          <w:tcPr>
            <w:tcW w:w="6040" w:type="dxa"/>
          </w:tcPr>
          <w:p>
            <w:pPr>
              <w:pStyle w:val="TableParagraph"/>
              <w:spacing w:line="213" w:lineRule="exact"/>
              <w:ind w:right="149"/>
              <w:rPr>
                <w:sz w:val="20"/>
              </w:rPr>
            </w:pPr>
            <w:r>
              <w:rPr>
                <w:color w:val="231F20"/>
                <w:sz w:val="20"/>
              </w:rPr>
              <w:t>Purchases of short-term investments   . . . . . . . . . . . . . . . . . . . . . . . . . . . </w:t>
            </w:r>
          </w:p>
        </w:tc>
        <w:tc>
          <w:tcPr>
            <w:tcW w:w="916" w:type="dxa"/>
          </w:tcPr>
          <w:p>
            <w:pPr>
              <w:pStyle w:val="TableParagraph"/>
              <w:spacing w:line="213" w:lineRule="exact"/>
              <w:ind w:right="-1"/>
              <w:rPr>
                <w:sz w:val="20"/>
              </w:rPr>
            </w:pPr>
            <w:r>
              <w:rPr>
                <w:color w:val="231F20"/>
                <w:sz w:val="20"/>
              </w:rPr>
              <w:t>(2,481)</w:t>
            </w:r>
          </w:p>
        </w:tc>
        <w:tc>
          <w:tcPr>
            <w:tcW w:w="194" w:type="dxa"/>
          </w:tcPr>
          <w:p>
            <w:pPr/>
          </w:p>
        </w:tc>
        <w:tc>
          <w:tcPr>
            <w:tcW w:w="916" w:type="dxa"/>
          </w:tcPr>
          <w:p>
            <w:pPr>
              <w:pStyle w:val="TableParagraph"/>
              <w:spacing w:line="213" w:lineRule="exact"/>
              <w:ind w:right="-1"/>
              <w:rPr>
                <w:sz w:val="20"/>
              </w:rPr>
            </w:pPr>
            <w:r>
              <w:rPr>
                <w:color w:val="231F20"/>
                <w:sz w:val="20"/>
              </w:rPr>
              <w:t>(5,362)</w:t>
            </w:r>
          </w:p>
        </w:tc>
        <w:tc>
          <w:tcPr>
            <w:tcW w:w="194" w:type="dxa"/>
          </w:tcPr>
          <w:p>
            <w:pPr/>
          </w:p>
        </w:tc>
        <w:tc>
          <w:tcPr>
            <w:tcW w:w="966" w:type="dxa"/>
          </w:tcPr>
          <w:p>
            <w:pPr>
              <w:pStyle w:val="TableParagraph"/>
              <w:spacing w:line="213" w:lineRule="exact"/>
              <w:ind w:right="48"/>
              <w:rPr>
                <w:sz w:val="20"/>
              </w:rPr>
            </w:pPr>
            <w:r>
              <w:rPr>
                <w:color w:val="231F20"/>
                <w:sz w:val="20"/>
              </w:rPr>
              <w:t>(5,624)</w:t>
            </w:r>
          </w:p>
        </w:tc>
      </w:tr>
      <w:tr>
        <w:trPr>
          <w:trHeight w:val="249" w:hRule="exact"/>
        </w:trPr>
        <w:tc>
          <w:tcPr>
            <w:tcW w:w="6040" w:type="dxa"/>
          </w:tcPr>
          <w:p>
            <w:pPr>
              <w:pStyle w:val="TableParagraph"/>
              <w:spacing w:line="213" w:lineRule="exact"/>
              <w:ind w:right="149"/>
              <w:rPr>
                <w:sz w:val="20"/>
              </w:rPr>
            </w:pPr>
            <w:r>
              <w:rPr>
                <w:color w:val="231F20"/>
                <w:sz w:val="20"/>
              </w:rPr>
              <w:t>Proceeds from sales of short-term and other investments   . . . . . . . . . . . </w:t>
            </w:r>
          </w:p>
        </w:tc>
        <w:tc>
          <w:tcPr>
            <w:tcW w:w="916" w:type="dxa"/>
            <w:tcBorders>
              <w:bottom w:val="single" w:sz="4" w:space="0" w:color="231F20"/>
            </w:tcBorders>
          </w:tcPr>
          <w:p>
            <w:pPr>
              <w:pStyle w:val="TableParagraph"/>
              <w:spacing w:line="213" w:lineRule="exact"/>
              <w:ind w:right="64"/>
              <w:rPr>
                <w:sz w:val="20"/>
              </w:rPr>
            </w:pPr>
            <w:r>
              <w:rPr>
                <w:color w:val="231F20"/>
                <w:sz w:val="20"/>
              </w:rPr>
              <w:t>2,996</w:t>
            </w:r>
          </w:p>
        </w:tc>
        <w:tc>
          <w:tcPr>
            <w:tcW w:w="194" w:type="dxa"/>
          </w:tcPr>
          <w:p>
            <w:pPr/>
          </w:p>
        </w:tc>
        <w:tc>
          <w:tcPr>
            <w:tcW w:w="916" w:type="dxa"/>
            <w:tcBorders>
              <w:bottom w:val="single" w:sz="4" w:space="0" w:color="231F20"/>
            </w:tcBorders>
          </w:tcPr>
          <w:p>
            <w:pPr>
              <w:pStyle w:val="TableParagraph"/>
              <w:spacing w:line="213" w:lineRule="exact"/>
              <w:ind w:right="64"/>
              <w:rPr>
                <w:sz w:val="20"/>
              </w:rPr>
            </w:pPr>
            <w:r>
              <w:rPr>
                <w:color w:val="231F20"/>
                <w:sz w:val="20"/>
              </w:rPr>
              <w:t>5,343</w:t>
            </w:r>
          </w:p>
        </w:tc>
        <w:tc>
          <w:tcPr>
            <w:tcW w:w="194" w:type="dxa"/>
          </w:tcPr>
          <w:p>
            <w:pPr/>
          </w:p>
        </w:tc>
        <w:tc>
          <w:tcPr>
            <w:tcW w:w="966" w:type="dxa"/>
            <w:tcBorders>
              <w:bottom w:val="single" w:sz="4" w:space="0" w:color="231F20"/>
            </w:tcBorders>
          </w:tcPr>
          <w:p>
            <w:pPr>
              <w:pStyle w:val="TableParagraph"/>
              <w:spacing w:line="213" w:lineRule="exact"/>
              <w:ind w:right="114"/>
              <w:rPr>
                <w:sz w:val="20"/>
              </w:rPr>
            </w:pPr>
            <w:r>
              <w:rPr>
                <w:color w:val="231F20"/>
                <w:sz w:val="20"/>
              </w:rPr>
              <w:t>4,852</w:t>
            </w:r>
          </w:p>
        </w:tc>
      </w:tr>
      <w:tr>
        <w:trPr>
          <w:trHeight w:val="263" w:hRule="exact"/>
        </w:trPr>
        <w:tc>
          <w:tcPr>
            <w:tcW w:w="6040" w:type="dxa"/>
          </w:tcPr>
          <w:p>
            <w:pPr>
              <w:pStyle w:val="TableParagraph"/>
              <w:spacing w:before="29"/>
              <w:ind w:right="149"/>
              <w:rPr>
                <w:sz w:val="20"/>
              </w:rPr>
            </w:pPr>
            <w:r>
              <w:rPr>
                <w:color w:val="231F20"/>
                <w:sz w:val="20"/>
              </w:rPr>
              <w:t>Net cash used in investing activities . . . . . . . . . . . . . . . . . . . . . . . . . . . </w:t>
            </w:r>
          </w:p>
        </w:tc>
        <w:tc>
          <w:tcPr>
            <w:tcW w:w="916" w:type="dxa"/>
            <w:tcBorders>
              <w:top w:val="single" w:sz="4" w:space="0" w:color="231F20"/>
            </w:tcBorders>
          </w:tcPr>
          <w:p>
            <w:pPr>
              <w:pStyle w:val="TableParagraph"/>
              <w:spacing w:before="24"/>
              <w:rPr>
                <w:sz w:val="20"/>
              </w:rPr>
            </w:pPr>
            <w:r>
              <w:rPr>
                <w:color w:val="231F20"/>
                <w:sz w:val="20"/>
              </w:rPr>
              <w:t>(833)</w:t>
            </w:r>
          </w:p>
        </w:tc>
        <w:tc>
          <w:tcPr>
            <w:tcW w:w="194" w:type="dxa"/>
          </w:tcPr>
          <w:p>
            <w:pPr/>
          </w:p>
        </w:tc>
        <w:tc>
          <w:tcPr>
            <w:tcW w:w="916" w:type="dxa"/>
            <w:tcBorders>
              <w:top w:val="single" w:sz="4" w:space="0" w:color="231F20"/>
            </w:tcBorders>
          </w:tcPr>
          <w:p>
            <w:pPr>
              <w:pStyle w:val="TableParagraph"/>
              <w:spacing w:before="24"/>
              <w:ind w:right="-1"/>
              <w:rPr>
                <w:sz w:val="20"/>
              </w:rPr>
            </w:pPr>
            <w:r>
              <w:rPr>
                <w:color w:val="231F20"/>
                <w:sz w:val="20"/>
              </w:rPr>
              <w:t>(1,022)</w:t>
            </w:r>
          </w:p>
        </w:tc>
        <w:tc>
          <w:tcPr>
            <w:tcW w:w="194" w:type="dxa"/>
          </w:tcPr>
          <w:p>
            <w:pPr/>
          </w:p>
        </w:tc>
        <w:tc>
          <w:tcPr>
            <w:tcW w:w="966" w:type="dxa"/>
            <w:tcBorders>
              <w:top w:val="single" w:sz="4" w:space="0" w:color="231F20"/>
            </w:tcBorders>
          </w:tcPr>
          <w:p>
            <w:pPr>
              <w:pStyle w:val="TableParagraph"/>
              <w:spacing w:before="24"/>
              <w:ind w:right="48"/>
              <w:rPr>
                <w:sz w:val="20"/>
              </w:rPr>
            </w:pPr>
            <w:r>
              <w:rPr>
                <w:color w:val="231F20"/>
                <w:sz w:val="20"/>
              </w:rPr>
              <w:t>(1,265)</w:t>
            </w:r>
          </w:p>
        </w:tc>
      </w:tr>
      <w:tr>
        <w:trPr>
          <w:trHeight w:val="337" w:hRule="exact"/>
        </w:trPr>
        <w:tc>
          <w:tcPr>
            <w:tcW w:w="6040" w:type="dxa"/>
          </w:tcPr>
          <w:p>
            <w:pPr>
              <w:pStyle w:val="TableParagraph"/>
              <w:spacing w:before="101"/>
              <w:ind w:left="49"/>
              <w:jc w:val="left"/>
              <w:rPr>
                <w:b/>
                <w:sz w:val="20"/>
              </w:rPr>
            </w:pPr>
            <w:r>
              <w:rPr>
                <w:b/>
                <w:color w:val="231F20"/>
                <w:sz w:val="20"/>
              </w:rPr>
              <w:t>CASH FLOWS FROM FINANCING ACTIVITIES:</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Proceeds from Employee stock plans . . . . . . . . . . . . . . . . . . . . . . . . . . . </w:t>
            </w:r>
          </w:p>
        </w:tc>
        <w:tc>
          <w:tcPr>
            <w:tcW w:w="916" w:type="dxa"/>
          </w:tcPr>
          <w:p>
            <w:pPr>
              <w:pStyle w:val="TableParagraph"/>
              <w:spacing w:line="215" w:lineRule="exact"/>
              <w:ind w:right="64"/>
              <w:rPr>
                <w:sz w:val="20"/>
              </w:rPr>
            </w:pPr>
            <w:r>
              <w:rPr>
                <w:color w:val="231F20"/>
                <w:sz w:val="20"/>
              </w:rPr>
              <w:t>27</w:t>
            </w:r>
          </w:p>
        </w:tc>
        <w:tc>
          <w:tcPr>
            <w:tcW w:w="1110" w:type="dxa"/>
            <w:gridSpan w:val="2"/>
          </w:tcPr>
          <w:p>
            <w:pPr>
              <w:pStyle w:val="TableParagraph"/>
              <w:spacing w:line="215" w:lineRule="exact"/>
              <w:ind w:right="64"/>
              <w:rPr>
                <w:sz w:val="20"/>
              </w:rPr>
            </w:pPr>
            <w:r>
              <w:rPr>
                <w:color w:val="231F20"/>
                <w:sz w:val="20"/>
              </w:rPr>
              <w:t>20</w:t>
            </w:r>
          </w:p>
        </w:tc>
        <w:tc>
          <w:tcPr>
            <w:tcW w:w="1160" w:type="dxa"/>
            <w:gridSpan w:val="2"/>
          </w:tcPr>
          <w:p>
            <w:pPr>
              <w:pStyle w:val="TableParagraph"/>
              <w:spacing w:line="215" w:lineRule="exact"/>
              <w:ind w:right="114"/>
              <w:rPr>
                <w:sz w:val="20"/>
              </w:rPr>
            </w:pPr>
            <w:r>
              <w:rPr>
                <w:color w:val="231F20"/>
                <w:sz w:val="20"/>
              </w:rPr>
              <w:t>55</w:t>
            </w:r>
          </w:p>
        </w:tc>
      </w:tr>
      <w:tr>
        <w:trPr>
          <w:trHeight w:val="215" w:hRule="exact"/>
        </w:trPr>
        <w:tc>
          <w:tcPr>
            <w:tcW w:w="6040" w:type="dxa"/>
          </w:tcPr>
          <w:p>
            <w:pPr>
              <w:pStyle w:val="TableParagraph"/>
              <w:spacing w:line="213" w:lineRule="exact"/>
              <w:ind w:right="149"/>
              <w:rPr>
                <w:sz w:val="20"/>
              </w:rPr>
            </w:pPr>
            <w:r>
              <w:rPr>
                <w:color w:val="231F20"/>
                <w:sz w:val="20"/>
              </w:rPr>
              <w:t>Proceeds from termination of interest rate derivative instrument   . . . . . </w:t>
            </w:r>
          </w:p>
        </w:tc>
        <w:tc>
          <w:tcPr>
            <w:tcW w:w="916" w:type="dxa"/>
          </w:tcPr>
          <w:p>
            <w:pPr>
              <w:pStyle w:val="TableParagraph"/>
              <w:spacing w:line="213" w:lineRule="exact"/>
              <w:ind w:right="64"/>
              <w:rPr>
                <w:sz w:val="20"/>
              </w:rPr>
            </w:pPr>
            <w:r>
              <w:rPr>
                <w:color w:val="231F20"/>
                <w:sz w:val="20"/>
              </w:rPr>
              <w:t>38</w:t>
            </w:r>
          </w:p>
        </w:tc>
        <w:tc>
          <w:tcPr>
            <w:tcW w:w="1110" w:type="dxa"/>
            <w:gridSpan w:val="2"/>
          </w:tcPr>
          <w:p>
            <w:pPr>
              <w:pStyle w:val="TableParagraph"/>
              <w:spacing w:line="213" w:lineRule="exact"/>
              <w:ind w:right="64"/>
              <w:rPr>
                <w:sz w:val="20"/>
              </w:rPr>
            </w:pPr>
            <w:r>
              <w:rPr>
                <w:color w:val="231F20"/>
                <w:sz w:val="20"/>
              </w:rPr>
              <w:t>76</w:t>
            </w:r>
          </w:p>
        </w:tc>
        <w:tc>
          <w:tcPr>
            <w:tcW w:w="1160" w:type="dxa"/>
            <w:gridSpan w:val="2"/>
          </w:tcPr>
          <w:p>
            <w:pPr>
              <w:pStyle w:val="TableParagraph"/>
              <w:spacing w:line="213" w:lineRule="exact"/>
              <w:ind w:left="743"/>
              <w:jc w:val="left"/>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Payments of long-term debt and capital lease obligations  . . . . . . . . . . . </w:t>
            </w:r>
          </w:p>
        </w:tc>
        <w:tc>
          <w:tcPr>
            <w:tcW w:w="916" w:type="dxa"/>
          </w:tcPr>
          <w:p>
            <w:pPr>
              <w:pStyle w:val="TableParagraph"/>
              <w:spacing w:line="213" w:lineRule="exact"/>
              <w:rPr>
                <w:sz w:val="20"/>
              </w:rPr>
            </w:pPr>
            <w:r>
              <w:rPr>
                <w:color w:val="231F20"/>
                <w:sz w:val="20"/>
              </w:rPr>
              <w:t>(578)</w:t>
            </w:r>
          </w:p>
        </w:tc>
        <w:tc>
          <w:tcPr>
            <w:tcW w:w="1110" w:type="dxa"/>
            <w:gridSpan w:val="2"/>
          </w:tcPr>
          <w:p>
            <w:pPr>
              <w:pStyle w:val="TableParagraph"/>
              <w:spacing w:line="213" w:lineRule="exact"/>
              <w:ind w:left="676"/>
              <w:jc w:val="left"/>
              <w:rPr>
                <w:sz w:val="20"/>
              </w:rPr>
            </w:pPr>
            <w:r>
              <w:rPr>
                <w:color w:val="231F20"/>
                <w:sz w:val="20"/>
              </w:rPr>
              <w:t>(540)</w:t>
            </w:r>
          </w:p>
        </w:tc>
        <w:tc>
          <w:tcPr>
            <w:tcW w:w="1160" w:type="dxa"/>
            <w:gridSpan w:val="2"/>
          </w:tcPr>
          <w:p>
            <w:pPr>
              <w:pStyle w:val="TableParagraph"/>
              <w:spacing w:line="213" w:lineRule="exact"/>
              <w:ind w:left="676"/>
              <w:jc w:val="left"/>
              <w:rPr>
                <w:sz w:val="20"/>
              </w:rPr>
            </w:pPr>
            <w:r>
              <w:rPr>
                <w:color w:val="231F20"/>
                <w:sz w:val="20"/>
              </w:rPr>
              <w:t>(155)</w:t>
            </w:r>
          </w:p>
        </w:tc>
      </w:tr>
      <w:tr>
        <w:trPr>
          <w:trHeight w:val="215" w:hRule="exact"/>
        </w:trPr>
        <w:tc>
          <w:tcPr>
            <w:tcW w:w="6040" w:type="dxa"/>
          </w:tcPr>
          <w:p>
            <w:pPr>
              <w:pStyle w:val="TableParagraph"/>
              <w:spacing w:line="213" w:lineRule="exact"/>
              <w:ind w:right="149"/>
              <w:rPr>
                <w:sz w:val="20"/>
              </w:rPr>
            </w:pPr>
            <w:r>
              <w:rPr>
                <w:color w:val="231F20"/>
                <w:sz w:val="20"/>
              </w:rPr>
              <w:t>Payments of convertible debt obligations . . . . . . . . . . . . . . . . . . . . . . . . </w:t>
            </w:r>
          </w:p>
        </w:tc>
        <w:tc>
          <w:tcPr>
            <w:tcW w:w="916" w:type="dxa"/>
          </w:tcPr>
          <w:p>
            <w:pPr>
              <w:pStyle w:val="TableParagraph"/>
              <w:spacing w:line="213" w:lineRule="exact"/>
              <w:ind w:left="550"/>
              <w:jc w:val="left"/>
              <w:rPr>
                <w:sz w:val="20"/>
              </w:rPr>
            </w:pPr>
            <w:r>
              <w:rPr>
                <w:color w:val="231F20"/>
                <w:sz w:val="20"/>
              </w:rPr>
              <w:t>—</w:t>
            </w:r>
          </w:p>
        </w:tc>
        <w:tc>
          <w:tcPr>
            <w:tcW w:w="1110" w:type="dxa"/>
            <w:gridSpan w:val="2"/>
          </w:tcPr>
          <w:p>
            <w:pPr>
              <w:pStyle w:val="TableParagraph"/>
              <w:spacing w:line="213" w:lineRule="exact"/>
              <w:rPr>
                <w:sz w:val="20"/>
              </w:rPr>
            </w:pPr>
            <w:r>
              <w:rPr>
                <w:color w:val="231F20"/>
                <w:sz w:val="20"/>
              </w:rPr>
              <w:t>(81)</w:t>
            </w:r>
          </w:p>
        </w:tc>
        <w:tc>
          <w:tcPr>
            <w:tcW w:w="1160" w:type="dxa"/>
            <w:gridSpan w:val="2"/>
          </w:tcPr>
          <w:p>
            <w:pPr>
              <w:pStyle w:val="TableParagraph"/>
              <w:spacing w:line="213" w:lineRule="exact"/>
              <w:ind w:left="743"/>
              <w:jc w:val="left"/>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 of credit line borrowing obligations   . . . . . . . . . . . . . . . . . . . . </w:t>
            </w:r>
          </w:p>
        </w:tc>
        <w:tc>
          <w:tcPr>
            <w:tcW w:w="916" w:type="dxa"/>
          </w:tcPr>
          <w:p>
            <w:pPr>
              <w:pStyle w:val="TableParagraph"/>
              <w:spacing w:line="213" w:lineRule="exact"/>
              <w:ind w:left="550"/>
              <w:jc w:val="left"/>
              <w:rPr>
                <w:sz w:val="20"/>
              </w:rPr>
            </w:pPr>
            <w:r>
              <w:rPr>
                <w:color w:val="231F20"/>
                <w:sz w:val="20"/>
              </w:rPr>
              <w:t>—</w:t>
            </w:r>
          </w:p>
        </w:tc>
        <w:tc>
          <w:tcPr>
            <w:tcW w:w="1110" w:type="dxa"/>
            <w:gridSpan w:val="2"/>
          </w:tcPr>
          <w:p>
            <w:pPr>
              <w:pStyle w:val="TableParagraph"/>
              <w:spacing w:line="213" w:lineRule="exact"/>
              <w:ind w:right="164"/>
              <w:rPr>
                <w:sz w:val="20"/>
              </w:rPr>
            </w:pPr>
            <w:r>
              <w:rPr>
                <w:color w:val="231F20"/>
                <w:sz w:val="20"/>
              </w:rPr>
              <w:t>—</w:t>
            </w:r>
          </w:p>
        </w:tc>
        <w:tc>
          <w:tcPr>
            <w:tcW w:w="1160" w:type="dxa"/>
            <w:gridSpan w:val="2"/>
          </w:tcPr>
          <w:p>
            <w:pPr>
              <w:pStyle w:val="TableParagraph"/>
              <w:spacing w:line="213" w:lineRule="exact"/>
              <w:ind w:right="48"/>
              <w:rPr>
                <w:sz w:val="20"/>
              </w:rPr>
            </w:pPr>
            <w:r>
              <w:rPr>
                <w:color w:val="231F20"/>
                <w:sz w:val="20"/>
              </w:rPr>
              <w:t>(44)</w:t>
            </w:r>
          </w:p>
        </w:tc>
      </w:tr>
      <w:tr>
        <w:trPr>
          <w:trHeight w:val="217" w:hRule="exact"/>
        </w:trPr>
        <w:tc>
          <w:tcPr>
            <w:tcW w:w="6040" w:type="dxa"/>
          </w:tcPr>
          <w:p>
            <w:pPr>
              <w:pStyle w:val="TableParagraph"/>
              <w:spacing w:line="213" w:lineRule="exact"/>
              <w:ind w:right="149"/>
              <w:rPr>
                <w:sz w:val="20"/>
              </w:rPr>
            </w:pPr>
            <w:r>
              <w:rPr>
                <w:color w:val="231F20"/>
                <w:sz w:val="20"/>
              </w:rPr>
              <w:t>Payments of cash dividends  . . . . . . . . . . . . . . . . . . . . . . . . . . . . . . . . . . </w:t>
            </w:r>
          </w:p>
        </w:tc>
        <w:tc>
          <w:tcPr>
            <w:tcW w:w="916" w:type="dxa"/>
          </w:tcPr>
          <w:p>
            <w:pPr>
              <w:pStyle w:val="TableParagraph"/>
              <w:spacing w:line="213" w:lineRule="exact"/>
              <w:rPr>
                <w:sz w:val="20"/>
              </w:rPr>
            </w:pPr>
            <w:r>
              <w:rPr>
                <w:color w:val="231F20"/>
                <w:sz w:val="20"/>
              </w:rPr>
              <w:t>(22)</w:t>
            </w:r>
          </w:p>
        </w:tc>
        <w:tc>
          <w:tcPr>
            <w:tcW w:w="1110" w:type="dxa"/>
            <w:gridSpan w:val="2"/>
          </w:tcPr>
          <w:p>
            <w:pPr>
              <w:pStyle w:val="TableParagraph"/>
              <w:spacing w:line="213" w:lineRule="exact"/>
              <w:rPr>
                <w:sz w:val="20"/>
              </w:rPr>
            </w:pPr>
            <w:r>
              <w:rPr>
                <w:color w:val="231F20"/>
                <w:sz w:val="20"/>
              </w:rPr>
              <w:t>(14)</w:t>
            </w:r>
          </w:p>
        </w:tc>
        <w:tc>
          <w:tcPr>
            <w:tcW w:w="1160" w:type="dxa"/>
            <w:gridSpan w:val="2"/>
          </w:tcPr>
          <w:p>
            <w:pPr>
              <w:pStyle w:val="TableParagraph"/>
              <w:spacing w:line="213" w:lineRule="exact"/>
              <w:ind w:right="48"/>
              <w:rPr>
                <w:sz w:val="20"/>
              </w:rPr>
            </w:pPr>
            <w:r>
              <w:rPr>
                <w:color w:val="231F20"/>
                <w:sz w:val="20"/>
              </w:rPr>
              <w:t>(13)</w:t>
            </w:r>
          </w:p>
        </w:tc>
      </w:tr>
      <w:tr>
        <w:trPr>
          <w:trHeight w:val="215" w:hRule="exact"/>
        </w:trPr>
        <w:tc>
          <w:tcPr>
            <w:tcW w:w="6040" w:type="dxa"/>
          </w:tcPr>
          <w:p>
            <w:pPr>
              <w:pStyle w:val="TableParagraph"/>
              <w:spacing w:line="211" w:lineRule="exact"/>
              <w:ind w:right="149"/>
              <w:rPr>
                <w:sz w:val="20"/>
              </w:rPr>
            </w:pPr>
            <w:r>
              <w:rPr>
                <w:color w:val="231F20"/>
                <w:sz w:val="20"/>
              </w:rPr>
              <w:t>Repurchase of common stock . . . . . . . . . . . . . . . . . . . . . . . . . . . . . . . . . </w:t>
            </w:r>
          </w:p>
        </w:tc>
        <w:tc>
          <w:tcPr>
            <w:tcW w:w="916" w:type="dxa"/>
          </w:tcPr>
          <w:p>
            <w:pPr>
              <w:pStyle w:val="TableParagraph"/>
              <w:spacing w:line="211" w:lineRule="exact"/>
              <w:rPr>
                <w:sz w:val="20"/>
              </w:rPr>
            </w:pPr>
            <w:r>
              <w:rPr>
                <w:color w:val="231F20"/>
                <w:sz w:val="20"/>
              </w:rPr>
              <w:t>(400)</w:t>
            </w:r>
          </w:p>
        </w:tc>
        <w:tc>
          <w:tcPr>
            <w:tcW w:w="194" w:type="dxa"/>
          </w:tcPr>
          <w:p>
            <w:pPr/>
          </w:p>
        </w:tc>
        <w:tc>
          <w:tcPr>
            <w:tcW w:w="916" w:type="dxa"/>
          </w:tcPr>
          <w:p>
            <w:pPr>
              <w:pStyle w:val="TableParagraph"/>
              <w:spacing w:line="211" w:lineRule="exact"/>
              <w:rPr>
                <w:sz w:val="20"/>
              </w:rPr>
            </w:pPr>
            <w:r>
              <w:rPr>
                <w:color w:val="231F20"/>
                <w:sz w:val="20"/>
              </w:rPr>
              <w:t>(225)</w:t>
            </w:r>
          </w:p>
        </w:tc>
        <w:tc>
          <w:tcPr>
            <w:tcW w:w="194" w:type="dxa"/>
          </w:tcPr>
          <w:p>
            <w:pPr/>
          </w:p>
        </w:tc>
        <w:tc>
          <w:tcPr>
            <w:tcW w:w="966" w:type="dxa"/>
          </w:tcPr>
          <w:p>
            <w:pPr>
              <w:pStyle w:val="TableParagraph"/>
              <w:spacing w:line="211" w:lineRule="exact"/>
              <w:ind w:right="214"/>
              <w:rPr>
                <w:sz w:val="20"/>
              </w:rPr>
            </w:pPr>
            <w:r>
              <w:rPr>
                <w:color w:val="231F20"/>
                <w:sz w:val="20"/>
              </w:rPr>
              <w:t>—</w:t>
            </w:r>
          </w:p>
        </w:tc>
      </w:tr>
      <w:tr>
        <w:trPr>
          <w:trHeight w:val="247" w:hRule="exact"/>
        </w:trPr>
        <w:tc>
          <w:tcPr>
            <w:tcW w:w="6040" w:type="dxa"/>
          </w:tcPr>
          <w:p>
            <w:pPr>
              <w:pStyle w:val="TableParagraph"/>
              <w:spacing w:line="215" w:lineRule="exact"/>
              <w:ind w:right="149"/>
              <w:rPr>
                <w:sz w:val="20"/>
              </w:rPr>
            </w:pPr>
            <w:r>
              <w:rPr>
                <w:color w:val="231F20"/>
                <w:sz w:val="20"/>
              </w:rPr>
              <w:t>Other, net   . . . . . . . . . . . . . . . . . . . . . . . . . . . . . . . . . . . . . . . . . . . . . . . . </w:t>
            </w:r>
          </w:p>
        </w:tc>
        <w:tc>
          <w:tcPr>
            <w:tcW w:w="916" w:type="dxa"/>
            <w:tcBorders>
              <w:bottom w:val="single" w:sz="4" w:space="0" w:color="231F20"/>
            </w:tcBorders>
          </w:tcPr>
          <w:p>
            <w:pPr>
              <w:pStyle w:val="TableParagraph"/>
              <w:spacing w:line="215" w:lineRule="exact"/>
              <w:rPr>
                <w:sz w:val="20"/>
              </w:rPr>
            </w:pPr>
            <w:r>
              <w:rPr>
                <w:color w:val="231F20"/>
                <w:sz w:val="20"/>
              </w:rPr>
              <w:t>(12)</w:t>
            </w:r>
          </w:p>
        </w:tc>
        <w:tc>
          <w:tcPr>
            <w:tcW w:w="194" w:type="dxa"/>
          </w:tcPr>
          <w:p>
            <w:pPr/>
          </w:p>
        </w:tc>
        <w:tc>
          <w:tcPr>
            <w:tcW w:w="916" w:type="dxa"/>
            <w:tcBorders>
              <w:bottom w:val="single" w:sz="4" w:space="0" w:color="231F20"/>
            </w:tcBorders>
          </w:tcPr>
          <w:p>
            <w:pPr>
              <w:pStyle w:val="TableParagraph"/>
              <w:spacing w:line="215" w:lineRule="exact"/>
              <w:rPr>
                <w:sz w:val="20"/>
              </w:rPr>
            </w:pPr>
            <w:r>
              <w:rPr>
                <w:color w:val="231F20"/>
                <w:sz w:val="20"/>
              </w:rPr>
              <w:t>(2)</w:t>
            </w:r>
          </w:p>
        </w:tc>
        <w:tc>
          <w:tcPr>
            <w:tcW w:w="194" w:type="dxa"/>
          </w:tcPr>
          <w:p>
            <w:pPr/>
          </w:p>
        </w:tc>
        <w:tc>
          <w:tcPr>
            <w:tcW w:w="966" w:type="dxa"/>
            <w:tcBorders>
              <w:bottom w:val="single" w:sz="4" w:space="0" w:color="231F20"/>
            </w:tcBorders>
          </w:tcPr>
          <w:p>
            <w:pPr>
              <w:pStyle w:val="TableParagraph"/>
              <w:spacing w:line="215" w:lineRule="exact"/>
              <w:ind w:right="114"/>
              <w:rPr>
                <w:sz w:val="20"/>
              </w:rPr>
            </w:pPr>
            <w:r>
              <w:rPr>
                <w:color w:val="231F20"/>
                <w:sz w:val="20"/>
              </w:rPr>
              <w:t>8</w:t>
            </w:r>
          </w:p>
        </w:tc>
      </w:tr>
      <w:tr>
        <w:trPr>
          <w:trHeight w:val="295" w:hRule="exact"/>
        </w:trPr>
        <w:tc>
          <w:tcPr>
            <w:tcW w:w="6040" w:type="dxa"/>
          </w:tcPr>
          <w:p>
            <w:pPr>
              <w:pStyle w:val="TableParagraph"/>
              <w:spacing w:before="29"/>
              <w:ind w:right="149"/>
              <w:rPr>
                <w:sz w:val="20"/>
              </w:rPr>
            </w:pPr>
            <w:r>
              <w:rPr>
                <w:color w:val="231F20"/>
                <w:sz w:val="20"/>
              </w:rPr>
              <w:t>Net cash used in financing activities   . . . . . . . . . . . . . . . . . . . . . . . . . . </w:t>
            </w:r>
          </w:p>
        </w:tc>
        <w:tc>
          <w:tcPr>
            <w:tcW w:w="916" w:type="dxa"/>
            <w:tcBorders>
              <w:top w:val="single" w:sz="4" w:space="0" w:color="231F20"/>
              <w:bottom w:val="single" w:sz="4" w:space="0" w:color="231F20"/>
            </w:tcBorders>
          </w:tcPr>
          <w:p>
            <w:pPr>
              <w:pStyle w:val="TableParagraph"/>
              <w:spacing w:before="24"/>
              <w:rPr>
                <w:sz w:val="20"/>
              </w:rPr>
            </w:pPr>
            <w:r>
              <w:rPr>
                <w:color w:val="231F20"/>
                <w:sz w:val="20"/>
              </w:rPr>
              <w:t>(947)</w:t>
            </w:r>
          </w:p>
        </w:tc>
        <w:tc>
          <w:tcPr>
            <w:tcW w:w="194" w:type="dxa"/>
          </w:tcPr>
          <w:p>
            <w:pPr/>
          </w:p>
        </w:tc>
        <w:tc>
          <w:tcPr>
            <w:tcW w:w="916" w:type="dxa"/>
            <w:tcBorders>
              <w:top w:val="single" w:sz="4" w:space="0" w:color="231F20"/>
              <w:bottom w:val="single" w:sz="4" w:space="0" w:color="231F20"/>
            </w:tcBorders>
          </w:tcPr>
          <w:p>
            <w:pPr>
              <w:pStyle w:val="TableParagraph"/>
              <w:spacing w:before="24"/>
              <w:rPr>
                <w:sz w:val="20"/>
              </w:rPr>
            </w:pPr>
            <w:r>
              <w:rPr>
                <w:color w:val="231F20"/>
                <w:sz w:val="20"/>
              </w:rPr>
              <w:t>(766)</w:t>
            </w:r>
          </w:p>
        </w:tc>
        <w:tc>
          <w:tcPr>
            <w:tcW w:w="194" w:type="dxa"/>
          </w:tcPr>
          <w:p>
            <w:pPr/>
          </w:p>
        </w:tc>
        <w:tc>
          <w:tcPr>
            <w:tcW w:w="966" w:type="dxa"/>
            <w:tcBorders>
              <w:top w:val="single" w:sz="4" w:space="0" w:color="231F20"/>
              <w:bottom w:val="single" w:sz="4" w:space="0" w:color="231F20"/>
            </w:tcBorders>
          </w:tcPr>
          <w:p>
            <w:pPr>
              <w:pStyle w:val="TableParagraph"/>
              <w:spacing w:before="24"/>
              <w:ind w:right="48"/>
              <w:rPr>
                <w:sz w:val="20"/>
              </w:rPr>
            </w:pPr>
            <w:r>
              <w:rPr>
                <w:color w:val="231F20"/>
                <w:sz w:val="20"/>
              </w:rPr>
              <w:t>(149)</w:t>
            </w:r>
          </w:p>
        </w:tc>
      </w:tr>
      <w:tr>
        <w:trPr>
          <w:trHeight w:val="547" w:hRule="exact"/>
        </w:trPr>
        <w:tc>
          <w:tcPr>
            <w:tcW w:w="6040" w:type="dxa"/>
          </w:tcPr>
          <w:p>
            <w:pPr>
              <w:pStyle w:val="TableParagraph"/>
              <w:spacing w:line="222" w:lineRule="exact" w:before="96"/>
              <w:ind w:left="50"/>
              <w:jc w:val="left"/>
              <w:rPr>
                <w:sz w:val="20"/>
              </w:rPr>
            </w:pPr>
            <w:r>
              <w:rPr>
                <w:b/>
                <w:color w:val="231F20"/>
                <w:sz w:val="20"/>
              </w:rPr>
              <w:t>NET CHANGE IN CASH AND CASH EQUIVALENTS   </w:t>
            </w:r>
            <w:r>
              <w:rPr>
                <w:color w:val="231F20"/>
                <w:sz w:val="20"/>
              </w:rPr>
              <w:t>. . . . . . . . . </w:t>
            </w:r>
          </w:p>
          <w:p>
            <w:pPr>
              <w:pStyle w:val="TableParagraph"/>
              <w:spacing w:line="222" w:lineRule="exact"/>
              <w:ind w:left="50"/>
              <w:jc w:val="left"/>
              <w:rPr>
                <w:b/>
                <w:sz w:val="20"/>
              </w:rPr>
            </w:pPr>
            <w:r>
              <w:rPr>
                <w:b/>
                <w:color w:val="231F20"/>
                <w:sz w:val="20"/>
              </w:rPr>
              <w:t>CASH AND CASH EQUIVALENTS AT BEGINNING OF</w:t>
            </w:r>
          </w:p>
        </w:tc>
        <w:tc>
          <w:tcPr>
            <w:tcW w:w="916" w:type="dxa"/>
            <w:tcBorders>
              <w:top w:val="single" w:sz="4" w:space="0" w:color="231F20"/>
            </w:tcBorders>
          </w:tcPr>
          <w:p>
            <w:pPr>
              <w:pStyle w:val="TableParagraph"/>
              <w:spacing w:before="91"/>
              <w:ind w:right="64"/>
              <w:rPr>
                <w:sz w:val="20"/>
              </w:rPr>
            </w:pPr>
            <w:r>
              <w:rPr>
                <w:color w:val="231F20"/>
                <w:sz w:val="20"/>
              </w:rPr>
              <w:t>284</w:t>
            </w:r>
          </w:p>
        </w:tc>
        <w:tc>
          <w:tcPr>
            <w:tcW w:w="194" w:type="dxa"/>
          </w:tcPr>
          <w:p>
            <w:pPr/>
          </w:p>
        </w:tc>
        <w:tc>
          <w:tcPr>
            <w:tcW w:w="916" w:type="dxa"/>
            <w:tcBorders>
              <w:top w:val="single" w:sz="4" w:space="0" w:color="231F20"/>
            </w:tcBorders>
          </w:tcPr>
          <w:p>
            <w:pPr>
              <w:pStyle w:val="TableParagraph"/>
              <w:spacing w:before="91"/>
              <w:rPr>
                <w:sz w:val="20"/>
              </w:rPr>
            </w:pPr>
            <w:r>
              <w:rPr>
                <w:color w:val="231F20"/>
                <w:sz w:val="20"/>
              </w:rPr>
              <w:t>(432)</w:t>
            </w:r>
          </w:p>
        </w:tc>
        <w:tc>
          <w:tcPr>
            <w:tcW w:w="194" w:type="dxa"/>
          </w:tcPr>
          <w:p>
            <w:pPr/>
          </w:p>
        </w:tc>
        <w:tc>
          <w:tcPr>
            <w:tcW w:w="966" w:type="dxa"/>
            <w:tcBorders>
              <w:top w:val="single" w:sz="4" w:space="0" w:color="231F20"/>
            </w:tcBorders>
          </w:tcPr>
          <w:p>
            <w:pPr>
              <w:pStyle w:val="TableParagraph"/>
              <w:spacing w:before="91"/>
              <w:ind w:right="114"/>
              <w:rPr>
                <w:sz w:val="20"/>
              </w:rPr>
            </w:pPr>
            <w:r>
              <w:rPr>
                <w:color w:val="231F20"/>
                <w:sz w:val="20"/>
              </w:rPr>
              <w:t>147</w:t>
            </w:r>
          </w:p>
        </w:tc>
      </w:tr>
      <w:tr>
        <w:trPr>
          <w:trHeight w:val="245" w:hRule="exact"/>
        </w:trPr>
        <w:tc>
          <w:tcPr>
            <w:tcW w:w="6040" w:type="dxa"/>
          </w:tcPr>
          <w:p>
            <w:pPr>
              <w:pStyle w:val="TableParagraph"/>
              <w:spacing w:line="217" w:lineRule="exact"/>
              <w:ind w:right="149"/>
              <w:rPr>
                <w:sz w:val="20"/>
              </w:rPr>
            </w:pPr>
            <w:r>
              <w:rPr>
                <w:b/>
                <w:color w:val="231F20"/>
                <w:sz w:val="20"/>
              </w:rPr>
              <w:t>PERIOD </w:t>
            </w:r>
            <w:r>
              <w:rPr>
                <w:color w:val="231F20"/>
                <w:sz w:val="20"/>
              </w:rPr>
              <w:t>. . . . . . . . . . . . . . . . . . . . . . . . . . . . . . . . . . . . . . . . . . . . . . . . </w:t>
            </w:r>
          </w:p>
        </w:tc>
        <w:tc>
          <w:tcPr>
            <w:tcW w:w="916" w:type="dxa"/>
            <w:tcBorders>
              <w:bottom w:val="single" w:sz="4" w:space="0" w:color="231F20"/>
            </w:tcBorders>
          </w:tcPr>
          <w:p>
            <w:pPr>
              <w:pStyle w:val="TableParagraph"/>
              <w:spacing w:line="217" w:lineRule="exact"/>
              <w:ind w:right="64"/>
              <w:rPr>
                <w:sz w:val="20"/>
              </w:rPr>
            </w:pPr>
            <w:r>
              <w:rPr>
                <w:color w:val="231F20"/>
                <w:sz w:val="20"/>
              </w:rPr>
              <w:t>829</w:t>
            </w:r>
          </w:p>
        </w:tc>
        <w:tc>
          <w:tcPr>
            <w:tcW w:w="194" w:type="dxa"/>
          </w:tcPr>
          <w:p>
            <w:pPr/>
          </w:p>
        </w:tc>
        <w:tc>
          <w:tcPr>
            <w:tcW w:w="916" w:type="dxa"/>
            <w:tcBorders>
              <w:bottom w:val="single" w:sz="4" w:space="0" w:color="231F20"/>
            </w:tcBorders>
          </w:tcPr>
          <w:p>
            <w:pPr>
              <w:pStyle w:val="TableParagraph"/>
              <w:spacing w:line="217" w:lineRule="exact"/>
              <w:ind w:right="64"/>
              <w:rPr>
                <w:sz w:val="20"/>
              </w:rPr>
            </w:pPr>
            <w:r>
              <w:rPr>
                <w:color w:val="231F20"/>
                <w:sz w:val="20"/>
              </w:rPr>
              <w:t>1,261</w:t>
            </w:r>
          </w:p>
        </w:tc>
        <w:tc>
          <w:tcPr>
            <w:tcW w:w="194" w:type="dxa"/>
          </w:tcPr>
          <w:p>
            <w:pPr/>
          </w:p>
        </w:tc>
        <w:tc>
          <w:tcPr>
            <w:tcW w:w="966" w:type="dxa"/>
            <w:tcBorders>
              <w:bottom w:val="single" w:sz="4" w:space="0" w:color="231F20"/>
            </w:tcBorders>
          </w:tcPr>
          <w:p>
            <w:pPr>
              <w:pStyle w:val="TableParagraph"/>
              <w:spacing w:line="217" w:lineRule="exact"/>
              <w:ind w:right="114"/>
              <w:rPr>
                <w:sz w:val="20"/>
              </w:rPr>
            </w:pPr>
            <w:r>
              <w:rPr>
                <w:color w:val="231F20"/>
                <w:sz w:val="20"/>
              </w:rPr>
              <w:t>1,114</w:t>
            </w:r>
          </w:p>
        </w:tc>
      </w:tr>
      <w:tr>
        <w:trPr>
          <w:trHeight w:val="335" w:hRule="exact"/>
        </w:trPr>
        <w:tc>
          <w:tcPr>
            <w:tcW w:w="6040" w:type="dxa"/>
          </w:tcPr>
          <w:p>
            <w:pPr>
              <w:pStyle w:val="TableParagraph"/>
              <w:spacing w:before="29"/>
              <w:ind w:left="50"/>
              <w:jc w:val="left"/>
              <w:rPr>
                <w:sz w:val="20"/>
              </w:rPr>
            </w:pPr>
            <w:r>
              <w:rPr>
                <w:b/>
                <w:color w:val="231F20"/>
                <w:sz w:val="20"/>
              </w:rPr>
              <w:t>CASH AND CASH EQUIVALENTS AT END OF PERIOD   </w:t>
            </w:r>
            <w:r>
              <w:rPr>
                <w:color w:val="231F20"/>
                <w:sz w:val="20"/>
              </w:rPr>
              <w:t>. . . . . . </w:t>
            </w:r>
          </w:p>
        </w:tc>
        <w:tc>
          <w:tcPr>
            <w:tcW w:w="916" w:type="dxa"/>
            <w:tcBorders>
              <w:top w:val="single" w:sz="4" w:space="0" w:color="231F20"/>
              <w:bottom w:val="single" w:sz="4" w:space="0" w:color="231F20"/>
            </w:tcBorders>
          </w:tcPr>
          <w:p>
            <w:pPr>
              <w:pStyle w:val="TableParagraph"/>
              <w:tabs>
                <w:tab w:pos="399" w:val="left" w:leader="none"/>
              </w:tabs>
              <w:spacing w:before="24"/>
              <w:ind w:left="60"/>
              <w:jc w:val="left"/>
              <w:rPr>
                <w:sz w:val="20"/>
              </w:rPr>
            </w:pPr>
            <w:r>
              <w:rPr>
                <w:color w:val="231F20"/>
                <w:sz w:val="20"/>
              </w:rPr>
              <w:t>$</w:t>
              <w:tab/>
              <w:t>1,113</w:t>
            </w:r>
          </w:p>
        </w:tc>
        <w:tc>
          <w:tcPr>
            <w:tcW w:w="194" w:type="dxa"/>
          </w:tcPr>
          <w:p>
            <w:pPr/>
          </w:p>
        </w:tc>
        <w:tc>
          <w:tcPr>
            <w:tcW w:w="916" w:type="dxa"/>
            <w:tcBorders>
              <w:top w:val="single" w:sz="4" w:space="0" w:color="231F20"/>
              <w:bottom w:val="single" w:sz="4" w:space="0" w:color="231F20"/>
            </w:tcBorders>
          </w:tcPr>
          <w:p>
            <w:pPr>
              <w:pStyle w:val="TableParagraph"/>
              <w:tabs>
                <w:tab w:pos="489" w:val="left" w:leader="none"/>
              </w:tabs>
              <w:spacing w:before="24"/>
              <w:ind w:right="64"/>
              <w:rPr>
                <w:sz w:val="20"/>
              </w:rPr>
            </w:pPr>
            <w:r>
              <w:rPr>
                <w:color w:val="231F20"/>
                <w:sz w:val="20"/>
              </w:rPr>
              <w:t>$</w:t>
              <w:tab/>
            </w:r>
            <w:r>
              <w:rPr>
                <w:color w:val="231F20"/>
                <w:spacing w:val="-1"/>
                <w:sz w:val="20"/>
              </w:rPr>
              <w:t>829</w:t>
            </w:r>
          </w:p>
        </w:tc>
        <w:tc>
          <w:tcPr>
            <w:tcW w:w="194" w:type="dxa"/>
          </w:tcPr>
          <w:p>
            <w:pPr/>
          </w:p>
        </w:tc>
        <w:tc>
          <w:tcPr>
            <w:tcW w:w="966" w:type="dxa"/>
            <w:tcBorders>
              <w:top w:val="single" w:sz="4" w:space="0" w:color="231F20"/>
              <w:bottom w:val="single" w:sz="4" w:space="0" w:color="231F20"/>
            </w:tcBorders>
          </w:tcPr>
          <w:p>
            <w:pPr>
              <w:pStyle w:val="TableParagraph"/>
              <w:tabs>
                <w:tab w:pos="339" w:val="left" w:leader="none"/>
              </w:tabs>
              <w:spacing w:before="24"/>
              <w:ind w:right="114"/>
              <w:rPr>
                <w:sz w:val="20"/>
              </w:rPr>
            </w:pPr>
            <w:r>
              <w:rPr>
                <w:color w:val="231F20"/>
                <w:sz w:val="20"/>
              </w:rPr>
              <w:t>$</w:t>
              <w:tab/>
            </w:r>
            <w:r>
              <w:rPr>
                <w:color w:val="231F20"/>
                <w:spacing w:val="-1"/>
                <w:sz w:val="20"/>
              </w:rPr>
              <w:t>1,261</w:t>
            </w:r>
          </w:p>
        </w:tc>
      </w:tr>
      <w:tr>
        <w:trPr>
          <w:trHeight w:val="265" w:hRule="exact"/>
        </w:trPr>
        <w:tc>
          <w:tcPr>
            <w:tcW w:w="6040" w:type="dxa"/>
          </w:tcPr>
          <w:p>
            <w:pPr>
              <w:pStyle w:val="TableParagraph"/>
              <w:spacing w:before="29"/>
              <w:ind w:left="50"/>
              <w:jc w:val="left"/>
              <w:rPr>
                <w:b/>
                <w:sz w:val="20"/>
              </w:rPr>
            </w:pPr>
            <w:r>
              <w:rPr>
                <w:b/>
                <w:color w:val="231F20"/>
                <w:sz w:val="20"/>
              </w:rPr>
              <w:t>CASH PAYMENTS FOR:</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Interest, net of amount capitalized  . . . . . . . . . . . . . . . . . . . . . . . . . . . . . </w:t>
            </w:r>
          </w:p>
        </w:tc>
        <w:tc>
          <w:tcPr>
            <w:tcW w:w="916" w:type="dxa"/>
          </w:tcPr>
          <w:p>
            <w:pPr>
              <w:pStyle w:val="TableParagraph"/>
              <w:tabs>
                <w:tab w:pos="549" w:val="left" w:leader="none"/>
              </w:tabs>
              <w:spacing w:line="215" w:lineRule="exact"/>
              <w:ind w:left="60"/>
              <w:jc w:val="left"/>
              <w:rPr>
                <w:sz w:val="20"/>
              </w:rPr>
            </w:pPr>
            <w:r>
              <w:rPr>
                <w:color w:val="231F20"/>
                <w:sz w:val="20"/>
              </w:rPr>
              <w:t>$</w:t>
              <w:tab/>
              <w:t>153</w:t>
            </w:r>
          </w:p>
        </w:tc>
        <w:tc>
          <w:tcPr>
            <w:tcW w:w="1110" w:type="dxa"/>
            <w:gridSpan w:val="2"/>
          </w:tcPr>
          <w:p>
            <w:pPr>
              <w:pStyle w:val="TableParagraph"/>
              <w:tabs>
                <w:tab w:pos="743" w:val="left" w:leader="none"/>
              </w:tabs>
              <w:spacing w:line="215" w:lineRule="exact"/>
              <w:ind w:left="253"/>
              <w:jc w:val="left"/>
              <w:rPr>
                <w:sz w:val="20"/>
              </w:rPr>
            </w:pPr>
            <w:r>
              <w:rPr>
                <w:color w:val="231F20"/>
                <w:sz w:val="20"/>
              </w:rPr>
              <w:t>$</w:t>
              <w:tab/>
              <w:t>185</w:t>
            </w:r>
          </w:p>
        </w:tc>
        <w:tc>
          <w:tcPr>
            <w:tcW w:w="1160" w:type="dxa"/>
            <w:gridSpan w:val="2"/>
          </w:tcPr>
          <w:p>
            <w:pPr>
              <w:pStyle w:val="TableParagraph"/>
              <w:tabs>
                <w:tab w:pos="743" w:val="left" w:leader="none"/>
              </w:tabs>
              <w:spacing w:line="215" w:lineRule="exact"/>
              <w:ind w:left="253"/>
              <w:jc w:val="left"/>
              <w:rPr>
                <w:sz w:val="20"/>
              </w:rPr>
            </w:pPr>
            <w:r>
              <w:rPr>
                <w:color w:val="231F20"/>
                <w:sz w:val="20"/>
              </w:rPr>
              <w:t>$</w:t>
              <w:tab/>
              <w:t>135</w:t>
            </w:r>
          </w:p>
        </w:tc>
      </w:tr>
      <w:tr>
        <w:trPr>
          <w:trHeight w:val="217" w:hRule="exact"/>
        </w:trPr>
        <w:tc>
          <w:tcPr>
            <w:tcW w:w="6040" w:type="dxa"/>
          </w:tcPr>
          <w:p>
            <w:pPr>
              <w:pStyle w:val="TableParagraph"/>
              <w:spacing w:line="213" w:lineRule="exact"/>
              <w:ind w:right="149"/>
              <w:rPr>
                <w:sz w:val="20"/>
              </w:rPr>
            </w:pPr>
            <w:r>
              <w:rPr>
                <w:color w:val="231F20"/>
                <w:sz w:val="20"/>
              </w:rPr>
              <w:t>Income taxes  . . . . . . . . . . . . . . . . . . . . . . . . . . . . . . . . . . . . . . . . . . . . . . </w:t>
            </w:r>
          </w:p>
        </w:tc>
        <w:tc>
          <w:tcPr>
            <w:tcW w:w="916" w:type="dxa"/>
          </w:tcPr>
          <w:p>
            <w:pPr>
              <w:pStyle w:val="TableParagraph"/>
              <w:tabs>
                <w:tab w:pos="549" w:val="left" w:leader="none"/>
              </w:tabs>
              <w:spacing w:line="213" w:lineRule="exact"/>
              <w:ind w:left="60"/>
              <w:jc w:val="left"/>
              <w:rPr>
                <w:sz w:val="20"/>
              </w:rPr>
            </w:pPr>
            <w:r>
              <w:rPr>
                <w:color w:val="231F20"/>
                <w:sz w:val="20"/>
              </w:rPr>
              <w:t>$</w:t>
              <w:tab/>
              <w:t>100</w:t>
            </w:r>
          </w:p>
        </w:tc>
        <w:tc>
          <w:tcPr>
            <w:tcW w:w="1110" w:type="dxa"/>
            <w:gridSpan w:val="2"/>
          </w:tcPr>
          <w:p>
            <w:pPr>
              <w:pStyle w:val="TableParagraph"/>
              <w:tabs>
                <w:tab w:pos="843" w:val="left" w:leader="none"/>
              </w:tabs>
              <w:spacing w:line="213" w:lineRule="exact"/>
              <w:ind w:left="253"/>
              <w:jc w:val="left"/>
              <w:rPr>
                <w:sz w:val="20"/>
              </w:rPr>
            </w:pPr>
            <w:r>
              <w:rPr>
                <w:color w:val="231F20"/>
                <w:sz w:val="20"/>
              </w:rPr>
              <w:t>$</w:t>
              <w:tab/>
              <w:t>13</w:t>
            </w:r>
          </w:p>
        </w:tc>
        <w:tc>
          <w:tcPr>
            <w:tcW w:w="1160" w:type="dxa"/>
            <w:gridSpan w:val="2"/>
          </w:tcPr>
          <w:p>
            <w:pPr>
              <w:pStyle w:val="TableParagraph"/>
              <w:tabs>
                <w:tab w:pos="743" w:val="left" w:leader="none"/>
              </w:tabs>
              <w:spacing w:line="213" w:lineRule="exact"/>
              <w:ind w:left="253"/>
              <w:jc w:val="left"/>
              <w:rPr>
                <w:sz w:val="20"/>
              </w:rPr>
            </w:pPr>
            <w:r>
              <w:rPr>
                <w:color w:val="231F20"/>
                <w:sz w:val="20"/>
              </w:rPr>
              <w:t>$</w:t>
              <w:tab/>
              <w:t>274</w:t>
            </w:r>
          </w:p>
        </w:tc>
      </w:tr>
    </w:tbl>
    <w:p>
      <w:pPr>
        <w:pStyle w:val="Heading3"/>
        <w:spacing w:line="213" w:lineRule="exact"/>
        <w:ind w:left="360" w:right="3271" w:hanging="200"/>
      </w:pPr>
      <w:r>
        <w:rPr/>
        <w:pict>
          <v:line style="position:absolute;mso-position-horizontal-relative:page;mso-position-vertical-relative:paragraph;z-index:-354184" from="368.5pt,-36.610004pt" to="414pt,-36.610004pt" stroked="true" strokeweight=".5pt" strokecolor="#231f20">
            <v:stroke dashstyle="solid"/>
            <w10:wrap type="none"/>
          </v:line>
        </w:pict>
      </w:r>
      <w:r>
        <w:rPr/>
        <w:pict>
          <v:line style="position:absolute;mso-position-horizontal-relative:page;mso-position-vertical-relative:paragraph;z-index:-354160" from="424pt,-36.610004pt" to="469.5pt,-36.610004pt" stroked="true" strokeweight=".5pt" strokecolor="#231f20">
            <v:stroke dashstyle="solid"/>
            <w10:wrap type="none"/>
          </v:line>
        </w:pict>
      </w:r>
      <w:r>
        <w:rPr/>
        <w:pict>
          <v:line style="position:absolute;mso-position-horizontal-relative:page;mso-position-vertical-relative:paragraph;z-index:-354136" from="479.5pt,-36.610004pt" to="525pt,-36.610004pt" stroked="true" strokeweight=".5pt" strokecolor="#231f20">
            <v:stroke dashstyle="solid"/>
            <w10:wrap type="none"/>
          </v:line>
        </w:pict>
      </w:r>
      <w:r>
        <w:rPr>
          <w:color w:val="231F20"/>
        </w:rPr>
        <w:t>SUPPLEMENTAL DISCLOSURE OF NONCASH TRANSACTIONS:</w:t>
      </w:r>
    </w:p>
    <w:p>
      <w:pPr>
        <w:pStyle w:val="BodyText"/>
        <w:tabs>
          <w:tab w:pos="6209" w:val="left" w:leader="none"/>
          <w:tab w:pos="6699" w:val="left" w:leader="none"/>
          <w:tab w:pos="7319" w:val="left" w:leader="none"/>
          <w:tab w:pos="7809" w:val="left" w:leader="none"/>
          <w:tab w:pos="7909" w:val="left" w:leader="none"/>
          <w:tab w:pos="8429" w:val="left" w:leader="none"/>
          <w:tab w:pos="8919" w:val="left" w:leader="none"/>
        </w:tabs>
        <w:spacing w:line="214" w:lineRule="exact"/>
        <w:ind w:left="260" w:right="319"/>
        <w:jc w:val="center"/>
      </w:pPr>
      <w:r>
        <w:rPr>
          <w:color w:val="231F20"/>
        </w:rPr>
        <w:t>Fair value of equity consideration given to acquire AirTran  . . . . . . .</w:t>
      </w:r>
      <w:r>
        <w:rPr>
          <w:color w:val="231F20"/>
          <w:spacing w:val="3"/>
        </w:rPr>
        <w:t> </w:t>
      </w:r>
      <w:r>
        <w:rPr>
          <w:color w:val="231F20"/>
        </w:rPr>
        <w:t>. .</w:t>
        <w:tab/>
        <w:t>$</w:t>
        <w:tab/>
        <w:t>—</w:t>
        <w:tab/>
        <w:t>$</w:t>
        <w:tab/>
        <w:t>523</w:t>
        <w:tab/>
        <w:t>$</w:t>
        <w:tab/>
        <w:t>— Fair value of common stock issued for conversion of debt  . . . . . . . .</w:t>
      </w:r>
      <w:r>
        <w:rPr>
          <w:color w:val="231F20"/>
          <w:spacing w:val="19"/>
        </w:rPr>
        <w:t> </w:t>
      </w:r>
      <w:r>
        <w:rPr>
          <w:color w:val="231F20"/>
        </w:rPr>
        <w:t>. .</w:t>
        <w:tab/>
        <w:t>$</w:t>
        <w:tab/>
        <w:t>—</w:t>
        <w:tab/>
        <w:t>$</w:t>
        <w:tab/>
        <w:tab/>
        <w:t>78</w:t>
        <w:tab/>
        <w:t>$</w:t>
        <w:tab/>
        <w:t>—</w:t>
      </w:r>
    </w:p>
    <w:p>
      <w:pPr>
        <w:pStyle w:val="BodyText"/>
        <w:spacing w:before="4"/>
        <w:rPr>
          <w:sz w:val="18"/>
        </w:rPr>
      </w:pPr>
    </w:p>
    <w:p>
      <w:pPr>
        <w:pStyle w:val="BodyText"/>
        <w:spacing w:before="1"/>
        <w:jc w:val="center"/>
      </w:pPr>
      <w:r>
        <w:rPr>
          <w:color w:val="231F20"/>
        </w:rPr>
        <w:t>See accompanying notes.</w:t>
      </w:r>
    </w:p>
    <w:p>
      <w:pPr>
        <w:spacing w:after="0"/>
        <w:jc w:val="center"/>
        <w:sectPr>
          <w:type w:val="continuous"/>
          <w:pgSz w:w="11880" w:h="15480"/>
          <w:pgMar w:top="1200" w:bottom="280" w:left="1220" w:right="1220"/>
        </w:sectPr>
      </w:pPr>
    </w:p>
    <w:p>
      <w:pPr>
        <w:pStyle w:val="Heading3"/>
        <w:spacing w:line="249" w:lineRule="auto" w:before="73"/>
        <w:ind w:left="3707" w:right="1089" w:hanging="1689"/>
      </w:pPr>
      <w:bookmarkStart w:name="Notes to Consolidated Financial Statemen" w:id="31"/>
      <w:bookmarkEnd w:id="31"/>
      <w:r>
        <w:rPr>
          <w:b w:val="0"/>
        </w:rPr>
      </w:r>
      <w:r>
        <w:rPr>
          <w:color w:val="231F20"/>
        </w:rPr>
        <w:t>NOTES TO CONSOLIDATED FINANCIAL STATEMENTS DECEMBER 31, 2012</w:t>
      </w:r>
    </w:p>
    <w:p>
      <w:pPr>
        <w:pStyle w:val="BodyText"/>
        <w:spacing w:before="10"/>
        <w:rPr>
          <w:b/>
        </w:rPr>
      </w:pPr>
    </w:p>
    <w:p>
      <w:pPr>
        <w:pStyle w:val="ListParagraph"/>
        <w:numPr>
          <w:ilvl w:val="0"/>
          <w:numId w:val="11"/>
        </w:numPr>
        <w:tabs>
          <w:tab w:pos="300" w:val="left" w:leader="none"/>
        </w:tabs>
        <w:spacing w:line="240" w:lineRule="auto" w:before="1" w:after="0"/>
        <w:ind w:left="300" w:right="0" w:hanging="200"/>
        <w:jc w:val="left"/>
        <w:rPr>
          <w:b/>
          <w:sz w:val="20"/>
        </w:rPr>
      </w:pPr>
      <w:r>
        <w:rPr>
          <w:b/>
          <w:color w:val="231F20"/>
          <w:sz w:val="20"/>
        </w:rPr>
        <w:t>SUMMARY OF SIGNIFICANT ACCOUNTING</w:t>
      </w:r>
      <w:r>
        <w:rPr>
          <w:b/>
          <w:color w:val="231F20"/>
          <w:spacing w:val="-7"/>
          <w:sz w:val="20"/>
        </w:rPr>
        <w:t> </w:t>
      </w:r>
      <w:r>
        <w:rPr>
          <w:b/>
          <w:color w:val="231F20"/>
          <w:sz w:val="20"/>
        </w:rPr>
        <w:t>POLICIES</w:t>
      </w:r>
    </w:p>
    <w:p>
      <w:pPr>
        <w:pStyle w:val="Heading4"/>
        <w:spacing w:before="130"/>
        <w:rPr>
          <w:i/>
        </w:rPr>
      </w:pPr>
      <w:r>
        <w:rPr>
          <w:i/>
          <w:color w:val="231F20"/>
        </w:rPr>
        <w:t>Basis of Presentation</w:t>
      </w:r>
    </w:p>
    <w:p>
      <w:pPr>
        <w:pStyle w:val="BodyText"/>
        <w:spacing w:line="249" w:lineRule="auto" w:before="130"/>
        <w:ind w:left="100" w:right="101" w:firstLine="490"/>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since May 2,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11"/>
        </w:rPr>
        <w:t> </w:t>
      </w:r>
      <w:r>
        <w:rPr>
          <w:color w:val="231F20"/>
        </w:rPr>
        <w:t>estimates.</w:t>
      </w:r>
    </w:p>
    <w:p>
      <w:pPr>
        <w:pStyle w:val="BodyText"/>
        <w:spacing w:before="11"/>
      </w:pPr>
    </w:p>
    <w:p>
      <w:pPr>
        <w:pStyle w:val="BodyText"/>
        <w:spacing w:line="249" w:lineRule="auto"/>
        <w:ind w:left="100" w:right="858" w:firstLine="490"/>
      </w:pPr>
      <w:r>
        <w:rPr>
          <w:color w:val="231F20"/>
        </w:rPr>
        <w:t>Certain prior period amounts have been reclassified to conform to the current presentation. In the Consolidated Statement of Income for the year ended December 31, 2011, the Company has reclassified</w:t>
      </w:r>
    </w:p>
    <w:p>
      <w:pPr>
        <w:pStyle w:val="BodyText"/>
        <w:spacing w:line="249" w:lineRule="auto" w:before="1"/>
        <w:ind w:left="100"/>
      </w:pPr>
      <w:r>
        <w:rPr>
          <w:color w:val="231F20"/>
        </w:rPr>
        <w:t>$19 million from Other revenues to Passenger revenues associated with its sale of frequent flyer points directly to Customers and the redemption of those points for flights.</w:t>
      </w:r>
    </w:p>
    <w:p>
      <w:pPr>
        <w:pStyle w:val="BodyText"/>
        <w:spacing w:before="11"/>
      </w:pPr>
    </w:p>
    <w:p>
      <w:pPr>
        <w:pStyle w:val="BodyText"/>
        <w:spacing w:line="249" w:lineRule="auto"/>
        <w:ind w:left="100" w:right="429" w:firstLine="490"/>
      </w:pPr>
      <w:r>
        <w:rPr>
          <w:color w:val="231F20"/>
        </w:rPr>
        <w:t>Proceeds from the sale of Auction Rate Securities of $29 million have been reclassified from Operating Activities to Investing Activities, to correct the Consolidated Statement of Cash Flows for 2011.</w:t>
      </w:r>
    </w:p>
    <w:p>
      <w:pPr>
        <w:pStyle w:val="BodyText"/>
        <w:spacing w:before="4"/>
        <w:rPr>
          <w:sz w:val="31"/>
        </w:rPr>
      </w:pPr>
    </w:p>
    <w:p>
      <w:pPr>
        <w:pStyle w:val="Heading4"/>
        <w:rPr>
          <w:i/>
        </w:rPr>
      </w:pPr>
      <w:r>
        <w:rPr>
          <w:i/>
          <w:color w:val="231F20"/>
        </w:rPr>
        <w:t>Cash and cash equivalents</w:t>
      </w:r>
    </w:p>
    <w:p>
      <w:pPr>
        <w:pStyle w:val="BodyText"/>
        <w:spacing w:line="249" w:lineRule="auto" w:before="129"/>
        <w:ind w:left="100"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10"/>
      </w:pPr>
    </w:p>
    <w:p>
      <w:pPr>
        <w:pStyle w:val="BodyText"/>
        <w:spacing w:line="249" w:lineRule="auto"/>
        <w:ind w:left="100" w:right="112" w:firstLine="490"/>
      </w:pPr>
      <w:r>
        <w:rPr>
          <w:color w:val="231F20"/>
        </w:rPr>
        <w:t>As of December 31, 2012 no cash collateral deposits were either held by or provided by the Company to its fuel hedge counterparties and the Company had provided cash collateral deposits totaling $89 million to its interest rate hedge counterparties. As of December 31, 2011 the Company had provided cash collateral deposits totaling $226 million to its fuel hedge counterparties and cash collateral deposits totaling $96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 instruments.</w:t>
      </w:r>
    </w:p>
    <w:p>
      <w:pPr>
        <w:pStyle w:val="BodyText"/>
        <w:spacing w:before="4"/>
        <w:rPr>
          <w:sz w:val="31"/>
        </w:rPr>
      </w:pPr>
    </w:p>
    <w:p>
      <w:pPr>
        <w:pStyle w:val="Heading4"/>
        <w:rPr>
          <w:i/>
        </w:rPr>
      </w:pPr>
      <w:r>
        <w:rPr>
          <w:i/>
          <w:color w:val="231F20"/>
        </w:rPr>
        <w:t>Short-term and noncurrent investments</w:t>
      </w:r>
    </w:p>
    <w:p>
      <w:pPr>
        <w:pStyle w:val="BodyText"/>
        <w:spacing w:line="249" w:lineRule="auto" w:before="130"/>
        <w:ind w:left="100" w:right="119"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w:t>
      </w:r>
    </w:p>
    <w:p>
      <w:pPr>
        <w:spacing w:after="0" w:line="249" w:lineRule="auto"/>
        <w:sectPr>
          <w:pgSz w:w="11880" w:h="15480"/>
          <w:pgMar w:header="0" w:footer="1253" w:top="1240" w:bottom="1440" w:left="1280" w:right="1280"/>
        </w:sectPr>
      </w:pPr>
    </w:p>
    <w:p>
      <w:pPr>
        <w:pStyle w:val="BodyText"/>
        <w:spacing w:line="249" w:lineRule="auto" w:before="73"/>
        <w:ind w:left="100" w:right="252"/>
      </w:pPr>
      <w:r>
        <w:rPr>
          <w:color w:val="231F20"/>
        </w:rPr>
        <w:t>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 presented.</w:t>
      </w:r>
    </w:p>
    <w:p>
      <w:pPr>
        <w:pStyle w:val="BodyText"/>
        <w:spacing w:before="10"/>
      </w:pPr>
    </w:p>
    <w:p>
      <w:pPr>
        <w:pStyle w:val="BodyText"/>
        <w:spacing w:line="249" w:lineRule="auto" w:before="1"/>
        <w:ind w:left="100" w:right="143" w:firstLine="490"/>
      </w:pPr>
      <w:r>
        <w:rPr>
          <w:color w:val="231F20"/>
        </w:rPr>
        <w:t>Noncurrent investments consist of investments with maturities of greater than twelve months. At December 31, 2012, these primarily consisted of the Company’s auction rate security instruments that it expects will not be redeemed during 2013.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4"/>
        <w:rPr>
          <w:sz w:val="31"/>
        </w:rPr>
      </w:pPr>
    </w:p>
    <w:p>
      <w:pPr>
        <w:pStyle w:val="Heading4"/>
        <w:rPr>
          <w:i/>
        </w:rPr>
      </w:pPr>
      <w:r>
        <w:rPr>
          <w:i/>
          <w:color w:val="231F20"/>
        </w:rPr>
        <w:t>Accounts and other receivables</w:t>
      </w:r>
    </w:p>
    <w:p>
      <w:pPr>
        <w:pStyle w:val="BodyText"/>
        <w:spacing w:line="249" w:lineRule="auto" w:before="129"/>
        <w:ind w:left="100" w:right="18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programs, and amounts due from counterparties associated with fuel derivative instruments that have settled. The allowance for doubtful accounts was immaterial at December 31, 2012, 2011, and 2010. In addition, the provision for doubtful accounts and write-offs for 2012, 2011, and 2010 were each immaterial.</w:t>
      </w:r>
    </w:p>
    <w:p>
      <w:pPr>
        <w:pStyle w:val="BodyText"/>
        <w:spacing w:before="4"/>
        <w:rPr>
          <w:sz w:val="31"/>
        </w:rPr>
      </w:pPr>
    </w:p>
    <w:p>
      <w:pPr>
        <w:pStyle w:val="Heading4"/>
        <w:rPr>
          <w:i/>
        </w:rPr>
      </w:pPr>
      <w:r>
        <w:rPr>
          <w:i/>
          <w:color w:val="231F20"/>
        </w:rPr>
        <w:t>Inventories</w:t>
      </w:r>
    </w:p>
    <w:p>
      <w:pPr>
        <w:pStyle w:val="BodyText"/>
        <w:spacing w:before="129"/>
        <w:ind w:left="590"/>
      </w:pPr>
      <w:r>
        <w:rPr>
          <w:color w:val="231F20"/>
        </w:rPr>
        <w:t>Inventories consist primarily of aircraft fuel, flight equipment expendable parts, materials, and supplies.</w:t>
      </w:r>
    </w:p>
    <w:p>
      <w:pPr>
        <w:pStyle w:val="BodyText"/>
        <w:spacing w:line="249" w:lineRule="auto" w:before="9"/>
        <w:ind w:left="100" w:right="229"/>
      </w:pPr>
      <w:r>
        <w:rPr>
          <w:color w:val="231F20"/>
        </w:rPr>
        <w:t>All of these items are carried at average cost, less an allowance for obsolescence. These items are generally charged to expense when issued for use. The reserve for obsolescence was immaterial at December 31, 2012, 2011, and 2010. In addition, the Company’s provision for obsolescence and write-offs for 2012, 2011, and 2010 were each immaterial.</w:t>
      </w:r>
    </w:p>
    <w:p>
      <w:pPr>
        <w:pStyle w:val="BodyText"/>
        <w:spacing w:before="4"/>
        <w:rPr>
          <w:sz w:val="31"/>
        </w:rPr>
      </w:pPr>
    </w:p>
    <w:p>
      <w:pPr>
        <w:pStyle w:val="Heading4"/>
        <w:rPr>
          <w:i/>
        </w:rPr>
      </w:pPr>
      <w:r>
        <w:rPr>
          <w:i/>
          <w:color w:val="231F20"/>
        </w:rPr>
        <w:t>Property and equipment</w:t>
      </w:r>
    </w:p>
    <w:p>
      <w:pPr>
        <w:pStyle w:val="BodyText"/>
        <w:spacing w:line="249" w:lineRule="auto" w:before="129"/>
        <w:ind w:left="100" w:right="108" w:firstLine="49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w:t>
      </w:r>
      <w:r>
        <w:rPr>
          <w:color w:val="231F20"/>
          <w:spacing w:val="5"/>
        </w:rPr>
        <w:t> </w:t>
      </w:r>
      <w:r>
        <w:rPr>
          <w:color w:val="231F20"/>
        </w:rPr>
        <w:t>lease.</w:t>
      </w:r>
    </w:p>
    <w:p>
      <w:pPr>
        <w:pStyle w:val="BodyText"/>
        <w:spacing w:before="10"/>
      </w:pPr>
    </w:p>
    <w:p>
      <w:pPr>
        <w:pStyle w:val="BodyText"/>
        <w:spacing w:line="249" w:lineRule="auto"/>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spacing w:after="0" w:line="249" w:lineRule="auto"/>
        <w:sectPr>
          <w:pgSz w:w="11880" w:h="15480"/>
          <w:pgMar w:header="0" w:footer="1253" w:top="1240" w:bottom="1440" w:left="1280" w:right="1280"/>
        </w:sectPr>
      </w:pPr>
    </w:p>
    <w:p>
      <w:pPr>
        <w:pStyle w:val="Heading4"/>
        <w:spacing w:before="73"/>
        <w:ind w:left="410"/>
        <w:rPr>
          <w:i/>
        </w:rPr>
      </w:pPr>
      <w:r>
        <w:rPr>
          <w:i/>
          <w:color w:val="231F20"/>
        </w:rPr>
        <w:t>Aircraft and engine maintenance</w:t>
      </w:r>
    </w:p>
    <w:p>
      <w:pPr>
        <w:pStyle w:val="BodyText"/>
        <w:spacing w:line="249" w:lineRule="auto" w:before="129"/>
        <w:ind w:left="160" w:right="130" w:firstLine="490"/>
      </w:pPr>
      <w:r>
        <w:rPr>
          <w:color w:val="231F20"/>
        </w:rPr>
        <w:t>The cost of scheduled inspections and repairs and routine maintenance costs for all aircraft and engines are charged to Maintenance materials and repairs expense as incurred. The Company also has “power-by-the-hour” 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The Company modified its engine maintenance contract for its Classic fleet (737-300/500s) during fourth quarter 2011 and although payments made under this contract are made on the basis of flight hours, the risk- transfer concept under this agreement is no longer met, and the Company now records expense on a time and materials basis when an engine repair event takes place. The impact of this change on fourth quarter 2011 was a reduction in Maintenance materials and repairs expense of $30 million, resulting in an increase in net income of</w:t>
      </w:r>
    </w:p>
    <w:p>
      <w:pPr>
        <w:pStyle w:val="BodyText"/>
        <w:spacing w:line="249" w:lineRule="auto"/>
        <w:ind w:left="160" w:right="279"/>
      </w:pPr>
      <w:r>
        <w:rPr>
          <w:color w:val="231F20"/>
        </w:rPr>
        <w:t>$16 million, and an increase in earnings per share (basic and diluted) of $.02 per share. Modifications that significantly enhance the operating performance or extend the useful lives of aircraft or engines are capitalized and amortized over the remaining life of the asset.</w:t>
      </w:r>
    </w:p>
    <w:p>
      <w:pPr>
        <w:pStyle w:val="BodyText"/>
        <w:spacing w:before="4"/>
        <w:rPr>
          <w:sz w:val="31"/>
        </w:rPr>
      </w:pPr>
    </w:p>
    <w:p>
      <w:pPr>
        <w:pStyle w:val="Heading4"/>
        <w:ind w:left="410"/>
        <w:rPr>
          <w:i/>
        </w:rPr>
      </w:pPr>
      <w:r>
        <w:rPr>
          <w:i/>
          <w:color w:val="231F20"/>
        </w:rPr>
        <w:t>Goodwill and intangible assets</w:t>
      </w:r>
    </w:p>
    <w:p>
      <w:pPr>
        <w:pStyle w:val="BodyText"/>
        <w:spacing w:line="249" w:lineRule="auto" w:before="129"/>
        <w:ind w:left="160" w:right="152" w:firstLine="490"/>
      </w:pPr>
      <w:r>
        <w:rPr>
          <w:color w:val="231F20"/>
        </w:rPr>
        <w:t>Goodwill represents the excess of the consideration transferred over the fair value of AirTran’s assets and liabilities on the acquisition date. See Note 2. Goodwill is not amortized, but it is evaluated for impairment at least annually, or more frequently if events or circumstances indicate impairment may exist. A fair value-based methodology is utilized in testing the carrying value to Goodwill, utilizing assumptions including: (1) a long- term projection of revenues and expenses; (2) estimated discounted future cash flows; (3) observable earnings multiples of publicly-traded airlines; (4) weighted-average cost of capital; and (5) expected tax rate. Factors used in the valuation of goodwill include, but are not limited to, management’s plans for future operations, recent operating results and discounted projected future cash flows. These factors are considered Level 3 inputs within the fair value hierarchy. As a result of the annual impairment test performed as of October 1, 2012, no impairment was determined to exist for Goodwill. In the Goodwill impairment analysis performed, the excess of fair value over carrying value was estimated to be approximately 20 percent.</w:t>
      </w:r>
    </w:p>
    <w:p>
      <w:pPr>
        <w:pStyle w:val="BodyText"/>
        <w:spacing w:before="10"/>
      </w:pPr>
    </w:p>
    <w:p>
      <w:pPr>
        <w:pStyle w:val="BodyText"/>
        <w:spacing w:line="249" w:lineRule="auto"/>
        <w:ind w:left="160" w:right="161"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as of December 31, 2012:</w:t>
      </w:r>
    </w:p>
    <w:p>
      <w:pPr>
        <w:pStyle w:val="BodyText"/>
        <w:spacing w:before="8"/>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640"/>
        <w:gridCol w:w="100"/>
        <w:gridCol w:w="1557"/>
        <w:gridCol w:w="100"/>
        <w:gridCol w:w="1640"/>
      </w:tblGrid>
      <w:tr>
        <w:trPr>
          <w:trHeight w:val="968" w:hRule="exact"/>
        </w:trPr>
        <w:tc>
          <w:tcPr>
            <w:tcW w:w="4133" w:type="dxa"/>
          </w:tcPr>
          <w:p>
            <w:pPr/>
          </w:p>
        </w:tc>
        <w:tc>
          <w:tcPr>
            <w:tcW w:w="1640" w:type="dxa"/>
            <w:tcBorders>
              <w:bottom w:val="single" w:sz="8" w:space="0" w:color="231F20"/>
            </w:tcBorders>
          </w:tcPr>
          <w:p>
            <w:pPr>
              <w:pStyle w:val="TableParagraph"/>
              <w:spacing w:line="249" w:lineRule="auto"/>
              <w:ind w:left="453" w:right="451" w:hanging="2"/>
              <w:jc w:val="center"/>
              <w:rPr>
                <w:b/>
                <w:sz w:val="20"/>
              </w:rPr>
            </w:pPr>
            <w:r>
              <w:rPr>
                <w:b/>
                <w:color w:val="231F20"/>
                <w:sz w:val="20"/>
              </w:rPr>
              <w:t>Gross carrying</w:t>
            </w:r>
            <w:r>
              <w:rPr>
                <w:b/>
                <w:color w:val="231F20"/>
                <w:w w:val="100"/>
                <w:sz w:val="20"/>
              </w:rPr>
              <w:t> </w:t>
            </w:r>
            <w:r>
              <w:rPr>
                <w:b/>
                <w:color w:val="231F20"/>
                <w:sz w:val="20"/>
              </w:rPr>
              <w:t>amount</w:t>
            </w:r>
          </w:p>
          <w:p>
            <w:pPr>
              <w:pStyle w:val="TableParagraph"/>
              <w:spacing w:before="10"/>
              <w:ind w:left="285" w:right="286"/>
              <w:jc w:val="center"/>
              <w:rPr>
                <w:b/>
                <w:sz w:val="20"/>
              </w:rPr>
            </w:pPr>
            <w:r>
              <w:rPr>
                <w:b/>
                <w:color w:val="231F20"/>
                <w:sz w:val="20"/>
              </w:rPr>
              <w:t>(in millions)</w:t>
            </w:r>
          </w:p>
        </w:tc>
        <w:tc>
          <w:tcPr>
            <w:tcW w:w="100" w:type="dxa"/>
          </w:tcPr>
          <w:p>
            <w:pPr/>
          </w:p>
        </w:tc>
        <w:tc>
          <w:tcPr>
            <w:tcW w:w="1557" w:type="dxa"/>
            <w:tcBorders>
              <w:bottom w:val="single" w:sz="8" w:space="0" w:color="231F20"/>
            </w:tcBorders>
          </w:tcPr>
          <w:p>
            <w:pPr>
              <w:pStyle w:val="TableParagraph"/>
              <w:spacing w:before="1"/>
              <w:jc w:val="left"/>
              <w:rPr>
                <w:sz w:val="20"/>
              </w:rPr>
            </w:pPr>
          </w:p>
          <w:p>
            <w:pPr>
              <w:pStyle w:val="TableParagraph"/>
              <w:spacing w:line="249" w:lineRule="auto"/>
              <w:ind w:right="1"/>
              <w:jc w:val="center"/>
              <w:rPr>
                <w:b/>
                <w:sz w:val="20"/>
              </w:rPr>
            </w:pPr>
            <w:r>
              <w:rPr>
                <w:b/>
                <w:color w:val="231F20"/>
                <w:sz w:val="20"/>
              </w:rPr>
              <w:t>Weighted-average</w:t>
            </w:r>
            <w:r>
              <w:rPr>
                <w:b/>
                <w:color w:val="231F20"/>
                <w:w w:val="100"/>
                <w:sz w:val="20"/>
              </w:rPr>
              <w:t> </w:t>
            </w:r>
            <w:r>
              <w:rPr>
                <w:b/>
                <w:color w:val="231F20"/>
                <w:sz w:val="20"/>
              </w:rPr>
              <w:t>useful life</w:t>
            </w:r>
          </w:p>
          <w:p>
            <w:pPr>
              <w:pStyle w:val="TableParagraph"/>
              <w:spacing w:before="1"/>
              <w:jc w:val="center"/>
              <w:rPr>
                <w:b/>
                <w:sz w:val="20"/>
              </w:rPr>
            </w:pPr>
            <w:r>
              <w:rPr>
                <w:b/>
                <w:color w:val="231F20"/>
                <w:sz w:val="20"/>
              </w:rPr>
              <w:t>(in years)</w:t>
            </w:r>
          </w:p>
        </w:tc>
        <w:tc>
          <w:tcPr>
            <w:tcW w:w="100" w:type="dxa"/>
          </w:tcPr>
          <w:p>
            <w:pPr/>
          </w:p>
        </w:tc>
        <w:tc>
          <w:tcPr>
            <w:tcW w:w="1640" w:type="dxa"/>
            <w:tcBorders>
              <w:bottom w:val="single" w:sz="8" w:space="0" w:color="231F20"/>
            </w:tcBorders>
          </w:tcPr>
          <w:p>
            <w:pPr>
              <w:pStyle w:val="TableParagraph"/>
              <w:spacing w:before="1"/>
              <w:jc w:val="left"/>
              <w:rPr>
                <w:sz w:val="20"/>
              </w:rPr>
            </w:pPr>
          </w:p>
          <w:p>
            <w:pPr>
              <w:pStyle w:val="TableParagraph"/>
              <w:spacing w:line="249" w:lineRule="auto"/>
              <w:ind w:left="268" w:right="251" w:hanging="16"/>
              <w:jc w:val="both"/>
              <w:rPr>
                <w:b/>
                <w:sz w:val="20"/>
              </w:rPr>
            </w:pPr>
            <w:r>
              <w:rPr>
                <w:b/>
                <w:color w:val="231F20"/>
                <w:sz w:val="20"/>
              </w:rPr>
              <w:t>Accumulated amortization (in millions)</w:t>
            </w:r>
          </w:p>
        </w:tc>
      </w:tr>
      <w:tr>
        <w:trPr>
          <w:trHeight w:val="304" w:hRule="exact"/>
        </w:trPr>
        <w:tc>
          <w:tcPr>
            <w:tcW w:w="4133" w:type="dxa"/>
          </w:tcPr>
          <w:p>
            <w:pPr>
              <w:pStyle w:val="TableParagraph"/>
              <w:spacing w:before="63"/>
              <w:ind w:left="5" w:right="52"/>
              <w:jc w:val="center"/>
              <w:rPr>
                <w:sz w:val="20"/>
              </w:rPr>
            </w:pPr>
            <w:r>
              <w:rPr>
                <w:color w:val="231F20"/>
                <w:sz w:val="20"/>
              </w:rPr>
              <w:t>Customer relationships/marketing agreements   . .</w:t>
            </w:r>
          </w:p>
        </w:tc>
        <w:tc>
          <w:tcPr>
            <w:tcW w:w="1640" w:type="dxa"/>
            <w:tcBorders>
              <w:top w:val="single" w:sz="8" w:space="0" w:color="231F20"/>
            </w:tcBorders>
          </w:tcPr>
          <w:p>
            <w:pPr>
              <w:pStyle w:val="TableParagraph"/>
              <w:tabs>
                <w:tab w:pos="1319" w:val="left" w:leader="none"/>
              </w:tabs>
              <w:spacing w:before="53"/>
              <w:ind w:right="37"/>
              <w:rPr>
                <w:sz w:val="20"/>
              </w:rPr>
            </w:pPr>
            <w:r>
              <w:rPr>
                <w:color w:val="231F20"/>
                <w:sz w:val="20"/>
              </w:rPr>
              <w:t>$</w:t>
              <w:tab/>
              <w:t>39</w:t>
            </w:r>
          </w:p>
        </w:tc>
        <w:tc>
          <w:tcPr>
            <w:tcW w:w="100" w:type="dxa"/>
          </w:tcPr>
          <w:p>
            <w:pPr/>
          </w:p>
        </w:tc>
        <w:tc>
          <w:tcPr>
            <w:tcW w:w="1557" w:type="dxa"/>
            <w:tcBorders>
              <w:top w:val="single" w:sz="8" w:space="0" w:color="231F20"/>
            </w:tcBorders>
          </w:tcPr>
          <w:p>
            <w:pPr>
              <w:pStyle w:val="TableParagraph"/>
              <w:spacing w:before="53"/>
              <w:ind w:right="37"/>
              <w:rPr>
                <w:sz w:val="20"/>
              </w:rPr>
            </w:pPr>
            <w:r>
              <w:rPr>
                <w:color w:val="231F20"/>
                <w:sz w:val="20"/>
              </w:rPr>
              <w:t>4</w:t>
            </w:r>
          </w:p>
        </w:tc>
        <w:tc>
          <w:tcPr>
            <w:tcW w:w="100" w:type="dxa"/>
          </w:tcPr>
          <w:p>
            <w:pPr/>
          </w:p>
        </w:tc>
        <w:tc>
          <w:tcPr>
            <w:tcW w:w="1640" w:type="dxa"/>
            <w:tcBorders>
              <w:top w:val="single" w:sz="8" w:space="0" w:color="231F20"/>
            </w:tcBorders>
          </w:tcPr>
          <w:p>
            <w:pPr>
              <w:pStyle w:val="TableParagraph"/>
              <w:tabs>
                <w:tab w:pos="1319" w:val="left" w:leader="none"/>
              </w:tabs>
              <w:spacing w:before="53"/>
              <w:ind w:right="37"/>
              <w:rPr>
                <w:sz w:val="20"/>
              </w:rPr>
            </w:pPr>
            <w:r>
              <w:rPr>
                <w:color w:val="231F20"/>
                <w:sz w:val="20"/>
              </w:rPr>
              <w:t>$</w:t>
              <w:tab/>
              <w:t>19</w:t>
            </w:r>
          </w:p>
        </w:tc>
      </w:tr>
      <w:tr>
        <w:trPr>
          <w:trHeight w:val="240" w:hRule="exact"/>
        </w:trPr>
        <w:tc>
          <w:tcPr>
            <w:tcW w:w="4133" w:type="dxa"/>
          </w:tcPr>
          <w:p>
            <w:pPr>
              <w:pStyle w:val="TableParagraph"/>
              <w:spacing w:line="229" w:lineRule="exact"/>
              <w:ind w:left="34" w:right="34"/>
              <w:jc w:val="center"/>
              <w:rPr>
                <w:sz w:val="20"/>
              </w:rPr>
            </w:pPr>
            <w:r>
              <w:rPr>
                <w:color w:val="231F20"/>
                <w:sz w:val="20"/>
              </w:rPr>
              <w:t>Trademarks/trade names . . . . . . . . . . . . . . . . . . . . </w:t>
            </w:r>
          </w:p>
        </w:tc>
        <w:tc>
          <w:tcPr>
            <w:tcW w:w="1640" w:type="dxa"/>
          </w:tcPr>
          <w:p>
            <w:pPr>
              <w:pStyle w:val="TableParagraph"/>
              <w:spacing w:line="229" w:lineRule="exact"/>
              <w:ind w:right="39"/>
              <w:rPr>
                <w:sz w:val="20"/>
              </w:rPr>
            </w:pPr>
            <w:r>
              <w:rPr>
                <w:color w:val="231F20"/>
                <w:sz w:val="20"/>
              </w:rPr>
              <w:t>36</w:t>
            </w:r>
          </w:p>
        </w:tc>
        <w:tc>
          <w:tcPr>
            <w:tcW w:w="100" w:type="dxa"/>
          </w:tcPr>
          <w:p>
            <w:pPr/>
          </w:p>
        </w:tc>
        <w:tc>
          <w:tcPr>
            <w:tcW w:w="1557" w:type="dxa"/>
          </w:tcPr>
          <w:p>
            <w:pPr>
              <w:pStyle w:val="TableParagraph"/>
              <w:spacing w:line="229" w:lineRule="exact"/>
              <w:ind w:right="39"/>
              <w:rPr>
                <w:sz w:val="20"/>
              </w:rPr>
            </w:pPr>
            <w:r>
              <w:rPr>
                <w:color w:val="231F20"/>
                <w:sz w:val="20"/>
              </w:rPr>
              <w:t>3</w:t>
            </w:r>
          </w:p>
        </w:tc>
        <w:tc>
          <w:tcPr>
            <w:tcW w:w="100" w:type="dxa"/>
          </w:tcPr>
          <w:p>
            <w:pPr/>
          </w:p>
        </w:tc>
        <w:tc>
          <w:tcPr>
            <w:tcW w:w="1640" w:type="dxa"/>
          </w:tcPr>
          <w:p>
            <w:pPr>
              <w:pStyle w:val="TableParagraph"/>
              <w:spacing w:line="229" w:lineRule="exact"/>
              <w:ind w:right="39"/>
              <w:rPr>
                <w:sz w:val="20"/>
              </w:rPr>
            </w:pPr>
            <w:r>
              <w:rPr>
                <w:color w:val="231F20"/>
                <w:sz w:val="20"/>
              </w:rPr>
              <w:t>18</w:t>
            </w:r>
          </w:p>
        </w:tc>
      </w:tr>
      <w:tr>
        <w:trPr>
          <w:trHeight w:val="240" w:hRule="exact"/>
        </w:trPr>
        <w:tc>
          <w:tcPr>
            <w:tcW w:w="4133" w:type="dxa"/>
          </w:tcPr>
          <w:p>
            <w:pPr>
              <w:pStyle w:val="TableParagraph"/>
              <w:spacing w:line="229" w:lineRule="exact"/>
              <w:ind w:left="34" w:right="34"/>
              <w:jc w:val="center"/>
              <w:rPr>
                <w:sz w:val="20"/>
              </w:rPr>
            </w:pPr>
            <w:r>
              <w:rPr>
                <w:color w:val="231F20"/>
                <w:sz w:val="20"/>
              </w:rPr>
              <w:t>Domestic slots   . . . . . . . . . . . . . . . . . . . . . . . . . . . </w:t>
            </w:r>
          </w:p>
        </w:tc>
        <w:tc>
          <w:tcPr>
            <w:tcW w:w="1640" w:type="dxa"/>
          </w:tcPr>
          <w:p>
            <w:pPr>
              <w:pStyle w:val="TableParagraph"/>
              <w:spacing w:line="229" w:lineRule="exact"/>
              <w:ind w:right="39"/>
              <w:rPr>
                <w:sz w:val="20"/>
              </w:rPr>
            </w:pPr>
            <w:r>
              <w:rPr>
                <w:color w:val="231F20"/>
                <w:sz w:val="20"/>
              </w:rPr>
              <w:t>71</w:t>
            </w:r>
          </w:p>
        </w:tc>
        <w:tc>
          <w:tcPr>
            <w:tcW w:w="100" w:type="dxa"/>
          </w:tcPr>
          <w:p>
            <w:pPr/>
          </w:p>
        </w:tc>
        <w:tc>
          <w:tcPr>
            <w:tcW w:w="1557" w:type="dxa"/>
          </w:tcPr>
          <w:p>
            <w:pPr>
              <w:pStyle w:val="TableParagraph"/>
              <w:spacing w:line="229" w:lineRule="exact"/>
              <w:ind w:right="39"/>
              <w:rPr>
                <w:sz w:val="20"/>
              </w:rPr>
            </w:pPr>
            <w:r>
              <w:rPr>
                <w:color w:val="231F20"/>
                <w:sz w:val="20"/>
              </w:rPr>
              <w:t>23</w:t>
            </w:r>
          </w:p>
        </w:tc>
        <w:tc>
          <w:tcPr>
            <w:tcW w:w="100" w:type="dxa"/>
          </w:tcPr>
          <w:p>
            <w:pPr/>
          </w:p>
        </w:tc>
        <w:tc>
          <w:tcPr>
            <w:tcW w:w="1640" w:type="dxa"/>
          </w:tcPr>
          <w:p>
            <w:pPr>
              <w:pStyle w:val="TableParagraph"/>
              <w:spacing w:line="229" w:lineRule="exact"/>
              <w:ind w:right="39"/>
              <w:rPr>
                <w:sz w:val="20"/>
              </w:rPr>
            </w:pPr>
            <w:r>
              <w:rPr>
                <w:color w:val="231F20"/>
                <w:sz w:val="20"/>
              </w:rPr>
              <w:t>7</w:t>
            </w:r>
          </w:p>
        </w:tc>
      </w:tr>
      <w:tr>
        <w:trPr>
          <w:trHeight w:val="240" w:hRule="exact"/>
        </w:trPr>
        <w:tc>
          <w:tcPr>
            <w:tcW w:w="4133" w:type="dxa"/>
          </w:tcPr>
          <w:p>
            <w:pPr>
              <w:pStyle w:val="TableParagraph"/>
              <w:spacing w:line="229" w:lineRule="exact"/>
              <w:ind w:left="34" w:right="34"/>
              <w:jc w:val="center"/>
              <w:rPr>
                <w:sz w:val="20"/>
              </w:rPr>
            </w:pPr>
            <w:r>
              <w:rPr>
                <w:color w:val="231F20"/>
                <w:sz w:val="20"/>
              </w:rPr>
              <w:t>Internally developed software   . . . . . . . . . . . . . . . </w:t>
            </w:r>
          </w:p>
        </w:tc>
        <w:tc>
          <w:tcPr>
            <w:tcW w:w="1640" w:type="dxa"/>
          </w:tcPr>
          <w:p>
            <w:pPr>
              <w:pStyle w:val="TableParagraph"/>
              <w:spacing w:line="229" w:lineRule="exact"/>
              <w:ind w:right="39"/>
              <w:rPr>
                <w:sz w:val="20"/>
              </w:rPr>
            </w:pPr>
            <w:r>
              <w:rPr>
                <w:color w:val="231F20"/>
                <w:sz w:val="20"/>
              </w:rPr>
              <w:t>2</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2</w:t>
            </w:r>
          </w:p>
        </w:tc>
      </w:tr>
      <w:tr>
        <w:trPr>
          <w:trHeight w:val="240" w:hRule="exact"/>
        </w:trPr>
        <w:tc>
          <w:tcPr>
            <w:tcW w:w="4133" w:type="dxa"/>
          </w:tcPr>
          <w:p>
            <w:pPr>
              <w:pStyle w:val="TableParagraph"/>
              <w:spacing w:line="229" w:lineRule="exact"/>
              <w:ind w:left="34" w:right="34"/>
              <w:jc w:val="center"/>
              <w:rPr>
                <w:sz w:val="20"/>
              </w:rPr>
            </w:pPr>
            <w:r>
              <w:rPr>
                <w:color w:val="231F20"/>
                <w:sz w:val="20"/>
              </w:rPr>
              <w:t>Noncompete agreements   . . . . . . . . . . . . . . . . . . . </w:t>
            </w:r>
          </w:p>
        </w:tc>
        <w:tc>
          <w:tcPr>
            <w:tcW w:w="1640" w:type="dxa"/>
          </w:tcPr>
          <w:p>
            <w:pPr>
              <w:pStyle w:val="TableParagraph"/>
              <w:spacing w:line="229" w:lineRule="exact"/>
              <w:ind w:right="39"/>
              <w:rPr>
                <w:sz w:val="20"/>
              </w:rPr>
            </w:pPr>
            <w:r>
              <w:rPr>
                <w:color w:val="231F20"/>
                <w:sz w:val="20"/>
              </w:rPr>
              <w:t>5</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4</w:t>
            </w:r>
          </w:p>
        </w:tc>
      </w:tr>
      <w:tr>
        <w:trPr>
          <w:trHeight w:val="261" w:hRule="exact"/>
        </w:trPr>
        <w:tc>
          <w:tcPr>
            <w:tcW w:w="4133" w:type="dxa"/>
          </w:tcPr>
          <w:p>
            <w:pPr>
              <w:pStyle w:val="TableParagraph"/>
              <w:spacing w:line="229" w:lineRule="exact"/>
              <w:ind w:left="34" w:right="34"/>
              <w:jc w:val="center"/>
              <w:rPr>
                <w:sz w:val="20"/>
              </w:rPr>
            </w:pPr>
            <w:r>
              <w:rPr>
                <w:color w:val="231F20"/>
                <w:sz w:val="20"/>
              </w:rPr>
              <w:t>Gate leasehold rights   . . . . . . . . . . . . . . . . . . . . . . </w:t>
            </w:r>
          </w:p>
        </w:tc>
        <w:tc>
          <w:tcPr>
            <w:tcW w:w="1640" w:type="dxa"/>
            <w:tcBorders>
              <w:bottom w:val="single" w:sz="4" w:space="0" w:color="231F20"/>
            </w:tcBorders>
          </w:tcPr>
          <w:p>
            <w:pPr>
              <w:pStyle w:val="TableParagraph"/>
              <w:spacing w:line="229" w:lineRule="exact"/>
              <w:ind w:right="39"/>
              <w:rPr>
                <w:sz w:val="20"/>
              </w:rPr>
            </w:pPr>
            <w:r>
              <w:rPr>
                <w:color w:val="231F20"/>
                <w:sz w:val="20"/>
              </w:rPr>
              <w:t>60</w:t>
            </w:r>
          </w:p>
        </w:tc>
        <w:tc>
          <w:tcPr>
            <w:tcW w:w="100" w:type="dxa"/>
          </w:tcPr>
          <w:p>
            <w:pPr/>
          </w:p>
        </w:tc>
        <w:tc>
          <w:tcPr>
            <w:tcW w:w="1557" w:type="dxa"/>
            <w:tcBorders>
              <w:bottom w:val="single" w:sz="4" w:space="0" w:color="231F20"/>
            </w:tcBorders>
          </w:tcPr>
          <w:p>
            <w:pPr>
              <w:pStyle w:val="TableParagraph"/>
              <w:spacing w:line="229" w:lineRule="exact"/>
              <w:ind w:right="39"/>
              <w:rPr>
                <w:sz w:val="20"/>
              </w:rPr>
            </w:pPr>
            <w:r>
              <w:rPr>
                <w:color w:val="231F20"/>
                <w:sz w:val="20"/>
              </w:rPr>
              <w:t>19</w:t>
            </w:r>
          </w:p>
        </w:tc>
        <w:tc>
          <w:tcPr>
            <w:tcW w:w="100" w:type="dxa"/>
          </w:tcPr>
          <w:p>
            <w:pPr/>
          </w:p>
        </w:tc>
        <w:tc>
          <w:tcPr>
            <w:tcW w:w="1640" w:type="dxa"/>
            <w:tcBorders>
              <w:bottom w:val="single" w:sz="4" w:space="0" w:color="231F20"/>
            </w:tcBorders>
          </w:tcPr>
          <w:p>
            <w:pPr>
              <w:pStyle w:val="TableParagraph"/>
              <w:spacing w:line="229" w:lineRule="exact"/>
              <w:ind w:right="39"/>
              <w:rPr>
                <w:sz w:val="20"/>
              </w:rPr>
            </w:pPr>
            <w:r>
              <w:rPr>
                <w:color w:val="231F20"/>
                <w:sz w:val="20"/>
              </w:rPr>
              <w:t>25</w:t>
            </w:r>
          </w:p>
        </w:tc>
      </w:tr>
      <w:tr>
        <w:trPr>
          <w:trHeight w:val="320" w:hRule="exact"/>
        </w:trPr>
        <w:tc>
          <w:tcPr>
            <w:tcW w:w="4133" w:type="dxa"/>
          </w:tcPr>
          <w:p>
            <w:pPr>
              <w:pStyle w:val="TableParagraph"/>
              <w:spacing w:before="58"/>
              <w:ind w:left="34" w:right="34"/>
              <w:jc w:val="center"/>
              <w:rPr>
                <w:sz w:val="20"/>
              </w:rPr>
            </w:pPr>
            <w:r>
              <w:rPr>
                <w:b/>
                <w:color w:val="231F20"/>
                <w:sz w:val="20"/>
              </w:rPr>
              <w:t>Total  </w:t>
            </w:r>
            <w:r>
              <w:rPr>
                <w:color w:val="231F20"/>
                <w:sz w:val="20"/>
              </w:rPr>
              <w:t>. . . . . . . . . . . . . . . . . . . . . . . . . . . . . . . . . . . </w:t>
            </w:r>
          </w:p>
        </w:tc>
        <w:tc>
          <w:tcPr>
            <w:tcW w:w="1640" w:type="dxa"/>
            <w:tcBorders>
              <w:top w:val="single" w:sz="4" w:space="0" w:color="231F20"/>
              <w:bottom w:val="single" w:sz="4" w:space="0" w:color="231F20"/>
            </w:tcBorders>
          </w:tcPr>
          <w:p>
            <w:pPr>
              <w:pStyle w:val="TableParagraph"/>
              <w:tabs>
                <w:tab w:pos="1219" w:val="left" w:leader="none"/>
              </w:tabs>
              <w:spacing w:before="53"/>
              <w:ind w:right="39"/>
              <w:rPr>
                <w:sz w:val="20"/>
              </w:rPr>
            </w:pPr>
            <w:r>
              <w:rPr>
                <w:color w:val="231F20"/>
                <w:sz w:val="20"/>
              </w:rPr>
              <w:t>$</w:t>
              <w:tab/>
              <w:t>213</w:t>
            </w:r>
          </w:p>
        </w:tc>
        <w:tc>
          <w:tcPr>
            <w:tcW w:w="100" w:type="dxa"/>
          </w:tcPr>
          <w:p>
            <w:pPr/>
          </w:p>
        </w:tc>
        <w:tc>
          <w:tcPr>
            <w:tcW w:w="1557" w:type="dxa"/>
            <w:tcBorders>
              <w:top w:val="single" w:sz="4" w:space="0" w:color="231F20"/>
              <w:bottom w:val="single" w:sz="4" w:space="0" w:color="231F20"/>
            </w:tcBorders>
          </w:tcPr>
          <w:p>
            <w:pPr>
              <w:pStyle w:val="TableParagraph"/>
              <w:spacing w:before="53"/>
              <w:ind w:right="39"/>
              <w:rPr>
                <w:sz w:val="20"/>
              </w:rPr>
            </w:pPr>
            <w:r>
              <w:rPr>
                <w:color w:val="231F20"/>
                <w:sz w:val="20"/>
              </w:rPr>
              <w:t>14</w:t>
            </w:r>
          </w:p>
        </w:tc>
        <w:tc>
          <w:tcPr>
            <w:tcW w:w="100" w:type="dxa"/>
          </w:tcPr>
          <w:p>
            <w:pPr/>
          </w:p>
        </w:tc>
        <w:tc>
          <w:tcPr>
            <w:tcW w:w="1640" w:type="dxa"/>
            <w:tcBorders>
              <w:top w:val="single" w:sz="4" w:space="0" w:color="231F20"/>
              <w:bottom w:val="single" w:sz="4" w:space="0" w:color="231F20"/>
            </w:tcBorders>
          </w:tcPr>
          <w:p>
            <w:pPr>
              <w:pStyle w:val="TableParagraph"/>
              <w:tabs>
                <w:tab w:pos="1319" w:val="left" w:leader="none"/>
              </w:tabs>
              <w:spacing w:before="53"/>
              <w:ind w:right="39"/>
              <w:rPr>
                <w:sz w:val="20"/>
              </w:rPr>
            </w:pPr>
            <w:r>
              <w:rPr>
                <w:color w:val="231F20"/>
                <w:sz w:val="20"/>
              </w:rPr>
              <w:t>$</w:t>
              <w:tab/>
              <w:t>75</w:t>
            </w:r>
          </w:p>
        </w:tc>
      </w:tr>
    </w:tbl>
    <w:p>
      <w:pPr>
        <w:pStyle w:val="BodyText"/>
        <w:rPr>
          <w:sz w:val="25"/>
        </w:rPr>
      </w:pPr>
    </w:p>
    <w:p>
      <w:pPr>
        <w:pStyle w:val="BodyText"/>
        <w:spacing w:line="249" w:lineRule="auto" w:before="1"/>
        <w:ind w:left="160" w:firstLine="490"/>
      </w:pPr>
      <w:r>
        <w:rPr>
          <w:color w:val="231F20"/>
          <w:spacing w:val="-3"/>
        </w:rPr>
        <w:t>The </w:t>
      </w:r>
      <w:r>
        <w:rPr>
          <w:color w:val="231F20"/>
          <w:spacing w:val="-4"/>
        </w:rPr>
        <w:t>aggregate amortization expense </w:t>
      </w:r>
      <w:r>
        <w:rPr>
          <w:color w:val="231F20"/>
          <w:spacing w:val="-3"/>
        </w:rPr>
        <w:t>for 2012 and 2011 was $25 </w:t>
      </w:r>
      <w:r>
        <w:rPr>
          <w:color w:val="231F20"/>
          <w:spacing w:val="-4"/>
        </w:rPr>
        <w:t>million </w:t>
      </w:r>
      <w:r>
        <w:rPr>
          <w:color w:val="231F20"/>
          <w:spacing w:val="-3"/>
        </w:rPr>
        <w:t>and $50 </w:t>
      </w:r>
      <w:r>
        <w:rPr>
          <w:color w:val="231F20"/>
          <w:spacing w:val="-4"/>
        </w:rPr>
        <w:t>million, respectively. Estimated aggregate amortization expense </w:t>
      </w:r>
      <w:r>
        <w:rPr>
          <w:color w:val="231F20"/>
          <w:spacing w:val="-3"/>
        </w:rPr>
        <w:t>for the five </w:t>
      </w:r>
      <w:r>
        <w:rPr>
          <w:color w:val="231F20"/>
          <w:spacing w:val="-4"/>
        </w:rPr>
        <w:t>succeeding years </w:t>
      </w:r>
      <w:r>
        <w:rPr>
          <w:color w:val="231F20"/>
          <w:spacing w:val="-3"/>
        </w:rPr>
        <w:t>and </w:t>
      </w:r>
      <w:r>
        <w:rPr>
          <w:color w:val="231F20"/>
          <w:spacing w:val="-4"/>
        </w:rPr>
        <w:t>thereafter </w:t>
      </w:r>
      <w:r>
        <w:rPr>
          <w:color w:val="231F20"/>
        </w:rPr>
        <w:t>is as </w:t>
      </w:r>
      <w:r>
        <w:rPr>
          <w:color w:val="231F20"/>
          <w:spacing w:val="-4"/>
        </w:rPr>
        <w:t>follows: </w:t>
      </w:r>
      <w:r>
        <w:rPr>
          <w:color w:val="231F20"/>
          <w:spacing w:val="-3"/>
        </w:rPr>
        <w:t>2013 </w:t>
      </w:r>
      <w:r>
        <w:rPr>
          <w:color w:val="231F20"/>
        </w:rPr>
        <w:t>– </w:t>
      </w:r>
      <w:r>
        <w:rPr>
          <w:color w:val="231F20"/>
          <w:spacing w:val="-3"/>
        </w:rPr>
        <w:t>$19 </w:t>
      </w:r>
      <w:r>
        <w:rPr>
          <w:color w:val="231F20"/>
          <w:spacing w:val="-4"/>
        </w:rPr>
        <w:t>million,</w:t>
      </w:r>
    </w:p>
    <w:p>
      <w:pPr>
        <w:pStyle w:val="BodyText"/>
        <w:spacing w:before="1"/>
        <w:ind w:left="160"/>
      </w:pPr>
      <w:r>
        <w:rPr>
          <w:color w:val="231F20"/>
        </w:rPr>
        <w:t>2014 – $15 million, 2015 – $14 million, 2016 – $11 million, 2017 – $8 million, 2018 and thereafter – $71 million.</w:t>
      </w:r>
    </w:p>
    <w:p>
      <w:pPr>
        <w:spacing w:after="0"/>
        <w:sectPr>
          <w:pgSz w:w="11880" w:h="15480"/>
          <w:pgMar w:header="0" w:footer="1253" w:top="1240" w:bottom="1440" w:left="1220" w:right="1280"/>
        </w:sectPr>
      </w:pPr>
    </w:p>
    <w:p>
      <w:pPr>
        <w:pStyle w:val="Heading4"/>
        <w:spacing w:before="73"/>
        <w:rPr>
          <w:i/>
        </w:rPr>
      </w:pPr>
      <w:r>
        <w:rPr>
          <w:i/>
          <w:color w:val="231F20"/>
        </w:rPr>
        <w:t>Revenue recognition</w:t>
      </w:r>
    </w:p>
    <w:p>
      <w:pPr>
        <w:pStyle w:val="BodyText"/>
        <w:spacing w:line="249" w:lineRule="auto" w:before="118"/>
        <w:ind w:left="100" w:right="100"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line="249" w:lineRule="auto"/>
        <w:ind w:left="100" w:right="963"/>
      </w:pPr>
      <w:r>
        <w:rPr>
          <w:color w:val="231F20"/>
        </w:rPr>
        <w:t>Amounts collected from passengers for ancillary services such as baggage and other fees are generally recognized as Other revenue when the service is provided, which is typically the flight date.</w:t>
      </w:r>
    </w:p>
    <w:p>
      <w:pPr>
        <w:pStyle w:val="BodyText"/>
        <w:rPr>
          <w:sz w:val="19"/>
        </w:rPr>
      </w:pPr>
    </w:p>
    <w:p>
      <w:pPr>
        <w:pStyle w:val="BodyText"/>
        <w:spacing w:line="249" w:lineRule="auto"/>
        <w:ind w:left="100" w:right="100" w:firstLine="49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5"/>
        <w:rPr>
          <w:sz w:val="28"/>
        </w:rPr>
      </w:pPr>
    </w:p>
    <w:p>
      <w:pPr>
        <w:pStyle w:val="Heading4"/>
        <w:spacing w:before="1"/>
        <w:rPr>
          <w:i/>
        </w:rPr>
      </w:pPr>
      <w:r>
        <w:rPr>
          <w:i/>
          <w:color w:val="231F20"/>
        </w:rPr>
        <w:t>Frequent flyer programs</w:t>
      </w:r>
    </w:p>
    <w:p>
      <w:pPr>
        <w:pStyle w:val="BodyText"/>
        <w:spacing w:line="249" w:lineRule="auto" w:before="119"/>
        <w:ind w:left="100" w:right="340" w:firstLine="490"/>
      </w:pPr>
      <w:r>
        <w:rPr>
          <w:color w:val="231F20"/>
        </w:rPr>
        <w:t>The Company records a liability for the estimated incremental cost of providing free travel under its frequent flyer programs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rPr>
          <w:sz w:val="19"/>
        </w:rPr>
      </w:pPr>
    </w:p>
    <w:p>
      <w:pPr>
        <w:pStyle w:val="BodyText"/>
        <w:spacing w:line="249" w:lineRule="auto"/>
        <w:ind w:left="100" w:right="100" w:firstLine="490"/>
      </w:pPr>
      <w:r>
        <w:rPr>
          <w:color w:val="231F20"/>
        </w:rPr>
        <w:t>Southwest and AirTran also sell frequent flyer points and/or credits and related services to companies participating</w:t>
      </w:r>
      <w:r>
        <w:rPr>
          <w:color w:val="231F20"/>
          <w:spacing w:val="-14"/>
        </w:rPr>
        <w:t> </w:t>
      </w:r>
      <w:r>
        <w:rPr>
          <w:color w:val="231F20"/>
        </w:rPr>
        <w:t>in</w:t>
      </w:r>
      <w:r>
        <w:rPr>
          <w:color w:val="231F20"/>
          <w:spacing w:val="-14"/>
        </w:rPr>
        <w:t> </w:t>
      </w:r>
      <w:r>
        <w:rPr>
          <w:color w:val="231F20"/>
        </w:rPr>
        <w:t>their</w:t>
      </w:r>
      <w:r>
        <w:rPr>
          <w:color w:val="231F20"/>
          <w:spacing w:val="-14"/>
        </w:rPr>
        <w:t> </w:t>
      </w:r>
      <w:r>
        <w:rPr>
          <w:color w:val="231F20"/>
        </w:rPr>
        <w:t>respective</w:t>
      </w:r>
      <w:r>
        <w:rPr>
          <w:color w:val="231F20"/>
          <w:spacing w:val="-14"/>
        </w:rPr>
        <w:t> </w:t>
      </w:r>
      <w:r>
        <w:rPr>
          <w:color w:val="231F20"/>
        </w:rPr>
        <w:t>frequent</w:t>
      </w:r>
      <w:r>
        <w:rPr>
          <w:color w:val="231F20"/>
          <w:spacing w:val="-14"/>
        </w:rPr>
        <w:t> </w:t>
      </w:r>
      <w:r>
        <w:rPr>
          <w:color w:val="231F20"/>
        </w:rPr>
        <w:t>flyer</w:t>
      </w:r>
      <w:r>
        <w:rPr>
          <w:color w:val="231F20"/>
          <w:spacing w:val="-14"/>
        </w:rPr>
        <w:t> </w:t>
      </w:r>
      <w:r>
        <w:rPr>
          <w:color w:val="231F20"/>
        </w:rPr>
        <w:t>programs.</w:t>
      </w:r>
      <w:r>
        <w:rPr>
          <w:color w:val="231F20"/>
          <w:spacing w:val="-14"/>
        </w:rPr>
        <w:t> </w:t>
      </w:r>
      <w:r>
        <w:rPr>
          <w:color w:val="231F20"/>
        </w:rPr>
        <w:t>Funds</w:t>
      </w:r>
      <w:r>
        <w:rPr>
          <w:color w:val="231F20"/>
          <w:spacing w:val="-14"/>
        </w:rPr>
        <w:t> </w:t>
      </w:r>
      <w:r>
        <w:rPr>
          <w:color w:val="231F20"/>
        </w:rPr>
        <w:t>received</w:t>
      </w:r>
      <w:r>
        <w:rPr>
          <w:color w:val="231F20"/>
          <w:spacing w:val="-14"/>
        </w:rPr>
        <w:t> </w:t>
      </w:r>
      <w:r>
        <w:rPr>
          <w:color w:val="231F20"/>
        </w:rPr>
        <w:t>from</w:t>
      </w:r>
      <w:r>
        <w:rPr>
          <w:color w:val="231F20"/>
          <w:spacing w:val="-14"/>
        </w:rPr>
        <w:t> </w:t>
      </w:r>
      <w:r>
        <w:rPr>
          <w:color w:val="231F20"/>
        </w:rPr>
        <w:t>the</w:t>
      </w:r>
      <w:r>
        <w:rPr>
          <w:color w:val="231F20"/>
          <w:spacing w:val="-14"/>
        </w:rPr>
        <w:t> </w:t>
      </w:r>
      <w:r>
        <w:rPr>
          <w:color w:val="231F20"/>
        </w:rPr>
        <w:t>sale</w:t>
      </w:r>
      <w:r>
        <w:rPr>
          <w:color w:val="231F20"/>
          <w:spacing w:val="-14"/>
        </w:rPr>
        <w:t> </w:t>
      </w:r>
      <w:r>
        <w:rPr>
          <w:color w:val="231F20"/>
        </w:rPr>
        <w:t>of</w:t>
      </w:r>
      <w:r>
        <w:rPr>
          <w:color w:val="231F20"/>
          <w:spacing w:val="-14"/>
        </w:rPr>
        <w:t> </w:t>
      </w:r>
      <w:r>
        <w:rPr>
          <w:color w:val="231F20"/>
        </w:rPr>
        <w:t>these</w:t>
      </w:r>
      <w:r>
        <w:rPr>
          <w:color w:val="231F20"/>
          <w:spacing w:val="-14"/>
        </w:rPr>
        <w:t> </w:t>
      </w:r>
      <w:r>
        <w:rPr>
          <w:color w:val="231F20"/>
        </w:rPr>
        <w:t>points</w:t>
      </w:r>
      <w:r>
        <w:rPr>
          <w:color w:val="231F20"/>
          <w:spacing w:val="-14"/>
        </w:rPr>
        <w:t> </w:t>
      </w:r>
      <w:r>
        <w:rPr>
          <w:color w:val="231F20"/>
        </w:rPr>
        <w:t>and/or</w:t>
      </w:r>
      <w:r>
        <w:rPr>
          <w:color w:val="231F20"/>
          <w:spacing w:val="-14"/>
        </w:rPr>
        <w:t> </w:t>
      </w:r>
      <w:r>
        <w:rPr>
          <w:color w:val="231F20"/>
        </w:rPr>
        <w:t>credits are accounted for using the residual method. Under this method, the Company determined the portion of funds received that relate to free travel were currently estimated to be 100 percent of the amount received under both Southwest’s Rapid Reward program and under AirTran’s A+ Reward program as of December 31, 2012. These amounts are deferred and recognized as Passenger revenue when the ultimate free travel awards are flown. In periods</w:t>
      </w:r>
      <w:r>
        <w:rPr>
          <w:color w:val="231F20"/>
          <w:spacing w:val="-11"/>
        </w:rPr>
        <w:t> </w:t>
      </w:r>
      <w:r>
        <w:rPr>
          <w:color w:val="231F20"/>
        </w:rPr>
        <w:t>in</w:t>
      </w:r>
      <w:r>
        <w:rPr>
          <w:color w:val="231F20"/>
          <w:spacing w:val="-11"/>
        </w:rPr>
        <w:t> </w:t>
      </w:r>
      <w:r>
        <w:rPr>
          <w:color w:val="231F20"/>
        </w:rPr>
        <w:t>which</w:t>
      </w:r>
      <w:r>
        <w:rPr>
          <w:color w:val="231F20"/>
          <w:spacing w:val="-11"/>
        </w:rPr>
        <w:t> </w:t>
      </w:r>
      <w:r>
        <w:rPr>
          <w:color w:val="231F20"/>
        </w:rPr>
        <w:t>less</w:t>
      </w:r>
      <w:r>
        <w:rPr>
          <w:color w:val="231F20"/>
          <w:spacing w:val="-11"/>
        </w:rPr>
        <w:t> </w:t>
      </w:r>
      <w:r>
        <w:rPr>
          <w:color w:val="231F20"/>
        </w:rPr>
        <w:t>than</w:t>
      </w:r>
      <w:r>
        <w:rPr>
          <w:color w:val="231F20"/>
          <w:spacing w:val="-11"/>
        </w:rPr>
        <w:t> </w:t>
      </w:r>
      <w:r>
        <w:rPr>
          <w:color w:val="231F20"/>
        </w:rPr>
        <w:t>100</w:t>
      </w:r>
      <w:r>
        <w:rPr>
          <w:color w:val="231F20"/>
          <w:spacing w:val="-11"/>
        </w:rPr>
        <w:t> </w:t>
      </w:r>
      <w:r>
        <w:rPr>
          <w:color w:val="231F20"/>
        </w:rPr>
        <w:t>percent</w:t>
      </w:r>
      <w:r>
        <w:rPr>
          <w:color w:val="231F20"/>
          <w:spacing w:val="-11"/>
        </w:rPr>
        <w:t> </w:t>
      </w:r>
      <w:r>
        <w:rPr>
          <w:color w:val="231F20"/>
        </w:rPr>
        <w:t>of</w:t>
      </w:r>
      <w:r>
        <w:rPr>
          <w:color w:val="231F20"/>
          <w:spacing w:val="-11"/>
        </w:rPr>
        <w:t> </w:t>
      </w:r>
      <w:r>
        <w:rPr>
          <w:color w:val="231F20"/>
        </w:rPr>
        <w:t>funds</w:t>
      </w:r>
      <w:r>
        <w:rPr>
          <w:color w:val="231F20"/>
          <w:spacing w:val="-11"/>
        </w:rPr>
        <w:t> </w:t>
      </w:r>
      <w:r>
        <w:rPr>
          <w:color w:val="231F20"/>
        </w:rPr>
        <w:t>received</w:t>
      </w:r>
      <w:r>
        <w:rPr>
          <w:color w:val="231F20"/>
          <w:spacing w:val="-11"/>
        </w:rPr>
        <w:t> </w:t>
      </w:r>
      <w:r>
        <w:rPr>
          <w:color w:val="231F20"/>
        </w:rPr>
        <w:t>are</w:t>
      </w:r>
      <w:r>
        <w:rPr>
          <w:color w:val="231F20"/>
          <w:spacing w:val="-11"/>
        </w:rPr>
        <w:t> </w:t>
      </w:r>
      <w:r>
        <w:rPr>
          <w:color w:val="231F20"/>
        </w:rPr>
        <w:t>apportioned</w:t>
      </w:r>
      <w:r>
        <w:rPr>
          <w:color w:val="231F20"/>
          <w:spacing w:val="-11"/>
        </w:rPr>
        <w:t> </w:t>
      </w:r>
      <w:r>
        <w:rPr>
          <w:color w:val="231F20"/>
        </w:rPr>
        <w:t>to</w:t>
      </w:r>
      <w:r>
        <w:rPr>
          <w:color w:val="231F20"/>
          <w:spacing w:val="-11"/>
        </w:rPr>
        <w:t> </w:t>
      </w:r>
      <w:r>
        <w:rPr>
          <w:color w:val="231F20"/>
        </w:rPr>
        <w:t>free</w:t>
      </w:r>
      <w:r>
        <w:rPr>
          <w:color w:val="231F20"/>
          <w:spacing w:val="-11"/>
        </w:rPr>
        <w:t> </w:t>
      </w:r>
      <w:r>
        <w:rPr>
          <w:color w:val="231F20"/>
        </w:rPr>
        <w:t>travel,</w:t>
      </w:r>
      <w:r>
        <w:rPr>
          <w:color w:val="231F20"/>
          <w:spacing w:val="-11"/>
        </w:rPr>
        <w:t> </w:t>
      </w:r>
      <w:r>
        <w:rPr>
          <w:color w:val="231F20"/>
        </w:rPr>
        <w:t>the</w:t>
      </w:r>
      <w:r>
        <w:rPr>
          <w:color w:val="231F20"/>
          <w:spacing w:val="-11"/>
        </w:rPr>
        <w:t> </w:t>
      </w:r>
      <w:r>
        <w:rPr>
          <w:color w:val="231F20"/>
        </w:rPr>
        <w:t>remainder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spacing w:val="-2"/>
        </w:rPr>
        <w:t>amount </w:t>
      </w:r>
      <w:r>
        <w:rPr>
          <w:color w:val="231F20"/>
        </w:rPr>
        <w:t>received</w:t>
      </w:r>
      <w:r>
        <w:rPr>
          <w:color w:val="231F20"/>
          <w:spacing w:val="-12"/>
        </w:rPr>
        <w:t> </w:t>
      </w:r>
      <w:r>
        <w:rPr>
          <w:color w:val="231F20"/>
        </w:rPr>
        <w:t>per</w:t>
      </w:r>
      <w:r>
        <w:rPr>
          <w:color w:val="231F20"/>
          <w:spacing w:val="-12"/>
        </w:rPr>
        <w:t> </w:t>
      </w:r>
      <w:r>
        <w:rPr>
          <w:color w:val="231F20"/>
        </w:rPr>
        <w:t>point</w:t>
      </w:r>
      <w:r>
        <w:rPr>
          <w:color w:val="231F20"/>
          <w:spacing w:val="-12"/>
        </w:rPr>
        <w:t> </w:t>
      </w:r>
      <w:r>
        <w:rPr>
          <w:color w:val="231F20"/>
        </w:rPr>
        <w:t>sold</w:t>
      </w:r>
      <w:r>
        <w:rPr>
          <w:color w:val="231F20"/>
          <w:spacing w:val="-12"/>
        </w:rPr>
        <w:t> </w:t>
      </w:r>
      <w:r>
        <w:rPr>
          <w:color w:val="231F20"/>
        </w:rPr>
        <w:t>(the</w:t>
      </w:r>
      <w:r>
        <w:rPr>
          <w:color w:val="231F20"/>
          <w:spacing w:val="-12"/>
        </w:rPr>
        <w:t> </w:t>
      </w:r>
      <w:r>
        <w:rPr>
          <w:color w:val="231F20"/>
        </w:rPr>
        <w:t>residual),</w:t>
      </w:r>
      <w:r>
        <w:rPr>
          <w:color w:val="231F20"/>
          <w:spacing w:val="-12"/>
        </w:rPr>
        <w:t> </w:t>
      </w:r>
      <w:r>
        <w:rPr>
          <w:color w:val="231F20"/>
        </w:rPr>
        <w:t>which</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associated</w:t>
      </w:r>
      <w:r>
        <w:rPr>
          <w:color w:val="231F20"/>
          <w:spacing w:val="-12"/>
        </w:rPr>
        <w:t> </w:t>
      </w:r>
      <w:r>
        <w:rPr>
          <w:color w:val="231F20"/>
        </w:rPr>
        <w:t>with</w:t>
      </w:r>
      <w:r>
        <w:rPr>
          <w:color w:val="231F20"/>
          <w:spacing w:val="-12"/>
        </w:rPr>
        <w:t> </w:t>
      </w:r>
      <w:r>
        <w:rPr>
          <w:color w:val="231F20"/>
        </w:rPr>
        <w:t>future</w:t>
      </w:r>
      <w:r>
        <w:rPr>
          <w:color w:val="231F20"/>
          <w:spacing w:val="-12"/>
        </w:rPr>
        <w:t> </w:t>
      </w:r>
      <w:r>
        <w:rPr>
          <w:color w:val="231F20"/>
        </w:rPr>
        <w:t>travel,</w:t>
      </w:r>
      <w:r>
        <w:rPr>
          <w:color w:val="231F20"/>
          <w:spacing w:val="-12"/>
        </w:rPr>
        <w:t> </w:t>
      </w:r>
      <w:r>
        <w:rPr>
          <w:color w:val="231F20"/>
        </w:rPr>
        <w:t>includes</w:t>
      </w:r>
      <w:r>
        <w:rPr>
          <w:color w:val="231F20"/>
          <w:spacing w:val="-12"/>
        </w:rPr>
        <w:t> </w:t>
      </w:r>
      <w:r>
        <w:rPr>
          <w:color w:val="231F20"/>
        </w:rPr>
        <w:t>items</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access</w:t>
      </w:r>
      <w:r>
        <w:rPr>
          <w:color w:val="231F20"/>
          <w:spacing w:val="-12"/>
        </w:rPr>
        <w:t> </w:t>
      </w:r>
      <w:r>
        <w:rPr>
          <w:color w:val="231F20"/>
        </w:rPr>
        <w:t>to</w:t>
      </w:r>
      <w:r>
        <w:rPr>
          <w:color w:val="231F20"/>
          <w:spacing w:val="-12"/>
        </w:rPr>
        <w:t> </w:t>
      </w:r>
      <w:r>
        <w:rPr>
          <w:color w:val="231F20"/>
          <w:spacing w:val="-2"/>
        </w:rPr>
        <w:t>the </w:t>
      </w:r>
      <w:r>
        <w:rPr>
          <w:color w:val="231F20"/>
        </w:rPr>
        <w:t>Company’s</w:t>
      </w:r>
      <w:r>
        <w:rPr>
          <w:color w:val="231F20"/>
          <w:spacing w:val="-14"/>
        </w:rPr>
        <w:t> </w:t>
      </w:r>
      <w:r>
        <w:rPr>
          <w:color w:val="231F20"/>
        </w:rPr>
        <w:t>frequent</w:t>
      </w:r>
      <w:r>
        <w:rPr>
          <w:color w:val="231F20"/>
          <w:spacing w:val="-14"/>
        </w:rPr>
        <w:t> </w:t>
      </w:r>
      <w:r>
        <w:rPr>
          <w:color w:val="231F20"/>
        </w:rPr>
        <w:t>flyer</w:t>
      </w:r>
      <w:r>
        <w:rPr>
          <w:color w:val="231F20"/>
          <w:spacing w:val="-14"/>
        </w:rPr>
        <w:t> </w:t>
      </w:r>
      <w:r>
        <w:rPr>
          <w:color w:val="231F20"/>
        </w:rPr>
        <w:t>program</w:t>
      </w:r>
      <w:r>
        <w:rPr>
          <w:color w:val="231F20"/>
          <w:spacing w:val="-14"/>
        </w:rPr>
        <w:t> </w:t>
      </w:r>
      <w:r>
        <w:rPr>
          <w:color w:val="231F20"/>
        </w:rPr>
        <w:t>population</w:t>
      </w:r>
      <w:r>
        <w:rPr>
          <w:color w:val="231F20"/>
          <w:spacing w:val="-14"/>
        </w:rPr>
        <w:t> </w:t>
      </w:r>
      <w:r>
        <w:rPr>
          <w:color w:val="231F20"/>
        </w:rPr>
        <w:t>for</w:t>
      </w:r>
      <w:r>
        <w:rPr>
          <w:color w:val="231F20"/>
          <w:spacing w:val="-14"/>
        </w:rPr>
        <w:t> </w:t>
      </w:r>
      <w:r>
        <w:rPr>
          <w:color w:val="231F20"/>
        </w:rPr>
        <w:t>marketing/solicitation</w:t>
      </w:r>
      <w:r>
        <w:rPr>
          <w:color w:val="231F20"/>
          <w:spacing w:val="-14"/>
        </w:rPr>
        <w:t> </w:t>
      </w:r>
      <w:r>
        <w:rPr>
          <w:color w:val="231F20"/>
        </w:rPr>
        <w:t>purposes</w:t>
      </w:r>
      <w:r>
        <w:rPr>
          <w:color w:val="231F20"/>
          <w:spacing w:val="-14"/>
        </w:rPr>
        <w:t> </w:t>
      </w:r>
      <w:r>
        <w:rPr>
          <w:color w:val="231F20"/>
        </w:rPr>
        <w:t>on</w:t>
      </w:r>
      <w:r>
        <w:rPr>
          <w:color w:val="231F20"/>
          <w:spacing w:val="-14"/>
        </w:rPr>
        <w:t> </w:t>
      </w:r>
      <w:r>
        <w:rPr>
          <w:color w:val="231F20"/>
        </w:rPr>
        <w:t>a</w:t>
      </w:r>
      <w:r>
        <w:rPr>
          <w:color w:val="231F20"/>
          <w:spacing w:val="-14"/>
        </w:rPr>
        <w:t> </w:t>
      </w:r>
      <w:r>
        <w:rPr>
          <w:color w:val="231F20"/>
        </w:rPr>
        <w:t>monthly</w:t>
      </w:r>
      <w:r>
        <w:rPr>
          <w:color w:val="231F20"/>
          <w:spacing w:val="-14"/>
        </w:rPr>
        <w:t> </w:t>
      </w:r>
      <w:r>
        <w:rPr>
          <w:color w:val="231F20"/>
        </w:rPr>
        <w:t>or</w:t>
      </w:r>
      <w:r>
        <w:rPr>
          <w:color w:val="231F20"/>
          <w:spacing w:val="-14"/>
        </w:rPr>
        <w:t> </w:t>
      </w:r>
      <w:r>
        <w:rPr>
          <w:color w:val="231F20"/>
        </w:rPr>
        <w:t>quarterly</w:t>
      </w:r>
      <w:r>
        <w:rPr>
          <w:color w:val="231F20"/>
          <w:spacing w:val="-14"/>
        </w:rPr>
        <w:t> </w:t>
      </w:r>
      <w:r>
        <w:rPr>
          <w:color w:val="231F20"/>
          <w:spacing w:val="-2"/>
        </w:rPr>
        <w:t>basis, </w:t>
      </w:r>
      <w:r>
        <w:rPr>
          <w:color w:val="231F20"/>
        </w:rPr>
        <w:t>use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logo</w:t>
      </w:r>
      <w:r>
        <w:rPr>
          <w:color w:val="231F20"/>
          <w:spacing w:val="-12"/>
        </w:rPr>
        <w:t> </w:t>
      </w:r>
      <w:r>
        <w:rPr>
          <w:color w:val="231F20"/>
        </w:rPr>
        <w:t>on</w:t>
      </w:r>
      <w:r>
        <w:rPr>
          <w:color w:val="231F20"/>
          <w:spacing w:val="-12"/>
        </w:rPr>
        <w:t> </w:t>
      </w:r>
      <w:r>
        <w:rPr>
          <w:color w:val="231F20"/>
        </w:rPr>
        <w:t>co-branded</w:t>
      </w:r>
      <w:r>
        <w:rPr>
          <w:color w:val="231F20"/>
          <w:spacing w:val="-12"/>
        </w:rPr>
        <w:t> </w:t>
      </w:r>
      <w:r>
        <w:rPr>
          <w:color w:val="231F20"/>
        </w:rPr>
        <w:t>credit</w:t>
      </w:r>
      <w:r>
        <w:rPr>
          <w:color w:val="231F20"/>
          <w:spacing w:val="-12"/>
        </w:rPr>
        <w:t> </w:t>
      </w:r>
      <w:r>
        <w:rPr>
          <w:color w:val="231F20"/>
        </w:rPr>
        <w:t>cards,</w:t>
      </w:r>
      <w:r>
        <w:rPr>
          <w:color w:val="231F20"/>
          <w:spacing w:val="-12"/>
        </w:rPr>
        <w:t> </w:t>
      </w:r>
      <w:r>
        <w:rPr>
          <w:color w:val="231F20"/>
        </w:rPr>
        <w:t>and</w:t>
      </w:r>
      <w:r>
        <w:rPr>
          <w:color w:val="231F20"/>
          <w:spacing w:val="-12"/>
        </w:rPr>
        <w:t> </w:t>
      </w:r>
      <w:r>
        <w:rPr>
          <w:color w:val="231F20"/>
        </w:rPr>
        <w:t>other</w:t>
      </w:r>
      <w:r>
        <w:rPr>
          <w:color w:val="231F20"/>
          <w:spacing w:val="-12"/>
        </w:rPr>
        <w:t> </w:t>
      </w:r>
      <w:r>
        <w:rPr>
          <w:color w:val="231F20"/>
        </w:rPr>
        <w:t>trademarks,</w:t>
      </w:r>
      <w:r>
        <w:rPr>
          <w:color w:val="231F20"/>
          <w:spacing w:val="-12"/>
        </w:rPr>
        <w:t> </w:t>
      </w:r>
      <w:r>
        <w:rPr>
          <w:color w:val="231F20"/>
        </w:rPr>
        <w:t>designs,</w:t>
      </w:r>
      <w:r>
        <w:rPr>
          <w:color w:val="231F20"/>
          <w:spacing w:val="-12"/>
        </w:rPr>
        <w:t> </w:t>
      </w:r>
      <w:r>
        <w:rPr>
          <w:color w:val="231F20"/>
        </w:rPr>
        <w:t>images,</w:t>
      </w:r>
      <w:r>
        <w:rPr>
          <w:color w:val="231F20"/>
          <w:spacing w:val="-12"/>
        </w:rPr>
        <w:t> </w:t>
      </w:r>
      <w:r>
        <w:rPr>
          <w:color w:val="231F20"/>
        </w:rPr>
        <w:t>etc.</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3"/>
        </w:rPr>
        <w:t>Company </w:t>
      </w:r>
      <w:r>
        <w:rPr>
          <w:color w:val="231F20"/>
        </w:rPr>
        <w:t>for</w:t>
      </w:r>
      <w:r>
        <w:rPr>
          <w:color w:val="231F20"/>
          <w:spacing w:val="-12"/>
        </w:rPr>
        <w:t> </w:t>
      </w:r>
      <w:r>
        <w:rPr>
          <w:color w:val="231F20"/>
        </w:rPr>
        <w:t>use</w:t>
      </w:r>
      <w:r>
        <w:rPr>
          <w:color w:val="231F20"/>
          <w:spacing w:val="-12"/>
        </w:rPr>
        <w:t> </w:t>
      </w:r>
      <w:r>
        <w:rPr>
          <w:color w:val="231F20"/>
        </w:rPr>
        <w:t>in</w:t>
      </w:r>
      <w:r>
        <w:rPr>
          <w:color w:val="231F20"/>
          <w:spacing w:val="-12"/>
        </w:rPr>
        <w:t> </w:t>
      </w:r>
      <w:r>
        <w:rPr>
          <w:color w:val="231F20"/>
        </w:rPr>
        <w:t>marketing</w:t>
      </w:r>
      <w:r>
        <w:rPr>
          <w:color w:val="231F20"/>
          <w:spacing w:val="-12"/>
        </w:rPr>
        <w:t> </w:t>
      </w:r>
      <w:r>
        <w:rPr>
          <w:color w:val="231F20"/>
        </w:rPr>
        <w:t>materials.</w:t>
      </w:r>
      <w:r>
        <w:rPr>
          <w:color w:val="231F20"/>
          <w:spacing w:val="-12"/>
        </w:rPr>
        <w:t> </w:t>
      </w:r>
      <w:r>
        <w:rPr>
          <w:color w:val="231F20"/>
        </w:rPr>
        <w:t>This</w:t>
      </w:r>
      <w:r>
        <w:rPr>
          <w:color w:val="231F20"/>
          <w:spacing w:val="-12"/>
        </w:rPr>
        <w:t> </w:t>
      </w:r>
      <w:r>
        <w:rPr>
          <w:color w:val="231F20"/>
        </w:rPr>
        <w:t>residual</w:t>
      </w:r>
      <w:r>
        <w:rPr>
          <w:color w:val="231F20"/>
          <w:spacing w:val="-12"/>
        </w:rPr>
        <w:t> </w:t>
      </w:r>
      <w:r>
        <w:rPr>
          <w:color w:val="231F20"/>
        </w:rPr>
        <w:t>portion</w:t>
      </w:r>
      <w:r>
        <w:rPr>
          <w:color w:val="231F20"/>
          <w:spacing w:val="-12"/>
        </w:rPr>
        <w:t> </w:t>
      </w:r>
      <w:r>
        <w:rPr>
          <w:color w:val="231F20"/>
        </w:rPr>
        <w:t>is</w:t>
      </w:r>
      <w:r>
        <w:rPr>
          <w:color w:val="231F20"/>
          <w:spacing w:val="-12"/>
        </w:rPr>
        <w:t> </w:t>
      </w:r>
      <w:r>
        <w:rPr>
          <w:color w:val="231F20"/>
        </w:rPr>
        <w:t>recognized</w:t>
      </w:r>
      <w:r>
        <w:rPr>
          <w:color w:val="231F20"/>
          <w:spacing w:val="-12"/>
        </w:rPr>
        <w:t> </w:t>
      </w:r>
      <w:r>
        <w:rPr>
          <w:color w:val="231F20"/>
        </w:rPr>
        <w:t>in</w:t>
      </w:r>
      <w:r>
        <w:rPr>
          <w:color w:val="231F20"/>
          <w:spacing w:val="-12"/>
        </w:rPr>
        <w:t> </w:t>
      </w:r>
      <w:r>
        <w:rPr>
          <w:color w:val="231F20"/>
        </w:rPr>
        <w:t>Other</w:t>
      </w:r>
      <w:r>
        <w:rPr>
          <w:color w:val="231F20"/>
          <w:spacing w:val="-12"/>
        </w:rPr>
        <w:t> </w:t>
      </w:r>
      <w:r>
        <w:rPr>
          <w:color w:val="231F20"/>
        </w:rPr>
        <w:t>revenue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period</w:t>
      </w:r>
      <w:r>
        <w:rPr>
          <w:color w:val="231F20"/>
          <w:spacing w:val="-12"/>
        </w:rPr>
        <w:t> </w:t>
      </w:r>
      <w:r>
        <w:rPr>
          <w:color w:val="231F20"/>
        </w:rPr>
        <w:t>earned,</w:t>
      </w:r>
      <w:r>
        <w:rPr>
          <w:color w:val="231F20"/>
          <w:spacing w:val="-12"/>
        </w:rPr>
        <w:t> </w:t>
      </w:r>
      <w:r>
        <w:rPr>
          <w:color w:val="231F20"/>
        </w:rPr>
        <w:t>which</w:t>
      </w:r>
      <w:r>
        <w:rPr>
          <w:color w:val="231F20"/>
          <w:spacing w:val="-12"/>
        </w:rPr>
        <w:t> </w:t>
      </w:r>
      <w:r>
        <w:rPr>
          <w:color w:val="231F20"/>
          <w:spacing w:val="-2"/>
        </w:rPr>
        <w:t>the </w:t>
      </w:r>
      <w:r>
        <w:rPr>
          <w:color w:val="231F20"/>
        </w:rPr>
        <w:t>Company has determined is the period in which it has fulfilled its obligation under the executed contract with </w:t>
      </w:r>
      <w:r>
        <w:rPr>
          <w:color w:val="231F20"/>
          <w:spacing w:val="-2"/>
        </w:rPr>
        <w:t>the </w:t>
      </w:r>
      <w:r>
        <w:rPr>
          <w:color w:val="231F20"/>
        </w:rPr>
        <w:t>particular</w:t>
      </w:r>
      <w:r>
        <w:rPr>
          <w:color w:val="231F20"/>
          <w:spacing w:val="-13"/>
        </w:rPr>
        <w:t> </w:t>
      </w:r>
      <w:r>
        <w:rPr>
          <w:color w:val="231F20"/>
        </w:rPr>
        <w:t>business</w:t>
      </w:r>
      <w:r>
        <w:rPr>
          <w:color w:val="231F20"/>
          <w:spacing w:val="-13"/>
        </w:rPr>
        <w:t> </w:t>
      </w:r>
      <w:r>
        <w:rPr>
          <w:color w:val="231F20"/>
        </w:rPr>
        <w:t>partner,</w:t>
      </w:r>
      <w:r>
        <w:rPr>
          <w:color w:val="231F20"/>
          <w:spacing w:val="-13"/>
        </w:rPr>
        <w:t> </w:t>
      </w:r>
      <w:r>
        <w:rPr>
          <w:color w:val="231F20"/>
        </w:rPr>
        <w:t>which</w:t>
      </w:r>
      <w:r>
        <w:rPr>
          <w:color w:val="231F20"/>
          <w:spacing w:val="-13"/>
        </w:rPr>
        <w:t> </w:t>
      </w:r>
      <w:r>
        <w:rPr>
          <w:color w:val="231F20"/>
        </w:rPr>
        <w:t>is</w:t>
      </w:r>
      <w:r>
        <w:rPr>
          <w:color w:val="231F20"/>
          <w:spacing w:val="-13"/>
        </w:rPr>
        <w:t> </w:t>
      </w:r>
      <w:r>
        <w:rPr>
          <w:color w:val="231F20"/>
        </w:rPr>
        <w:t>on</w:t>
      </w:r>
      <w:r>
        <w:rPr>
          <w:color w:val="231F20"/>
          <w:spacing w:val="-13"/>
        </w:rPr>
        <w:t> </w:t>
      </w:r>
      <w:r>
        <w:rPr>
          <w:color w:val="231F20"/>
        </w:rPr>
        <w:t>a</w:t>
      </w:r>
      <w:r>
        <w:rPr>
          <w:color w:val="231F20"/>
          <w:spacing w:val="-13"/>
        </w:rPr>
        <w:t> </w:t>
      </w:r>
      <w:r>
        <w:rPr>
          <w:color w:val="231F20"/>
        </w:rPr>
        <w:t>monthly</w:t>
      </w:r>
      <w:r>
        <w:rPr>
          <w:color w:val="231F20"/>
          <w:spacing w:val="-14"/>
        </w:rPr>
        <w:t> </w:t>
      </w:r>
      <w:r>
        <w:rPr>
          <w:color w:val="231F20"/>
        </w:rPr>
        <w:t>or</w:t>
      </w:r>
      <w:r>
        <w:rPr>
          <w:color w:val="231F20"/>
          <w:spacing w:val="-13"/>
        </w:rPr>
        <w:t> </w:t>
      </w:r>
      <w:r>
        <w:rPr>
          <w:color w:val="231F20"/>
        </w:rPr>
        <w:t>quarterly</w:t>
      </w:r>
      <w:r>
        <w:rPr>
          <w:color w:val="231F20"/>
          <w:spacing w:val="-13"/>
        </w:rPr>
        <w:t> </w:t>
      </w:r>
      <w:r>
        <w:rPr>
          <w:color w:val="231F20"/>
        </w:rPr>
        <w:t>basis,</w:t>
      </w:r>
      <w:r>
        <w:rPr>
          <w:color w:val="231F20"/>
          <w:spacing w:val="-13"/>
        </w:rPr>
        <w:t> </w:t>
      </w:r>
      <w:r>
        <w:rPr>
          <w:color w:val="231F20"/>
        </w:rPr>
        <w:t>upon</w:t>
      </w:r>
      <w:r>
        <w:rPr>
          <w:color w:val="231F20"/>
          <w:spacing w:val="-13"/>
        </w:rPr>
        <w:t> </w:t>
      </w:r>
      <w:r>
        <w:rPr>
          <w:color w:val="231F20"/>
        </w:rPr>
        <w:t>sale,</w:t>
      </w:r>
      <w:r>
        <w:rPr>
          <w:color w:val="231F20"/>
          <w:spacing w:val="-13"/>
        </w:rPr>
        <w:t> </w:t>
      </w:r>
      <w:r>
        <w:rPr>
          <w:color w:val="231F20"/>
        </w:rPr>
        <w:t>as</w:t>
      </w:r>
      <w:r>
        <w:rPr>
          <w:color w:val="231F20"/>
          <w:spacing w:val="-13"/>
        </w:rPr>
        <w:t> </w:t>
      </w:r>
      <w:r>
        <w:rPr>
          <w:color w:val="231F20"/>
        </w:rPr>
        <w:t>the</w:t>
      </w:r>
      <w:r>
        <w:rPr>
          <w:color w:val="231F20"/>
          <w:spacing w:val="-13"/>
        </w:rPr>
        <w:t> </w:t>
      </w:r>
      <w:r>
        <w:rPr>
          <w:color w:val="231F20"/>
        </w:rPr>
        <w:t>related</w:t>
      </w:r>
      <w:r>
        <w:rPr>
          <w:color w:val="231F20"/>
          <w:spacing w:val="-13"/>
        </w:rPr>
        <w:t> </w:t>
      </w:r>
      <w:r>
        <w:rPr>
          <w:color w:val="231F20"/>
        </w:rPr>
        <w:t>marketing</w:t>
      </w:r>
      <w:r>
        <w:rPr>
          <w:color w:val="231F20"/>
          <w:spacing w:val="-13"/>
        </w:rPr>
        <w:t> </w:t>
      </w:r>
      <w:r>
        <w:rPr>
          <w:color w:val="231F20"/>
        </w:rPr>
        <w:t>services</w:t>
      </w:r>
      <w:r>
        <w:rPr>
          <w:color w:val="231F20"/>
          <w:spacing w:val="-13"/>
        </w:rPr>
        <w:t> </w:t>
      </w:r>
      <w:r>
        <w:rPr>
          <w:color w:val="231F20"/>
          <w:spacing w:val="-2"/>
        </w:rPr>
        <w:t>are </w:t>
      </w:r>
      <w:r>
        <w:rPr>
          <w:color w:val="231F20"/>
        </w:rPr>
        <w:t>performed or provided. For all points sold to business partners that are expected to expire unused, the Company recognizes spoilage in accordance with the redemption method. At December 31, 2012, Southwest and </w:t>
      </w:r>
      <w:r>
        <w:rPr>
          <w:color w:val="231F20"/>
          <w:spacing w:val="-3"/>
        </w:rPr>
        <w:t>AirTran’s </w:t>
      </w:r>
      <w:r>
        <w:rPr>
          <w:color w:val="231F20"/>
        </w:rPr>
        <w:t>consolidated</w:t>
      </w:r>
      <w:r>
        <w:rPr>
          <w:color w:val="231F20"/>
          <w:spacing w:val="-15"/>
        </w:rPr>
        <w:t> </w:t>
      </w:r>
      <w:r>
        <w:rPr>
          <w:color w:val="231F20"/>
        </w:rPr>
        <w:t>liability</w:t>
      </w:r>
      <w:r>
        <w:rPr>
          <w:color w:val="231F20"/>
          <w:spacing w:val="-15"/>
        </w:rPr>
        <w:t> </w:t>
      </w:r>
      <w:r>
        <w:rPr>
          <w:color w:val="231F20"/>
        </w:rPr>
        <w:t>associated</w:t>
      </w:r>
      <w:r>
        <w:rPr>
          <w:color w:val="231F20"/>
          <w:spacing w:val="-15"/>
        </w:rPr>
        <w:t> </w:t>
      </w:r>
      <w:r>
        <w:rPr>
          <w:color w:val="231F20"/>
        </w:rPr>
        <w:t>with</w:t>
      </w:r>
      <w:r>
        <w:rPr>
          <w:color w:val="231F20"/>
          <w:spacing w:val="-15"/>
        </w:rPr>
        <w:t> </w:t>
      </w:r>
      <w:r>
        <w:rPr>
          <w:color w:val="231F20"/>
        </w:rPr>
        <w:t>the</w:t>
      </w:r>
      <w:r>
        <w:rPr>
          <w:color w:val="231F20"/>
          <w:spacing w:val="-15"/>
        </w:rPr>
        <w:t> </w:t>
      </w:r>
      <w:r>
        <w:rPr>
          <w:color w:val="231F20"/>
        </w:rPr>
        <w:t>sale</w:t>
      </w:r>
      <w:r>
        <w:rPr>
          <w:color w:val="231F20"/>
          <w:spacing w:val="-15"/>
        </w:rPr>
        <w:t> </w:t>
      </w:r>
      <w:r>
        <w:rPr>
          <w:color w:val="231F20"/>
        </w:rPr>
        <w:t>of</w:t>
      </w:r>
      <w:r>
        <w:rPr>
          <w:color w:val="231F20"/>
          <w:spacing w:val="-15"/>
        </w:rPr>
        <w:t> </w:t>
      </w:r>
      <w:r>
        <w:rPr>
          <w:color w:val="231F20"/>
        </w:rPr>
        <w:t>frequent</w:t>
      </w:r>
      <w:r>
        <w:rPr>
          <w:color w:val="231F20"/>
          <w:spacing w:val="-15"/>
        </w:rPr>
        <w:t> </w:t>
      </w:r>
      <w:r>
        <w:rPr>
          <w:color w:val="231F20"/>
        </w:rPr>
        <w:t>flyer</w:t>
      </w:r>
      <w:r>
        <w:rPr>
          <w:color w:val="231F20"/>
          <w:spacing w:val="-15"/>
        </w:rPr>
        <w:t> </w:t>
      </w:r>
      <w:r>
        <w:rPr>
          <w:color w:val="231F20"/>
        </w:rPr>
        <w:t>points</w:t>
      </w:r>
      <w:r>
        <w:rPr>
          <w:color w:val="231F20"/>
          <w:spacing w:val="-15"/>
        </w:rPr>
        <w:t> </w:t>
      </w:r>
      <w:r>
        <w:rPr>
          <w:color w:val="231F20"/>
        </w:rPr>
        <w:t>and/or</w:t>
      </w:r>
      <w:r>
        <w:rPr>
          <w:color w:val="231F20"/>
          <w:spacing w:val="-15"/>
        </w:rPr>
        <w:t> </w:t>
      </w:r>
      <w:r>
        <w:rPr>
          <w:color w:val="231F20"/>
        </w:rPr>
        <w:t>flight</w:t>
      </w:r>
      <w:r>
        <w:rPr>
          <w:color w:val="231F20"/>
          <w:spacing w:val="-15"/>
        </w:rPr>
        <w:t> </w:t>
      </w:r>
      <w:r>
        <w:rPr>
          <w:color w:val="231F20"/>
        </w:rPr>
        <w:t>credits,</w:t>
      </w:r>
      <w:r>
        <w:rPr>
          <w:color w:val="231F20"/>
          <w:spacing w:val="-15"/>
        </w:rPr>
        <w:t> </w:t>
      </w:r>
      <w:r>
        <w:rPr>
          <w:color w:val="231F20"/>
        </w:rPr>
        <w:t>was</w:t>
      </w:r>
      <w:r>
        <w:rPr>
          <w:color w:val="231F20"/>
          <w:spacing w:val="-15"/>
        </w:rPr>
        <w:t> </w:t>
      </w:r>
      <w:r>
        <w:rPr>
          <w:color w:val="231F20"/>
        </w:rPr>
        <w:t>approximately</w:t>
      </w:r>
      <w:r>
        <w:rPr>
          <w:color w:val="231F20"/>
          <w:spacing w:val="-15"/>
        </w:rPr>
        <w:t> </w:t>
      </w:r>
      <w:r>
        <w:rPr>
          <w:color w:val="231F20"/>
        </w:rPr>
        <w:t>$814 million.</w:t>
      </w:r>
      <w:r>
        <w:rPr>
          <w:color w:val="231F20"/>
          <w:spacing w:val="-14"/>
        </w:rPr>
        <w:t> </w:t>
      </w:r>
      <w:r>
        <w:rPr>
          <w:color w:val="231F20"/>
        </w:rPr>
        <w:t>This</w:t>
      </w:r>
      <w:r>
        <w:rPr>
          <w:color w:val="231F20"/>
          <w:spacing w:val="-14"/>
        </w:rPr>
        <w:t> </w:t>
      </w:r>
      <w:r>
        <w:rPr>
          <w:color w:val="231F20"/>
        </w:rPr>
        <w:t>liability</w:t>
      </w:r>
      <w:r>
        <w:rPr>
          <w:color w:val="231F20"/>
          <w:spacing w:val="-14"/>
        </w:rPr>
        <w:t> </w:t>
      </w:r>
      <w:r>
        <w:rPr>
          <w:color w:val="231F20"/>
        </w:rPr>
        <w:t>is</w:t>
      </w:r>
      <w:r>
        <w:rPr>
          <w:color w:val="231F20"/>
          <w:spacing w:val="-14"/>
        </w:rPr>
        <w:t> </w:t>
      </w:r>
      <w:r>
        <w:rPr>
          <w:color w:val="231F20"/>
        </w:rPr>
        <w:t>included</w:t>
      </w:r>
      <w:r>
        <w:rPr>
          <w:color w:val="231F20"/>
          <w:spacing w:val="-14"/>
        </w:rPr>
        <w:t> </w:t>
      </w:r>
      <w:r>
        <w:rPr>
          <w:color w:val="231F20"/>
        </w:rPr>
        <w:t>as</w:t>
      </w:r>
      <w:r>
        <w:rPr>
          <w:color w:val="231F20"/>
          <w:spacing w:val="-14"/>
        </w:rPr>
        <w:t> </w:t>
      </w:r>
      <w:r>
        <w:rPr>
          <w:color w:val="231F20"/>
        </w:rPr>
        <w:t>part</w:t>
      </w:r>
      <w:r>
        <w:rPr>
          <w:color w:val="231F20"/>
          <w:spacing w:val="-14"/>
        </w:rPr>
        <w:t> </w:t>
      </w:r>
      <w:r>
        <w:rPr>
          <w:color w:val="231F20"/>
        </w:rPr>
        <w:t>of</w:t>
      </w:r>
      <w:r>
        <w:rPr>
          <w:color w:val="231F20"/>
          <w:spacing w:val="-14"/>
        </w:rPr>
        <w:t> </w:t>
      </w:r>
      <w:r>
        <w:rPr>
          <w:color w:val="231F20"/>
        </w:rPr>
        <w:t>Air</w:t>
      </w:r>
      <w:r>
        <w:rPr>
          <w:color w:val="231F20"/>
          <w:spacing w:val="-14"/>
        </w:rPr>
        <w:t> </w:t>
      </w:r>
      <w:r>
        <w:rPr>
          <w:color w:val="231F20"/>
        </w:rPr>
        <w:t>Traffic</w:t>
      </w:r>
      <w:r>
        <w:rPr>
          <w:color w:val="231F20"/>
          <w:spacing w:val="-14"/>
        </w:rPr>
        <w:t> </w:t>
      </w:r>
      <w:r>
        <w:rPr>
          <w:color w:val="231F20"/>
        </w:rPr>
        <w:t>liability</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Consolidated</w:t>
      </w:r>
      <w:r>
        <w:rPr>
          <w:color w:val="231F20"/>
          <w:spacing w:val="-14"/>
        </w:rPr>
        <w:t> </w:t>
      </w:r>
      <w:r>
        <w:rPr>
          <w:color w:val="231F20"/>
        </w:rPr>
        <w:t>Balance</w:t>
      </w:r>
      <w:r>
        <w:rPr>
          <w:color w:val="231F20"/>
          <w:spacing w:val="-14"/>
        </w:rPr>
        <w:t> </w:t>
      </w:r>
      <w:r>
        <w:rPr>
          <w:color w:val="231F20"/>
          <w:spacing w:val="-3"/>
        </w:rPr>
        <w:t>Sheet.</w:t>
      </w:r>
    </w:p>
    <w:p>
      <w:pPr>
        <w:pStyle w:val="BodyText"/>
        <w:rPr>
          <w:sz w:val="19"/>
        </w:rPr>
      </w:pPr>
    </w:p>
    <w:p>
      <w:pPr>
        <w:pStyle w:val="BodyText"/>
        <w:spacing w:line="249" w:lineRule="auto"/>
        <w:ind w:left="100" w:right="239" w:firstLine="490"/>
      </w:pPr>
      <w:r>
        <w:rPr>
          <w:color w:val="231F20"/>
        </w:rPr>
        <w:t>In March 2011, Southwest launched its All-New Rapid Rewards frequent flyer program. Under the new program, members earn points for every dollar spent instead of credits for flight segments flown. Unlike Southwest’s previous program, under the new program, (i) members are able to redeem their points for every available seat, every day, on every flight, with no blackout dates; and (ii) points do not expire so long as the Rapid Rewards Member has points-earning activity during a 24-month time period. In addition, Southwest co- branded Chase Visa credit card holders are able to redeem their points for items other than travel on Southwest Airlines, such as international flights, cruises, hotel stays, rental cars, gift cards, event tickets, and more. In addition to earning points for revenue flights, Rapid Rewards Members also have the ability to purchase points. As part of Southwest’s transition to the new program, Southwest did not convert members’ account balances</w:t>
      </w:r>
    </w:p>
    <w:p>
      <w:pPr>
        <w:spacing w:after="0" w:line="249" w:lineRule="auto"/>
        <w:sectPr>
          <w:pgSz w:w="11880" w:h="15480"/>
          <w:pgMar w:header="0" w:footer="1253" w:top="1240" w:bottom="1440" w:left="1280" w:right="1320"/>
        </w:sectPr>
      </w:pPr>
    </w:p>
    <w:p>
      <w:pPr>
        <w:pStyle w:val="BodyText"/>
        <w:spacing w:line="249" w:lineRule="auto" w:before="73"/>
        <w:ind w:left="100" w:right="424"/>
      </w:pPr>
      <w:r>
        <w:rPr>
          <w:color w:val="231F20"/>
        </w:rPr>
        <w:t>under the previous program, but is allowing members to continue to redeem those balances for award travel under the prior program rules for a period of time. The transition method used by the Company in moving Members to the new program resulted in no material changes in the Company’s estimation of its existing frequent flyer liabilities as of the launch date. Although the current program is still relatively new and the Company does expect a reduction in the amount of spoilage associated with points earned within the program compared to its previous program, the impact of such expected reduction has thus far not been material.</w:t>
      </w:r>
    </w:p>
    <w:p>
      <w:pPr>
        <w:pStyle w:val="BodyText"/>
        <w:spacing w:before="9"/>
        <w:rPr>
          <w:sz w:val="27"/>
        </w:rPr>
      </w:pPr>
    </w:p>
    <w:p>
      <w:pPr>
        <w:pStyle w:val="Heading4"/>
        <w:rPr>
          <w:i/>
        </w:rPr>
      </w:pPr>
      <w:r>
        <w:rPr>
          <w:i/>
          <w:color w:val="231F20"/>
        </w:rPr>
        <w:t>Advertising</w:t>
      </w:r>
    </w:p>
    <w:p>
      <w:pPr>
        <w:pStyle w:val="BodyText"/>
        <w:spacing w:line="249" w:lineRule="auto" w:before="115"/>
        <w:ind w:left="100" w:right="224" w:firstLine="490"/>
      </w:pPr>
      <w:r>
        <w:rPr>
          <w:color w:val="231F20"/>
        </w:rPr>
        <w:t>Advertising costs are charged to expense as incurred. Advertising and promotions expense for the years ended December 31, 2012, 2011, and 2010 was $223 million, $237 million, and $202 million, respectively, and is included as a component of Other operating expense in the accompanying Consolidated Statement of Income.</w:t>
      </w:r>
    </w:p>
    <w:p>
      <w:pPr>
        <w:pStyle w:val="BodyText"/>
        <w:spacing w:before="9"/>
        <w:rPr>
          <w:sz w:val="27"/>
        </w:rPr>
      </w:pPr>
    </w:p>
    <w:p>
      <w:pPr>
        <w:pStyle w:val="Heading4"/>
        <w:rPr>
          <w:i/>
        </w:rPr>
      </w:pPr>
      <w:r>
        <w:rPr>
          <w:i/>
          <w:color w:val="231F20"/>
        </w:rPr>
        <w:t>Share-based Employee compensation</w:t>
      </w:r>
    </w:p>
    <w:p>
      <w:pPr>
        <w:pStyle w:val="BodyText"/>
        <w:spacing w:line="249" w:lineRule="auto" w:before="116"/>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14.</w:t>
      </w:r>
    </w:p>
    <w:p>
      <w:pPr>
        <w:pStyle w:val="BodyText"/>
        <w:spacing w:before="9"/>
        <w:rPr>
          <w:sz w:val="27"/>
        </w:rPr>
      </w:pPr>
    </w:p>
    <w:p>
      <w:pPr>
        <w:pStyle w:val="Heading4"/>
        <w:rPr>
          <w:i/>
        </w:rPr>
      </w:pPr>
      <w:r>
        <w:rPr>
          <w:i/>
          <w:color w:val="231F20"/>
        </w:rPr>
        <w:t>Financial derivative instruments</w:t>
      </w:r>
    </w:p>
    <w:p>
      <w:pPr>
        <w:pStyle w:val="BodyText"/>
        <w:spacing w:line="249" w:lineRule="auto" w:before="115"/>
        <w:ind w:left="100" w:right="101" w:firstLine="49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 fixed-rate. These interest rate hedges are appropriately designated as either fair value hedges or as cash flow hedges.</w:t>
      </w:r>
    </w:p>
    <w:p>
      <w:pPr>
        <w:pStyle w:val="BodyText"/>
        <w:spacing w:before="6"/>
        <w:rPr>
          <w:sz w:val="18"/>
        </w:rPr>
      </w:pPr>
    </w:p>
    <w:p>
      <w:pPr>
        <w:pStyle w:val="BodyText"/>
        <w:spacing w:line="249" w:lineRule="auto" w:before="1"/>
        <w:ind w:left="100" w:right="101" w:firstLine="49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7"/>
        <w:rPr>
          <w:sz w:val="18"/>
        </w:rPr>
      </w:pPr>
    </w:p>
    <w:p>
      <w:pPr>
        <w:pStyle w:val="BodyText"/>
        <w:spacing w:line="249" w:lineRule="auto"/>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6"/>
        <w:rPr>
          <w:sz w:val="18"/>
        </w:rPr>
      </w:pPr>
    </w:p>
    <w:p>
      <w:pPr>
        <w:pStyle w:val="BodyText"/>
        <w:spacing w:line="249" w:lineRule="auto" w:before="1"/>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spacing w:after="0" w:line="249" w:lineRule="auto"/>
        <w:sectPr>
          <w:pgSz w:w="11880" w:h="15480"/>
          <w:pgMar w:header="0" w:footer="1253" w:top="1240" w:bottom="1440" w:left="1280" w:right="1280"/>
        </w:sectPr>
      </w:pPr>
    </w:p>
    <w:p>
      <w:pPr>
        <w:pStyle w:val="Heading4"/>
        <w:spacing w:before="73"/>
        <w:rPr>
          <w:i/>
        </w:rPr>
      </w:pPr>
      <w:r>
        <w:rPr>
          <w:i/>
          <w:color w:val="231F20"/>
        </w:rPr>
        <w:t>Software capitalization</w:t>
      </w:r>
    </w:p>
    <w:p>
      <w:pPr>
        <w:pStyle w:val="BodyText"/>
        <w:spacing w:line="249" w:lineRule="auto" w:before="150"/>
        <w:ind w:left="100" w:right="185"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fifteen years. Costs incurred during the preliminary project or the post-implementation/operation stages of the project are expensed as incurred.</w:t>
      </w:r>
    </w:p>
    <w:p>
      <w:pPr>
        <w:pStyle w:val="BodyText"/>
        <w:rPr>
          <w:sz w:val="22"/>
        </w:rPr>
      </w:pPr>
    </w:p>
    <w:p>
      <w:pPr>
        <w:pStyle w:val="Heading4"/>
        <w:spacing w:before="170"/>
        <w:rPr>
          <w:i/>
        </w:rPr>
      </w:pPr>
      <w:r>
        <w:rPr>
          <w:i/>
          <w:color w:val="231F20"/>
        </w:rPr>
        <w:t>Income taxes</w:t>
      </w:r>
    </w:p>
    <w:p>
      <w:pPr>
        <w:pStyle w:val="BodyText"/>
        <w:spacing w:line="249" w:lineRule="auto" w:before="150"/>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6"/>
        <w:rPr>
          <w:sz w:val="24"/>
        </w:rPr>
      </w:pPr>
    </w:p>
    <w:p>
      <w:pPr>
        <w:pStyle w:val="BodyText"/>
        <w:spacing w:line="249" w:lineRule="auto"/>
        <w:ind w:left="100" w:right="101"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rPr>
          <w:sz w:val="22"/>
        </w:rPr>
      </w:pPr>
    </w:p>
    <w:p>
      <w:pPr>
        <w:pStyle w:val="Heading4"/>
        <w:spacing w:before="170"/>
        <w:rPr>
          <w:i/>
        </w:rPr>
      </w:pPr>
      <w:r>
        <w:rPr>
          <w:i/>
          <w:color w:val="231F20"/>
        </w:rPr>
        <w:t>Concentration risk</w:t>
      </w:r>
    </w:p>
    <w:p>
      <w:pPr>
        <w:pStyle w:val="BodyText"/>
        <w:spacing w:line="249" w:lineRule="auto" w:before="150"/>
        <w:ind w:left="100" w:right="109" w:firstLine="490"/>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Southwest’s Pilots, Mechanics, and Customer Service Agents and Customer Representatives, and Ramp, Operations, Provisioning, and Freight Agents are under agreements that have become amendable and are in discussions on new agreements which represent approximately 56 percent of the Company’s full-time equivalent Employees. In addition, Southwest’s Flight Attendants, Materials Specialists, and Flight Simulator Technicians are subject to agreements that become amendable during 2013, which represent approximately 25 percent of the Company’s full-time equivalent</w:t>
      </w:r>
      <w:r>
        <w:rPr>
          <w:color w:val="231F20"/>
          <w:spacing w:val="9"/>
        </w:rPr>
        <w:t> </w:t>
      </w:r>
      <w:r>
        <w:rPr>
          <w:color w:val="231F20"/>
        </w:rPr>
        <w:t>Employees.</w:t>
      </w:r>
    </w:p>
    <w:p>
      <w:pPr>
        <w:pStyle w:val="BodyText"/>
        <w:spacing w:before="6"/>
        <w:rPr>
          <w:sz w:val="24"/>
        </w:rPr>
      </w:pPr>
    </w:p>
    <w:p>
      <w:pPr>
        <w:pStyle w:val="BodyText"/>
        <w:spacing w:line="249" w:lineRule="auto"/>
        <w:ind w:left="100" w:right="167"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6"/>
        <w:rPr>
          <w:sz w:val="24"/>
        </w:rPr>
      </w:pPr>
    </w:p>
    <w:p>
      <w:pPr>
        <w:pStyle w:val="BodyText"/>
        <w:spacing w:line="249" w:lineRule="auto"/>
        <w:ind w:left="100" w:firstLine="490"/>
      </w:pPr>
      <w:r>
        <w:rPr>
          <w:color w:val="231F20"/>
        </w:rPr>
        <w:t>To manage risk associated with financial derivative instruments held, the Company selects and will periodically</w:t>
      </w:r>
      <w:r>
        <w:rPr>
          <w:color w:val="231F20"/>
          <w:spacing w:val="-16"/>
        </w:rPr>
        <w:t> </w:t>
      </w:r>
      <w:r>
        <w:rPr>
          <w:color w:val="231F20"/>
        </w:rPr>
        <w:t>review</w:t>
      </w:r>
      <w:r>
        <w:rPr>
          <w:color w:val="231F20"/>
          <w:spacing w:val="-16"/>
        </w:rPr>
        <w:t> </w:t>
      </w:r>
      <w:r>
        <w:rPr>
          <w:color w:val="231F20"/>
        </w:rPr>
        <w:t>counterparties</w:t>
      </w:r>
      <w:r>
        <w:rPr>
          <w:color w:val="231F20"/>
          <w:spacing w:val="-16"/>
        </w:rPr>
        <w:t> </w:t>
      </w:r>
      <w:r>
        <w:rPr>
          <w:color w:val="231F20"/>
        </w:rPr>
        <w:t>based</w:t>
      </w:r>
      <w:r>
        <w:rPr>
          <w:color w:val="231F20"/>
          <w:spacing w:val="-16"/>
        </w:rPr>
        <w:t> </w:t>
      </w:r>
      <w:r>
        <w:rPr>
          <w:color w:val="231F20"/>
        </w:rPr>
        <w:t>on</w:t>
      </w:r>
      <w:r>
        <w:rPr>
          <w:color w:val="231F20"/>
          <w:spacing w:val="-16"/>
        </w:rPr>
        <w:t> </w:t>
      </w:r>
      <w:r>
        <w:rPr>
          <w:color w:val="231F20"/>
        </w:rPr>
        <w:t>credit</w:t>
      </w:r>
      <w:r>
        <w:rPr>
          <w:color w:val="231F20"/>
          <w:spacing w:val="-16"/>
        </w:rPr>
        <w:t> </w:t>
      </w:r>
      <w:r>
        <w:rPr>
          <w:color w:val="231F20"/>
        </w:rPr>
        <w:t>ratings,</w:t>
      </w:r>
      <w:r>
        <w:rPr>
          <w:color w:val="231F20"/>
          <w:spacing w:val="-16"/>
        </w:rPr>
        <w:t> </w:t>
      </w:r>
      <w:r>
        <w:rPr>
          <w:color w:val="231F20"/>
        </w:rPr>
        <w:t>limits</w:t>
      </w:r>
      <w:r>
        <w:rPr>
          <w:color w:val="231F20"/>
          <w:spacing w:val="-16"/>
        </w:rPr>
        <w:t> </w:t>
      </w:r>
      <w:r>
        <w:rPr>
          <w:color w:val="231F20"/>
        </w:rPr>
        <w:t>its</w:t>
      </w:r>
      <w:r>
        <w:rPr>
          <w:color w:val="231F20"/>
          <w:spacing w:val="-16"/>
        </w:rPr>
        <w:t> </w:t>
      </w:r>
      <w:r>
        <w:rPr>
          <w:color w:val="231F20"/>
        </w:rPr>
        <w:t>exposure</w:t>
      </w:r>
      <w:r>
        <w:rPr>
          <w:color w:val="231F20"/>
          <w:spacing w:val="-16"/>
        </w:rPr>
        <w:t> </w:t>
      </w:r>
      <w:r>
        <w:rPr>
          <w:color w:val="231F20"/>
        </w:rPr>
        <w:t>to</w:t>
      </w:r>
      <w:r>
        <w:rPr>
          <w:color w:val="231F20"/>
          <w:spacing w:val="-16"/>
        </w:rPr>
        <w:t> </w:t>
      </w:r>
      <w:r>
        <w:rPr>
          <w:color w:val="231F20"/>
        </w:rPr>
        <w:t>a</w:t>
      </w:r>
      <w:r>
        <w:rPr>
          <w:color w:val="231F20"/>
          <w:spacing w:val="-16"/>
        </w:rPr>
        <w:t> </w:t>
      </w:r>
      <w:r>
        <w:rPr>
          <w:color w:val="231F20"/>
        </w:rPr>
        <w:t>single</w:t>
      </w:r>
      <w:r>
        <w:rPr>
          <w:color w:val="231F20"/>
          <w:spacing w:val="-16"/>
        </w:rPr>
        <w:t> </w:t>
      </w:r>
      <w:r>
        <w:rPr>
          <w:color w:val="231F20"/>
        </w:rPr>
        <w:t>counterparty,</w:t>
      </w:r>
      <w:r>
        <w:rPr>
          <w:color w:val="231F20"/>
          <w:spacing w:val="-16"/>
        </w:rPr>
        <w:t> </w:t>
      </w:r>
      <w:r>
        <w:rPr>
          <w:color w:val="231F20"/>
        </w:rPr>
        <w:t>and</w:t>
      </w:r>
      <w:r>
        <w:rPr>
          <w:color w:val="231F20"/>
          <w:spacing w:val="-16"/>
        </w:rPr>
        <w:t> </w:t>
      </w:r>
      <w:r>
        <w:rPr>
          <w:color w:val="231F20"/>
        </w:rPr>
        <w:t>monitors the</w:t>
      </w:r>
      <w:r>
        <w:rPr>
          <w:color w:val="231F20"/>
          <w:spacing w:val="-12"/>
        </w:rPr>
        <w:t> </w:t>
      </w:r>
      <w:r>
        <w:rPr>
          <w:color w:val="231F20"/>
        </w:rPr>
        <w:t>market</w:t>
      </w:r>
      <w:r>
        <w:rPr>
          <w:color w:val="231F20"/>
          <w:spacing w:val="-12"/>
        </w:rPr>
        <w:t> </w:t>
      </w:r>
      <w:r>
        <w:rPr>
          <w:color w:val="231F20"/>
        </w:rPr>
        <w:t>position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program</w:t>
      </w:r>
      <w:r>
        <w:rPr>
          <w:color w:val="231F20"/>
          <w:spacing w:val="-12"/>
        </w:rPr>
        <w:t> </w:t>
      </w:r>
      <w:r>
        <w:rPr>
          <w:color w:val="231F20"/>
        </w:rPr>
        <w:t>and</w:t>
      </w:r>
      <w:r>
        <w:rPr>
          <w:color w:val="231F20"/>
          <w:spacing w:val="-12"/>
        </w:rPr>
        <w:t> </w:t>
      </w:r>
      <w:r>
        <w:rPr>
          <w:color w:val="231F20"/>
        </w:rPr>
        <w:t>its</w:t>
      </w:r>
      <w:r>
        <w:rPr>
          <w:color w:val="231F20"/>
          <w:spacing w:val="-12"/>
        </w:rPr>
        <w:t> </w:t>
      </w:r>
      <w:r>
        <w:rPr>
          <w:color w:val="231F20"/>
        </w:rPr>
        <w:t>relative</w:t>
      </w:r>
      <w:r>
        <w:rPr>
          <w:color w:val="231F20"/>
          <w:spacing w:val="-12"/>
        </w:rPr>
        <w:t> </w:t>
      </w:r>
      <w:r>
        <w:rPr>
          <w:color w:val="231F20"/>
        </w:rPr>
        <w:t>market</w:t>
      </w:r>
      <w:r>
        <w:rPr>
          <w:color w:val="231F20"/>
          <w:spacing w:val="-12"/>
        </w:rPr>
        <w:t> </w:t>
      </w:r>
      <w:r>
        <w:rPr>
          <w:color w:val="231F20"/>
        </w:rPr>
        <w:t>position</w:t>
      </w:r>
      <w:r>
        <w:rPr>
          <w:color w:val="231F20"/>
          <w:spacing w:val="-12"/>
        </w:rPr>
        <w:t> </w:t>
      </w:r>
      <w:r>
        <w:rPr>
          <w:color w:val="231F20"/>
        </w:rPr>
        <w:t>with</w:t>
      </w:r>
      <w:r>
        <w:rPr>
          <w:color w:val="231F20"/>
          <w:spacing w:val="-12"/>
        </w:rPr>
        <w:t> </w:t>
      </w:r>
      <w:r>
        <w:rPr>
          <w:color w:val="231F20"/>
        </w:rPr>
        <w:t>each</w:t>
      </w:r>
      <w:r>
        <w:rPr>
          <w:color w:val="231F20"/>
          <w:spacing w:val="-12"/>
        </w:rPr>
        <w:t> </w:t>
      </w:r>
      <w:r>
        <w:rPr>
          <w:color w:val="231F20"/>
        </w:rPr>
        <w:t>counterparty.</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also</w:t>
      </w:r>
      <w:r>
        <w:rPr>
          <w:color w:val="231F20"/>
          <w:spacing w:val="-12"/>
        </w:rPr>
        <w:t> </w:t>
      </w:r>
      <w:r>
        <w:rPr>
          <w:color w:val="231F20"/>
          <w:spacing w:val="-2"/>
        </w:rPr>
        <w:t>has </w:t>
      </w:r>
      <w:r>
        <w:rPr>
          <w:color w:val="231F20"/>
        </w:rPr>
        <w:t>agreements with counterparties containing early termination rights and/or bilateral collateral provisions whereby security</w:t>
      </w:r>
      <w:r>
        <w:rPr>
          <w:color w:val="231F20"/>
          <w:spacing w:val="-14"/>
        </w:rPr>
        <w:t> </w:t>
      </w:r>
      <w:r>
        <w:rPr>
          <w:color w:val="231F20"/>
        </w:rPr>
        <w:t>is</w:t>
      </w:r>
      <w:r>
        <w:rPr>
          <w:color w:val="231F20"/>
          <w:spacing w:val="-14"/>
        </w:rPr>
        <w:t> </w:t>
      </w:r>
      <w:r>
        <w:rPr>
          <w:color w:val="231F20"/>
        </w:rPr>
        <w:t>required</w:t>
      </w:r>
      <w:r>
        <w:rPr>
          <w:color w:val="231F20"/>
          <w:spacing w:val="-14"/>
        </w:rPr>
        <w:t> </w:t>
      </w:r>
      <w:r>
        <w:rPr>
          <w:color w:val="231F20"/>
        </w:rPr>
        <w:t>if</w:t>
      </w:r>
      <w:r>
        <w:rPr>
          <w:color w:val="231F20"/>
          <w:spacing w:val="-14"/>
        </w:rPr>
        <w:t> </w:t>
      </w:r>
      <w:r>
        <w:rPr>
          <w:color w:val="231F20"/>
        </w:rPr>
        <w:t>market</w:t>
      </w:r>
      <w:r>
        <w:rPr>
          <w:color w:val="231F20"/>
          <w:spacing w:val="-14"/>
        </w:rPr>
        <w:t> </w:t>
      </w:r>
      <w:r>
        <w:rPr>
          <w:color w:val="231F20"/>
        </w:rPr>
        <w:t>risk</w:t>
      </w:r>
      <w:r>
        <w:rPr>
          <w:color w:val="231F20"/>
          <w:spacing w:val="-14"/>
        </w:rPr>
        <w:t> </w:t>
      </w:r>
      <w:r>
        <w:rPr>
          <w:color w:val="231F20"/>
        </w:rPr>
        <w:t>exposure</w:t>
      </w:r>
      <w:r>
        <w:rPr>
          <w:color w:val="231F20"/>
          <w:spacing w:val="-14"/>
        </w:rPr>
        <w:t> </w:t>
      </w:r>
      <w:r>
        <w:rPr>
          <w:color w:val="231F20"/>
        </w:rPr>
        <w:t>exceeds</w:t>
      </w:r>
      <w:r>
        <w:rPr>
          <w:color w:val="231F20"/>
          <w:spacing w:val="-14"/>
        </w:rPr>
        <w:t> </w:t>
      </w:r>
      <w:r>
        <w:rPr>
          <w:color w:val="231F20"/>
        </w:rPr>
        <w:t>a</w:t>
      </w:r>
      <w:r>
        <w:rPr>
          <w:color w:val="231F20"/>
          <w:spacing w:val="-14"/>
        </w:rPr>
        <w:t> </w:t>
      </w:r>
      <w:r>
        <w:rPr>
          <w:color w:val="231F20"/>
        </w:rPr>
        <w:t>specified</w:t>
      </w:r>
      <w:r>
        <w:rPr>
          <w:color w:val="231F20"/>
          <w:spacing w:val="-14"/>
        </w:rPr>
        <w:t> </w:t>
      </w:r>
      <w:r>
        <w:rPr>
          <w:color w:val="231F20"/>
        </w:rPr>
        <w:t>threshold</w:t>
      </w:r>
      <w:r>
        <w:rPr>
          <w:color w:val="231F20"/>
          <w:spacing w:val="-14"/>
        </w:rPr>
        <w:t> </w:t>
      </w:r>
      <w:r>
        <w:rPr>
          <w:color w:val="231F20"/>
        </w:rPr>
        <w:t>amount</w:t>
      </w:r>
      <w:r>
        <w:rPr>
          <w:color w:val="231F20"/>
          <w:spacing w:val="-14"/>
        </w:rPr>
        <w:t> </w:t>
      </w:r>
      <w:r>
        <w:rPr>
          <w:color w:val="231F20"/>
        </w:rPr>
        <w:t>or</w:t>
      </w:r>
      <w:r>
        <w:rPr>
          <w:color w:val="231F20"/>
          <w:spacing w:val="-14"/>
        </w:rPr>
        <w:t> </w:t>
      </w:r>
      <w:r>
        <w:rPr>
          <w:color w:val="231F20"/>
        </w:rPr>
        <w:t>credit</w:t>
      </w:r>
      <w:r>
        <w:rPr>
          <w:color w:val="231F20"/>
          <w:spacing w:val="-14"/>
        </w:rPr>
        <w:t> </w:t>
      </w:r>
      <w:r>
        <w:rPr>
          <w:color w:val="231F20"/>
        </w:rPr>
        <w:t>ratings</w:t>
      </w:r>
      <w:r>
        <w:rPr>
          <w:color w:val="231F20"/>
          <w:spacing w:val="-14"/>
        </w:rPr>
        <w:t> </w:t>
      </w:r>
      <w:r>
        <w:rPr>
          <w:color w:val="231F20"/>
        </w:rPr>
        <w:t>fall</w:t>
      </w:r>
      <w:r>
        <w:rPr>
          <w:color w:val="231F20"/>
          <w:spacing w:val="-14"/>
        </w:rPr>
        <w:t> </w:t>
      </w:r>
      <w:r>
        <w:rPr>
          <w:color w:val="231F20"/>
        </w:rPr>
        <w:t>below</w:t>
      </w:r>
      <w:r>
        <w:rPr>
          <w:color w:val="231F20"/>
          <w:spacing w:val="-15"/>
        </w:rPr>
        <w:t> </w:t>
      </w:r>
      <w:r>
        <w:rPr>
          <w:color w:val="231F20"/>
        </w:rPr>
        <w:t>certain levels.</w:t>
      </w:r>
      <w:r>
        <w:rPr>
          <w:color w:val="231F20"/>
          <w:spacing w:val="-12"/>
        </w:rPr>
        <w:t> </w:t>
      </w:r>
      <w:r>
        <w:rPr>
          <w:color w:val="231F20"/>
        </w:rPr>
        <w:t>Collateral</w:t>
      </w:r>
      <w:r>
        <w:rPr>
          <w:color w:val="231F20"/>
          <w:spacing w:val="-12"/>
        </w:rPr>
        <w:t> </w:t>
      </w:r>
      <w:r>
        <w:rPr>
          <w:color w:val="231F20"/>
        </w:rPr>
        <w:t>deposits</w:t>
      </w:r>
      <w:r>
        <w:rPr>
          <w:color w:val="231F20"/>
          <w:spacing w:val="-12"/>
        </w:rPr>
        <w:t> </w:t>
      </w:r>
      <w:r>
        <w:rPr>
          <w:color w:val="231F20"/>
        </w:rPr>
        <w:t>provided</w:t>
      </w:r>
      <w:r>
        <w:rPr>
          <w:color w:val="231F20"/>
          <w:spacing w:val="-12"/>
        </w:rPr>
        <w:t> </w:t>
      </w:r>
      <w:r>
        <w:rPr>
          <w:color w:val="231F20"/>
        </w:rPr>
        <w:t>to</w:t>
      </w:r>
      <w:r>
        <w:rPr>
          <w:color w:val="231F20"/>
          <w:spacing w:val="-12"/>
        </w:rPr>
        <w:t> </w:t>
      </w:r>
      <w:r>
        <w:rPr>
          <w:color w:val="231F20"/>
        </w:rPr>
        <w:t>or</w:t>
      </w:r>
      <w:r>
        <w:rPr>
          <w:color w:val="231F20"/>
          <w:spacing w:val="-12"/>
        </w:rPr>
        <w:t> </w:t>
      </w:r>
      <w:r>
        <w:rPr>
          <w:color w:val="231F20"/>
        </w:rPr>
        <w:t>held</w:t>
      </w:r>
      <w:r>
        <w:rPr>
          <w:color w:val="231F20"/>
          <w:spacing w:val="-12"/>
        </w:rPr>
        <w:t> </w:t>
      </w:r>
      <w:r>
        <w:rPr>
          <w:color w:val="231F20"/>
        </w:rPr>
        <w:t>from</w:t>
      </w:r>
      <w:r>
        <w:rPr>
          <w:color w:val="231F20"/>
          <w:spacing w:val="-12"/>
        </w:rPr>
        <w:t> </w:t>
      </w:r>
      <w:r>
        <w:rPr>
          <w:color w:val="231F20"/>
        </w:rPr>
        <w:t>counterparties</w:t>
      </w:r>
      <w:r>
        <w:rPr>
          <w:color w:val="231F20"/>
          <w:spacing w:val="-12"/>
        </w:rPr>
        <w:t> </w:t>
      </w:r>
      <w:r>
        <w:rPr>
          <w:color w:val="231F20"/>
        </w:rPr>
        <w:t>serve</w:t>
      </w:r>
      <w:r>
        <w:rPr>
          <w:color w:val="231F20"/>
          <w:spacing w:val="-12"/>
        </w:rPr>
        <w:t> </w:t>
      </w:r>
      <w:r>
        <w:rPr>
          <w:color w:val="231F20"/>
        </w:rPr>
        <w:t>to</w:t>
      </w:r>
      <w:r>
        <w:rPr>
          <w:color w:val="231F20"/>
          <w:spacing w:val="-12"/>
        </w:rPr>
        <w:t> </w:t>
      </w:r>
      <w:r>
        <w:rPr>
          <w:color w:val="231F20"/>
        </w:rPr>
        <w:t>decrease,</w:t>
      </w:r>
      <w:r>
        <w:rPr>
          <w:color w:val="231F20"/>
          <w:spacing w:val="-12"/>
        </w:rPr>
        <w:t> </w:t>
      </w:r>
      <w:r>
        <w:rPr>
          <w:color w:val="231F20"/>
        </w:rPr>
        <w:t>but</w:t>
      </w:r>
      <w:r>
        <w:rPr>
          <w:color w:val="231F20"/>
          <w:spacing w:val="-12"/>
        </w:rPr>
        <w:t> </w:t>
      </w:r>
      <w:r>
        <w:rPr>
          <w:color w:val="231F20"/>
        </w:rPr>
        <w:t>not</w:t>
      </w:r>
      <w:r>
        <w:rPr>
          <w:color w:val="231F20"/>
          <w:spacing w:val="-12"/>
        </w:rPr>
        <w:t> </w:t>
      </w:r>
      <w:r>
        <w:rPr>
          <w:color w:val="231F20"/>
        </w:rPr>
        <w:t>totally</w:t>
      </w:r>
      <w:r>
        <w:rPr>
          <w:color w:val="231F20"/>
          <w:spacing w:val="-12"/>
        </w:rPr>
        <w:t> </w:t>
      </w:r>
      <w:r>
        <w:rPr>
          <w:color w:val="231F20"/>
        </w:rPr>
        <w:t>eliminate,</w:t>
      </w:r>
      <w:r>
        <w:rPr>
          <w:color w:val="231F20"/>
          <w:spacing w:val="-12"/>
        </w:rPr>
        <w:t> </w:t>
      </w:r>
      <w:r>
        <w:rPr>
          <w:color w:val="231F20"/>
          <w:spacing w:val="-2"/>
        </w:rPr>
        <w:t>the </w:t>
      </w:r>
      <w:r>
        <w:rPr>
          <w:color w:val="231F20"/>
        </w:rPr>
        <w:t>credit</w:t>
      </w:r>
      <w:r>
        <w:rPr>
          <w:color w:val="231F20"/>
          <w:spacing w:val="-13"/>
        </w:rPr>
        <w:t> </w:t>
      </w:r>
      <w:r>
        <w:rPr>
          <w:color w:val="231F20"/>
        </w:rPr>
        <w:t>risk</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hedging</w:t>
      </w:r>
      <w:r>
        <w:rPr>
          <w:color w:val="231F20"/>
          <w:spacing w:val="-13"/>
        </w:rPr>
        <w:t> </w:t>
      </w:r>
      <w:r>
        <w:rPr>
          <w:color w:val="231F20"/>
        </w:rPr>
        <w:t>program.</w:t>
      </w:r>
      <w:r>
        <w:rPr>
          <w:color w:val="231F20"/>
          <w:spacing w:val="-13"/>
        </w:rPr>
        <w:t> </w:t>
      </w:r>
      <w:r>
        <w:rPr>
          <w:color w:val="231F20"/>
        </w:rPr>
        <w:t>See</w:t>
      </w:r>
      <w:r>
        <w:rPr>
          <w:color w:val="231F20"/>
          <w:spacing w:val="-13"/>
        </w:rPr>
        <w:t> </w:t>
      </w:r>
      <w:r>
        <w:rPr>
          <w:color w:val="231F20"/>
        </w:rPr>
        <w:t>Note</w:t>
      </w:r>
      <w:r>
        <w:rPr>
          <w:color w:val="231F20"/>
          <w:spacing w:val="-13"/>
        </w:rPr>
        <w:t> </w:t>
      </w:r>
      <w:r>
        <w:rPr>
          <w:color w:val="231F20"/>
        </w:rPr>
        <w:t>10</w:t>
      </w:r>
      <w:r>
        <w:rPr>
          <w:color w:val="231F20"/>
          <w:spacing w:val="-13"/>
        </w:rPr>
        <w:t> </w:t>
      </w:r>
      <w:r>
        <w:rPr>
          <w:color w:val="231F20"/>
        </w:rPr>
        <w:t>for</w:t>
      </w:r>
      <w:r>
        <w:rPr>
          <w:color w:val="231F20"/>
          <w:spacing w:val="-13"/>
        </w:rPr>
        <w:t> </w:t>
      </w:r>
      <w:r>
        <w:rPr>
          <w:color w:val="231F20"/>
        </w:rPr>
        <w:t>further</w:t>
      </w:r>
      <w:r>
        <w:rPr>
          <w:color w:val="231F20"/>
          <w:spacing w:val="-13"/>
        </w:rPr>
        <w:t> </w:t>
      </w:r>
      <w:r>
        <w:rPr>
          <w:color w:val="231F20"/>
          <w:spacing w:val="-2"/>
        </w:rPr>
        <w:t>information.</w:t>
      </w:r>
    </w:p>
    <w:p>
      <w:pPr>
        <w:pStyle w:val="BodyText"/>
        <w:spacing w:before="6"/>
        <w:rPr>
          <w:sz w:val="24"/>
        </w:rPr>
      </w:pPr>
    </w:p>
    <w:p>
      <w:pPr>
        <w:pStyle w:val="BodyText"/>
        <w:spacing w:line="249" w:lineRule="auto"/>
        <w:ind w:left="100" w:right="133" w:firstLine="490"/>
      </w:pPr>
      <w:r>
        <w:rPr>
          <w:color w:val="231F20"/>
        </w:rPr>
        <w:t>The Company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w:t>
      </w:r>
      <w:r>
        <w:rPr>
          <w:color w:val="231F20"/>
          <w:spacing w:val="8"/>
        </w:rPr>
        <w:t> </w:t>
      </w:r>
      <w:r>
        <w:rPr>
          <w:color w:val="231F20"/>
        </w:rPr>
        <w:t>engines</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and certain other aircraft parts and would, therefore, also be materially adversely impacted in the event of the unavailability of, or a mechanical or regulatory issue associated with, engines and other parts.</w:t>
      </w:r>
    </w:p>
    <w:p>
      <w:pPr>
        <w:pStyle w:val="BodyText"/>
        <w:spacing w:before="2"/>
        <w:rPr>
          <w:sz w:val="22"/>
        </w:rPr>
      </w:pPr>
    </w:p>
    <w:p>
      <w:pPr>
        <w:pStyle w:val="BodyText"/>
        <w:spacing w:line="249" w:lineRule="auto" w:before="1"/>
        <w:ind w:left="100" w:right="104"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rPr>
          <w:sz w:val="22"/>
        </w:rPr>
      </w:pPr>
    </w:p>
    <w:p>
      <w:pPr>
        <w:pStyle w:val="Heading3"/>
        <w:numPr>
          <w:ilvl w:val="0"/>
          <w:numId w:val="11"/>
        </w:numPr>
        <w:tabs>
          <w:tab w:pos="300" w:val="left" w:leader="none"/>
        </w:tabs>
        <w:spacing w:line="240" w:lineRule="auto" w:before="131" w:after="0"/>
        <w:ind w:left="300" w:right="0" w:hanging="200"/>
        <w:jc w:val="left"/>
      </w:pPr>
      <w:r>
        <w:rPr>
          <w:color w:val="231F20"/>
        </w:rPr>
        <w:t>AIRTRAN ACQUISITION AND RELATED</w:t>
      </w:r>
      <w:r>
        <w:rPr>
          <w:color w:val="231F20"/>
          <w:spacing w:val="-10"/>
        </w:rPr>
        <w:t> </w:t>
      </w:r>
      <w:r>
        <w:rPr>
          <w:color w:val="231F20"/>
        </w:rPr>
        <w:t>MATTERS</w:t>
      </w:r>
    </w:p>
    <w:p>
      <w:pPr>
        <w:pStyle w:val="Heading4"/>
        <w:spacing w:before="136"/>
        <w:rPr>
          <w:i/>
        </w:rPr>
      </w:pPr>
      <w:r>
        <w:rPr>
          <w:i/>
          <w:color w:val="231F20"/>
        </w:rPr>
        <w:t>AirTran Holdings, Inc.</w:t>
      </w:r>
    </w:p>
    <w:p>
      <w:pPr>
        <w:pStyle w:val="BodyText"/>
        <w:spacing w:line="249" w:lineRule="auto" w:before="136"/>
        <w:ind w:left="100" w:right="765" w:firstLine="490"/>
      </w:pPr>
      <w:r>
        <w:rPr>
          <w:color w:val="231F20"/>
        </w:rPr>
        <w:t>As discussed in Note 1, on May 2, 2011, the Company acquired AirTran. AirTran Airways offers scheduled airline services, using Boeing 717-200 aircraft and Boeing 737-700 aircraft, throughout the United States and to select international locations. In July 2012, the Company announced that the Boeing</w:t>
      </w:r>
    </w:p>
    <w:p>
      <w:pPr>
        <w:pStyle w:val="BodyText"/>
        <w:spacing w:line="249" w:lineRule="auto" w:before="1"/>
        <w:ind w:left="100" w:right="113"/>
      </w:pPr>
      <w:r>
        <w:rPr>
          <w:color w:val="231F20"/>
        </w:rPr>
        <w:t>717-200 aircraft will be transitioned out of the Company’s fleet beginning in August 2013. See Note 8 for further information. Approximately half of AirTran Airways’ flights originate or terminate at its largest base of operation in Atlanta, Georgia. AirTran Airways also serves a number of markets with non-stop service from smaller bases of operation in Baltimore, Maryland; Milwaukee, Wisconsin; and Orlando, Florida. The Company believes the acquisition of AirTran positions it to respond better to the economic and competitive challenges of the industry because, among other reasons: (i) it allows the Company to offer more low-fare destinations by extending its network and diversifying into new markets, including significant opportunities to and from Atlanta, the busiest airport in the United States and the largest domestic market Southwest previously did not serve, (ii) it expands Southwest’s presence in slot-controlled markets (New York LaGuardia/Ronald Reagan Washington National Airport), and (iii) it provides access to near-international leisure markets in the Caribbean and</w:t>
      </w:r>
      <w:r>
        <w:rPr>
          <w:color w:val="231F20"/>
          <w:spacing w:val="14"/>
        </w:rPr>
        <w:t> </w:t>
      </w:r>
      <w:r>
        <w:rPr>
          <w:color w:val="231F20"/>
        </w:rPr>
        <w:t>Mexico.</w:t>
      </w:r>
    </w:p>
    <w:p>
      <w:pPr>
        <w:pStyle w:val="BodyText"/>
        <w:rPr>
          <w:sz w:val="22"/>
        </w:rPr>
      </w:pPr>
    </w:p>
    <w:p>
      <w:pPr>
        <w:pStyle w:val="Heading4"/>
        <w:spacing w:before="131"/>
        <w:rPr>
          <w:i/>
        </w:rPr>
      </w:pPr>
      <w:r>
        <w:rPr>
          <w:i/>
          <w:color w:val="231F20"/>
        </w:rPr>
        <w:t>Equity transaction</w:t>
      </w:r>
    </w:p>
    <w:p>
      <w:pPr>
        <w:pStyle w:val="BodyText"/>
        <w:spacing w:line="249" w:lineRule="auto" w:before="136"/>
        <w:ind w:left="100" w:right="343" w:firstLine="490"/>
      </w:pPr>
      <w:r>
        <w:rPr>
          <w:color w:val="231F20"/>
        </w:rPr>
        <w:t>Each share of AirTran Holdings common stock was exchanged for $3.75 in cash and 0.321 shares of common stock of the Company. The common stock consideration was based on the average of the Company’s closing common stock price for the 20 trading days ending April 27, 2011, which was $11.90. The transaction valued AirTran Holdings common stock at approximately $7.57 per share, or $1.0 billion in the aggregate.</w:t>
      </w:r>
    </w:p>
    <w:p>
      <w:pPr>
        <w:pStyle w:val="BodyText"/>
        <w:spacing w:line="249" w:lineRule="auto"/>
        <w:ind w:left="100" w:right="581"/>
      </w:pPr>
      <w:r>
        <w:rPr>
          <w:color w:val="231F20"/>
        </w:rPr>
        <w:t>Stockholders of AirTran Holdings, including those holding restricted stock awards, received approximately 44 million shares of common stock of the Company, which represented approximately 5.6 percent of the Company’s common shares outstanding. Additionally, holders of AirTran Holdings equity received cash of</w:t>
      </w:r>
    </w:p>
    <w:p>
      <w:pPr>
        <w:pStyle w:val="BodyText"/>
        <w:spacing w:line="249" w:lineRule="auto"/>
        <w:ind w:left="100"/>
      </w:pPr>
      <w:r>
        <w:rPr>
          <w:color w:val="231F20"/>
        </w:rPr>
        <w:t>$518 million, including $7 million in cash for the fair value of AirTran Holdings stock options and performance share units. Including AirTran debt outstanding at the acquisition date (including convertible notes outstanding at the acquisition date) and capitalized aircraft operating leases, the total transaction value was approximately</w:t>
      </w:r>
    </w:p>
    <w:p>
      <w:pPr>
        <w:pStyle w:val="BodyText"/>
        <w:spacing w:line="249" w:lineRule="auto"/>
        <w:ind w:left="100" w:right="238"/>
      </w:pPr>
      <w:r>
        <w:rPr>
          <w:color w:val="231F20"/>
        </w:rPr>
        <w:t>$3.2 billion. Subsequent to the acquisition date, a portion of the convertible notes previously held by AirTran Holdings note holders were either converted or called by the Company for an aggregate of approximately seven million shares of the Company’s common stock and $81 million in cash. The equity transaction did not contain any contingent consideration arrangements.</w:t>
      </w:r>
    </w:p>
    <w:p>
      <w:pPr>
        <w:pStyle w:val="BodyText"/>
        <w:rPr>
          <w:sz w:val="22"/>
        </w:rPr>
      </w:pPr>
    </w:p>
    <w:p>
      <w:pPr>
        <w:pStyle w:val="Heading4"/>
        <w:spacing w:before="130"/>
        <w:rPr>
          <w:i/>
        </w:rPr>
      </w:pPr>
      <w:r>
        <w:rPr>
          <w:i/>
          <w:color w:val="231F20"/>
        </w:rPr>
        <w:t>Expenses related to the AirTran acquisition</w:t>
      </w:r>
    </w:p>
    <w:p>
      <w:pPr>
        <w:pStyle w:val="BodyText"/>
        <w:spacing w:line="249" w:lineRule="auto" w:before="136"/>
        <w:ind w:left="100" w:right="125" w:firstLine="490"/>
      </w:pPr>
      <w:r>
        <w:rPr>
          <w:color w:val="231F20"/>
        </w:rPr>
        <w:t>The Company is expected to continue to incur substantial integration and transition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These expenses could, particularly in the near term, exceed the</w:t>
      </w:r>
    </w:p>
    <w:p>
      <w:pPr>
        <w:spacing w:after="0" w:line="249" w:lineRule="auto"/>
        <w:sectPr>
          <w:pgSz w:w="11880" w:h="15480"/>
          <w:pgMar w:header="0" w:footer="1253" w:top="1240" w:bottom="1440" w:left="1280" w:right="1300"/>
        </w:sectPr>
      </w:pPr>
    </w:p>
    <w:p>
      <w:pPr>
        <w:pStyle w:val="BodyText"/>
        <w:spacing w:line="249" w:lineRule="auto" w:before="73"/>
        <w:ind w:left="160" w:right="143"/>
      </w:pPr>
      <w:r>
        <w:rPr>
          <w:color w:val="231F20"/>
        </w:rPr>
        <w:t>financial benefits that the Company expects to achieve from the AirTran acquisition and could continue to result in the Company taking significant charges against earnings during the integration process. The Company incurred consolidated acquisition and integration-related costs for the years ended December 31, 2012, 2011, and 2010, of $183 million, $134 million, and $8 million, respectively, primarily consisting of consulting, financial advisory fees, severance, flight crew training, seniority integration, technology, aircraft-related, and facility integration expenses. In the Consolidated Statement of Income, these costs are classified as Acquisition and integration</w:t>
      </w:r>
      <w:r>
        <w:rPr>
          <w:color w:val="231F20"/>
          <w:spacing w:val="2"/>
        </w:rPr>
        <w:t> </w:t>
      </w:r>
      <w:r>
        <w:rPr>
          <w:color w:val="231F20"/>
        </w:rPr>
        <w:t>expenses.</w:t>
      </w:r>
    </w:p>
    <w:p>
      <w:pPr>
        <w:pStyle w:val="BodyText"/>
        <w:spacing w:before="4"/>
        <w:rPr>
          <w:sz w:val="31"/>
        </w:rPr>
      </w:pPr>
    </w:p>
    <w:p>
      <w:pPr>
        <w:pStyle w:val="Heading4"/>
        <w:ind w:left="410"/>
        <w:rPr>
          <w:i/>
        </w:rPr>
      </w:pPr>
      <w:r>
        <w:rPr>
          <w:i/>
          <w:color w:val="231F20"/>
        </w:rPr>
        <w:t>Recording of assets acquired and liabilities assumed</w:t>
      </w:r>
    </w:p>
    <w:p>
      <w:pPr>
        <w:pStyle w:val="BodyText"/>
        <w:spacing w:line="249" w:lineRule="auto" w:before="129"/>
        <w:ind w:left="160" w:right="108" w:firstLine="490"/>
      </w:pPr>
      <w:r>
        <w:rPr>
          <w:color w:val="231F20"/>
        </w:rPr>
        <w:t>The transaction has been accounted for using the acquisition method of accounting (“purchase accounting”), which requires, among other things, that most assets acquired and liabilities assumed be recognized at their fair values as of the acquisition date. There were no significant fair value adjustments made since the purchase accounting was finalized in the second quarter of 2012. The following table summarizes the assets acquired and liabilities assumed as of the acquisition date at fair value:</w:t>
      </w:r>
    </w:p>
    <w:p>
      <w:pPr>
        <w:pStyle w:val="BodyText"/>
        <w:spacing w:before="2"/>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70"/>
        <w:gridCol w:w="1300"/>
      </w:tblGrid>
      <w:tr>
        <w:trPr>
          <w:trHeight w:val="248" w:hRule="exact"/>
        </w:trPr>
        <w:tc>
          <w:tcPr>
            <w:tcW w:w="5870" w:type="dxa"/>
          </w:tcPr>
          <w:p>
            <w:pPr>
              <w:pStyle w:val="TableParagraph"/>
              <w:spacing w:line="221" w:lineRule="exact"/>
              <w:ind w:left="50"/>
              <w:jc w:val="left"/>
              <w:rPr>
                <w:sz w:val="20"/>
              </w:rPr>
            </w:pPr>
            <w:r>
              <w:rPr>
                <w:color w:val="231F20"/>
                <w:sz w:val="20"/>
              </w:rPr>
              <w:t>(in millions)</w:t>
            </w:r>
          </w:p>
        </w:tc>
        <w:tc>
          <w:tcPr>
            <w:tcW w:w="1300" w:type="dxa"/>
            <w:tcBorders>
              <w:bottom w:val="single" w:sz="8" w:space="0" w:color="231F20"/>
            </w:tcBorders>
          </w:tcPr>
          <w:p>
            <w:pPr>
              <w:pStyle w:val="TableParagraph"/>
              <w:spacing w:line="221" w:lineRule="exact"/>
              <w:ind w:left="131"/>
              <w:jc w:val="left"/>
              <w:rPr>
                <w:b/>
                <w:sz w:val="20"/>
              </w:rPr>
            </w:pPr>
            <w:r>
              <w:rPr>
                <w:b/>
                <w:color w:val="231F20"/>
                <w:sz w:val="20"/>
              </w:rPr>
              <w:t>May 2, 2011</w:t>
            </w:r>
          </w:p>
        </w:tc>
      </w:tr>
      <w:tr>
        <w:trPr>
          <w:trHeight w:val="305" w:hRule="exact"/>
        </w:trPr>
        <w:tc>
          <w:tcPr>
            <w:tcW w:w="5870" w:type="dxa"/>
          </w:tcPr>
          <w:p>
            <w:pPr>
              <w:pStyle w:val="TableParagraph"/>
              <w:spacing w:before="63"/>
              <w:ind w:left="50"/>
              <w:jc w:val="left"/>
              <w:rPr>
                <w:b/>
                <w:sz w:val="20"/>
              </w:rPr>
            </w:pPr>
            <w:r>
              <w:rPr>
                <w:b/>
                <w:color w:val="231F20"/>
                <w:sz w:val="20"/>
              </w:rPr>
              <w:t>Assets</w:t>
            </w:r>
          </w:p>
        </w:tc>
        <w:tc>
          <w:tcPr>
            <w:tcW w:w="1300" w:type="dxa"/>
            <w:tcBorders>
              <w:top w:val="single" w:sz="8" w:space="0" w:color="231F20"/>
            </w:tcBorders>
          </w:tcPr>
          <w:p>
            <w:pPr/>
          </w:p>
        </w:tc>
      </w:tr>
      <w:tr>
        <w:trPr>
          <w:trHeight w:val="239" w:hRule="exact"/>
        </w:trPr>
        <w:tc>
          <w:tcPr>
            <w:tcW w:w="5870" w:type="dxa"/>
          </w:tcPr>
          <w:p>
            <w:pPr>
              <w:pStyle w:val="TableParagraph"/>
              <w:spacing w:line="229" w:lineRule="exact"/>
              <w:ind w:right="249"/>
              <w:rPr>
                <w:sz w:val="20"/>
              </w:rPr>
            </w:pPr>
            <w:r>
              <w:rPr>
                <w:color w:val="231F20"/>
                <w:sz w:val="20"/>
              </w:rPr>
              <w:t>Cash and cash equivalents . . . . . . . . . . . . . . . . . . . . . . . . . . . . . . . </w:t>
            </w:r>
          </w:p>
        </w:tc>
        <w:tc>
          <w:tcPr>
            <w:tcW w:w="1300" w:type="dxa"/>
          </w:tcPr>
          <w:p>
            <w:pPr>
              <w:pStyle w:val="TableParagraph"/>
              <w:tabs>
                <w:tab w:pos="919" w:val="left" w:leader="none"/>
              </w:tabs>
              <w:spacing w:line="229" w:lineRule="exact"/>
              <w:ind w:left="60"/>
              <w:jc w:val="left"/>
              <w:rPr>
                <w:sz w:val="20"/>
              </w:rPr>
            </w:pPr>
            <w:r>
              <w:rPr>
                <w:color w:val="231F20"/>
                <w:sz w:val="20"/>
              </w:rPr>
              <w:t>$</w:t>
              <w:tab/>
              <w:t>477</w:t>
            </w:r>
          </w:p>
        </w:tc>
      </w:tr>
      <w:tr>
        <w:trPr>
          <w:trHeight w:val="240" w:hRule="exact"/>
        </w:trPr>
        <w:tc>
          <w:tcPr>
            <w:tcW w:w="5870" w:type="dxa"/>
          </w:tcPr>
          <w:p>
            <w:pPr>
              <w:pStyle w:val="TableParagraph"/>
              <w:spacing w:line="229" w:lineRule="exact"/>
              <w:ind w:right="249"/>
              <w:rPr>
                <w:sz w:val="20"/>
              </w:rPr>
            </w:pPr>
            <w:r>
              <w:rPr>
                <w:color w:val="231F20"/>
                <w:sz w:val="20"/>
              </w:rPr>
              <w:t>Restricted cash . . . . . . . . . . . . . . . . . . . . . . . . . . . . . . . . . . . . . . . . </w:t>
            </w:r>
          </w:p>
        </w:tc>
        <w:tc>
          <w:tcPr>
            <w:tcW w:w="1300" w:type="dxa"/>
          </w:tcPr>
          <w:p>
            <w:pPr>
              <w:pStyle w:val="TableParagraph"/>
              <w:spacing w:line="229" w:lineRule="exact"/>
              <w:ind w:right="79"/>
              <w:rPr>
                <w:sz w:val="20"/>
              </w:rPr>
            </w:pPr>
            <w:r>
              <w:rPr>
                <w:color w:val="231F20"/>
                <w:sz w:val="20"/>
              </w:rPr>
              <w:t>6</w:t>
            </w:r>
          </w:p>
        </w:tc>
      </w:tr>
      <w:tr>
        <w:trPr>
          <w:trHeight w:val="240" w:hRule="exact"/>
        </w:trPr>
        <w:tc>
          <w:tcPr>
            <w:tcW w:w="5870" w:type="dxa"/>
          </w:tcPr>
          <w:p>
            <w:pPr>
              <w:pStyle w:val="TableParagraph"/>
              <w:spacing w:line="229" w:lineRule="exact"/>
              <w:ind w:right="249"/>
              <w:rPr>
                <w:sz w:val="20"/>
              </w:rPr>
            </w:pPr>
            <w:r>
              <w:rPr>
                <w:color w:val="231F20"/>
                <w:sz w:val="20"/>
              </w:rPr>
              <w:t>Other current assets  . . . . . . . . . . . . . . . . . . . . . . . . . . . . . . . . . . . . </w:t>
            </w:r>
          </w:p>
        </w:tc>
        <w:tc>
          <w:tcPr>
            <w:tcW w:w="1300" w:type="dxa"/>
          </w:tcPr>
          <w:p>
            <w:pPr>
              <w:pStyle w:val="TableParagraph"/>
              <w:spacing w:line="229" w:lineRule="exact"/>
              <w:ind w:right="79"/>
              <w:rPr>
                <w:sz w:val="20"/>
              </w:rPr>
            </w:pPr>
            <w:r>
              <w:rPr>
                <w:color w:val="231F20"/>
                <w:sz w:val="20"/>
              </w:rPr>
              <w:t>234</w:t>
            </w:r>
          </w:p>
        </w:tc>
      </w:tr>
      <w:tr>
        <w:trPr>
          <w:trHeight w:val="240" w:hRule="exact"/>
        </w:trPr>
        <w:tc>
          <w:tcPr>
            <w:tcW w:w="5870" w:type="dxa"/>
          </w:tcPr>
          <w:p>
            <w:pPr>
              <w:pStyle w:val="TableParagraph"/>
              <w:spacing w:line="229" w:lineRule="exact"/>
              <w:ind w:right="249"/>
              <w:rPr>
                <w:sz w:val="20"/>
              </w:rPr>
            </w:pPr>
            <w:r>
              <w:rPr>
                <w:color w:val="231F20"/>
                <w:sz w:val="20"/>
              </w:rPr>
              <w:t>Operating property and equipment  . . . . . . . . . . . . . . . . . . . . . . . . </w:t>
            </w:r>
          </w:p>
        </w:tc>
        <w:tc>
          <w:tcPr>
            <w:tcW w:w="1300" w:type="dxa"/>
          </w:tcPr>
          <w:p>
            <w:pPr>
              <w:pStyle w:val="TableParagraph"/>
              <w:spacing w:line="229" w:lineRule="exact"/>
              <w:ind w:left="770"/>
              <w:jc w:val="left"/>
              <w:rPr>
                <w:sz w:val="20"/>
              </w:rPr>
            </w:pPr>
            <w:r>
              <w:rPr>
                <w:color w:val="231F20"/>
                <w:sz w:val="20"/>
              </w:rPr>
              <w:t>1,154</w:t>
            </w:r>
          </w:p>
        </w:tc>
      </w:tr>
      <w:tr>
        <w:trPr>
          <w:trHeight w:val="240" w:hRule="exact"/>
        </w:trPr>
        <w:tc>
          <w:tcPr>
            <w:tcW w:w="5870" w:type="dxa"/>
          </w:tcPr>
          <w:p>
            <w:pPr>
              <w:pStyle w:val="TableParagraph"/>
              <w:spacing w:line="229" w:lineRule="exact"/>
              <w:ind w:right="249"/>
              <w:rPr>
                <w:sz w:val="20"/>
              </w:rPr>
            </w:pPr>
            <w:r>
              <w:rPr>
                <w:color w:val="231F20"/>
                <w:sz w:val="20"/>
              </w:rPr>
              <w:t>Goodwill  . . . . . . . . . . . . . . . . . . . . . . . . . . . . . . . . . . . . . . . . . . . . </w:t>
            </w:r>
          </w:p>
        </w:tc>
        <w:tc>
          <w:tcPr>
            <w:tcW w:w="1300" w:type="dxa"/>
          </w:tcPr>
          <w:p>
            <w:pPr>
              <w:pStyle w:val="TableParagraph"/>
              <w:spacing w:line="229" w:lineRule="exact"/>
              <w:ind w:right="79"/>
              <w:rPr>
                <w:sz w:val="20"/>
              </w:rPr>
            </w:pPr>
            <w:r>
              <w:rPr>
                <w:color w:val="231F20"/>
                <w:sz w:val="20"/>
              </w:rPr>
              <w:t>970</w:t>
            </w:r>
          </w:p>
        </w:tc>
      </w:tr>
      <w:tr>
        <w:trPr>
          <w:trHeight w:val="240" w:hRule="exact"/>
        </w:trPr>
        <w:tc>
          <w:tcPr>
            <w:tcW w:w="5870" w:type="dxa"/>
          </w:tcPr>
          <w:p>
            <w:pPr>
              <w:pStyle w:val="TableParagraph"/>
              <w:spacing w:line="229" w:lineRule="exact"/>
              <w:ind w:right="249"/>
              <w:rPr>
                <w:sz w:val="20"/>
              </w:rPr>
            </w:pPr>
            <w:r>
              <w:rPr>
                <w:color w:val="231F20"/>
                <w:sz w:val="20"/>
              </w:rPr>
              <w:t>Other identified intangibles . . . . . . . . . . . . . . . . . . . . . . . . . . . . . . </w:t>
            </w:r>
          </w:p>
        </w:tc>
        <w:tc>
          <w:tcPr>
            <w:tcW w:w="1300" w:type="dxa"/>
          </w:tcPr>
          <w:p>
            <w:pPr>
              <w:pStyle w:val="TableParagraph"/>
              <w:spacing w:line="229" w:lineRule="exact"/>
              <w:ind w:right="79"/>
              <w:rPr>
                <w:sz w:val="20"/>
              </w:rPr>
            </w:pPr>
            <w:r>
              <w:rPr>
                <w:color w:val="231F20"/>
                <w:sz w:val="20"/>
              </w:rPr>
              <w:t>123</w:t>
            </w:r>
          </w:p>
        </w:tc>
      </w:tr>
      <w:tr>
        <w:trPr>
          <w:trHeight w:val="240" w:hRule="exact"/>
        </w:trPr>
        <w:tc>
          <w:tcPr>
            <w:tcW w:w="5870" w:type="dxa"/>
          </w:tcPr>
          <w:p>
            <w:pPr>
              <w:pStyle w:val="TableParagraph"/>
              <w:spacing w:line="229" w:lineRule="exact"/>
              <w:ind w:right="249"/>
              <w:rPr>
                <w:sz w:val="20"/>
              </w:rPr>
            </w:pPr>
            <w:r>
              <w:rPr>
                <w:color w:val="231F20"/>
                <w:sz w:val="20"/>
              </w:rPr>
              <w:t>Deferred income taxes . . . . . . . . . . . . . . . . . . . . . . . . . . . . . . . . . . </w:t>
            </w:r>
          </w:p>
        </w:tc>
        <w:tc>
          <w:tcPr>
            <w:tcW w:w="1300" w:type="dxa"/>
          </w:tcPr>
          <w:p>
            <w:pPr>
              <w:pStyle w:val="TableParagraph"/>
              <w:spacing w:line="229" w:lineRule="exact"/>
              <w:ind w:right="79"/>
              <w:rPr>
                <w:sz w:val="20"/>
              </w:rPr>
            </w:pPr>
            <w:r>
              <w:rPr>
                <w:color w:val="231F20"/>
                <w:sz w:val="20"/>
              </w:rPr>
              <w:t>162</w:t>
            </w:r>
          </w:p>
        </w:tc>
      </w:tr>
      <w:tr>
        <w:trPr>
          <w:trHeight w:val="229" w:hRule="exact"/>
        </w:trPr>
        <w:tc>
          <w:tcPr>
            <w:tcW w:w="5870" w:type="dxa"/>
          </w:tcPr>
          <w:p>
            <w:pPr>
              <w:pStyle w:val="TableParagraph"/>
              <w:spacing w:line="229" w:lineRule="exact"/>
              <w:ind w:right="249"/>
              <w:rPr>
                <w:sz w:val="20"/>
              </w:rPr>
            </w:pPr>
            <w:r>
              <w:rPr>
                <w:color w:val="231F20"/>
                <w:sz w:val="20"/>
              </w:rPr>
              <w:t>Other noncurrent assets  . . . . . . . . . . . . . . . . . . . . . . . . . . . . . . . . . </w:t>
            </w:r>
          </w:p>
        </w:tc>
        <w:tc>
          <w:tcPr>
            <w:tcW w:w="1300" w:type="dxa"/>
          </w:tcPr>
          <w:p>
            <w:pPr>
              <w:pStyle w:val="TableParagraph"/>
              <w:spacing w:line="229" w:lineRule="exact"/>
              <w:ind w:right="79"/>
              <w:rPr>
                <w:sz w:val="20"/>
              </w:rPr>
            </w:pPr>
            <w:r>
              <w:rPr>
                <w:color w:val="231F20"/>
                <w:sz w:val="20"/>
              </w:rPr>
              <w:t>45</w:t>
            </w:r>
          </w:p>
        </w:tc>
      </w:tr>
      <w:tr>
        <w:trPr>
          <w:trHeight w:val="242" w:hRule="exact"/>
        </w:trPr>
        <w:tc>
          <w:tcPr>
            <w:tcW w:w="5870" w:type="dxa"/>
          </w:tcPr>
          <w:p>
            <w:pPr>
              <w:pStyle w:val="TableParagraph"/>
              <w:spacing w:before="10"/>
              <w:ind w:left="50"/>
              <w:jc w:val="left"/>
              <w:rPr>
                <w:b/>
                <w:sz w:val="20"/>
              </w:rPr>
            </w:pPr>
            <w:r>
              <w:rPr>
                <w:b/>
                <w:color w:val="231F20"/>
                <w:sz w:val="20"/>
              </w:rPr>
              <w:t>Liabilities</w:t>
            </w:r>
          </w:p>
        </w:tc>
        <w:tc>
          <w:tcPr>
            <w:tcW w:w="1300" w:type="dxa"/>
          </w:tcPr>
          <w:p>
            <w:pPr/>
          </w:p>
        </w:tc>
      </w:tr>
      <w:tr>
        <w:trPr>
          <w:trHeight w:val="249" w:hRule="exact"/>
        </w:trPr>
        <w:tc>
          <w:tcPr>
            <w:tcW w:w="5870" w:type="dxa"/>
          </w:tcPr>
          <w:p>
            <w:pPr>
              <w:pStyle w:val="TableParagraph"/>
              <w:spacing w:line="219" w:lineRule="exact"/>
              <w:ind w:right="249"/>
              <w:rPr>
                <w:sz w:val="20"/>
              </w:rPr>
            </w:pPr>
            <w:r>
              <w:rPr>
                <w:color w:val="231F20"/>
                <w:sz w:val="20"/>
              </w:rPr>
              <w:t>Long-term debt and capital leases, including current portion . . . . </w:t>
            </w:r>
          </w:p>
        </w:tc>
        <w:tc>
          <w:tcPr>
            <w:tcW w:w="1300" w:type="dxa"/>
          </w:tcPr>
          <w:p>
            <w:pPr>
              <w:pStyle w:val="TableParagraph"/>
              <w:spacing w:line="219" w:lineRule="exact"/>
              <w:ind w:right="11"/>
              <w:rPr>
                <w:sz w:val="20"/>
              </w:rPr>
            </w:pPr>
            <w:r>
              <w:rPr>
                <w:color w:val="231F20"/>
                <w:sz w:val="20"/>
              </w:rPr>
              <w:t>(1,119)</w:t>
            </w:r>
          </w:p>
        </w:tc>
      </w:tr>
      <w:tr>
        <w:trPr>
          <w:trHeight w:val="240" w:hRule="exact"/>
        </w:trPr>
        <w:tc>
          <w:tcPr>
            <w:tcW w:w="5870" w:type="dxa"/>
          </w:tcPr>
          <w:p>
            <w:pPr>
              <w:pStyle w:val="TableParagraph"/>
              <w:spacing w:line="229" w:lineRule="exact"/>
              <w:ind w:right="249"/>
              <w:rPr>
                <w:sz w:val="20"/>
              </w:rPr>
            </w:pPr>
            <w:r>
              <w:rPr>
                <w:color w:val="231F20"/>
                <w:sz w:val="20"/>
              </w:rPr>
              <w:t>Air traffic liability  . . . . . . . . . . . . . . . . . . . . . . . . . . . . . . . . . . . . . </w:t>
            </w:r>
          </w:p>
        </w:tc>
        <w:tc>
          <w:tcPr>
            <w:tcW w:w="1300" w:type="dxa"/>
          </w:tcPr>
          <w:p>
            <w:pPr>
              <w:pStyle w:val="TableParagraph"/>
              <w:spacing w:line="229" w:lineRule="exact"/>
              <w:ind w:right="11"/>
              <w:rPr>
                <w:sz w:val="20"/>
              </w:rPr>
            </w:pPr>
            <w:r>
              <w:rPr>
                <w:color w:val="231F20"/>
                <w:sz w:val="20"/>
              </w:rPr>
              <w:t>(354)</w:t>
            </w:r>
          </w:p>
        </w:tc>
      </w:tr>
      <w:tr>
        <w:trPr>
          <w:trHeight w:val="261" w:hRule="exact"/>
        </w:trPr>
        <w:tc>
          <w:tcPr>
            <w:tcW w:w="5870" w:type="dxa"/>
          </w:tcPr>
          <w:p>
            <w:pPr>
              <w:pStyle w:val="TableParagraph"/>
              <w:spacing w:line="229" w:lineRule="exact"/>
              <w:ind w:right="249"/>
              <w:rPr>
                <w:sz w:val="20"/>
              </w:rPr>
            </w:pPr>
            <w:r>
              <w:rPr>
                <w:color w:val="231F20"/>
                <w:sz w:val="20"/>
              </w:rPr>
              <w:t>Other liabilities assumed  . . . . . . . . . . . . . . . . . . . . . . . . . . . . . . . . </w:t>
            </w:r>
          </w:p>
        </w:tc>
        <w:tc>
          <w:tcPr>
            <w:tcW w:w="1300" w:type="dxa"/>
            <w:tcBorders>
              <w:bottom w:val="single" w:sz="4" w:space="0" w:color="231F20"/>
            </w:tcBorders>
          </w:tcPr>
          <w:p>
            <w:pPr>
              <w:pStyle w:val="TableParagraph"/>
              <w:spacing w:line="229" w:lineRule="exact"/>
              <w:ind w:right="11"/>
              <w:rPr>
                <w:sz w:val="20"/>
              </w:rPr>
            </w:pPr>
            <w:r>
              <w:rPr>
                <w:color w:val="231F20"/>
                <w:sz w:val="20"/>
              </w:rPr>
              <w:t>(657)</w:t>
            </w:r>
          </w:p>
        </w:tc>
      </w:tr>
      <w:tr>
        <w:trPr>
          <w:trHeight w:val="340" w:hRule="exact"/>
        </w:trPr>
        <w:tc>
          <w:tcPr>
            <w:tcW w:w="5870" w:type="dxa"/>
          </w:tcPr>
          <w:p>
            <w:pPr>
              <w:pStyle w:val="TableParagraph"/>
              <w:spacing w:before="58"/>
              <w:ind w:left="50"/>
              <w:jc w:val="left"/>
              <w:rPr>
                <w:sz w:val="20"/>
              </w:rPr>
            </w:pPr>
            <w:r>
              <w:rPr>
                <w:b/>
                <w:color w:val="231F20"/>
                <w:sz w:val="20"/>
              </w:rPr>
              <w:t>Net assets acquired  </w:t>
            </w:r>
            <w:r>
              <w:rPr>
                <w:color w:val="231F20"/>
                <w:sz w:val="20"/>
              </w:rPr>
              <w:t>. . . . . . . . . . . . . . . . . . . . . . . . . . . . . . . . . . . . . . </w:t>
            </w:r>
          </w:p>
        </w:tc>
        <w:tc>
          <w:tcPr>
            <w:tcW w:w="1300" w:type="dxa"/>
            <w:tcBorders>
              <w:top w:val="single" w:sz="4" w:space="0" w:color="231F20"/>
              <w:bottom w:val="double" w:sz="7" w:space="0" w:color="231F20"/>
            </w:tcBorders>
          </w:tcPr>
          <w:p>
            <w:pPr>
              <w:pStyle w:val="TableParagraph"/>
              <w:tabs>
                <w:tab w:pos="769" w:val="left" w:leader="none"/>
              </w:tabs>
              <w:spacing w:before="53"/>
              <w:ind w:left="60"/>
              <w:jc w:val="left"/>
              <w:rPr>
                <w:sz w:val="20"/>
              </w:rPr>
            </w:pPr>
            <w:r>
              <w:rPr>
                <w:color w:val="231F20"/>
                <w:sz w:val="20"/>
              </w:rPr>
              <w:t>$</w:t>
              <w:tab/>
              <w:t>1,041</w:t>
            </w:r>
          </w:p>
        </w:tc>
      </w:tr>
    </w:tbl>
    <w:p>
      <w:pPr>
        <w:pStyle w:val="BodyText"/>
        <w:rPr>
          <w:sz w:val="22"/>
        </w:rPr>
      </w:pPr>
    </w:p>
    <w:p>
      <w:pPr>
        <w:pStyle w:val="Heading4"/>
        <w:spacing w:before="135"/>
        <w:ind w:left="410"/>
        <w:rPr>
          <w:i/>
        </w:rPr>
      </w:pPr>
      <w:r>
        <w:rPr>
          <w:i/>
          <w:color w:val="231F20"/>
        </w:rPr>
        <w:t>Pro forma impact of the acquisition</w:t>
      </w:r>
    </w:p>
    <w:p>
      <w:pPr>
        <w:pStyle w:val="BodyText"/>
        <w:spacing w:line="249" w:lineRule="auto" w:before="129"/>
        <w:ind w:left="160" w:right="168" w:firstLine="490"/>
      </w:pPr>
      <w:r>
        <w:rPr>
          <w:color w:val="231F20"/>
        </w:rPr>
        <w:t>The unaudited pro forma results presented below include the effects of the AirTran acquisition as if it had been consummated as of January 1, 2010. The pro forma results include the amortization associated with estimates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2010.</w:t>
      </w:r>
    </w:p>
    <w:p>
      <w:pPr>
        <w:pStyle w:val="BodyText"/>
        <w:spacing w:before="11"/>
        <w:rPr>
          <w:sz w:val="12"/>
        </w:rPr>
      </w:pPr>
    </w:p>
    <w:p>
      <w:pPr>
        <w:pStyle w:val="Heading3"/>
        <w:spacing w:line="249" w:lineRule="auto" w:before="91" w:after="17"/>
        <w:ind w:left="5145" w:right="3048" w:firstLine="92"/>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70"/>
        <w:gridCol w:w="1000"/>
        <w:gridCol w:w="300"/>
        <w:gridCol w:w="1050"/>
      </w:tblGrid>
      <w:tr>
        <w:trPr>
          <w:trHeight w:val="280" w:hRule="exact"/>
        </w:trPr>
        <w:tc>
          <w:tcPr>
            <w:tcW w:w="4470" w:type="dxa"/>
            <w:tcBorders>
              <w:bottom w:val="single" w:sz="8" w:space="0" w:color="231F20"/>
            </w:tcBorders>
          </w:tcPr>
          <w:p>
            <w:pPr>
              <w:pStyle w:val="TableParagraph"/>
              <w:spacing w:before="23"/>
              <w:ind w:left="50"/>
              <w:jc w:val="left"/>
              <w:rPr>
                <w:sz w:val="20"/>
              </w:rPr>
            </w:pPr>
            <w:r>
              <w:rPr>
                <w:color w:val="231F20"/>
                <w:sz w:val="20"/>
              </w:rPr>
              <w:t>(in millions, except per share data)</w:t>
            </w: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2011</w:t>
            </w:r>
          </w:p>
        </w:tc>
        <w:tc>
          <w:tcPr>
            <w:tcW w:w="30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2010</w:t>
            </w:r>
          </w:p>
        </w:tc>
      </w:tr>
      <w:tr>
        <w:trPr>
          <w:trHeight w:val="304" w:hRule="exact"/>
        </w:trPr>
        <w:tc>
          <w:tcPr>
            <w:tcW w:w="4470" w:type="dxa"/>
            <w:tcBorders>
              <w:top w:val="single" w:sz="8" w:space="0" w:color="231F20"/>
            </w:tcBorders>
          </w:tcPr>
          <w:p>
            <w:pPr>
              <w:pStyle w:val="TableParagraph"/>
              <w:spacing w:before="53"/>
              <w:ind w:left="50"/>
              <w:jc w:val="left"/>
              <w:rPr>
                <w:sz w:val="20"/>
              </w:rPr>
            </w:pPr>
            <w:r>
              <w:rPr>
                <w:color w:val="231F20"/>
                <w:sz w:val="20"/>
              </w:rPr>
              <w:t>Total operating revenues  . . . . . . . . . . . . . . . . . . . . . </w:t>
            </w:r>
          </w:p>
        </w:tc>
        <w:tc>
          <w:tcPr>
            <w:tcW w:w="1000" w:type="dxa"/>
            <w:tcBorders>
              <w:top w:val="single" w:sz="8" w:space="0" w:color="231F20"/>
            </w:tcBorders>
          </w:tcPr>
          <w:p>
            <w:pPr>
              <w:pStyle w:val="TableParagraph"/>
              <w:tabs>
                <w:tab w:pos="449" w:val="left" w:leader="none"/>
              </w:tabs>
              <w:spacing w:before="53"/>
              <w:rPr>
                <w:sz w:val="20"/>
              </w:rPr>
            </w:pPr>
            <w:r>
              <w:rPr>
                <w:color w:val="231F20"/>
                <w:sz w:val="20"/>
              </w:rPr>
              <w:t>$</w:t>
              <w:tab/>
            </w:r>
            <w:r>
              <w:rPr>
                <w:color w:val="231F20"/>
                <w:spacing w:val="-1"/>
                <w:sz w:val="20"/>
              </w:rPr>
              <w:t>16,601</w:t>
            </w:r>
          </w:p>
        </w:tc>
        <w:tc>
          <w:tcPr>
            <w:tcW w:w="300" w:type="dxa"/>
          </w:tcPr>
          <w:p>
            <w:pPr/>
          </w:p>
        </w:tc>
        <w:tc>
          <w:tcPr>
            <w:tcW w:w="1050" w:type="dxa"/>
            <w:tcBorders>
              <w:top w:val="single" w:sz="8" w:space="0" w:color="231F20"/>
            </w:tcBorders>
          </w:tcPr>
          <w:p>
            <w:pPr>
              <w:pStyle w:val="TableParagraph"/>
              <w:tabs>
                <w:tab w:pos="449" w:val="left" w:leader="none"/>
              </w:tabs>
              <w:spacing w:before="53"/>
              <w:ind w:right="48"/>
              <w:rPr>
                <w:sz w:val="20"/>
              </w:rPr>
            </w:pPr>
            <w:r>
              <w:rPr>
                <w:color w:val="231F20"/>
                <w:sz w:val="20"/>
              </w:rPr>
              <w:t>$</w:t>
              <w:tab/>
            </w:r>
            <w:r>
              <w:rPr>
                <w:color w:val="231F20"/>
                <w:spacing w:val="-1"/>
                <w:sz w:val="20"/>
              </w:rPr>
              <w:t>14,721</w:t>
            </w:r>
          </w:p>
        </w:tc>
      </w:tr>
      <w:tr>
        <w:trPr>
          <w:trHeight w:val="240" w:hRule="exact"/>
        </w:trPr>
        <w:tc>
          <w:tcPr>
            <w:tcW w:w="4470" w:type="dxa"/>
          </w:tcPr>
          <w:p>
            <w:pPr>
              <w:pStyle w:val="TableParagraph"/>
              <w:spacing w:line="229" w:lineRule="exact"/>
              <w:ind w:left="50"/>
              <w:jc w:val="left"/>
              <w:rPr>
                <w:sz w:val="20"/>
              </w:rPr>
            </w:pPr>
            <w:r>
              <w:rPr>
                <w:color w:val="231F20"/>
                <w:sz w:val="20"/>
              </w:rPr>
              <w:t>Net income   . . . . . . . . . . . . . . . . . . . . . . . . . . . . . . . </w:t>
            </w:r>
          </w:p>
        </w:tc>
        <w:tc>
          <w:tcPr>
            <w:tcW w:w="1000" w:type="dxa"/>
          </w:tcPr>
          <w:p>
            <w:pPr>
              <w:pStyle w:val="TableParagraph"/>
              <w:spacing w:line="229" w:lineRule="exact"/>
              <w:rPr>
                <w:sz w:val="20"/>
              </w:rPr>
            </w:pPr>
            <w:r>
              <w:rPr>
                <w:color w:val="231F20"/>
                <w:sz w:val="20"/>
              </w:rPr>
              <w:t>160</w:t>
            </w:r>
          </w:p>
        </w:tc>
        <w:tc>
          <w:tcPr>
            <w:tcW w:w="300" w:type="dxa"/>
          </w:tcPr>
          <w:p>
            <w:pPr/>
          </w:p>
        </w:tc>
        <w:tc>
          <w:tcPr>
            <w:tcW w:w="1050" w:type="dxa"/>
          </w:tcPr>
          <w:p>
            <w:pPr>
              <w:pStyle w:val="TableParagraph"/>
              <w:spacing w:line="229" w:lineRule="exact"/>
              <w:ind w:right="48"/>
              <w:rPr>
                <w:sz w:val="20"/>
              </w:rPr>
            </w:pPr>
            <w:r>
              <w:rPr>
                <w:color w:val="231F20"/>
                <w:sz w:val="20"/>
              </w:rPr>
              <w:t>499</w:t>
            </w:r>
          </w:p>
        </w:tc>
      </w:tr>
      <w:tr>
        <w:trPr>
          <w:trHeight w:val="240" w:hRule="exact"/>
        </w:trPr>
        <w:tc>
          <w:tcPr>
            <w:tcW w:w="4470" w:type="dxa"/>
          </w:tcPr>
          <w:p>
            <w:pPr>
              <w:pStyle w:val="TableParagraph"/>
              <w:spacing w:line="229" w:lineRule="exact"/>
              <w:ind w:left="50"/>
              <w:jc w:val="left"/>
              <w:rPr>
                <w:sz w:val="20"/>
              </w:rPr>
            </w:pPr>
            <w:r>
              <w:rPr>
                <w:color w:val="231F20"/>
                <w:sz w:val="20"/>
              </w:rPr>
              <w:t>Net income per share, basic . . . . . . . . . . . . . . . . . . . </w:t>
            </w:r>
          </w:p>
        </w:tc>
        <w:tc>
          <w:tcPr>
            <w:tcW w:w="1000" w:type="dxa"/>
          </w:tcPr>
          <w:p>
            <w:pPr>
              <w:pStyle w:val="TableParagraph"/>
              <w:spacing w:line="229" w:lineRule="exact"/>
              <w:rPr>
                <w:sz w:val="20"/>
              </w:rPr>
            </w:pPr>
            <w:r>
              <w:rPr>
                <w:color w:val="231F20"/>
                <w:sz w:val="20"/>
              </w:rPr>
              <w:t>.21</w:t>
            </w:r>
          </w:p>
        </w:tc>
        <w:tc>
          <w:tcPr>
            <w:tcW w:w="300" w:type="dxa"/>
          </w:tcPr>
          <w:p>
            <w:pPr/>
          </w:p>
        </w:tc>
        <w:tc>
          <w:tcPr>
            <w:tcW w:w="1050" w:type="dxa"/>
          </w:tcPr>
          <w:p>
            <w:pPr>
              <w:pStyle w:val="TableParagraph"/>
              <w:spacing w:line="229" w:lineRule="exact"/>
              <w:ind w:right="48"/>
              <w:rPr>
                <w:sz w:val="20"/>
              </w:rPr>
            </w:pPr>
            <w:r>
              <w:rPr>
                <w:color w:val="231F20"/>
                <w:sz w:val="20"/>
              </w:rPr>
              <w:t>.63</w:t>
            </w:r>
          </w:p>
        </w:tc>
      </w:tr>
      <w:tr>
        <w:trPr>
          <w:trHeight w:val="229" w:hRule="exact"/>
        </w:trPr>
        <w:tc>
          <w:tcPr>
            <w:tcW w:w="4470" w:type="dxa"/>
          </w:tcPr>
          <w:p>
            <w:pPr>
              <w:pStyle w:val="TableParagraph"/>
              <w:spacing w:line="229" w:lineRule="exact"/>
              <w:ind w:left="50"/>
              <w:jc w:val="left"/>
              <w:rPr>
                <w:sz w:val="20"/>
              </w:rPr>
            </w:pPr>
            <w:r>
              <w:rPr>
                <w:color w:val="231F20"/>
                <w:sz w:val="20"/>
              </w:rPr>
              <w:t>Net income per share, diluted  . . . . . . . . . . . . . . . . . </w:t>
            </w:r>
          </w:p>
        </w:tc>
        <w:tc>
          <w:tcPr>
            <w:tcW w:w="1000" w:type="dxa"/>
          </w:tcPr>
          <w:p>
            <w:pPr>
              <w:pStyle w:val="TableParagraph"/>
              <w:spacing w:line="229" w:lineRule="exact"/>
              <w:rPr>
                <w:sz w:val="20"/>
              </w:rPr>
            </w:pPr>
            <w:r>
              <w:rPr>
                <w:color w:val="231F20"/>
                <w:sz w:val="20"/>
              </w:rPr>
              <w:t>.21</w:t>
            </w:r>
          </w:p>
        </w:tc>
        <w:tc>
          <w:tcPr>
            <w:tcW w:w="300" w:type="dxa"/>
          </w:tcPr>
          <w:p>
            <w:pPr/>
          </w:p>
        </w:tc>
        <w:tc>
          <w:tcPr>
            <w:tcW w:w="1050" w:type="dxa"/>
          </w:tcPr>
          <w:p>
            <w:pPr>
              <w:pStyle w:val="TableParagraph"/>
              <w:spacing w:line="229" w:lineRule="exact"/>
              <w:ind w:right="48"/>
              <w:rPr>
                <w:sz w:val="20"/>
              </w:rPr>
            </w:pPr>
            <w:r>
              <w:rPr>
                <w:color w:val="231F20"/>
                <w:sz w:val="20"/>
              </w:rPr>
              <w:t>.63</w:t>
            </w:r>
          </w:p>
        </w:tc>
      </w:tr>
    </w:tbl>
    <w:p>
      <w:pPr>
        <w:spacing w:after="0" w:line="229" w:lineRule="exact"/>
        <w:rPr>
          <w:sz w:val="20"/>
        </w:rPr>
        <w:sectPr>
          <w:pgSz w:w="11880" w:h="15480"/>
          <w:pgMar w:header="0" w:footer="1253" w:top="1240" w:bottom="1440" w:left="1220" w:right="1280"/>
        </w:sectPr>
      </w:pPr>
    </w:p>
    <w:p>
      <w:pPr>
        <w:pStyle w:val="ListParagraph"/>
        <w:numPr>
          <w:ilvl w:val="0"/>
          <w:numId w:val="11"/>
        </w:numPr>
        <w:tabs>
          <w:tab w:pos="300" w:val="left" w:leader="none"/>
        </w:tabs>
        <w:spacing w:line="240" w:lineRule="auto" w:before="73" w:after="0"/>
        <w:ind w:left="300" w:right="0" w:hanging="200"/>
        <w:jc w:val="left"/>
        <w:rPr>
          <w:b/>
          <w:sz w:val="20"/>
        </w:rPr>
      </w:pPr>
      <w:r>
        <w:rPr>
          <w:b/>
          <w:color w:val="231F20"/>
          <w:sz w:val="20"/>
        </w:rPr>
        <w:t>ACCOUNTING CHANGES AND NEW ACCOUNTING</w:t>
      </w:r>
      <w:r>
        <w:rPr>
          <w:b/>
          <w:color w:val="231F20"/>
          <w:spacing w:val="-9"/>
          <w:sz w:val="20"/>
        </w:rPr>
        <w:t> </w:t>
      </w:r>
      <w:r>
        <w:rPr>
          <w:b/>
          <w:color w:val="231F20"/>
          <w:sz w:val="20"/>
        </w:rPr>
        <w:t>PRONOUNCEMENTS</w:t>
      </w:r>
    </w:p>
    <w:p>
      <w:pPr>
        <w:pStyle w:val="BodyText"/>
        <w:spacing w:before="8"/>
        <w:rPr>
          <w:b/>
          <w:sz w:val="21"/>
        </w:rPr>
      </w:pPr>
    </w:p>
    <w:p>
      <w:pPr>
        <w:pStyle w:val="BodyText"/>
        <w:spacing w:line="249" w:lineRule="auto"/>
        <w:ind w:left="100" w:right="215" w:firstLine="490"/>
      </w:pPr>
      <w:r>
        <w:rPr>
          <w:color w:val="231F20"/>
        </w:rPr>
        <w:t>During first quarter 2012, the Company changed the estimated retirement dates of several 737-300 and 737-500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For the year ended December 31, 2012, the impact of this change was an increase in depreciation expense of approximately $12 million, excluding the impact of profitsharing and income taxes ($6 million after the impact of profitsharing and taxes, with a $.01 decrease in both basic and diluted net income per share).</w:t>
      </w:r>
    </w:p>
    <w:p>
      <w:pPr>
        <w:pStyle w:val="BodyText"/>
        <w:spacing w:before="10"/>
      </w:pPr>
    </w:p>
    <w:p>
      <w:pPr>
        <w:pStyle w:val="BodyText"/>
        <w:spacing w:line="249" w:lineRule="auto" w:before="1"/>
        <w:ind w:left="100" w:right="100" w:firstLine="490"/>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(“Delta”), and the resulting impact this transaction will have on how the Company manages the ultimate retirement of its owned 737-300 and 737-500 aircraft. See Note 8 for further information on the lease/sublease transaction. Based on the expected retirement dates and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is considered a change in estimate, it has been accounted for on a prospective basis, and thus the Company will record additional depreciation expense over the remainder of the useful lives for each aircraft. The impact of this change on the year ended December 31, 2012 was an increase in depreciation expense of approximately $34 million, excluding the impact of profitsharing and income taxes ($18 million after the impact of profitsharing and taxes, with</w:t>
      </w:r>
      <w:r>
        <w:rPr>
          <w:color w:val="231F20"/>
          <w:spacing w:val="13"/>
        </w:rPr>
        <w:t> </w:t>
      </w:r>
      <w:r>
        <w:rPr>
          <w:color w:val="231F20"/>
        </w:rPr>
        <w:t>a</w:t>
      </w:r>
    </w:p>
    <w:p>
      <w:pPr>
        <w:pStyle w:val="BodyText"/>
        <w:spacing w:before="1"/>
        <w:ind w:left="100"/>
      </w:pPr>
      <w:r>
        <w:rPr>
          <w:color w:val="231F20"/>
        </w:rPr>
        <w:t>$.02 decrease in both basic and diluted net income per share).</w:t>
      </w:r>
    </w:p>
    <w:p>
      <w:pPr>
        <w:pStyle w:val="BodyText"/>
        <w:spacing w:before="8"/>
        <w:rPr>
          <w:sz w:val="21"/>
        </w:rPr>
      </w:pPr>
    </w:p>
    <w:p>
      <w:pPr>
        <w:pStyle w:val="BodyText"/>
        <w:spacing w:line="249" w:lineRule="auto"/>
        <w:ind w:left="100" w:right="247" w:firstLine="490"/>
      </w:pPr>
      <w:r>
        <w:rPr>
          <w:color w:val="231F20"/>
        </w:rPr>
        <w:t>On December 16, 2011, the Financial Accounting Standards Board ratified Accounting Standards Update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This ASU will not have a material effect on the Company’s financial position or results of operations, but will change the Company’s disclosure policies for financial derivative instruments. The Company plans to adopt this ASU for the interim period ending March 31, 2013.</w:t>
      </w:r>
    </w:p>
    <w:p>
      <w:pPr>
        <w:spacing w:after="0" w:line="249" w:lineRule="auto"/>
        <w:sectPr>
          <w:pgSz w:w="11880" w:h="15480"/>
          <w:pgMar w:header="0" w:footer="1253" w:top="1240" w:bottom="1440" w:left="1280" w:right="1300"/>
        </w:sectPr>
      </w:pPr>
    </w:p>
    <w:p>
      <w:pPr>
        <w:pStyle w:val="Heading3"/>
        <w:numPr>
          <w:ilvl w:val="0"/>
          <w:numId w:val="11"/>
        </w:numPr>
        <w:tabs>
          <w:tab w:pos="360" w:val="left" w:leader="none"/>
        </w:tabs>
        <w:spacing w:line="240" w:lineRule="auto" w:before="73" w:after="0"/>
        <w:ind w:left="360" w:right="0" w:hanging="200"/>
        <w:jc w:val="left"/>
      </w:pPr>
      <w:r>
        <w:rPr>
          <w:color w:val="231F20"/>
        </w:rPr>
        <w:t>COMMITMENTS AND</w:t>
      </w:r>
      <w:r>
        <w:rPr>
          <w:color w:val="231F20"/>
          <w:spacing w:val="-4"/>
        </w:rPr>
        <w:t> </w:t>
      </w:r>
      <w:r>
        <w:rPr>
          <w:color w:val="231F20"/>
        </w:rPr>
        <w:t>CONTINGENCIES</w:t>
      </w:r>
    </w:p>
    <w:p>
      <w:pPr>
        <w:pStyle w:val="BodyText"/>
        <w:spacing w:line="249" w:lineRule="auto" w:before="109"/>
        <w:ind w:left="160" w:right="206" w:firstLine="490"/>
      </w:pPr>
      <w:r>
        <w:rPr>
          <w:color w:val="231F20"/>
        </w:rPr>
        <w:t>The Company’s contractual purchase commitments primarily consist of scheduled aircraft acquisitions from Boeing. As of December 31, 2012, the Company had the following contractual purchase commitments with Boeing for aircraft deliveries:</w:t>
      </w:r>
    </w:p>
    <w:p>
      <w:pPr>
        <w:spacing w:after="0" w:line="249" w:lineRule="auto"/>
        <w:sectPr>
          <w:pgSz w:w="11880" w:h="15480"/>
          <w:pgMar w:header="0" w:footer="1253" w:top="1240" w:bottom="1440" w:left="1220" w:right="1220"/>
        </w:sectPr>
      </w:pPr>
    </w:p>
    <w:p>
      <w:pPr>
        <w:pStyle w:val="BodyText"/>
        <w:rPr>
          <w:sz w:val="22"/>
        </w:rPr>
      </w:pPr>
    </w:p>
    <w:p>
      <w:pPr>
        <w:pStyle w:val="BodyText"/>
        <w:rPr>
          <w:sz w:val="22"/>
        </w:rPr>
      </w:pPr>
    </w:p>
    <w:p>
      <w:pPr>
        <w:pStyle w:val="Heading3"/>
        <w:spacing w:line="225" w:lineRule="exact" w:before="195"/>
        <w:ind w:left="0" w:right="120"/>
        <w:jc w:val="right"/>
      </w:pPr>
      <w:r>
        <w:rPr>
          <w:color w:val="231F20"/>
        </w:rPr>
        <w:t>-700</w:t>
      </w:r>
    </w:p>
    <w:p>
      <w:pPr>
        <w:spacing w:line="220" w:lineRule="exact" w:before="5"/>
        <w:ind w:left="2254" w:right="-19" w:firstLine="89"/>
        <w:jc w:val="left"/>
        <w:rPr>
          <w:b/>
          <w:sz w:val="20"/>
        </w:rPr>
      </w:pPr>
      <w:r>
        <w:rPr>
          <w:b/>
          <w:color w:val="231F20"/>
          <w:sz w:val="20"/>
        </w:rPr>
        <w:t>Firm Orders</w:t>
      </w:r>
    </w:p>
    <w:p>
      <w:pPr>
        <w:spacing w:line="220" w:lineRule="exact" w:before="192"/>
        <w:ind w:left="-34" w:right="648" w:firstLine="0"/>
        <w:jc w:val="center"/>
        <w:rPr>
          <w:b/>
          <w:sz w:val="20"/>
        </w:rPr>
      </w:pPr>
      <w:r>
        <w:rPr/>
        <w:br w:type="column"/>
      </w:r>
      <w:r>
        <w:rPr>
          <w:b/>
          <w:color w:val="231F20"/>
          <w:sz w:val="20"/>
        </w:rPr>
        <w:t>The Boeing</w:t>
      </w:r>
      <w:r>
        <w:rPr>
          <w:b/>
          <w:color w:val="231F20"/>
          <w:spacing w:val="-2"/>
          <w:sz w:val="20"/>
        </w:rPr>
        <w:t> </w:t>
      </w:r>
      <w:r>
        <w:rPr>
          <w:b/>
          <w:color w:val="231F20"/>
          <w:sz w:val="20"/>
        </w:rPr>
        <w:t>Company 737NG</w:t>
      </w:r>
    </w:p>
    <w:p>
      <w:pPr>
        <w:spacing w:line="225" w:lineRule="exact" w:before="69"/>
        <w:ind w:left="658" w:right="1340" w:firstLine="0"/>
        <w:jc w:val="center"/>
        <w:rPr>
          <w:b/>
          <w:sz w:val="20"/>
        </w:rPr>
      </w:pPr>
      <w:r>
        <w:rPr/>
        <w:pict>
          <v:line style="position:absolute;mso-position-horizontal-relative:page;mso-position-vertical-relative:paragraph;z-index:4552" from="163pt,1.285950pt" to="339pt,1.285950pt" stroked="true" strokeweight="1pt" strokecolor="#231f20">
            <v:stroke dashstyle="solid"/>
            <w10:wrap type="none"/>
          </v:line>
        </w:pict>
      </w:r>
      <w:r>
        <w:rPr>
          <w:b/>
          <w:color w:val="231F20"/>
          <w:sz w:val="20"/>
        </w:rPr>
        <w:t>-800</w:t>
      </w:r>
    </w:p>
    <w:p>
      <w:pPr>
        <w:spacing w:line="220" w:lineRule="exact" w:before="0"/>
        <w:ind w:left="659" w:right="1340" w:firstLine="0"/>
        <w:jc w:val="center"/>
        <w:rPr>
          <w:b/>
          <w:sz w:val="20"/>
        </w:rPr>
      </w:pPr>
      <w:r>
        <w:rPr>
          <w:b/>
          <w:color w:val="231F20"/>
          <w:sz w:val="20"/>
        </w:rPr>
        <w:t>Firm</w:t>
      </w:r>
    </w:p>
    <w:p>
      <w:pPr>
        <w:tabs>
          <w:tab w:pos="1794" w:val="left" w:leader="none"/>
        </w:tabs>
        <w:spacing w:line="225" w:lineRule="exact" w:before="0"/>
        <w:ind w:left="588" w:right="0" w:firstLine="0"/>
        <w:jc w:val="left"/>
        <w:rPr>
          <w:b/>
          <w:sz w:val="20"/>
        </w:rPr>
      </w:pPr>
      <w:r>
        <w:rPr>
          <w:b/>
          <w:color w:val="231F20"/>
          <w:sz w:val="20"/>
        </w:rPr>
        <w:t>Orders</w:t>
        <w:tab/>
        <w:t>Options</w:t>
      </w:r>
    </w:p>
    <w:p>
      <w:pPr>
        <w:spacing w:line="220" w:lineRule="exact" w:before="192"/>
        <w:ind w:left="1092" w:right="1591" w:hanging="539"/>
        <w:jc w:val="left"/>
        <w:rPr>
          <w:b/>
          <w:sz w:val="20"/>
        </w:rPr>
      </w:pPr>
      <w:r>
        <w:rPr/>
        <w:br w:type="column"/>
      </w:r>
      <w:r>
        <w:rPr>
          <w:b/>
          <w:color w:val="231F20"/>
          <w:sz w:val="20"/>
        </w:rPr>
        <w:t>The Boeing Company 737MAX</w:t>
      </w:r>
    </w:p>
    <w:p>
      <w:pPr>
        <w:pStyle w:val="BodyText"/>
        <w:spacing w:line="20" w:lineRule="exact"/>
        <w:ind w:left="332"/>
        <w:rPr>
          <w:sz w:val="2"/>
        </w:rPr>
      </w:pPr>
      <w:r>
        <w:rPr>
          <w:sz w:val="2"/>
        </w:rPr>
        <w:pict>
          <v:group style="width:115pt;height:1pt;mso-position-horizontal-relative:char;mso-position-vertical-relative:line" coordorigin="0,0" coordsize="2300,20">
            <v:line style="position:absolute" from="10,10" to="2290,10" stroked="true" strokeweight="1pt" strokecolor="#231f20">
              <v:stroke dashstyle="solid"/>
            </v:line>
          </v:group>
        </w:pict>
      </w:r>
      <w:r>
        <w:rPr>
          <w:sz w:val="2"/>
        </w:rPr>
      </w:r>
    </w:p>
    <w:p>
      <w:pPr>
        <w:pStyle w:val="BodyText"/>
        <w:spacing w:before="4"/>
        <w:rPr>
          <w:b/>
          <w:sz w:val="23"/>
        </w:rPr>
      </w:pPr>
    </w:p>
    <w:p>
      <w:pPr>
        <w:spacing w:line="225" w:lineRule="exact" w:before="0"/>
        <w:ind w:left="644" w:right="0" w:firstLine="0"/>
        <w:jc w:val="left"/>
        <w:rPr>
          <w:b/>
          <w:sz w:val="20"/>
        </w:rPr>
      </w:pPr>
      <w:r>
        <w:rPr>
          <w:b/>
          <w:color w:val="231F20"/>
          <w:sz w:val="20"/>
        </w:rPr>
        <w:t>Firm</w:t>
      </w:r>
    </w:p>
    <w:p>
      <w:pPr>
        <w:tabs>
          <w:tab w:pos="1761" w:val="left" w:leader="none"/>
          <w:tab w:pos="3113" w:val="left" w:leader="none"/>
        </w:tabs>
        <w:spacing w:line="225" w:lineRule="exact" w:before="0"/>
        <w:ind w:left="555" w:right="0" w:firstLine="0"/>
        <w:jc w:val="left"/>
        <w:rPr>
          <w:b/>
          <w:sz w:val="20"/>
        </w:rPr>
      </w:pPr>
      <w:r>
        <w:rPr>
          <w:b/>
          <w:color w:val="231F20"/>
          <w:sz w:val="20"/>
        </w:rPr>
        <w:t>Orders</w:t>
        <w:tab/>
        <w:t>Options</w:t>
        <w:tab/>
        <w:t>Total</w:t>
      </w:r>
    </w:p>
    <w:p>
      <w:pPr>
        <w:spacing w:after="0" w:line="225" w:lineRule="exact"/>
        <w:jc w:val="left"/>
        <w:rPr>
          <w:sz w:val="20"/>
        </w:rPr>
        <w:sectPr>
          <w:type w:val="continuous"/>
          <w:pgSz w:w="11880" w:h="15480"/>
          <w:pgMar w:top="1200" w:bottom="280" w:left="1220" w:right="1220"/>
          <w:cols w:num="3" w:equalWidth="0">
            <w:col w:w="2866" w:space="40"/>
            <w:col w:w="2474" w:space="40"/>
            <w:col w:w="4020"/>
          </w:cols>
        </w:sectPr>
      </w:pPr>
    </w:p>
    <w:p>
      <w:pPr>
        <w:pStyle w:val="BodyText"/>
        <w:spacing w:before="7"/>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5"/>
        <w:gridCol w:w="1415"/>
        <w:gridCol w:w="1677"/>
        <w:gridCol w:w="1123"/>
        <w:gridCol w:w="1190"/>
        <w:gridCol w:w="1357"/>
        <w:gridCol w:w="1123"/>
        <w:gridCol w:w="820"/>
      </w:tblGrid>
      <w:tr>
        <w:trPr>
          <w:trHeight w:val="284" w:hRule="exact"/>
        </w:trPr>
        <w:tc>
          <w:tcPr>
            <w:tcW w:w="515" w:type="dxa"/>
          </w:tcPr>
          <w:p>
            <w:pPr>
              <w:pStyle w:val="TableParagraph"/>
              <w:spacing w:before="48"/>
              <w:ind w:left="30" w:right="44"/>
              <w:jc w:val="center"/>
              <w:rPr>
                <w:sz w:val="20"/>
              </w:rPr>
            </w:pPr>
            <w:r>
              <w:rPr>
                <w:color w:val="231F20"/>
                <w:sz w:val="20"/>
              </w:rPr>
              <w:t>2013</w:t>
            </w:r>
          </w:p>
        </w:tc>
        <w:tc>
          <w:tcPr>
            <w:tcW w:w="1415" w:type="dxa"/>
          </w:tcPr>
          <w:p>
            <w:pPr>
              <w:pStyle w:val="TableParagraph"/>
              <w:spacing w:before="48"/>
              <w:ind w:left="64"/>
              <w:jc w:val="left"/>
              <w:rPr>
                <w:sz w:val="20"/>
              </w:rPr>
            </w:pPr>
            <w:r>
              <w:rPr>
                <w:color w:val="231F20"/>
                <w:sz w:val="20"/>
              </w:rPr>
              <w:t>. . . . . . . . . . . . </w:t>
            </w:r>
          </w:p>
        </w:tc>
        <w:tc>
          <w:tcPr>
            <w:tcW w:w="1677" w:type="dxa"/>
            <w:tcBorders>
              <w:top w:val="single" w:sz="4" w:space="0" w:color="231F20"/>
            </w:tcBorders>
          </w:tcPr>
          <w:p>
            <w:pPr/>
          </w:p>
        </w:tc>
        <w:tc>
          <w:tcPr>
            <w:tcW w:w="1123" w:type="dxa"/>
            <w:tcBorders>
              <w:top w:val="single" w:sz="4" w:space="0" w:color="231F20"/>
            </w:tcBorders>
          </w:tcPr>
          <w:p>
            <w:pPr>
              <w:pStyle w:val="TableParagraph"/>
              <w:spacing w:before="43"/>
              <w:ind w:left="403"/>
              <w:jc w:val="left"/>
              <w:rPr>
                <w:sz w:val="20"/>
              </w:rPr>
            </w:pPr>
            <w:r>
              <w:rPr>
                <w:color w:val="231F20"/>
                <w:sz w:val="20"/>
              </w:rPr>
              <w:t>20</w:t>
            </w:r>
          </w:p>
        </w:tc>
        <w:tc>
          <w:tcPr>
            <w:tcW w:w="1190" w:type="dxa"/>
            <w:tcBorders>
              <w:top w:val="single" w:sz="4" w:space="0" w:color="231F20"/>
            </w:tcBorders>
          </w:tcPr>
          <w:p>
            <w:pPr/>
          </w:p>
        </w:tc>
        <w:tc>
          <w:tcPr>
            <w:tcW w:w="1357" w:type="dxa"/>
            <w:tcBorders>
              <w:top w:val="single" w:sz="4" w:space="0" w:color="231F20"/>
            </w:tcBorders>
          </w:tcPr>
          <w:p>
            <w:pPr/>
          </w:p>
        </w:tc>
        <w:tc>
          <w:tcPr>
            <w:tcW w:w="1123" w:type="dxa"/>
            <w:tcBorders>
              <w:top w:val="single" w:sz="4" w:space="0" w:color="231F20"/>
            </w:tcBorders>
          </w:tcPr>
          <w:p>
            <w:pPr/>
          </w:p>
        </w:tc>
        <w:tc>
          <w:tcPr>
            <w:tcW w:w="820" w:type="dxa"/>
            <w:tcBorders>
              <w:top w:val="single" w:sz="4" w:space="0" w:color="231F20"/>
            </w:tcBorders>
          </w:tcPr>
          <w:p>
            <w:pPr>
              <w:pStyle w:val="TableParagraph"/>
              <w:spacing w:before="43"/>
              <w:ind w:right="48"/>
              <w:rPr>
                <w:sz w:val="20"/>
              </w:rPr>
            </w:pPr>
            <w:r>
              <w:rPr>
                <w:color w:val="231F20"/>
                <w:sz w:val="20"/>
              </w:rPr>
              <w:t>20</w:t>
            </w:r>
          </w:p>
        </w:tc>
      </w:tr>
      <w:tr>
        <w:trPr>
          <w:trHeight w:val="230" w:hRule="exact"/>
        </w:trPr>
        <w:tc>
          <w:tcPr>
            <w:tcW w:w="515" w:type="dxa"/>
          </w:tcPr>
          <w:p>
            <w:pPr>
              <w:pStyle w:val="TableParagraph"/>
              <w:spacing w:line="224" w:lineRule="exact"/>
              <w:ind w:left="30" w:right="44"/>
              <w:jc w:val="center"/>
              <w:rPr>
                <w:sz w:val="20"/>
              </w:rPr>
            </w:pPr>
            <w:r>
              <w:rPr>
                <w:color w:val="231F20"/>
                <w:sz w:val="20"/>
              </w:rPr>
              <w:t>2014</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303"/>
              <w:jc w:val="center"/>
              <w:rPr>
                <w:sz w:val="20"/>
              </w:rPr>
            </w:pPr>
            <w:r>
              <w:rPr>
                <w:color w:val="231F20"/>
                <w:sz w:val="20"/>
              </w:rPr>
              <w:t>5</w:t>
            </w:r>
          </w:p>
        </w:tc>
        <w:tc>
          <w:tcPr>
            <w:tcW w:w="1123" w:type="dxa"/>
          </w:tcPr>
          <w:p>
            <w:pPr>
              <w:pStyle w:val="TableParagraph"/>
              <w:spacing w:line="224" w:lineRule="exact"/>
              <w:ind w:left="403"/>
              <w:jc w:val="left"/>
              <w:rPr>
                <w:sz w:val="20"/>
              </w:rPr>
            </w:pPr>
            <w:r>
              <w:rPr>
                <w:color w:val="231F20"/>
                <w:sz w:val="20"/>
              </w:rPr>
              <w:t>24</w:t>
            </w:r>
          </w:p>
        </w:tc>
        <w:tc>
          <w:tcPr>
            <w:tcW w:w="1190" w:type="dxa"/>
          </w:tcPr>
          <w:p>
            <w:pPr>
              <w:pStyle w:val="TableParagraph"/>
              <w:spacing w:line="224" w:lineRule="exact"/>
              <w:ind w:right="469"/>
              <w:rPr>
                <w:sz w:val="20"/>
              </w:rPr>
            </w:pPr>
            <w:r>
              <w:rPr>
                <w:color w:val="231F20"/>
                <w:sz w:val="20"/>
              </w:rPr>
              <w:t>15</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44</w:t>
            </w:r>
          </w:p>
        </w:tc>
      </w:tr>
      <w:tr>
        <w:trPr>
          <w:trHeight w:val="230" w:hRule="exact"/>
        </w:trPr>
        <w:tc>
          <w:tcPr>
            <w:tcW w:w="515" w:type="dxa"/>
          </w:tcPr>
          <w:p>
            <w:pPr>
              <w:pStyle w:val="TableParagraph"/>
              <w:spacing w:line="224" w:lineRule="exact"/>
              <w:ind w:left="30" w:right="44"/>
              <w:jc w:val="center"/>
              <w:rPr>
                <w:sz w:val="20"/>
              </w:rPr>
            </w:pPr>
            <w:r>
              <w:rPr>
                <w:color w:val="231F20"/>
                <w:sz w:val="20"/>
              </w:rPr>
              <w:t>2015</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36</w:t>
            </w:r>
          </w:p>
        </w:tc>
        <w:tc>
          <w:tcPr>
            <w:tcW w:w="1123" w:type="dxa"/>
          </w:tcPr>
          <w:p>
            <w:pPr/>
          </w:p>
        </w:tc>
        <w:tc>
          <w:tcPr>
            <w:tcW w:w="1190" w:type="dxa"/>
          </w:tcPr>
          <w:p>
            <w:pPr>
              <w:pStyle w:val="TableParagraph"/>
              <w:spacing w:line="224" w:lineRule="exact"/>
              <w:ind w:right="468"/>
              <w:rPr>
                <w:sz w:val="20"/>
              </w:rPr>
            </w:pPr>
            <w:r>
              <w:rPr>
                <w:color w:val="231F20"/>
                <w:sz w:val="20"/>
              </w:rPr>
              <w:t>12</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48</w:t>
            </w:r>
          </w:p>
        </w:tc>
      </w:tr>
      <w:tr>
        <w:trPr>
          <w:trHeight w:val="230" w:hRule="exact"/>
        </w:trPr>
        <w:tc>
          <w:tcPr>
            <w:tcW w:w="515" w:type="dxa"/>
          </w:tcPr>
          <w:p>
            <w:pPr>
              <w:pStyle w:val="TableParagraph"/>
              <w:spacing w:line="224" w:lineRule="exact"/>
              <w:ind w:left="30" w:right="44"/>
              <w:jc w:val="center"/>
              <w:rPr>
                <w:sz w:val="20"/>
              </w:rPr>
            </w:pPr>
            <w:r>
              <w:rPr>
                <w:color w:val="231F20"/>
                <w:sz w:val="20"/>
              </w:rPr>
              <w:t>2016</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31</w:t>
            </w:r>
          </w:p>
        </w:tc>
        <w:tc>
          <w:tcPr>
            <w:tcW w:w="1123" w:type="dxa"/>
          </w:tcPr>
          <w:p>
            <w:pPr/>
          </w:p>
        </w:tc>
        <w:tc>
          <w:tcPr>
            <w:tcW w:w="1190" w:type="dxa"/>
          </w:tcPr>
          <w:p>
            <w:pPr>
              <w:pStyle w:val="TableParagraph"/>
              <w:spacing w:line="224" w:lineRule="exact"/>
              <w:ind w:right="468"/>
              <w:rPr>
                <w:sz w:val="20"/>
              </w:rPr>
            </w:pPr>
            <w:r>
              <w:rPr>
                <w:color w:val="231F20"/>
                <w:sz w:val="20"/>
              </w:rPr>
              <w:t>12</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43</w:t>
            </w:r>
          </w:p>
        </w:tc>
      </w:tr>
      <w:tr>
        <w:trPr>
          <w:trHeight w:val="230" w:hRule="exact"/>
        </w:trPr>
        <w:tc>
          <w:tcPr>
            <w:tcW w:w="515" w:type="dxa"/>
          </w:tcPr>
          <w:p>
            <w:pPr>
              <w:pStyle w:val="TableParagraph"/>
              <w:spacing w:line="224" w:lineRule="exact"/>
              <w:ind w:left="30" w:right="44"/>
              <w:jc w:val="center"/>
              <w:rPr>
                <w:sz w:val="20"/>
              </w:rPr>
            </w:pPr>
            <w:r>
              <w:rPr>
                <w:color w:val="231F20"/>
                <w:sz w:val="20"/>
              </w:rPr>
              <w:t>2017</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30</w:t>
            </w:r>
          </w:p>
        </w:tc>
        <w:tc>
          <w:tcPr>
            <w:tcW w:w="1123" w:type="dxa"/>
          </w:tcPr>
          <w:p>
            <w:pPr/>
          </w:p>
        </w:tc>
        <w:tc>
          <w:tcPr>
            <w:tcW w:w="1190" w:type="dxa"/>
          </w:tcPr>
          <w:p>
            <w:pPr>
              <w:pStyle w:val="TableParagraph"/>
              <w:spacing w:line="224" w:lineRule="exact"/>
              <w:ind w:right="468"/>
              <w:rPr>
                <w:sz w:val="20"/>
              </w:rPr>
            </w:pPr>
            <w:r>
              <w:rPr>
                <w:color w:val="231F20"/>
                <w:sz w:val="20"/>
              </w:rPr>
              <w:t>25</w:t>
            </w:r>
          </w:p>
        </w:tc>
        <w:tc>
          <w:tcPr>
            <w:tcW w:w="1357" w:type="dxa"/>
          </w:tcPr>
          <w:p>
            <w:pPr>
              <w:pStyle w:val="TableParagraph"/>
              <w:spacing w:line="224" w:lineRule="exact"/>
              <w:ind w:left="83"/>
              <w:jc w:val="center"/>
              <w:rPr>
                <w:sz w:val="20"/>
              </w:rPr>
            </w:pPr>
            <w:r>
              <w:rPr>
                <w:color w:val="231F20"/>
                <w:sz w:val="20"/>
              </w:rPr>
              <w:t>4</w:t>
            </w:r>
          </w:p>
        </w:tc>
        <w:tc>
          <w:tcPr>
            <w:tcW w:w="1123" w:type="dxa"/>
          </w:tcPr>
          <w:p>
            <w:pPr/>
          </w:p>
        </w:tc>
        <w:tc>
          <w:tcPr>
            <w:tcW w:w="820" w:type="dxa"/>
          </w:tcPr>
          <w:p>
            <w:pPr>
              <w:pStyle w:val="TableParagraph"/>
              <w:spacing w:line="224" w:lineRule="exact"/>
              <w:ind w:right="48"/>
              <w:rPr>
                <w:sz w:val="20"/>
              </w:rPr>
            </w:pPr>
            <w:r>
              <w:rPr>
                <w:color w:val="231F20"/>
                <w:sz w:val="20"/>
              </w:rPr>
              <w:t>59</w:t>
            </w:r>
          </w:p>
        </w:tc>
      </w:tr>
      <w:tr>
        <w:trPr>
          <w:trHeight w:val="230" w:hRule="exact"/>
        </w:trPr>
        <w:tc>
          <w:tcPr>
            <w:tcW w:w="515" w:type="dxa"/>
          </w:tcPr>
          <w:p>
            <w:pPr>
              <w:pStyle w:val="TableParagraph"/>
              <w:spacing w:line="224" w:lineRule="exact"/>
              <w:ind w:left="30" w:right="44"/>
              <w:jc w:val="center"/>
              <w:rPr>
                <w:sz w:val="20"/>
              </w:rPr>
            </w:pPr>
            <w:r>
              <w:rPr>
                <w:color w:val="231F20"/>
                <w:sz w:val="20"/>
              </w:rPr>
              <w:t>2018</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25</w:t>
            </w:r>
          </w:p>
        </w:tc>
        <w:tc>
          <w:tcPr>
            <w:tcW w:w="1123" w:type="dxa"/>
          </w:tcPr>
          <w:p>
            <w:pPr/>
          </w:p>
        </w:tc>
        <w:tc>
          <w:tcPr>
            <w:tcW w:w="1190" w:type="dxa"/>
          </w:tcPr>
          <w:p>
            <w:pPr>
              <w:pStyle w:val="TableParagraph"/>
              <w:spacing w:line="224" w:lineRule="exact"/>
              <w:ind w:right="468"/>
              <w:rPr>
                <w:sz w:val="20"/>
              </w:rPr>
            </w:pPr>
            <w:r>
              <w:rPr>
                <w:color w:val="231F20"/>
                <w:sz w:val="20"/>
              </w:rPr>
              <w:t>28</w:t>
            </w:r>
          </w:p>
        </w:tc>
        <w:tc>
          <w:tcPr>
            <w:tcW w:w="1357" w:type="dxa"/>
          </w:tcPr>
          <w:p>
            <w:pPr>
              <w:pStyle w:val="TableParagraph"/>
              <w:spacing w:line="224" w:lineRule="exact"/>
              <w:ind w:left="319" w:right="333"/>
              <w:jc w:val="center"/>
              <w:rPr>
                <w:sz w:val="20"/>
              </w:rPr>
            </w:pPr>
            <w:r>
              <w:rPr>
                <w:color w:val="231F20"/>
                <w:sz w:val="20"/>
              </w:rPr>
              <w:t>15</w:t>
            </w:r>
          </w:p>
        </w:tc>
        <w:tc>
          <w:tcPr>
            <w:tcW w:w="1123" w:type="dxa"/>
          </w:tcPr>
          <w:p>
            <w:pPr/>
          </w:p>
        </w:tc>
        <w:tc>
          <w:tcPr>
            <w:tcW w:w="820" w:type="dxa"/>
          </w:tcPr>
          <w:p>
            <w:pPr>
              <w:pStyle w:val="TableParagraph"/>
              <w:spacing w:line="224" w:lineRule="exact"/>
              <w:ind w:right="48"/>
              <w:rPr>
                <w:sz w:val="20"/>
              </w:rPr>
            </w:pPr>
            <w:r>
              <w:rPr>
                <w:color w:val="231F20"/>
                <w:sz w:val="20"/>
              </w:rPr>
              <w:t>68</w:t>
            </w:r>
          </w:p>
        </w:tc>
      </w:tr>
      <w:tr>
        <w:trPr>
          <w:trHeight w:val="230" w:hRule="exact"/>
        </w:trPr>
        <w:tc>
          <w:tcPr>
            <w:tcW w:w="515" w:type="dxa"/>
          </w:tcPr>
          <w:p>
            <w:pPr>
              <w:pStyle w:val="TableParagraph"/>
              <w:spacing w:line="224" w:lineRule="exact"/>
              <w:ind w:left="30" w:right="44"/>
              <w:jc w:val="center"/>
              <w:rPr>
                <w:sz w:val="20"/>
              </w:rPr>
            </w:pPr>
            <w:r>
              <w:rPr>
                <w:color w:val="231F20"/>
                <w:sz w:val="20"/>
              </w:rPr>
              <w:t>2019</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33</w:t>
            </w:r>
          </w:p>
        </w:tc>
        <w:tc>
          <w:tcPr>
            <w:tcW w:w="1123" w:type="dxa"/>
          </w:tcPr>
          <w:p>
            <w:pPr/>
          </w:p>
        </w:tc>
        <w:tc>
          <w:tcPr>
            <w:tcW w:w="820" w:type="dxa"/>
          </w:tcPr>
          <w:p>
            <w:pPr>
              <w:pStyle w:val="TableParagraph"/>
              <w:spacing w:line="224" w:lineRule="exact"/>
              <w:ind w:right="48"/>
              <w:rPr>
                <w:sz w:val="20"/>
              </w:rPr>
            </w:pPr>
            <w:r>
              <w:rPr>
                <w:color w:val="231F20"/>
                <w:sz w:val="20"/>
              </w:rPr>
              <w:t>33</w:t>
            </w:r>
          </w:p>
        </w:tc>
      </w:tr>
      <w:tr>
        <w:trPr>
          <w:trHeight w:val="230" w:hRule="exact"/>
        </w:trPr>
        <w:tc>
          <w:tcPr>
            <w:tcW w:w="515" w:type="dxa"/>
          </w:tcPr>
          <w:p>
            <w:pPr>
              <w:pStyle w:val="TableParagraph"/>
              <w:spacing w:line="224" w:lineRule="exact"/>
              <w:ind w:left="30" w:right="44"/>
              <w:jc w:val="center"/>
              <w:rPr>
                <w:sz w:val="20"/>
              </w:rPr>
            </w:pPr>
            <w:r>
              <w:rPr>
                <w:color w:val="231F20"/>
                <w:sz w:val="20"/>
              </w:rPr>
              <w:t>2020</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34</w:t>
            </w:r>
          </w:p>
        </w:tc>
        <w:tc>
          <w:tcPr>
            <w:tcW w:w="1123" w:type="dxa"/>
          </w:tcPr>
          <w:p>
            <w:pPr/>
          </w:p>
        </w:tc>
        <w:tc>
          <w:tcPr>
            <w:tcW w:w="820" w:type="dxa"/>
          </w:tcPr>
          <w:p>
            <w:pPr>
              <w:pStyle w:val="TableParagraph"/>
              <w:spacing w:line="224" w:lineRule="exact"/>
              <w:ind w:right="48"/>
              <w:rPr>
                <w:sz w:val="20"/>
              </w:rPr>
            </w:pPr>
            <w:r>
              <w:rPr>
                <w:color w:val="231F20"/>
                <w:sz w:val="20"/>
              </w:rPr>
              <w:t>34</w:t>
            </w:r>
          </w:p>
        </w:tc>
      </w:tr>
      <w:tr>
        <w:trPr>
          <w:trHeight w:val="235" w:hRule="exact"/>
        </w:trPr>
        <w:tc>
          <w:tcPr>
            <w:tcW w:w="515" w:type="dxa"/>
          </w:tcPr>
          <w:p>
            <w:pPr>
              <w:pStyle w:val="TableParagraph"/>
              <w:spacing w:line="224" w:lineRule="exact"/>
              <w:ind w:left="30" w:right="44"/>
              <w:jc w:val="center"/>
              <w:rPr>
                <w:sz w:val="20"/>
              </w:rPr>
            </w:pPr>
            <w:r>
              <w:rPr>
                <w:color w:val="231F20"/>
                <w:sz w:val="20"/>
              </w:rPr>
              <w:t>2021</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34</w:t>
            </w:r>
          </w:p>
        </w:tc>
        <w:tc>
          <w:tcPr>
            <w:tcW w:w="1123" w:type="dxa"/>
          </w:tcPr>
          <w:p>
            <w:pPr>
              <w:pStyle w:val="TableParagraph"/>
              <w:spacing w:line="224" w:lineRule="exact"/>
              <w:ind w:right="468"/>
              <w:rPr>
                <w:sz w:val="20"/>
              </w:rPr>
            </w:pPr>
            <w:r>
              <w:rPr>
                <w:color w:val="231F20"/>
                <w:sz w:val="20"/>
              </w:rPr>
              <w:t>18</w:t>
            </w:r>
          </w:p>
        </w:tc>
        <w:tc>
          <w:tcPr>
            <w:tcW w:w="820" w:type="dxa"/>
          </w:tcPr>
          <w:p>
            <w:pPr>
              <w:pStyle w:val="TableParagraph"/>
              <w:spacing w:line="224" w:lineRule="exact"/>
              <w:ind w:right="48"/>
              <w:rPr>
                <w:sz w:val="20"/>
              </w:rPr>
            </w:pPr>
            <w:r>
              <w:rPr>
                <w:color w:val="231F20"/>
                <w:sz w:val="20"/>
              </w:rPr>
              <w:t>52</w:t>
            </w:r>
          </w:p>
        </w:tc>
      </w:tr>
      <w:tr>
        <w:trPr>
          <w:trHeight w:val="240" w:hRule="exact"/>
        </w:trPr>
        <w:tc>
          <w:tcPr>
            <w:tcW w:w="515" w:type="dxa"/>
          </w:tcPr>
          <w:p>
            <w:pPr>
              <w:pStyle w:val="TableParagraph"/>
              <w:spacing w:line="229" w:lineRule="exact"/>
              <w:ind w:left="30" w:right="44"/>
              <w:jc w:val="center"/>
              <w:rPr>
                <w:sz w:val="20"/>
              </w:rPr>
            </w:pPr>
            <w:r>
              <w:rPr>
                <w:color w:val="231F20"/>
                <w:sz w:val="20"/>
              </w:rPr>
              <w:t>2022</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9" w:lineRule="exact"/>
              <w:ind w:left="319" w:right="333"/>
              <w:jc w:val="center"/>
              <w:rPr>
                <w:sz w:val="20"/>
              </w:rPr>
            </w:pPr>
            <w:r>
              <w:rPr>
                <w:color w:val="231F20"/>
                <w:sz w:val="20"/>
              </w:rPr>
              <w:t>30</w:t>
            </w:r>
          </w:p>
        </w:tc>
        <w:tc>
          <w:tcPr>
            <w:tcW w:w="1123" w:type="dxa"/>
          </w:tcPr>
          <w:p>
            <w:pPr>
              <w:pStyle w:val="TableParagraph"/>
              <w:spacing w:line="229" w:lineRule="exact"/>
              <w:ind w:right="468"/>
              <w:rPr>
                <w:sz w:val="20"/>
              </w:rPr>
            </w:pPr>
            <w:r>
              <w:rPr>
                <w:color w:val="231F20"/>
                <w:sz w:val="20"/>
              </w:rPr>
              <w:t>19</w:t>
            </w:r>
          </w:p>
        </w:tc>
        <w:tc>
          <w:tcPr>
            <w:tcW w:w="820" w:type="dxa"/>
          </w:tcPr>
          <w:p>
            <w:pPr>
              <w:pStyle w:val="TableParagraph"/>
              <w:spacing w:line="229" w:lineRule="exact"/>
              <w:ind w:right="48"/>
              <w:rPr>
                <w:sz w:val="20"/>
              </w:rPr>
            </w:pPr>
            <w:r>
              <w:rPr>
                <w:color w:val="231F20"/>
                <w:sz w:val="20"/>
              </w:rPr>
              <w:t>49</w:t>
            </w:r>
          </w:p>
        </w:tc>
      </w:tr>
      <w:tr>
        <w:trPr>
          <w:trHeight w:val="240" w:hRule="exact"/>
        </w:trPr>
        <w:tc>
          <w:tcPr>
            <w:tcW w:w="515" w:type="dxa"/>
          </w:tcPr>
          <w:p>
            <w:pPr>
              <w:pStyle w:val="TableParagraph"/>
              <w:spacing w:line="229" w:lineRule="exact"/>
              <w:ind w:left="30" w:right="44"/>
              <w:jc w:val="center"/>
              <w:rPr>
                <w:sz w:val="20"/>
              </w:rPr>
            </w:pPr>
            <w:r>
              <w:rPr>
                <w:color w:val="231F20"/>
                <w:sz w:val="20"/>
              </w:rPr>
              <w:t>2023</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40" w:hRule="exact"/>
        </w:trPr>
        <w:tc>
          <w:tcPr>
            <w:tcW w:w="515" w:type="dxa"/>
          </w:tcPr>
          <w:p>
            <w:pPr>
              <w:pStyle w:val="TableParagraph"/>
              <w:spacing w:line="229" w:lineRule="exact"/>
              <w:ind w:left="30" w:right="44"/>
              <w:jc w:val="center"/>
              <w:rPr>
                <w:sz w:val="20"/>
              </w:rPr>
            </w:pPr>
            <w:r>
              <w:rPr>
                <w:color w:val="231F20"/>
                <w:sz w:val="20"/>
              </w:rPr>
              <w:t>2024</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40" w:hRule="exact"/>
        </w:trPr>
        <w:tc>
          <w:tcPr>
            <w:tcW w:w="515" w:type="dxa"/>
          </w:tcPr>
          <w:p>
            <w:pPr>
              <w:pStyle w:val="TableParagraph"/>
              <w:spacing w:line="229" w:lineRule="exact"/>
              <w:ind w:left="30" w:right="44"/>
              <w:jc w:val="center"/>
              <w:rPr>
                <w:sz w:val="20"/>
              </w:rPr>
            </w:pPr>
            <w:r>
              <w:rPr>
                <w:color w:val="231F20"/>
                <w:sz w:val="20"/>
              </w:rPr>
              <w:t>2025</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61" w:hRule="exact"/>
        </w:trPr>
        <w:tc>
          <w:tcPr>
            <w:tcW w:w="1930" w:type="dxa"/>
            <w:gridSpan w:val="2"/>
          </w:tcPr>
          <w:p>
            <w:pPr>
              <w:pStyle w:val="TableParagraph"/>
              <w:spacing w:line="219" w:lineRule="exact"/>
              <w:ind w:left="50"/>
              <w:jc w:val="left"/>
              <w:rPr>
                <w:sz w:val="20"/>
              </w:rPr>
            </w:pPr>
            <w:r>
              <w:rPr>
                <w:color w:val="231F20"/>
                <w:sz w:val="20"/>
              </w:rPr>
              <w:t>Through 2027  . . . . . </w:t>
            </w:r>
          </w:p>
        </w:tc>
        <w:tc>
          <w:tcPr>
            <w:tcW w:w="1677" w:type="dxa"/>
            <w:tcBorders>
              <w:bottom w:val="single" w:sz="4" w:space="0" w:color="231F20"/>
            </w:tcBorders>
          </w:tcPr>
          <w:p>
            <w:pPr/>
          </w:p>
        </w:tc>
        <w:tc>
          <w:tcPr>
            <w:tcW w:w="1123" w:type="dxa"/>
            <w:tcBorders>
              <w:bottom w:val="single" w:sz="4" w:space="0" w:color="231F20"/>
            </w:tcBorders>
          </w:tcPr>
          <w:p>
            <w:pPr/>
          </w:p>
        </w:tc>
        <w:tc>
          <w:tcPr>
            <w:tcW w:w="1190" w:type="dxa"/>
            <w:tcBorders>
              <w:bottom w:val="single" w:sz="4" w:space="0" w:color="231F20"/>
            </w:tcBorders>
          </w:tcPr>
          <w:p>
            <w:pPr/>
          </w:p>
        </w:tc>
        <w:tc>
          <w:tcPr>
            <w:tcW w:w="1357" w:type="dxa"/>
            <w:tcBorders>
              <w:bottom w:val="single" w:sz="4" w:space="0" w:color="231F20"/>
            </w:tcBorders>
          </w:tcPr>
          <w:p>
            <w:pPr/>
          </w:p>
        </w:tc>
        <w:tc>
          <w:tcPr>
            <w:tcW w:w="1123" w:type="dxa"/>
            <w:tcBorders>
              <w:bottom w:val="single" w:sz="4" w:space="0" w:color="231F20"/>
            </w:tcBorders>
          </w:tcPr>
          <w:p>
            <w:pPr>
              <w:pStyle w:val="TableParagraph"/>
              <w:spacing w:line="219" w:lineRule="exact"/>
              <w:ind w:right="468"/>
              <w:rPr>
                <w:sz w:val="20"/>
              </w:rPr>
            </w:pPr>
            <w:r>
              <w:rPr>
                <w:color w:val="231F20"/>
                <w:sz w:val="20"/>
              </w:rPr>
              <w:t>44</w:t>
            </w:r>
          </w:p>
        </w:tc>
        <w:tc>
          <w:tcPr>
            <w:tcW w:w="820" w:type="dxa"/>
            <w:tcBorders>
              <w:bottom w:val="single" w:sz="4" w:space="0" w:color="231F20"/>
            </w:tcBorders>
          </w:tcPr>
          <w:p>
            <w:pPr>
              <w:pStyle w:val="TableParagraph"/>
              <w:spacing w:line="219" w:lineRule="exact"/>
              <w:ind w:right="48"/>
              <w:rPr>
                <w:sz w:val="20"/>
              </w:rPr>
            </w:pPr>
            <w:r>
              <w:rPr>
                <w:color w:val="231F20"/>
                <w:sz w:val="20"/>
              </w:rPr>
              <w:t>44</w:t>
            </w:r>
          </w:p>
        </w:tc>
      </w:tr>
      <w:tr>
        <w:trPr>
          <w:trHeight w:val="340" w:hRule="exact"/>
        </w:trPr>
        <w:tc>
          <w:tcPr>
            <w:tcW w:w="1930" w:type="dxa"/>
            <w:gridSpan w:val="2"/>
          </w:tcPr>
          <w:p>
            <w:pPr>
              <w:pStyle w:val="TableParagraph"/>
              <w:spacing w:before="58"/>
              <w:ind w:left="250"/>
              <w:jc w:val="left"/>
              <w:rPr>
                <w:sz w:val="20"/>
              </w:rPr>
            </w:pPr>
            <w:r>
              <w:rPr>
                <w:color w:val="231F20"/>
                <w:sz w:val="20"/>
              </w:rPr>
              <w:t>Total  . . . . . . . . . . </w:t>
            </w:r>
          </w:p>
        </w:tc>
        <w:tc>
          <w:tcPr>
            <w:tcW w:w="1677" w:type="dxa"/>
            <w:tcBorders>
              <w:top w:val="single" w:sz="4" w:space="0" w:color="231F20"/>
              <w:bottom w:val="double" w:sz="7" w:space="0" w:color="231F20"/>
            </w:tcBorders>
          </w:tcPr>
          <w:p>
            <w:pPr>
              <w:pStyle w:val="TableParagraph"/>
              <w:spacing w:before="53"/>
              <w:ind w:left="719" w:right="383"/>
              <w:jc w:val="center"/>
              <w:rPr>
                <w:sz w:val="20"/>
              </w:rPr>
            </w:pPr>
            <w:r>
              <w:rPr>
                <w:color w:val="231F20"/>
                <w:sz w:val="20"/>
              </w:rPr>
              <w:t>127(1)</w:t>
            </w:r>
          </w:p>
        </w:tc>
        <w:tc>
          <w:tcPr>
            <w:tcW w:w="1123" w:type="dxa"/>
            <w:tcBorders>
              <w:top w:val="single" w:sz="4" w:space="0" w:color="231F20"/>
              <w:bottom w:val="double" w:sz="7" w:space="0" w:color="231F20"/>
            </w:tcBorders>
          </w:tcPr>
          <w:p>
            <w:pPr>
              <w:pStyle w:val="TableParagraph"/>
              <w:spacing w:before="53"/>
              <w:ind w:left="403"/>
              <w:jc w:val="left"/>
              <w:rPr>
                <w:sz w:val="20"/>
              </w:rPr>
            </w:pPr>
            <w:r>
              <w:rPr>
                <w:color w:val="231F20"/>
                <w:sz w:val="20"/>
              </w:rPr>
              <w:t>44</w:t>
            </w:r>
          </w:p>
        </w:tc>
        <w:tc>
          <w:tcPr>
            <w:tcW w:w="1190" w:type="dxa"/>
            <w:tcBorders>
              <w:top w:val="single" w:sz="4" w:space="0" w:color="231F20"/>
              <w:bottom w:val="double" w:sz="7" w:space="0" w:color="231F20"/>
            </w:tcBorders>
          </w:tcPr>
          <w:p>
            <w:pPr>
              <w:pStyle w:val="TableParagraph"/>
              <w:spacing w:before="53"/>
              <w:ind w:right="468"/>
              <w:rPr>
                <w:sz w:val="20"/>
              </w:rPr>
            </w:pPr>
            <w:r>
              <w:rPr>
                <w:color w:val="231F20"/>
                <w:sz w:val="20"/>
              </w:rPr>
              <w:t>92</w:t>
            </w:r>
          </w:p>
        </w:tc>
        <w:tc>
          <w:tcPr>
            <w:tcW w:w="1357" w:type="dxa"/>
            <w:tcBorders>
              <w:top w:val="single" w:sz="4" w:space="0" w:color="231F20"/>
              <w:bottom w:val="double" w:sz="7" w:space="0" w:color="231F20"/>
            </w:tcBorders>
          </w:tcPr>
          <w:p>
            <w:pPr>
              <w:pStyle w:val="TableParagraph"/>
              <w:spacing w:before="53"/>
              <w:ind w:left="449" w:right="333"/>
              <w:jc w:val="center"/>
              <w:rPr>
                <w:sz w:val="20"/>
              </w:rPr>
            </w:pPr>
            <w:r>
              <w:rPr>
                <w:color w:val="231F20"/>
                <w:sz w:val="20"/>
              </w:rPr>
              <w:t>150(2)</w:t>
            </w:r>
          </w:p>
        </w:tc>
        <w:tc>
          <w:tcPr>
            <w:tcW w:w="1123" w:type="dxa"/>
            <w:tcBorders>
              <w:top w:val="single" w:sz="4" w:space="0" w:color="231F20"/>
              <w:bottom w:val="double" w:sz="7" w:space="0" w:color="231F20"/>
            </w:tcBorders>
          </w:tcPr>
          <w:p>
            <w:pPr>
              <w:pStyle w:val="TableParagraph"/>
              <w:spacing w:before="53"/>
              <w:ind w:right="468"/>
              <w:rPr>
                <w:sz w:val="20"/>
              </w:rPr>
            </w:pPr>
            <w:r>
              <w:rPr>
                <w:color w:val="231F20"/>
                <w:sz w:val="20"/>
              </w:rPr>
              <w:t>150</w:t>
            </w:r>
          </w:p>
        </w:tc>
        <w:tc>
          <w:tcPr>
            <w:tcW w:w="820" w:type="dxa"/>
            <w:tcBorders>
              <w:top w:val="single" w:sz="4" w:space="0" w:color="231F20"/>
              <w:bottom w:val="double" w:sz="7" w:space="0" w:color="231F20"/>
            </w:tcBorders>
          </w:tcPr>
          <w:p>
            <w:pPr>
              <w:pStyle w:val="TableParagraph"/>
              <w:spacing w:before="53"/>
              <w:ind w:right="48"/>
              <w:rPr>
                <w:sz w:val="20"/>
              </w:rPr>
            </w:pPr>
            <w:r>
              <w:rPr>
                <w:color w:val="231F20"/>
                <w:sz w:val="20"/>
              </w:rPr>
              <w:t>563</w:t>
            </w:r>
          </w:p>
        </w:tc>
      </w:tr>
    </w:tbl>
    <w:p>
      <w:pPr>
        <w:pStyle w:val="BodyText"/>
        <w:rPr>
          <w:b/>
          <w:sz w:val="25"/>
        </w:rPr>
      </w:pPr>
      <w:r>
        <w:rPr/>
        <w:pict>
          <v:line style="position:absolute;mso-position-horizontal-relative:page;mso-position-vertical-relative:paragraph;z-index:4528;mso-wrap-distance-left:0;mso-wrap-distance-right:0" from="69pt,16.586914pt" to="117pt,16.586914pt" stroked="true" strokeweight=".5pt" strokecolor="#231f20">
            <v:stroke dashstyle="solid"/>
            <w10:wrap type="topAndBottom"/>
          </v:line>
        </w:pict>
      </w:r>
    </w:p>
    <w:p>
      <w:pPr>
        <w:pStyle w:val="ListParagraph"/>
        <w:numPr>
          <w:ilvl w:val="0"/>
          <w:numId w:val="12"/>
        </w:numPr>
        <w:tabs>
          <w:tab w:pos="560" w:val="left" w:leader="none"/>
        </w:tabs>
        <w:spacing w:line="240" w:lineRule="auto" w:before="24" w:after="0"/>
        <w:ind w:left="56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12"/>
        </w:numPr>
        <w:tabs>
          <w:tab w:pos="560" w:val="left" w:leader="none"/>
        </w:tabs>
        <w:spacing w:line="249" w:lineRule="auto" w:before="9" w:after="0"/>
        <w:ind w:left="560" w:right="249" w:hanging="400"/>
        <w:jc w:val="left"/>
        <w:rPr>
          <w:sz w:val="20"/>
        </w:rPr>
      </w:pPr>
      <w:r>
        <w:rPr>
          <w:color w:val="231F20"/>
          <w:sz w:val="20"/>
        </w:rPr>
        <w:t>The Company has the right, under certain conditions, including Boeing’s decision to manufacture a MAX 7 aircraft, to substitute MAX 7 aircraft in place of future MAX 8</w:t>
      </w:r>
      <w:r>
        <w:rPr>
          <w:color w:val="231F20"/>
          <w:spacing w:val="6"/>
          <w:sz w:val="20"/>
        </w:rPr>
        <w:t> </w:t>
      </w:r>
      <w:r>
        <w:rPr>
          <w:color w:val="231F20"/>
          <w:sz w:val="20"/>
        </w:rPr>
        <w:t>deliveries.</w:t>
      </w:r>
    </w:p>
    <w:p>
      <w:pPr>
        <w:pStyle w:val="BodyText"/>
        <w:spacing w:before="5"/>
        <w:rPr>
          <w:sz w:val="17"/>
        </w:rPr>
      </w:pPr>
    </w:p>
    <w:p>
      <w:pPr>
        <w:pStyle w:val="BodyText"/>
        <w:spacing w:line="249" w:lineRule="auto" w:before="1"/>
        <w:ind w:left="160" w:right="477" w:firstLine="490"/>
        <w:jc w:val="both"/>
      </w:pPr>
      <w:r>
        <w:rPr>
          <w:color w:val="231F20"/>
        </w:rPr>
        <w:t>The Company’s financial commitments associated with the firm orders in the above aircraft table are as follows: $619 million in 2013, $967 million in 2014, $1.2 billion in 2015, $1.3 billion in 2016, $1.4 billion in 2017, and $6.5 billion thereafter.</w:t>
      </w:r>
    </w:p>
    <w:p>
      <w:pPr>
        <w:pStyle w:val="BodyText"/>
        <w:spacing w:before="6"/>
        <w:rPr>
          <w:sz w:val="17"/>
        </w:rPr>
      </w:pPr>
    </w:p>
    <w:p>
      <w:pPr>
        <w:pStyle w:val="BodyText"/>
        <w:spacing w:line="249" w:lineRule="auto"/>
        <w:ind w:left="160" w:right="240"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Major construction commenced during 2010. New ticketing and checkin areas opened during fourth quarter 2012 and 12 new gates and new concessions are expected to open in second quarter 2013. Full completion of the project is scheduled for second half of 2014.</w:t>
      </w:r>
    </w:p>
    <w:p>
      <w:pPr>
        <w:pStyle w:val="BodyText"/>
        <w:spacing w:before="5"/>
        <w:rPr>
          <w:sz w:val="17"/>
        </w:rPr>
      </w:pPr>
    </w:p>
    <w:p>
      <w:pPr>
        <w:pStyle w:val="BodyText"/>
        <w:spacing w:before="1"/>
        <w:ind w:left="650"/>
      </w:pPr>
      <w:r>
        <w:rPr>
          <w:color w:val="231F20"/>
        </w:rPr>
        <w:t>It is currently expected that the total amount spent on the LFMP project will be approximately</w:t>
      </w:r>
    </w:p>
    <w:p>
      <w:pPr>
        <w:pStyle w:val="BodyText"/>
        <w:spacing w:line="249" w:lineRule="auto" w:before="10"/>
        <w:ind w:left="160" w:right="162"/>
      </w:pPr>
      <w:r>
        <w:rPr>
          <w:color w:val="231F20"/>
        </w:rPr>
        <w:t>$519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w:t>
      </w:r>
    </w:p>
    <w:p>
      <w:pPr>
        <w:spacing w:after="0" w:line="249" w:lineRule="auto"/>
        <w:sectPr>
          <w:type w:val="continuous"/>
          <w:pgSz w:w="11880" w:h="15480"/>
          <w:pgMar w:top="1200" w:bottom="280" w:left="1220" w:right="1220"/>
        </w:sectPr>
      </w:pPr>
    </w:p>
    <w:p>
      <w:pPr>
        <w:pStyle w:val="BodyText"/>
        <w:spacing w:line="249" w:lineRule="auto" w:before="73"/>
        <w:ind w:left="100" w:right="101"/>
      </w:pPr>
      <w:r>
        <w:rPr>
          <w:color w:val="231F20"/>
        </w:rPr>
        <w:t>of bonds by LFAMC.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on these bonds as well. The Company currently expects that as a result of the funding commitments from the above mentioned sources and the bonds that have been issued thus far, no further bond issuances and related guarantees from the Company will be required to complete the LFMP project.</w:t>
      </w:r>
    </w:p>
    <w:p>
      <w:pPr>
        <w:pStyle w:val="BodyText"/>
        <w:spacing w:before="10"/>
      </w:pPr>
    </w:p>
    <w:p>
      <w:pPr>
        <w:pStyle w:val="BodyText"/>
        <w:spacing w:line="249" w:lineRule="auto" w:before="1"/>
        <w:ind w:left="100" w:right="190" w:firstLine="490"/>
      </w:pPr>
      <w:r>
        <w:rPr>
          <w:color w:val="231F20"/>
        </w:rPr>
        <w:t>The Company has agreed to manage the majority of the LFMP project, and as a result, has evaluated its ongoing accounting requirements in consideration of accounting guidance provided for lessees involved in asset construction. The Company has recorded and will continue to record an asset and corresponding construction obligation for the cost of the LFMP project as the construction of the facility occurs. As of December 31, 2012, the Company had incurred construction costs of $331 million, classified as both an asset as a component of Ground property and equipment and a corresponding liability as a component of Other non-current liabilities, respectively, in its Consolidated Balance Sheet. Upon completion of the LFMP project, the Company expects to begin depreciating the assets over their estimated useful lives, and reduce the corresponding liabilities primarily through the Company’s airport rental payments to the City of Dallas.</w:t>
      </w:r>
    </w:p>
    <w:p>
      <w:pPr>
        <w:pStyle w:val="BodyText"/>
        <w:spacing w:before="4"/>
        <w:rPr>
          <w:sz w:val="31"/>
        </w:rPr>
      </w:pPr>
    </w:p>
    <w:p>
      <w:pPr>
        <w:pStyle w:val="Heading4"/>
        <w:rPr>
          <w:i/>
        </w:rPr>
      </w:pPr>
      <w:r>
        <w:rPr>
          <w:i/>
          <w:color w:val="231F20"/>
        </w:rPr>
        <w:t>Contingencies</w:t>
      </w:r>
    </w:p>
    <w:p>
      <w:pPr>
        <w:pStyle w:val="BodyText"/>
        <w:spacing w:line="249" w:lineRule="auto" w:before="129"/>
        <w:ind w:left="100" w:right="10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spacing w:before="4"/>
        <w:rPr>
          <w:sz w:val="31"/>
        </w:rPr>
      </w:pPr>
    </w:p>
    <w:p>
      <w:pPr>
        <w:pStyle w:val="Heading3"/>
        <w:numPr>
          <w:ilvl w:val="0"/>
          <w:numId w:val="11"/>
        </w:numPr>
        <w:tabs>
          <w:tab w:pos="300" w:val="left" w:leader="none"/>
        </w:tabs>
        <w:spacing w:line="240" w:lineRule="auto" w:before="0" w:after="0"/>
        <w:ind w:left="300" w:right="0" w:hanging="200"/>
        <w:jc w:val="left"/>
      </w:pPr>
      <w:r>
        <w:rPr>
          <w:color w:val="231F20"/>
        </w:rPr>
        <w:t>OTHER ASSETS AND LIABILITIES, AND OTHER OPERATING</w:t>
      </w:r>
      <w:r>
        <w:rPr>
          <w:color w:val="231F20"/>
          <w:spacing w:val="-13"/>
        </w:rPr>
        <w:t> </w:t>
      </w:r>
      <w:r>
        <w:rPr>
          <w:color w:val="231F20"/>
        </w:rPr>
        <w:t>EXPENSES</w:t>
      </w:r>
    </w:p>
    <w:p>
      <w:pPr>
        <w:pStyle w:val="BodyText"/>
        <w:spacing w:before="9"/>
        <w:rPr>
          <w:b/>
          <w:sz w:val="13"/>
        </w:rPr>
      </w:pPr>
    </w:p>
    <w:p>
      <w:pPr>
        <w:spacing w:after="0"/>
        <w:rPr>
          <w:sz w:val="13"/>
        </w:rPr>
        <w:sectPr>
          <w:pgSz w:w="11880" w:h="15480"/>
          <w:pgMar w:header="0" w:footer="1253" w:top="1240" w:bottom="1440" w:left="1280" w:right="132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10"/>
        <w:ind w:left="100" w:right="0" w:firstLine="0"/>
        <w:jc w:val="center"/>
        <w:rPr>
          <w:b/>
          <w:sz w:val="20"/>
        </w:rPr>
      </w:pPr>
      <w:r>
        <w:rPr>
          <w:b/>
          <w:color w:val="231F20"/>
          <w:sz w:val="20"/>
        </w:rPr>
        <w:t>2012</w:t>
      </w:r>
    </w:p>
    <w:p>
      <w:pPr>
        <w:spacing w:before="91"/>
        <w:ind w:left="81" w:right="1305" w:firstLine="0"/>
        <w:jc w:val="center"/>
        <w:rPr>
          <w:b/>
          <w:sz w:val="20"/>
        </w:rPr>
      </w:pPr>
      <w:r>
        <w:rPr/>
        <w:br w:type="column"/>
      </w:r>
      <w:r>
        <w:rPr>
          <w:b/>
          <w:color w:val="231F20"/>
          <w:sz w:val="20"/>
        </w:rPr>
        <w:t>December 31,</w:t>
      </w:r>
    </w:p>
    <w:p>
      <w:pPr>
        <w:spacing w:before="10"/>
        <w:ind w:left="80" w:right="1305" w:firstLine="0"/>
        <w:jc w:val="center"/>
        <w:rPr>
          <w:b/>
          <w:sz w:val="20"/>
        </w:rPr>
      </w:pPr>
      <w:r>
        <w:rPr>
          <w:b/>
          <w:color w:val="231F20"/>
          <w:sz w:val="20"/>
        </w:rPr>
        <w:t>2011</w:t>
      </w:r>
    </w:p>
    <w:p>
      <w:pPr>
        <w:spacing w:after="0"/>
        <w:jc w:val="center"/>
        <w:rPr>
          <w:sz w:val="20"/>
        </w:rPr>
        <w:sectPr>
          <w:type w:val="continuous"/>
          <w:pgSz w:w="11880" w:h="15480"/>
          <w:pgMar w:top="1200" w:bottom="280" w:left="1280" w:right="1320"/>
          <w:cols w:num="3" w:equalWidth="0">
            <w:col w:w="1129" w:space="4057"/>
            <w:col w:w="1268" w:space="232"/>
            <w:col w:w="259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Derivative contracts . . .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306</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253</w:t>
            </w:r>
          </w:p>
        </w:tc>
      </w:tr>
      <w:tr>
        <w:trPr>
          <w:trHeight w:val="240" w:hRule="exact"/>
        </w:trPr>
        <w:tc>
          <w:tcPr>
            <w:tcW w:w="4970" w:type="dxa"/>
          </w:tcPr>
          <w:p>
            <w:pPr>
              <w:pStyle w:val="TableParagraph"/>
              <w:spacing w:line="229" w:lineRule="exact"/>
              <w:rPr>
                <w:sz w:val="20"/>
              </w:rPr>
            </w:pPr>
            <w:r>
              <w:rPr>
                <w:color w:val="231F20"/>
                <w:sz w:val="20"/>
              </w:rPr>
              <w:t>Intangible assets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138</w:t>
            </w:r>
          </w:p>
        </w:tc>
        <w:tc>
          <w:tcPr>
            <w:tcW w:w="200" w:type="dxa"/>
          </w:tcPr>
          <w:p>
            <w:pPr/>
          </w:p>
        </w:tc>
        <w:tc>
          <w:tcPr>
            <w:tcW w:w="1300" w:type="dxa"/>
          </w:tcPr>
          <w:p>
            <w:pPr>
              <w:pStyle w:val="TableParagraph"/>
              <w:spacing w:line="229" w:lineRule="exact"/>
              <w:ind w:right="79"/>
              <w:rPr>
                <w:sz w:val="20"/>
              </w:rPr>
            </w:pPr>
            <w:r>
              <w:rPr>
                <w:color w:val="231F20"/>
                <w:sz w:val="20"/>
              </w:rPr>
              <w:t>155</w:t>
            </w:r>
          </w:p>
        </w:tc>
      </w:tr>
      <w:tr>
        <w:trPr>
          <w:trHeight w:val="240" w:hRule="exact"/>
        </w:trPr>
        <w:tc>
          <w:tcPr>
            <w:tcW w:w="4970" w:type="dxa"/>
          </w:tcPr>
          <w:p>
            <w:pPr>
              <w:pStyle w:val="TableParagraph"/>
              <w:spacing w:line="229" w:lineRule="exact"/>
              <w:rPr>
                <w:sz w:val="20"/>
              </w:rPr>
            </w:pPr>
            <w:r>
              <w:rPr>
                <w:color w:val="231F20"/>
                <w:sz w:val="20"/>
              </w:rPr>
              <w:t>Non-current investments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41</w:t>
            </w:r>
          </w:p>
        </w:tc>
        <w:tc>
          <w:tcPr>
            <w:tcW w:w="200" w:type="dxa"/>
          </w:tcPr>
          <w:p>
            <w:pPr/>
          </w:p>
        </w:tc>
        <w:tc>
          <w:tcPr>
            <w:tcW w:w="1300" w:type="dxa"/>
          </w:tcPr>
          <w:p>
            <w:pPr>
              <w:pStyle w:val="TableParagraph"/>
              <w:spacing w:line="229" w:lineRule="exact"/>
              <w:ind w:right="79"/>
              <w:rPr>
                <w:sz w:val="20"/>
              </w:rPr>
            </w:pPr>
            <w:r>
              <w:rPr>
                <w:color w:val="231F20"/>
                <w:sz w:val="20"/>
              </w:rPr>
              <w:t>97</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148</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121</w:t>
            </w:r>
          </w:p>
        </w:tc>
      </w:tr>
      <w:tr>
        <w:trPr>
          <w:trHeight w:val="360" w:hRule="exact"/>
        </w:trPr>
        <w:tc>
          <w:tcPr>
            <w:tcW w:w="4970" w:type="dxa"/>
          </w:tcPr>
          <w:p>
            <w:pPr>
              <w:pStyle w:val="TableParagraph"/>
              <w:spacing w:before="58"/>
              <w:rPr>
                <w:sz w:val="20"/>
              </w:rPr>
            </w:pPr>
            <w:r>
              <w:rPr>
                <w:color w:val="231F20"/>
                <w:sz w:val="20"/>
              </w:rPr>
              <w:t>Other assets  . . . . .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633</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626</w:t>
            </w:r>
          </w:p>
        </w:tc>
      </w:tr>
    </w:tbl>
    <w:p>
      <w:pPr>
        <w:pStyle w:val="BodyText"/>
        <w:spacing w:before="2"/>
        <w:rPr>
          <w:b/>
          <w:sz w:val="17"/>
        </w:rPr>
      </w:pPr>
    </w:p>
    <w:p>
      <w:pPr>
        <w:spacing w:after="0"/>
        <w:rPr>
          <w:sz w:val="17"/>
        </w:rPr>
        <w:sectPr>
          <w:type w:val="continuous"/>
          <w:pgSz w:w="11880" w:h="15480"/>
          <w:pgMar w:top="1200" w:bottom="280" w:left="1280" w:right="132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54040" from="325pt,-28.464062pt" to="390pt,-28.464062pt" stroked="true" strokeweight=".5pt" strokecolor="#231f20">
            <v:stroke dashstyle="solid"/>
            <w10:wrap type="none"/>
          </v:line>
        </w:pict>
      </w:r>
      <w:r>
        <w:rPr>
          <w:b/>
          <w:color w:val="231F20"/>
          <w:sz w:val="20"/>
        </w:rPr>
        <w:t>2012</w:t>
      </w:r>
    </w:p>
    <w:p>
      <w:pPr>
        <w:spacing w:before="91"/>
        <w:ind w:left="81" w:right="1305" w:firstLine="0"/>
        <w:jc w:val="center"/>
        <w:rPr>
          <w:b/>
          <w:sz w:val="20"/>
        </w:rPr>
      </w:pPr>
      <w:r>
        <w:rPr/>
        <w:br w:type="column"/>
      </w:r>
      <w:r>
        <w:rPr>
          <w:b/>
          <w:color w:val="231F20"/>
          <w:sz w:val="20"/>
        </w:rPr>
        <w:t>December 31,</w:t>
      </w:r>
    </w:p>
    <w:p>
      <w:pPr>
        <w:spacing w:before="9"/>
        <w:ind w:left="80" w:right="1305" w:firstLine="0"/>
        <w:jc w:val="center"/>
        <w:rPr>
          <w:b/>
          <w:sz w:val="20"/>
        </w:rPr>
      </w:pPr>
      <w:r>
        <w:rPr/>
        <w:pict>
          <v:line style="position:absolute;mso-position-horizontal-relative:page;mso-position-vertical-relative:paragraph;z-index:-354016" from="400pt,-28.464062pt" to="465pt,-28.464062pt" stroked="true" strokeweight=".5pt" strokecolor="#231f20">
            <v:stroke dashstyle="solid"/>
            <w10:wrap type="none"/>
          </v:line>
        </w:pict>
      </w:r>
      <w:r>
        <w:rPr>
          <w:b/>
          <w:color w:val="231F20"/>
          <w:sz w:val="20"/>
        </w:rPr>
        <w:t>2011</w:t>
      </w:r>
    </w:p>
    <w:p>
      <w:pPr>
        <w:spacing w:after="0"/>
        <w:jc w:val="center"/>
        <w:rPr>
          <w:sz w:val="20"/>
        </w:rPr>
        <w:sectPr>
          <w:type w:val="continuous"/>
          <w:pgSz w:w="11880" w:h="15480"/>
          <w:pgMar w:top="1200" w:bottom="280" w:left="1280" w:right="1320"/>
          <w:cols w:num="3" w:equalWidth="0">
            <w:col w:w="1129" w:space="4057"/>
            <w:col w:w="1268" w:space="232"/>
            <w:col w:w="2594"/>
          </w:cols>
        </w:sectPr>
      </w:pPr>
    </w:p>
    <w:p>
      <w:pPr>
        <w:pStyle w:val="BodyText"/>
        <w:spacing w:before="3"/>
        <w:rPr>
          <w:b/>
          <w:sz w:val="2"/>
        </w:rPr>
      </w:pPr>
      <w:r>
        <w:rPr/>
        <w:pict>
          <v:line style="position:absolute;mso-position-horizontal-relative:page;mso-position-vertical-relative:page;z-index:-353992" from="325pt,646.75pt" to="390pt,646.75pt" stroked="true" strokeweight=".5pt" strokecolor="#231f20">
            <v:stroke dashstyle="solid"/>
            <w10:wrap type="none"/>
          </v:line>
        </w:pict>
      </w:r>
      <w:r>
        <w:rPr/>
        <w:pict>
          <v:line style="position:absolute;mso-position-horizontal-relative:page;mso-position-vertical-relative:page;z-index:-353968" from="400pt,646.75pt" to="465pt,646.75pt" stroked="true" strokeweight=".5pt" strokecolor="#231f20">
            <v:stroke dashstyle="solid"/>
            <w10:wrap type="none"/>
          </v:line>
        </w:pic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Savings and ProfitSharing plans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135</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110</w:t>
            </w:r>
          </w:p>
        </w:tc>
      </w:tr>
      <w:tr>
        <w:trPr>
          <w:trHeight w:val="240" w:hRule="exact"/>
        </w:trPr>
        <w:tc>
          <w:tcPr>
            <w:tcW w:w="4970" w:type="dxa"/>
          </w:tcPr>
          <w:p>
            <w:pPr>
              <w:pStyle w:val="TableParagraph"/>
              <w:spacing w:line="229" w:lineRule="exact"/>
              <w:rPr>
                <w:sz w:val="20"/>
              </w:rPr>
            </w:pPr>
            <w:r>
              <w:rPr>
                <w:color w:val="231F20"/>
                <w:sz w:val="20"/>
              </w:rPr>
              <w:t>Aircraft rentals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139</w:t>
            </w:r>
          </w:p>
        </w:tc>
        <w:tc>
          <w:tcPr>
            <w:tcW w:w="200" w:type="dxa"/>
          </w:tcPr>
          <w:p>
            <w:pPr/>
          </w:p>
        </w:tc>
        <w:tc>
          <w:tcPr>
            <w:tcW w:w="1300" w:type="dxa"/>
          </w:tcPr>
          <w:p>
            <w:pPr>
              <w:pStyle w:val="TableParagraph"/>
              <w:spacing w:line="229" w:lineRule="exact"/>
              <w:ind w:right="79"/>
              <w:rPr>
                <w:sz w:val="20"/>
              </w:rPr>
            </w:pPr>
            <w:r>
              <w:rPr>
                <w:color w:val="231F20"/>
                <w:sz w:val="20"/>
              </w:rPr>
              <w:t>57</w:t>
            </w:r>
          </w:p>
        </w:tc>
      </w:tr>
      <w:tr>
        <w:trPr>
          <w:trHeight w:val="240" w:hRule="exact"/>
        </w:trPr>
        <w:tc>
          <w:tcPr>
            <w:tcW w:w="4970" w:type="dxa"/>
          </w:tcPr>
          <w:p>
            <w:pPr>
              <w:pStyle w:val="TableParagraph"/>
              <w:spacing w:line="229" w:lineRule="exact"/>
              <w:rPr>
                <w:sz w:val="20"/>
              </w:rPr>
            </w:pPr>
            <w:r>
              <w:rPr>
                <w:color w:val="231F20"/>
                <w:sz w:val="20"/>
              </w:rPr>
              <w:t>Vacation pay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270</w:t>
            </w:r>
          </w:p>
        </w:tc>
        <w:tc>
          <w:tcPr>
            <w:tcW w:w="200" w:type="dxa"/>
          </w:tcPr>
          <w:p>
            <w:pPr/>
          </w:p>
        </w:tc>
        <w:tc>
          <w:tcPr>
            <w:tcW w:w="1300" w:type="dxa"/>
          </w:tcPr>
          <w:p>
            <w:pPr>
              <w:pStyle w:val="TableParagraph"/>
              <w:spacing w:line="229" w:lineRule="exact"/>
              <w:ind w:right="79"/>
              <w:rPr>
                <w:sz w:val="20"/>
              </w:rPr>
            </w:pPr>
            <w:r>
              <w:rPr>
                <w:color w:val="231F20"/>
                <w:sz w:val="20"/>
              </w:rPr>
              <w:t>248</w:t>
            </w:r>
          </w:p>
        </w:tc>
      </w:tr>
      <w:tr>
        <w:trPr>
          <w:trHeight w:val="240" w:hRule="exact"/>
        </w:trPr>
        <w:tc>
          <w:tcPr>
            <w:tcW w:w="4970" w:type="dxa"/>
          </w:tcPr>
          <w:p>
            <w:pPr>
              <w:pStyle w:val="TableParagraph"/>
              <w:spacing w:line="229" w:lineRule="exact"/>
              <w:rPr>
                <w:sz w:val="20"/>
              </w:rPr>
            </w:pPr>
            <w:r>
              <w:rPr>
                <w:color w:val="231F20"/>
                <w:sz w:val="20"/>
              </w:rPr>
              <w:t>Health . . . . .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70</w:t>
            </w:r>
          </w:p>
        </w:tc>
        <w:tc>
          <w:tcPr>
            <w:tcW w:w="200" w:type="dxa"/>
          </w:tcPr>
          <w:p>
            <w:pPr/>
          </w:p>
        </w:tc>
        <w:tc>
          <w:tcPr>
            <w:tcW w:w="1300" w:type="dxa"/>
          </w:tcPr>
          <w:p>
            <w:pPr>
              <w:pStyle w:val="TableParagraph"/>
              <w:spacing w:line="229" w:lineRule="exact"/>
              <w:ind w:right="79"/>
              <w:rPr>
                <w:sz w:val="20"/>
              </w:rPr>
            </w:pPr>
            <w:r>
              <w:rPr>
                <w:color w:val="231F20"/>
                <w:sz w:val="20"/>
              </w:rPr>
              <w:t>56</w:t>
            </w:r>
          </w:p>
        </w:tc>
      </w:tr>
      <w:tr>
        <w:trPr>
          <w:trHeight w:val="240" w:hRule="exact"/>
        </w:trPr>
        <w:tc>
          <w:tcPr>
            <w:tcW w:w="4970" w:type="dxa"/>
          </w:tcPr>
          <w:p>
            <w:pPr>
              <w:pStyle w:val="TableParagraph"/>
              <w:spacing w:line="229" w:lineRule="exact"/>
              <w:rPr>
                <w:sz w:val="20"/>
              </w:rPr>
            </w:pPr>
            <w:r>
              <w:rPr>
                <w:color w:val="231F20"/>
                <w:sz w:val="20"/>
              </w:rPr>
              <w:t>Derivative contracts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50</w:t>
            </w:r>
          </w:p>
        </w:tc>
        <w:tc>
          <w:tcPr>
            <w:tcW w:w="200" w:type="dxa"/>
          </w:tcPr>
          <w:p>
            <w:pPr/>
          </w:p>
        </w:tc>
        <w:tc>
          <w:tcPr>
            <w:tcW w:w="1300" w:type="dxa"/>
          </w:tcPr>
          <w:p>
            <w:pPr>
              <w:pStyle w:val="TableParagraph"/>
              <w:spacing w:line="229" w:lineRule="exact"/>
              <w:ind w:right="79"/>
              <w:rPr>
                <w:sz w:val="20"/>
              </w:rPr>
            </w:pPr>
            <w:r>
              <w:rPr>
                <w:color w:val="231F20"/>
                <w:sz w:val="20"/>
              </w:rPr>
              <w:t>85</w:t>
            </w:r>
          </w:p>
        </w:tc>
      </w:tr>
      <w:tr>
        <w:trPr>
          <w:trHeight w:val="240" w:hRule="exact"/>
        </w:trPr>
        <w:tc>
          <w:tcPr>
            <w:tcW w:w="4970" w:type="dxa"/>
          </w:tcPr>
          <w:p>
            <w:pPr>
              <w:pStyle w:val="TableParagraph"/>
              <w:spacing w:line="229" w:lineRule="exact"/>
              <w:rPr>
                <w:sz w:val="20"/>
              </w:rPr>
            </w:pPr>
            <w:r>
              <w:rPr>
                <w:color w:val="231F20"/>
                <w:sz w:val="20"/>
              </w:rPr>
              <w:t>Workers compensation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159</w:t>
            </w:r>
          </w:p>
        </w:tc>
        <w:tc>
          <w:tcPr>
            <w:tcW w:w="200" w:type="dxa"/>
          </w:tcPr>
          <w:p>
            <w:pPr/>
          </w:p>
        </w:tc>
        <w:tc>
          <w:tcPr>
            <w:tcW w:w="1300" w:type="dxa"/>
          </w:tcPr>
          <w:p>
            <w:pPr>
              <w:pStyle w:val="TableParagraph"/>
              <w:spacing w:line="229" w:lineRule="exact"/>
              <w:ind w:right="79"/>
              <w:rPr>
                <w:sz w:val="20"/>
              </w:rPr>
            </w:pPr>
            <w:r>
              <w:rPr>
                <w:color w:val="231F20"/>
                <w:sz w:val="20"/>
              </w:rPr>
              <w:t>162</w:t>
            </w:r>
          </w:p>
        </w:tc>
      </w:tr>
      <w:tr>
        <w:trPr>
          <w:trHeight w:val="240" w:hRule="exact"/>
        </w:trPr>
        <w:tc>
          <w:tcPr>
            <w:tcW w:w="4970" w:type="dxa"/>
          </w:tcPr>
          <w:p>
            <w:pPr>
              <w:pStyle w:val="TableParagraph"/>
              <w:spacing w:line="229" w:lineRule="exact"/>
              <w:rPr>
                <w:sz w:val="20"/>
              </w:rPr>
            </w:pPr>
            <w:r>
              <w:rPr>
                <w:color w:val="231F20"/>
                <w:sz w:val="20"/>
              </w:rPr>
              <w:t>Accrued Taxes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67</w:t>
            </w:r>
          </w:p>
        </w:tc>
        <w:tc>
          <w:tcPr>
            <w:tcW w:w="200" w:type="dxa"/>
          </w:tcPr>
          <w:p>
            <w:pPr/>
          </w:p>
        </w:tc>
        <w:tc>
          <w:tcPr>
            <w:tcW w:w="1300" w:type="dxa"/>
          </w:tcPr>
          <w:p>
            <w:pPr>
              <w:pStyle w:val="TableParagraph"/>
              <w:spacing w:line="229" w:lineRule="exact"/>
              <w:ind w:right="79"/>
              <w:rPr>
                <w:sz w:val="20"/>
              </w:rPr>
            </w:pPr>
            <w:r>
              <w:rPr>
                <w:color w:val="231F20"/>
                <w:sz w:val="20"/>
              </w:rPr>
              <w:t>69</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212</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209</w:t>
            </w:r>
          </w:p>
        </w:tc>
      </w:tr>
      <w:tr>
        <w:trPr>
          <w:trHeight w:val="360" w:hRule="exact"/>
        </w:trPr>
        <w:tc>
          <w:tcPr>
            <w:tcW w:w="4970" w:type="dxa"/>
          </w:tcPr>
          <w:p>
            <w:pPr>
              <w:pStyle w:val="TableParagraph"/>
              <w:spacing w:before="58"/>
              <w:rPr>
                <w:sz w:val="20"/>
              </w:rPr>
            </w:pPr>
            <w:r>
              <w:rPr>
                <w:color w:val="231F20"/>
                <w:sz w:val="20"/>
              </w:rPr>
              <w:t>Accrued liabilities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1,102</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996</w:t>
            </w:r>
          </w:p>
        </w:tc>
      </w:tr>
    </w:tbl>
    <w:p>
      <w:pPr>
        <w:spacing w:after="0"/>
        <w:rPr>
          <w:sz w:val="20"/>
        </w:rPr>
        <w:sectPr>
          <w:type w:val="continuous"/>
          <w:pgSz w:w="11880" w:h="15480"/>
          <w:pgMar w:top="1200" w:bottom="280" w:left="1280" w:right="1320"/>
        </w:sectPr>
      </w:pPr>
    </w:p>
    <w:p>
      <w:pPr>
        <w:pStyle w:val="BodyText"/>
        <w:spacing w:before="2"/>
        <w:rPr>
          <w:b/>
          <w:sz w:val="27"/>
        </w:rPr>
      </w:pPr>
    </w:p>
    <w:p>
      <w:pPr>
        <w:spacing w:before="1"/>
        <w:ind w:left="160" w:right="0" w:firstLine="0"/>
        <w:jc w:val="left"/>
        <w:rPr>
          <w:b/>
          <w:sz w:val="20"/>
        </w:rPr>
      </w:pPr>
      <w:r>
        <w:rPr>
          <w:b/>
          <w:color w:val="231F20"/>
          <w:sz w:val="20"/>
        </w:rPr>
        <w:t>(in millions)</w:t>
      </w:r>
    </w:p>
    <w:p>
      <w:pPr>
        <w:spacing w:before="73"/>
        <w:ind w:left="160" w:right="0" w:firstLine="0"/>
        <w:jc w:val="center"/>
        <w:rPr>
          <w:b/>
          <w:sz w:val="20"/>
        </w:rPr>
      </w:pPr>
      <w:r>
        <w:rPr/>
        <w:br w:type="column"/>
      </w:r>
      <w:r>
        <w:rPr>
          <w:b/>
          <w:color w:val="231F20"/>
          <w:sz w:val="20"/>
        </w:rPr>
        <w:t>December 31,</w:t>
      </w:r>
    </w:p>
    <w:p>
      <w:pPr>
        <w:spacing w:before="9"/>
        <w:ind w:left="160" w:right="0" w:firstLine="0"/>
        <w:jc w:val="center"/>
        <w:rPr>
          <w:b/>
          <w:sz w:val="20"/>
        </w:rPr>
      </w:pPr>
      <w:r>
        <w:rPr>
          <w:b/>
          <w:color w:val="231F20"/>
          <w:sz w:val="20"/>
        </w:rPr>
        <w:t>2012</w:t>
      </w:r>
    </w:p>
    <w:p>
      <w:pPr>
        <w:spacing w:before="73"/>
        <w:ind w:left="141" w:right="1345" w:firstLine="0"/>
        <w:jc w:val="center"/>
        <w:rPr>
          <w:b/>
          <w:sz w:val="20"/>
        </w:rPr>
      </w:pPr>
      <w:r>
        <w:rPr/>
        <w:br w:type="column"/>
      </w:r>
      <w:r>
        <w:rPr>
          <w:b/>
          <w:color w:val="231F20"/>
          <w:sz w:val="20"/>
        </w:rPr>
        <w:t>December 31,</w:t>
      </w:r>
    </w:p>
    <w:p>
      <w:pPr>
        <w:spacing w:before="9"/>
        <w:ind w:left="140" w:right="1345" w:firstLine="0"/>
        <w:jc w:val="center"/>
        <w:rPr>
          <w:b/>
          <w:sz w:val="20"/>
        </w:rPr>
      </w:pPr>
      <w:r>
        <w:rPr>
          <w:b/>
          <w:color w:val="231F20"/>
          <w:sz w:val="20"/>
        </w:rPr>
        <w:t>2011</w:t>
      </w:r>
    </w:p>
    <w:p>
      <w:pPr>
        <w:spacing w:after="0"/>
        <w:jc w:val="center"/>
        <w:rPr>
          <w:sz w:val="20"/>
        </w:rPr>
        <w:sectPr>
          <w:pgSz w:w="11880" w:h="15480"/>
          <w:pgMar w:header="0" w:footer="1253" w:top="1240" w:bottom="1440" w:left="1220" w:right="1280"/>
          <w:cols w:num="3" w:equalWidth="0">
            <w:col w:w="1189" w:space="3997"/>
            <w:col w:w="1328" w:space="172"/>
            <w:col w:w="2694"/>
          </w:cols>
        </w:sectPr>
      </w:pPr>
    </w:p>
    <w:p>
      <w:pPr>
        <w:pStyle w:val="BodyText"/>
        <w:spacing w:before="3"/>
        <w:rPr>
          <w:b/>
          <w:sz w:val="2"/>
        </w:rPr>
      </w:pPr>
      <w:r>
        <w:rPr/>
        <w:pict>
          <v:line style="position:absolute;mso-position-horizontal-relative:page;mso-position-vertical-relative:page;z-index:-353896" from="345pt,628.75pt" to="420pt,628.75pt" stroked="true" strokeweight=".5pt" strokecolor="#231f20">
            <v:stroke dashstyle="solid"/>
            <w10:wrap type="none"/>
          </v:line>
        </w:pict>
      </w:r>
      <w:r>
        <w:rPr/>
        <w:pict>
          <v:line style="position:absolute;mso-position-horizontal-relative:page;mso-position-vertical-relative:page;z-index:-353872" from="430pt,628.75pt" to="505pt,628.75pt" stroked="true" strokeweight=".5pt" strokecolor="#231f20">
            <v:stroke dashstyle="solid"/>
            <w10:wrap type="none"/>
          </v:line>
        </w:pic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Postretirement obligation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148</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107</w:t>
            </w:r>
          </w:p>
        </w:tc>
      </w:tr>
      <w:tr>
        <w:trPr>
          <w:trHeight w:val="240" w:hRule="exact"/>
        </w:trPr>
        <w:tc>
          <w:tcPr>
            <w:tcW w:w="4970" w:type="dxa"/>
          </w:tcPr>
          <w:p>
            <w:pPr>
              <w:pStyle w:val="TableParagraph"/>
              <w:spacing w:line="229" w:lineRule="exact"/>
              <w:rPr>
                <w:sz w:val="20"/>
              </w:rPr>
            </w:pPr>
            <w:r>
              <w:rPr>
                <w:color w:val="231F20"/>
                <w:sz w:val="20"/>
              </w:rPr>
              <w:t>Non-current lease-related obligations  . . . . . . . . . . . . . . . . . . </w:t>
            </w:r>
          </w:p>
        </w:tc>
        <w:tc>
          <w:tcPr>
            <w:tcW w:w="150" w:type="dxa"/>
          </w:tcPr>
          <w:p>
            <w:pPr/>
          </w:p>
        </w:tc>
        <w:tc>
          <w:tcPr>
            <w:tcW w:w="1300" w:type="dxa"/>
          </w:tcPr>
          <w:p>
            <w:pPr>
              <w:pStyle w:val="TableParagraph"/>
              <w:spacing w:line="229" w:lineRule="exact"/>
              <w:ind w:right="79"/>
              <w:rPr>
                <w:sz w:val="20"/>
              </w:rPr>
            </w:pPr>
            <w:r>
              <w:rPr>
                <w:color w:val="231F20"/>
                <w:sz w:val="20"/>
              </w:rPr>
              <w:t>376</w:t>
            </w:r>
          </w:p>
        </w:tc>
        <w:tc>
          <w:tcPr>
            <w:tcW w:w="200" w:type="dxa"/>
          </w:tcPr>
          <w:p>
            <w:pPr/>
          </w:p>
        </w:tc>
        <w:tc>
          <w:tcPr>
            <w:tcW w:w="1300" w:type="dxa"/>
          </w:tcPr>
          <w:p>
            <w:pPr>
              <w:pStyle w:val="TableParagraph"/>
              <w:spacing w:line="229" w:lineRule="exact"/>
              <w:ind w:right="79"/>
              <w:rPr>
                <w:sz w:val="20"/>
              </w:rPr>
            </w:pPr>
            <w:r>
              <w:rPr>
                <w:color w:val="231F20"/>
                <w:sz w:val="20"/>
              </w:rPr>
              <w:t>311</w:t>
            </w:r>
          </w:p>
        </w:tc>
      </w:tr>
      <w:tr>
        <w:trPr>
          <w:trHeight w:val="240" w:hRule="exact"/>
        </w:trPr>
        <w:tc>
          <w:tcPr>
            <w:tcW w:w="4970" w:type="dxa"/>
          </w:tcPr>
          <w:p>
            <w:pPr>
              <w:pStyle w:val="TableParagraph"/>
              <w:spacing w:line="229" w:lineRule="exact"/>
              <w:rPr>
                <w:sz w:val="20"/>
              </w:rPr>
            </w:pPr>
            <w:r>
              <w:rPr>
                <w:color w:val="231F20"/>
                <w:sz w:val="20"/>
              </w:rPr>
              <w:t>Airport construction obligation  . . . . . . . . . . . . . . . . . . . . . . . </w:t>
            </w:r>
          </w:p>
        </w:tc>
        <w:tc>
          <w:tcPr>
            <w:tcW w:w="150" w:type="dxa"/>
          </w:tcPr>
          <w:p>
            <w:pPr/>
          </w:p>
        </w:tc>
        <w:tc>
          <w:tcPr>
            <w:tcW w:w="1300" w:type="dxa"/>
          </w:tcPr>
          <w:p>
            <w:pPr>
              <w:pStyle w:val="TableParagraph"/>
              <w:spacing w:line="229" w:lineRule="exact"/>
              <w:ind w:right="79"/>
              <w:rPr>
                <w:sz w:val="20"/>
              </w:rPr>
            </w:pPr>
            <w:r>
              <w:rPr>
                <w:color w:val="231F20"/>
                <w:sz w:val="20"/>
              </w:rPr>
              <w:t>331</w:t>
            </w:r>
          </w:p>
        </w:tc>
        <w:tc>
          <w:tcPr>
            <w:tcW w:w="200" w:type="dxa"/>
          </w:tcPr>
          <w:p>
            <w:pPr/>
          </w:p>
        </w:tc>
        <w:tc>
          <w:tcPr>
            <w:tcW w:w="1300" w:type="dxa"/>
          </w:tcPr>
          <w:p>
            <w:pPr>
              <w:pStyle w:val="TableParagraph"/>
              <w:spacing w:line="229" w:lineRule="exact"/>
              <w:ind w:right="79"/>
              <w:rPr>
                <w:sz w:val="20"/>
              </w:rPr>
            </w:pPr>
            <w:r>
              <w:rPr>
                <w:color w:val="231F20"/>
                <w:sz w:val="20"/>
              </w:rPr>
              <w:t>202</w:t>
            </w:r>
          </w:p>
        </w:tc>
      </w:tr>
      <w:tr>
        <w:trPr>
          <w:trHeight w:val="240" w:hRule="exact"/>
        </w:trPr>
        <w:tc>
          <w:tcPr>
            <w:tcW w:w="4970" w:type="dxa"/>
          </w:tcPr>
          <w:p>
            <w:pPr>
              <w:pStyle w:val="TableParagraph"/>
              <w:spacing w:line="229" w:lineRule="exact"/>
              <w:rPr>
                <w:sz w:val="20"/>
              </w:rPr>
            </w:pPr>
            <w:r>
              <w:rPr>
                <w:color w:val="231F20"/>
                <w:sz w:val="20"/>
              </w:rPr>
              <w:t>Other deferred compensation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141</w:t>
            </w:r>
          </w:p>
        </w:tc>
        <w:tc>
          <w:tcPr>
            <w:tcW w:w="200" w:type="dxa"/>
          </w:tcPr>
          <w:p>
            <w:pPr/>
          </w:p>
        </w:tc>
        <w:tc>
          <w:tcPr>
            <w:tcW w:w="1300" w:type="dxa"/>
          </w:tcPr>
          <w:p>
            <w:pPr>
              <w:pStyle w:val="TableParagraph"/>
              <w:spacing w:line="229" w:lineRule="exact"/>
              <w:ind w:right="79"/>
              <w:rPr>
                <w:sz w:val="20"/>
              </w:rPr>
            </w:pPr>
            <w:r>
              <w:rPr>
                <w:color w:val="231F20"/>
                <w:sz w:val="20"/>
              </w:rPr>
              <w:t>125</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128</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165</w:t>
            </w:r>
          </w:p>
        </w:tc>
      </w:tr>
      <w:tr>
        <w:trPr>
          <w:trHeight w:val="360" w:hRule="exact"/>
        </w:trPr>
        <w:tc>
          <w:tcPr>
            <w:tcW w:w="4970" w:type="dxa"/>
          </w:tcPr>
          <w:p>
            <w:pPr>
              <w:pStyle w:val="TableParagraph"/>
              <w:spacing w:before="58"/>
              <w:rPr>
                <w:sz w:val="20"/>
              </w:rPr>
            </w:pPr>
            <w:r>
              <w:rPr>
                <w:color w:val="231F20"/>
                <w:sz w:val="20"/>
              </w:rPr>
              <w:t>Other non-current liabilities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1,124</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910</w:t>
            </w:r>
          </w:p>
        </w:tc>
      </w:tr>
    </w:tbl>
    <w:p>
      <w:pPr>
        <w:pStyle w:val="BodyText"/>
        <w:spacing w:before="10"/>
        <w:rPr>
          <w:b/>
          <w:sz w:val="27"/>
        </w:rPr>
      </w:pPr>
    </w:p>
    <w:p>
      <w:pPr>
        <w:pStyle w:val="Heading4"/>
        <w:spacing w:before="88"/>
        <w:ind w:left="410"/>
        <w:rPr>
          <w:i/>
        </w:rPr>
      </w:pPr>
      <w:r>
        <w:rPr/>
        <w:pict>
          <v:line style="position:absolute;mso-position-horizontal-relative:page;mso-position-vertical-relative:paragraph;z-index:-353944" from="325pt,-18.514063pt" to="390pt,-18.514063pt" stroked="true" strokeweight=".5pt" strokecolor="#231f20">
            <v:stroke dashstyle="solid"/>
            <w10:wrap type="none"/>
          </v:line>
        </w:pict>
      </w:r>
      <w:r>
        <w:rPr/>
        <w:pict>
          <v:line style="position:absolute;mso-position-horizontal-relative:page;mso-position-vertical-relative:paragraph;z-index:-353920" from="400pt,-18.514063pt" to="465pt,-18.514063pt" stroked="true" strokeweight=".5pt" strokecolor="#231f20">
            <v:stroke dashstyle="solid"/>
            <w10:wrap type="none"/>
          </v:line>
        </w:pict>
      </w:r>
      <w:r>
        <w:rPr>
          <w:i/>
          <w:color w:val="231F20"/>
        </w:rPr>
        <w:t>Other Operating Expenses</w:t>
      </w:r>
    </w:p>
    <w:p>
      <w:pPr>
        <w:pStyle w:val="BodyText"/>
        <w:spacing w:line="249" w:lineRule="auto" w:before="130"/>
        <w:ind w:left="160" w:right="102" w:firstLine="490"/>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4"/>
        <w:rPr>
          <w:sz w:val="31"/>
        </w:rPr>
      </w:pPr>
    </w:p>
    <w:p>
      <w:pPr>
        <w:pStyle w:val="Heading3"/>
        <w:numPr>
          <w:ilvl w:val="0"/>
          <w:numId w:val="11"/>
        </w:numPr>
        <w:tabs>
          <w:tab w:pos="360" w:val="left" w:leader="none"/>
        </w:tabs>
        <w:spacing w:line="240" w:lineRule="auto" w:before="0" w:after="0"/>
        <w:ind w:left="360" w:right="0" w:hanging="200"/>
        <w:jc w:val="left"/>
      </w:pPr>
      <w:r>
        <w:rPr>
          <w:color w:val="231F20"/>
        </w:rPr>
        <w:t>REVOLVING CREDIT</w:t>
      </w:r>
      <w:r>
        <w:rPr>
          <w:color w:val="231F20"/>
          <w:spacing w:val="-5"/>
        </w:rPr>
        <w:t> </w:t>
      </w:r>
      <w:r>
        <w:rPr>
          <w:color w:val="231F20"/>
        </w:rPr>
        <w:t>FACILITY</w:t>
      </w:r>
    </w:p>
    <w:p>
      <w:pPr>
        <w:pStyle w:val="BodyText"/>
        <w:spacing w:line="249" w:lineRule="auto" w:before="129"/>
        <w:ind w:left="160" w:right="123" w:firstLine="490"/>
      </w:pPr>
      <w:r>
        <w:rPr>
          <w:color w:val="231F20"/>
        </w:rPr>
        <w:t>The Company has access to an $800 million unsecured revolving credit facility expiring in April 2016 with a group of banks. At the Company’s option, interest on the facility can be calculated on one of several different bases. The facility also contains a financial covenant requiring a minimum coverage ratio of adjusted pre-tax income to fixed obligations, as defined. As of December 31, 2012 and 2011, the Company was in compliance with this covenant and there were no amounts outstanding under the revolving credit facility.</w:t>
      </w:r>
    </w:p>
    <w:p>
      <w:pPr>
        <w:pStyle w:val="BodyText"/>
      </w:pPr>
    </w:p>
    <w:p>
      <w:pPr>
        <w:pStyle w:val="BodyText"/>
        <w:spacing w:before="1"/>
        <w:rPr>
          <w:sz w:val="12"/>
        </w:r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93"/>
        <w:gridCol w:w="1577"/>
        <w:gridCol w:w="200"/>
        <w:gridCol w:w="1500"/>
      </w:tblGrid>
      <w:tr>
        <w:trPr>
          <w:trHeight w:val="351" w:hRule="exact"/>
        </w:trPr>
        <w:tc>
          <w:tcPr>
            <w:tcW w:w="5493" w:type="dxa"/>
          </w:tcPr>
          <w:p>
            <w:pPr>
              <w:pStyle w:val="TableParagraph"/>
              <w:spacing w:line="221" w:lineRule="exact"/>
              <w:ind w:left="50"/>
              <w:jc w:val="left"/>
              <w:rPr>
                <w:b/>
                <w:sz w:val="20"/>
              </w:rPr>
            </w:pPr>
            <w:r>
              <w:rPr>
                <w:b/>
                <w:color w:val="231F20"/>
                <w:sz w:val="20"/>
              </w:rPr>
              <w:t>7. LONG-TERM DEBT</w:t>
            </w:r>
          </w:p>
        </w:tc>
        <w:tc>
          <w:tcPr>
            <w:tcW w:w="3277" w:type="dxa"/>
            <w:gridSpan w:val="3"/>
          </w:tcPr>
          <w:p>
            <w:pPr/>
          </w:p>
        </w:tc>
      </w:tr>
      <w:tr>
        <w:trPr>
          <w:trHeight w:val="336" w:hRule="exact"/>
        </w:trPr>
        <w:tc>
          <w:tcPr>
            <w:tcW w:w="5493" w:type="dxa"/>
          </w:tcPr>
          <w:p>
            <w:pPr/>
          </w:p>
        </w:tc>
        <w:tc>
          <w:tcPr>
            <w:tcW w:w="1577" w:type="dxa"/>
          </w:tcPr>
          <w:p>
            <w:pPr>
              <w:pStyle w:val="TableParagraph"/>
              <w:spacing w:before="118"/>
              <w:ind w:left="322"/>
              <w:jc w:val="left"/>
              <w:rPr>
                <w:sz w:val="18"/>
              </w:rPr>
            </w:pPr>
            <w:r>
              <w:rPr>
                <w:color w:val="231F20"/>
                <w:sz w:val="18"/>
              </w:rPr>
              <w:t>December 31,</w:t>
            </w:r>
          </w:p>
        </w:tc>
        <w:tc>
          <w:tcPr>
            <w:tcW w:w="200" w:type="dxa"/>
          </w:tcPr>
          <w:p>
            <w:pPr/>
          </w:p>
        </w:tc>
        <w:tc>
          <w:tcPr>
            <w:tcW w:w="1500" w:type="dxa"/>
          </w:tcPr>
          <w:p>
            <w:pPr>
              <w:pStyle w:val="TableParagraph"/>
              <w:spacing w:before="118"/>
              <w:ind w:left="245"/>
              <w:jc w:val="left"/>
              <w:rPr>
                <w:sz w:val="18"/>
              </w:rPr>
            </w:pPr>
            <w:r>
              <w:rPr>
                <w:color w:val="231F20"/>
                <w:sz w:val="18"/>
              </w:rPr>
              <w:t>December 31,</w:t>
            </w:r>
          </w:p>
        </w:tc>
      </w:tr>
      <w:tr>
        <w:trPr>
          <w:trHeight w:val="241" w:hRule="exact"/>
        </w:trPr>
        <w:tc>
          <w:tcPr>
            <w:tcW w:w="5493" w:type="dxa"/>
          </w:tcPr>
          <w:p>
            <w:pPr>
              <w:pStyle w:val="TableParagraph"/>
              <w:spacing w:before="2"/>
              <w:ind w:left="50"/>
              <w:jc w:val="left"/>
              <w:rPr>
                <w:b/>
                <w:sz w:val="18"/>
              </w:rPr>
            </w:pPr>
            <w:r>
              <w:rPr>
                <w:b/>
                <w:color w:val="231F20"/>
                <w:sz w:val="18"/>
              </w:rPr>
              <w:t>(in millions)</w:t>
            </w:r>
          </w:p>
        </w:tc>
        <w:tc>
          <w:tcPr>
            <w:tcW w:w="1577" w:type="dxa"/>
            <w:tcBorders>
              <w:bottom w:val="single" w:sz="8" w:space="0" w:color="231F20"/>
            </w:tcBorders>
          </w:tcPr>
          <w:p>
            <w:pPr>
              <w:pStyle w:val="TableParagraph"/>
              <w:spacing w:before="2"/>
              <w:ind w:left="627" w:right="550"/>
              <w:jc w:val="center"/>
              <w:rPr>
                <w:b/>
                <w:sz w:val="18"/>
              </w:rPr>
            </w:pPr>
            <w:r>
              <w:rPr>
                <w:b/>
                <w:color w:val="231F20"/>
                <w:sz w:val="18"/>
              </w:rPr>
              <w:t>2012</w:t>
            </w:r>
          </w:p>
        </w:tc>
        <w:tc>
          <w:tcPr>
            <w:tcW w:w="200" w:type="dxa"/>
          </w:tcPr>
          <w:p>
            <w:pPr/>
          </w:p>
        </w:tc>
        <w:tc>
          <w:tcPr>
            <w:tcW w:w="1500" w:type="dxa"/>
            <w:tcBorders>
              <w:bottom w:val="single" w:sz="8" w:space="0" w:color="231F20"/>
            </w:tcBorders>
          </w:tcPr>
          <w:p>
            <w:pPr>
              <w:pStyle w:val="TableParagraph"/>
              <w:spacing w:before="2"/>
              <w:ind w:left="550" w:right="550"/>
              <w:jc w:val="center"/>
              <w:rPr>
                <w:b/>
                <w:sz w:val="18"/>
              </w:rPr>
            </w:pPr>
            <w:r>
              <w:rPr>
                <w:b/>
                <w:color w:val="231F20"/>
                <w:sz w:val="18"/>
              </w:rPr>
              <w:t>2011</w:t>
            </w:r>
          </w:p>
        </w:tc>
      </w:tr>
      <w:tr>
        <w:trPr>
          <w:trHeight w:val="280" w:hRule="exact"/>
        </w:trPr>
        <w:tc>
          <w:tcPr>
            <w:tcW w:w="5493" w:type="dxa"/>
          </w:tcPr>
          <w:p>
            <w:pPr>
              <w:pStyle w:val="TableParagraph"/>
              <w:spacing w:before="62"/>
              <w:ind w:left="50"/>
              <w:jc w:val="left"/>
              <w:rPr>
                <w:sz w:val="18"/>
              </w:rPr>
            </w:pPr>
            <w:r>
              <w:rPr>
                <w:color w:val="231F20"/>
                <w:sz w:val="18"/>
              </w:rPr>
              <w:t>French Credit Agreements due 2012 . . . . . . . . . . . . . . . . . . . . . . . . . . . . . . </w:t>
            </w:r>
          </w:p>
        </w:tc>
        <w:tc>
          <w:tcPr>
            <w:tcW w:w="1577" w:type="dxa"/>
            <w:tcBorders>
              <w:top w:val="single" w:sz="8" w:space="0" w:color="231F20"/>
            </w:tcBorders>
          </w:tcPr>
          <w:p>
            <w:pPr>
              <w:pStyle w:val="TableParagraph"/>
              <w:tabs>
                <w:tab w:pos="1267" w:val="left" w:leader="none"/>
              </w:tabs>
              <w:spacing w:before="52"/>
              <w:ind w:left="77"/>
              <w:jc w:val="left"/>
              <w:rPr>
                <w:sz w:val="18"/>
              </w:rPr>
            </w:pPr>
            <w:r>
              <w:rPr>
                <w:color w:val="231F20"/>
                <w:sz w:val="18"/>
              </w:rPr>
              <w:t>$</w:t>
              <w:tab/>
              <w:t>—</w:t>
            </w:r>
          </w:p>
        </w:tc>
        <w:tc>
          <w:tcPr>
            <w:tcW w:w="200" w:type="dxa"/>
          </w:tcPr>
          <w:p>
            <w:pPr/>
          </w:p>
        </w:tc>
        <w:tc>
          <w:tcPr>
            <w:tcW w:w="1500" w:type="dxa"/>
            <w:tcBorders>
              <w:top w:val="single" w:sz="8" w:space="0" w:color="231F20"/>
            </w:tcBorders>
          </w:tcPr>
          <w:p>
            <w:pPr>
              <w:pStyle w:val="TableParagraph"/>
              <w:tabs>
                <w:tab w:pos="1369" w:val="left" w:leader="none"/>
              </w:tabs>
              <w:spacing w:before="52"/>
              <w:ind w:right="38"/>
              <w:rPr>
                <w:sz w:val="18"/>
              </w:rPr>
            </w:pPr>
            <w:r>
              <w:rPr>
                <w:color w:val="231F20"/>
                <w:sz w:val="18"/>
              </w:rPr>
              <w:t>$</w:t>
              <w:tab/>
              <w:t>7</w:t>
            </w:r>
          </w:p>
        </w:tc>
      </w:tr>
      <w:tr>
        <w:trPr>
          <w:trHeight w:val="220" w:hRule="exact"/>
        </w:trPr>
        <w:tc>
          <w:tcPr>
            <w:tcW w:w="5493" w:type="dxa"/>
          </w:tcPr>
          <w:p>
            <w:pPr>
              <w:pStyle w:val="TableParagraph"/>
              <w:spacing w:before="1"/>
              <w:ind w:left="50"/>
              <w:jc w:val="left"/>
              <w:rPr>
                <w:sz w:val="18"/>
              </w:rPr>
            </w:pPr>
            <w:r>
              <w:rPr>
                <w:color w:val="231F20"/>
                <w:sz w:val="18"/>
              </w:rPr>
              <w:t>6.5% Notes due 2012   . . . . . . . . . . . . . . . . . . . . . . . . . . . . . . . . . . . . . . . . . </w:t>
            </w:r>
          </w:p>
        </w:tc>
        <w:tc>
          <w:tcPr>
            <w:tcW w:w="1577" w:type="dxa"/>
          </w:tcPr>
          <w:p>
            <w:pPr>
              <w:pStyle w:val="TableParagraph"/>
              <w:spacing w:before="1"/>
              <w:ind w:right="129"/>
              <w:rPr>
                <w:sz w:val="18"/>
              </w:rPr>
            </w:pPr>
            <w:r>
              <w:rPr>
                <w:color w:val="231F20"/>
                <w:sz w:val="18"/>
              </w:rPr>
              <w:t>—</w:t>
            </w:r>
          </w:p>
        </w:tc>
        <w:tc>
          <w:tcPr>
            <w:tcW w:w="200" w:type="dxa"/>
          </w:tcPr>
          <w:p>
            <w:pPr/>
          </w:p>
        </w:tc>
        <w:tc>
          <w:tcPr>
            <w:tcW w:w="1500" w:type="dxa"/>
          </w:tcPr>
          <w:p>
            <w:pPr>
              <w:pStyle w:val="TableParagraph"/>
              <w:spacing w:before="1"/>
              <w:ind w:right="38"/>
              <w:rPr>
                <w:sz w:val="18"/>
              </w:rPr>
            </w:pPr>
            <w:r>
              <w:rPr>
                <w:color w:val="231F20"/>
                <w:sz w:val="18"/>
              </w:rPr>
              <w:t>387</w:t>
            </w:r>
          </w:p>
        </w:tc>
      </w:tr>
      <w:tr>
        <w:trPr>
          <w:trHeight w:val="220" w:hRule="exact"/>
        </w:trPr>
        <w:tc>
          <w:tcPr>
            <w:tcW w:w="5493" w:type="dxa"/>
          </w:tcPr>
          <w:p>
            <w:pPr>
              <w:pStyle w:val="TableParagraph"/>
              <w:spacing w:before="1"/>
              <w:ind w:left="50"/>
              <w:jc w:val="left"/>
              <w:rPr>
                <w:sz w:val="18"/>
              </w:rPr>
            </w:pPr>
            <w:r>
              <w:rPr>
                <w:color w:val="231F20"/>
                <w:sz w:val="18"/>
              </w:rPr>
              <w:t>5.25% Notes due 2014   . . . . . . . . . . . . . . . . . . . . . . . . . . . . . . . . . . . . . . . . </w:t>
            </w:r>
          </w:p>
        </w:tc>
        <w:tc>
          <w:tcPr>
            <w:tcW w:w="1577" w:type="dxa"/>
          </w:tcPr>
          <w:p>
            <w:pPr>
              <w:pStyle w:val="TableParagraph"/>
              <w:spacing w:before="1"/>
              <w:ind w:right="39"/>
              <w:rPr>
                <w:sz w:val="18"/>
              </w:rPr>
            </w:pPr>
            <w:r>
              <w:rPr>
                <w:color w:val="231F20"/>
                <w:sz w:val="18"/>
              </w:rPr>
              <w:t>366</w:t>
            </w:r>
          </w:p>
        </w:tc>
        <w:tc>
          <w:tcPr>
            <w:tcW w:w="200" w:type="dxa"/>
          </w:tcPr>
          <w:p>
            <w:pPr/>
          </w:p>
        </w:tc>
        <w:tc>
          <w:tcPr>
            <w:tcW w:w="1500" w:type="dxa"/>
          </w:tcPr>
          <w:p>
            <w:pPr>
              <w:pStyle w:val="TableParagraph"/>
              <w:spacing w:before="1"/>
              <w:ind w:right="38"/>
              <w:rPr>
                <w:sz w:val="18"/>
              </w:rPr>
            </w:pPr>
            <w:r>
              <w:rPr>
                <w:color w:val="231F20"/>
                <w:sz w:val="18"/>
              </w:rPr>
              <w:t>375</w:t>
            </w:r>
          </w:p>
        </w:tc>
      </w:tr>
      <w:tr>
        <w:trPr>
          <w:trHeight w:val="220" w:hRule="exact"/>
        </w:trPr>
        <w:tc>
          <w:tcPr>
            <w:tcW w:w="5493" w:type="dxa"/>
          </w:tcPr>
          <w:p>
            <w:pPr>
              <w:pStyle w:val="TableParagraph"/>
              <w:spacing w:before="1"/>
              <w:ind w:left="50"/>
              <w:jc w:val="left"/>
              <w:rPr>
                <w:sz w:val="18"/>
              </w:rPr>
            </w:pPr>
            <w:r>
              <w:rPr>
                <w:color w:val="231F20"/>
                <w:sz w:val="18"/>
              </w:rPr>
              <w:t>5.75% Notes due 2016   . . . . . . . . . . . . . . . . . . . . . . . . . . . . . . . . . . . . . . . . </w:t>
            </w:r>
          </w:p>
        </w:tc>
        <w:tc>
          <w:tcPr>
            <w:tcW w:w="1577" w:type="dxa"/>
          </w:tcPr>
          <w:p>
            <w:pPr>
              <w:pStyle w:val="TableParagraph"/>
              <w:spacing w:before="1"/>
              <w:ind w:right="39"/>
              <w:rPr>
                <w:sz w:val="18"/>
              </w:rPr>
            </w:pPr>
            <w:r>
              <w:rPr>
                <w:color w:val="231F20"/>
                <w:sz w:val="18"/>
              </w:rPr>
              <w:t>331</w:t>
            </w:r>
          </w:p>
        </w:tc>
        <w:tc>
          <w:tcPr>
            <w:tcW w:w="200" w:type="dxa"/>
          </w:tcPr>
          <w:p>
            <w:pPr/>
          </w:p>
        </w:tc>
        <w:tc>
          <w:tcPr>
            <w:tcW w:w="1500" w:type="dxa"/>
          </w:tcPr>
          <w:p>
            <w:pPr>
              <w:pStyle w:val="TableParagraph"/>
              <w:spacing w:before="1"/>
              <w:ind w:right="38"/>
              <w:rPr>
                <w:sz w:val="18"/>
              </w:rPr>
            </w:pPr>
            <w:r>
              <w:rPr>
                <w:color w:val="231F20"/>
                <w:sz w:val="18"/>
              </w:rPr>
              <w:t>329</w:t>
            </w:r>
          </w:p>
        </w:tc>
      </w:tr>
      <w:tr>
        <w:trPr>
          <w:trHeight w:val="220" w:hRule="exact"/>
        </w:trPr>
        <w:tc>
          <w:tcPr>
            <w:tcW w:w="5493" w:type="dxa"/>
          </w:tcPr>
          <w:p>
            <w:pPr>
              <w:pStyle w:val="TableParagraph"/>
              <w:spacing w:before="1"/>
              <w:ind w:left="50"/>
              <w:jc w:val="left"/>
              <w:rPr>
                <w:sz w:val="18"/>
              </w:rPr>
            </w:pPr>
            <w:r>
              <w:rPr>
                <w:color w:val="231F20"/>
                <w:sz w:val="18"/>
              </w:rPr>
              <w:t>5.25% Convertible Senior Notes due 2016 . . . . . . . . . . . . . . . . . . . . . . . . . </w:t>
            </w:r>
          </w:p>
        </w:tc>
        <w:tc>
          <w:tcPr>
            <w:tcW w:w="1577" w:type="dxa"/>
          </w:tcPr>
          <w:p>
            <w:pPr>
              <w:pStyle w:val="TableParagraph"/>
              <w:spacing w:before="1"/>
              <w:ind w:right="39"/>
              <w:rPr>
                <w:sz w:val="18"/>
              </w:rPr>
            </w:pPr>
            <w:r>
              <w:rPr>
                <w:color w:val="231F20"/>
                <w:sz w:val="18"/>
              </w:rPr>
              <w:t>117</w:t>
            </w:r>
          </w:p>
        </w:tc>
        <w:tc>
          <w:tcPr>
            <w:tcW w:w="200" w:type="dxa"/>
          </w:tcPr>
          <w:p>
            <w:pPr/>
          </w:p>
        </w:tc>
        <w:tc>
          <w:tcPr>
            <w:tcW w:w="1500" w:type="dxa"/>
          </w:tcPr>
          <w:p>
            <w:pPr>
              <w:pStyle w:val="TableParagraph"/>
              <w:spacing w:before="1"/>
              <w:ind w:right="38"/>
              <w:rPr>
                <w:sz w:val="18"/>
              </w:rPr>
            </w:pPr>
            <w:r>
              <w:rPr>
                <w:color w:val="231F20"/>
                <w:sz w:val="18"/>
              </w:rPr>
              <w:t>118</w:t>
            </w:r>
          </w:p>
        </w:tc>
      </w:tr>
      <w:tr>
        <w:trPr>
          <w:trHeight w:val="220" w:hRule="exact"/>
        </w:trPr>
        <w:tc>
          <w:tcPr>
            <w:tcW w:w="5493" w:type="dxa"/>
          </w:tcPr>
          <w:p>
            <w:pPr>
              <w:pStyle w:val="TableParagraph"/>
              <w:spacing w:before="1"/>
              <w:ind w:left="50"/>
              <w:jc w:val="left"/>
              <w:rPr>
                <w:sz w:val="18"/>
              </w:rPr>
            </w:pPr>
            <w:r>
              <w:rPr>
                <w:color w:val="231F20"/>
                <w:sz w:val="18"/>
              </w:rPr>
              <w:t>5.125% Notes due 2017   . . . . . . . . . . . . . . . . . . . . . . . . . . . . . . . . . . . . . . . </w:t>
            </w:r>
          </w:p>
        </w:tc>
        <w:tc>
          <w:tcPr>
            <w:tcW w:w="1577" w:type="dxa"/>
          </w:tcPr>
          <w:p>
            <w:pPr>
              <w:pStyle w:val="TableParagraph"/>
              <w:spacing w:before="1"/>
              <w:ind w:right="39"/>
              <w:rPr>
                <w:sz w:val="18"/>
              </w:rPr>
            </w:pPr>
            <w:r>
              <w:rPr>
                <w:color w:val="231F20"/>
                <w:sz w:val="18"/>
              </w:rPr>
              <w:t>329</w:t>
            </w:r>
          </w:p>
        </w:tc>
        <w:tc>
          <w:tcPr>
            <w:tcW w:w="200" w:type="dxa"/>
          </w:tcPr>
          <w:p>
            <w:pPr/>
          </w:p>
        </w:tc>
        <w:tc>
          <w:tcPr>
            <w:tcW w:w="1500" w:type="dxa"/>
          </w:tcPr>
          <w:p>
            <w:pPr>
              <w:pStyle w:val="TableParagraph"/>
              <w:spacing w:before="1"/>
              <w:ind w:right="38"/>
              <w:rPr>
                <w:sz w:val="18"/>
              </w:rPr>
            </w:pPr>
            <w:r>
              <w:rPr>
                <w:color w:val="231F20"/>
                <w:sz w:val="18"/>
              </w:rPr>
              <w:t>336</w:t>
            </w:r>
          </w:p>
        </w:tc>
      </w:tr>
      <w:tr>
        <w:trPr>
          <w:trHeight w:val="220" w:hRule="exact"/>
        </w:trPr>
        <w:tc>
          <w:tcPr>
            <w:tcW w:w="5493" w:type="dxa"/>
          </w:tcPr>
          <w:p>
            <w:pPr>
              <w:pStyle w:val="TableParagraph"/>
              <w:spacing w:before="1"/>
              <w:ind w:left="50"/>
              <w:jc w:val="left"/>
              <w:rPr>
                <w:sz w:val="18"/>
              </w:rPr>
            </w:pPr>
            <w:r>
              <w:rPr>
                <w:color w:val="231F20"/>
                <w:sz w:val="18"/>
              </w:rPr>
              <w:t>Fixed-rate 717 Aircraft Notes payable through 2017—10.36%  . . . . . . . . . </w:t>
            </w:r>
          </w:p>
        </w:tc>
        <w:tc>
          <w:tcPr>
            <w:tcW w:w="1577" w:type="dxa"/>
          </w:tcPr>
          <w:p>
            <w:pPr>
              <w:pStyle w:val="TableParagraph"/>
              <w:spacing w:before="1"/>
              <w:ind w:right="39"/>
              <w:rPr>
                <w:sz w:val="18"/>
              </w:rPr>
            </w:pPr>
            <w:r>
              <w:rPr>
                <w:color w:val="231F20"/>
                <w:sz w:val="18"/>
              </w:rPr>
              <w:t>57</w:t>
            </w:r>
          </w:p>
        </w:tc>
        <w:tc>
          <w:tcPr>
            <w:tcW w:w="200" w:type="dxa"/>
          </w:tcPr>
          <w:p>
            <w:pPr/>
          </w:p>
        </w:tc>
        <w:tc>
          <w:tcPr>
            <w:tcW w:w="1500" w:type="dxa"/>
          </w:tcPr>
          <w:p>
            <w:pPr>
              <w:pStyle w:val="TableParagraph"/>
              <w:spacing w:before="1"/>
              <w:ind w:right="38"/>
              <w:rPr>
                <w:sz w:val="18"/>
              </w:rPr>
            </w:pPr>
            <w:r>
              <w:rPr>
                <w:color w:val="231F20"/>
                <w:sz w:val="18"/>
              </w:rPr>
              <w:t>67</w:t>
            </w:r>
          </w:p>
        </w:tc>
      </w:tr>
      <w:tr>
        <w:trPr>
          <w:trHeight w:val="220" w:hRule="exact"/>
        </w:trPr>
        <w:tc>
          <w:tcPr>
            <w:tcW w:w="5493" w:type="dxa"/>
          </w:tcPr>
          <w:p>
            <w:pPr>
              <w:pStyle w:val="TableParagraph"/>
              <w:spacing w:before="1"/>
              <w:ind w:left="50"/>
              <w:jc w:val="left"/>
              <w:rPr>
                <w:sz w:val="18"/>
              </w:rPr>
            </w:pPr>
            <w:r>
              <w:rPr>
                <w:color w:val="231F20"/>
                <w:sz w:val="18"/>
              </w:rPr>
              <w:t>French Credit Agreements due 2018—1.21%   . . . . . . . . . . . . . . . . . . . . . . </w:t>
            </w:r>
          </w:p>
        </w:tc>
        <w:tc>
          <w:tcPr>
            <w:tcW w:w="1577" w:type="dxa"/>
          </w:tcPr>
          <w:p>
            <w:pPr>
              <w:pStyle w:val="TableParagraph"/>
              <w:spacing w:before="1"/>
              <w:ind w:right="39"/>
              <w:rPr>
                <w:sz w:val="18"/>
              </w:rPr>
            </w:pPr>
            <w:r>
              <w:rPr>
                <w:color w:val="231F20"/>
                <w:sz w:val="18"/>
              </w:rPr>
              <w:t>56</w:t>
            </w:r>
          </w:p>
        </w:tc>
        <w:tc>
          <w:tcPr>
            <w:tcW w:w="200" w:type="dxa"/>
          </w:tcPr>
          <w:p>
            <w:pPr/>
          </w:p>
        </w:tc>
        <w:tc>
          <w:tcPr>
            <w:tcW w:w="1500" w:type="dxa"/>
          </w:tcPr>
          <w:p>
            <w:pPr>
              <w:pStyle w:val="TableParagraph"/>
              <w:spacing w:before="1"/>
              <w:ind w:right="38"/>
              <w:rPr>
                <w:sz w:val="18"/>
              </w:rPr>
            </w:pPr>
            <w:r>
              <w:rPr>
                <w:color w:val="231F20"/>
                <w:sz w:val="18"/>
              </w:rPr>
              <w:t>64</w:t>
            </w:r>
          </w:p>
        </w:tc>
      </w:tr>
      <w:tr>
        <w:trPr>
          <w:trHeight w:val="220" w:hRule="exact"/>
        </w:trPr>
        <w:tc>
          <w:tcPr>
            <w:tcW w:w="5493" w:type="dxa"/>
          </w:tcPr>
          <w:p>
            <w:pPr>
              <w:pStyle w:val="TableParagraph"/>
              <w:spacing w:before="1"/>
              <w:ind w:left="50"/>
              <w:jc w:val="left"/>
              <w:rPr>
                <w:sz w:val="18"/>
              </w:rPr>
            </w:pPr>
            <w:r>
              <w:rPr>
                <w:color w:val="231F20"/>
                <w:sz w:val="18"/>
              </w:rPr>
              <w:t>Fixed-rate 737 Aircraft Notes payable through 2018—7.02%  . . . . . . . . . . </w:t>
            </w:r>
          </w:p>
        </w:tc>
        <w:tc>
          <w:tcPr>
            <w:tcW w:w="1577" w:type="dxa"/>
          </w:tcPr>
          <w:p>
            <w:pPr>
              <w:pStyle w:val="TableParagraph"/>
              <w:spacing w:before="1"/>
              <w:ind w:right="39"/>
              <w:rPr>
                <w:sz w:val="18"/>
              </w:rPr>
            </w:pPr>
            <w:r>
              <w:rPr>
                <w:color w:val="231F20"/>
                <w:sz w:val="18"/>
              </w:rPr>
              <w:t>36</w:t>
            </w:r>
          </w:p>
        </w:tc>
        <w:tc>
          <w:tcPr>
            <w:tcW w:w="200" w:type="dxa"/>
          </w:tcPr>
          <w:p>
            <w:pPr/>
          </w:p>
        </w:tc>
        <w:tc>
          <w:tcPr>
            <w:tcW w:w="1500" w:type="dxa"/>
          </w:tcPr>
          <w:p>
            <w:pPr>
              <w:pStyle w:val="TableParagraph"/>
              <w:spacing w:before="1"/>
              <w:ind w:right="38"/>
              <w:rPr>
                <w:sz w:val="18"/>
              </w:rPr>
            </w:pPr>
            <w:r>
              <w:rPr>
                <w:color w:val="231F20"/>
                <w:sz w:val="18"/>
              </w:rPr>
              <w:t>42</w:t>
            </w:r>
          </w:p>
        </w:tc>
      </w:tr>
      <w:tr>
        <w:trPr>
          <w:trHeight w:val="220" w:hRule="exact"/>
        </w:trPr>
        <w:tc>
          <w:tcPr>
            <w:tcW w:w="5493" w:type="dxa"/>
          </w:tcPr>
          <w:p>
            <w:pPr>
              <w:pStyle w:val="TableParagraph"/>
              <w:spacing w:before="1"/>
              <w:ind w:left="50"/>
              <w:jc w:val="left"/>
              <w:rPr>
                <w:sz w:val="18"/>
              </w:rPr>
            </w:pPr>
            <w:r>
              <w:rPr>
                <w:color w:val="231F20"/>
                <w:sz w:val="18"/>
              </w:rPr>
              <w:t>Term Loan Agreement due 2019—6.315%  . . . . . . . . . . . . . . . . . . . . . . . . </w:t>
            </w:r>
          </w:p>
        </w:tc>
        <w:tc>
          <w:tcPr>
            <w:tcW w:w="1577" w:type="dxa"/>
          </w:tcPr>
          <w:p>
            <w:pPr>
              <w:pStyle w:val="TableParagraph"/>
              <w:spacing w:before="1"/>
              <w:ind w:right="39"/>
              <w:rPr>
                <w:sz w:val="18"/>
              </w:rPr>
            </w:pPr>
            <w:r>
              <w:rPr>
                <w:color w:val="231F20"/>
                <w:sz w:val="18"/>
              </w:rPr>
              <w:t>241</w:t>
            </w:r>
          </w:p>
        </w:tc>
        <w:tc>
          <w:tcPr>
            <w:tcW w:w="200" w:type="dxa"/>
          </w:tcPr>
          <w:p>
            <w:pPr/>
          </w:p>
        </w:tc>
        <w:tc>
          <w:tcPr>
            <w:tcW w:w="1500" w:type="dxa"/>
          </w:tcPr>
          <w:p>
            <w:pPr>
              <w:pStyle w:val="TableParagraph"/>
              <w:spacing w:before="1"/>
              <w:ind w:right="38"/>
              <w:rPr>
                <w:sz w:val="18"/>
              </w:rPr>
            </w:pPr>
            <w:r>
              <w:rPr>
                <w:color w:val="231F20"/>
                <w:sz w:val="18"/>
              </w:rPr>
              <w:t>269</w:t>
            </w:r>
          </w:p>
        </w:tc>
      </w:tr>
      <w:tr>
        <w:trPr>
          <w:trHeight w:val="220" w:hRule="exact"/>
        </w:trPr>
        <w:tc>
          <w:tcPr>
            <w:tcW w:w="5493" w:type="dxa"/>
          </w:tcPr>
          <w:p>
            <w:pPr>
              <w:pStyle w:val="TableParagraph"/>
              <w:spacing w:before="1"/>
              <w:ind w:left="50"/>
              <w:jc w:val="left"/>
              <w:rPr>
                <w:sz w:val="18"/>
              </w:rPr>
            </w:pPr>
            <w:r>
              <w:rPr>
                <w:color w:val="231F20"/>
                <w:sz w:val="18"/>
              </w:rPr>
              <w:t>Term Loan Agreement due 2019—6.84%  . . . . . . . . . . . . . . . . . . . . . . . . . </w:t>
            </w:r>
          </w:p>
        </w:tc>
        <w:tc>
          <w:tcPr>
            <w:tcW w:w="1577" w:type="dxa"/>
          </w:tcPr>
          <w:p>
            <w:pPr>
              <w:pStyle w:val="TableParagraph"/>
              <w:spacing w:before="1"/>
              <w:ind w:right="39"/>
              <w:rPr>
                <w:sz w:val="18"/>
              </w:rPr>
            </w:pPr>
            <w:r>
              <w:rPr>
                <w:color w:val="231F20"/>
                <w:sz w:val="18"/>
              </w:rPr>
              <w:t>95</w:t>
            </w:r>
          </w:p>
        </w:tc>
        <w:tc>
          <w:tcPr>
            <w:tcW w:w="200" w:type="dxa"/>
          </w:tcPr>
          <w:p>
            <w:pPr/>
          </w:p>
        </w:tc>
        <w:tc>
          <w:tcPr>
            <w:tcW w:w="1500" w:type="dxa"/>
          </w:tcPr>
          <w:p>
            <w:pPr>
              <w:pStyle w:val="TableParagraph"/>
              <w:spacing w:before="1"/>
              <w:ind w:right="38"/>
              <w:rPr>
                <w:sz w:val="18"/>
              </w:rPr>
            </w:pPr>
            <w:r>
              <w:rPr>
                <w:color w:val="231F20"/>
                <w:sz w:val="18"/>
              </w:rPr>
              <w:t>106</w:t>
            </w:r>
          </w:p>
        </w:tc>
      </w:tr>
      <w:tr>
        <w:trPr>
          <w:trHeight w:val="220" w:hRule="exact"/>
        </w:trPr>
        <w:tc>
          <w:tcPr>
            <w:tcW w:w="5493" w:type="dxa"/>
          </w:tcPr>
          <w:p>
            <w:pPr>
              <w:pStyle w:val="TableParagraph"/>
              <w:spacing w:before="1"/>
              <w:ind w:left="50"/>
              <w:jc w:val="left"/>
              <w:rPr>
                <w:sz w:val="18"/>
              </w:rPr>
            </w:pPr>
            <w:r>
              <w:rPr>
                <w:color w:val="231F20"/>
                <w:sz w:val="18"/>
              </w:rPr>
              <w:t>Term Loan Agreement due 2020—5.223%  . . . . . . . . . . . . . . . . . . . . . . . . </w:t>
            </w:r>
          </w:p>
        </w:tc>
        <w:tc>
          <w:tcPr>
            <w:tcW w:w="1577" w:type="dxa"/>
          </w:tcPr>
          <w:p>
            <w:pPr>
              <w:pStyle w:val="TableParagraph"/>
              <w:spacing w:before="1"/>
              <w:ind w:right="39"/>
              <w:rPr>
                <w:sz w:val="18"/>
              </w:rPr>
            </w:pPr>
            <w:r>
              <w:rPr>
                <w:color w:val="231F20"/>
                <w:sz w:val="18"/>
              </w:rPr>
              <w:t>451</w:t>
            </w:r>
          </w:p>
        </w:tc>
        <w:tc>
          <w:tcPr>
            <w:tcW w:w="200" w:type="dxa"/>
          </w:tcPr>
          <w:p>
            <w:pPr/>
          </w:p>
        </w:tc>
        <w:tc>
          <w:tcPr>
            <w:tcW w:w="1500" w:type="dxa"/>
          </w:tcPr>
          <w:p>
            <w:pPr>
              <w:pStyle w:val="TableParagraph"/>
              <w:spacing w:before="1"/>
              <w:ind w:right="38"/>
              <w:rPr>
                <w:sz w:val="18"/>
              </w:rPr>
            </w:pPr>
            <w:r>
              <w:rPr>
                <w:color w:val="231F20"/>
                <w:sz w:val="18"/>
              </w:rPr>
              <w:t>487</w:t>
            </w:r>
          </w:p>
        </w:tc>
      </w:tr>
      <w:tr>
        <w:trPr>
          <w:trHeight w:val="220" w:hRule="exact"/>
        </w:trPr>
        <w:tc>
          <w:tcPr>
            <w:tcW w:w="5493" w:type="dxa"/>
          </w:tcPr>
          <w:p>
            <w:pPr>
              <w:pStyle w:val="TableParagraph"/>
              <w:spacing w:before="1"/>
              <w:ind w:left="50"/>
              <w:jc w:val="left"/>
              <w:rPr>
                <w:sz w:val="18"/>
              </w:rPr>
            </w:pPr>
            <w:r>
              <w:rPr>
                <w:color w:val="231F20"/>
                <w:sz w:val="18"/>
              </w:rPr>
              <w:t>Floating-rate 737 Aircraft Notes payable through 2020  . . . . . . . . . . . . . . . </w:t>
            </w:r>
          </w:p>
        </w:tc>
        <w:tc>
          <w:tcPr>
            <w:tcW w:w="1577" w:type="dxa"/>
          </w:tcPr>
          <w:p>
            <w:pPr>
              <w:pStyle w:val="TableParagraph"/>
              <w:spacing w:before="1"/>
              <w:ind w:right="39"/>
              <w:rPr>
                <w:sz w:val="18"/>
              </w:rPr>
            </w:pPr>
            <w:r>
              <w:rPr>
                <w:color w:val="231F20"/>
                <w:sz w:val="18"/>
              </w:rPr>
              <w:t>527</w:t>
            </w:r>
          </w:p>
        </w:tc>
        <w:tc>
          <w:tcPr>
            <w:tcW w:w="200" w:type="dxa"/>
          </w:tcPr>
          <w:p>
            <w:pPr/>
          </w:p>
        </w:tc>
        <w:tc>
          <w:tcPr>
            <w:tcW w:w="1500" w:type="dxa"/>
          </w:tcPr>
          <w:p>
            <w:pPr>
              <w:pStyle w:val="TableParagraph"/>
              <w:spacing w:before="1"/>
              <w:ind w:right="38"/>
              <w:rPr>
                <w:sz w:val="18"/>
              </w:rPr>
            </w:pPr>
            <w:r>
              <w:rPr>
                <w:color w:val="231F20"/>
                <w:sz w:val="18"/>
              </w:rPr>
              <w:t>604</w:t>
            </w:r>
          </w:p>
        </w:tc>
      </w:tr>
      <w:tr>
        <w:trPr>
          <w:trHeight w:val="220" w:hRule="exact"/>
        </w:trPr>
        <w:tc>
          <w:tcPr>
            <w:tcW w:w="5493" w:type="dxa"/>
          </w:tcPr>
          <w:p>
            <w:pPr>
              <w:pStyle w:val="TableParagraph"/>
              <w:spacing w:before="1"/>
              <w:ind w:left="50"/>
              <w:jc w:val="left"/>
              <w:rPr>
                <w:sz w:val="18"/>
              </w:rPr>
            </w:pPr>
            <w:r>
              <w:rPr>
                <w:color w:val="231F20"/>
                <w:sz w:val="18"/>
              </w:rPr>
              <w:t>Pass Through Certificates due 2022—6.24%  . . . . . . . . . . . . . . . . . . . . . . . </w:t>
            </w:r>
          </w:p>
        </w:tc>
        <w:tc>
          <w:tcPr>
            <w:tcW w:w="1577" w:type="dxa"/>
          </w:tcPr>
          <w:p>
            <w:pPr>
              <w:pStyle w:val="TableParagraph"/>
              <w:spacing w:before="1"/>
              <w:ind w:right="39"/>
              <w:rPr>
                <w:sz w:val="18"/>
              </w:rPr>
            </w:pPr>
            <w:r>
              <w:rPr>
                <w:color w:val="231F20"/>
                <w:sz w:val="18"/>
              </w:rPr>
              <w:t>394</w:t>
            </w:r>
          </w:p>
        </w:tc>
        <w:tc>
          <w:tcPr>
            <w:tcW w:w="200" w:type="dxa"/>
          </w:tcPr>
          <w:p>
            <w:pPr/>
          </w:p>
        </w:tc>
        <w:tc>
          <w:tcPr>
            <w:tcW w:w="1500" w:type="dxa"/>
          </w:tcPr>
          <w:p>
            <w:pPr>
              <w:pStyle w:val="TableParagraph"/>
              <w:spacing w:before="1"/>
              <w:ind w:right="38"/>
              <w:rPr>
                <w:sz w:val="18"/>
              </w:rPr>
            </w:pPr>
            <w:r>
              <w:rPr>
                <w:color w:val="231F20"/>
                <w:sz w:val="18"/>
              </w:rPr>
              <w:t>411</w:t>
            </w:r>
          </w:p>
        </w:tc>
      </w:tr>
      <w:tr>
        <w:trPr>
          <w:trHeight w:val="220" w:hRule="exact"/>
        </w:trPr>
        <w:tc>
          <w:tcPr>
            <w:tcW w:w="5493" w:type="dxa"/>
          </w:tcPr>
          <w:p>
            <w:pPr>
              <w:pStyle w:val="TableParagraph"/>
              <w:spacing w:before="1"/>
              <w:ind w:left="50"/>
              <w:jc w:val="left"/>
              <w:rPr>
                <w:sz w:val="18"/>
              </w:rPr>
            </w:pPr>
            <w:r>
              <w:rPr>
                <w:color w:val="231F20"/>
                <w:sz w:val="18"/>
              </w:rPr>
              <w:t>7.375% Debentures due 2027  . . . . . . . . . . . . . . . . . . . . . . . . . . . . . . . . . . . </w:t>
            </w:r>
          </w:p>
        </w:tc>
        <w:tc>
          <w:tcPr>
            <w:tcW w:w="1577" w:type="dxa"/>
          </w:tcPr>
          <w:p>
            <w:pPr>
              <w:pStyle w:val="TableParagraph"/>
              <w:spacing w:before="1"/>
              <w:ind w:right="39"/>
              <w:rPr>
                <w:sz w:val="18"/>
              </w:rPr>
            </w:pPr>
            <w:r>
              <w:rPr>
                <w:color w:val="231F20"/>
                <w:sz w:val="18"/>
              </w:rPr>
              <w:t>138</w:t>
            </w:r>
          </w:p>
        </w:tc>
        <w:tc>
          <w:tcPr>
            <w:tcW w:w="200" w:type="dxa"/>
          </w:tcPr>
          <w:p>
            <w:pPr/>
          </w:p>
        </w:tc>
        <w:tc>
          <w:tcPr>
            <w:tcW w:w="1500" w:type="dxa"/>
          </w:tcPr>
          <w:p>
            <w:pPr>
              <w:pStyle w:val="TableParagraph"/>
              <w:spacing w:before="1"/>
              <w:ind w:right="38"/>
              <w:rPr>
                <w:sz w:val="18"/>
              </w:rPr>
            </w:pPr>
            <w:r>
              <w:rPr>
                <w:color w:val="231F20"/>
                <w:sz w:val="18"/>
              </w:rPr>
              <w:t>135</w:t>
            </w:r>
          </w:p>
        </w:tc>
      </w:tr>
      <w:tr>
        <w:trPr>
          <w:trHeight w:val="245" w:hRule="exact"/>
        </w:trPr>
        <w:tc>
          <w:tcPr>
            <w:tcW w:w="5493" w:type="dxa"/>
          </w:tcPr>
          <w:p>
            <w:pPr>
              <w:pStyle w:val="TableParagraph"/>
              <w:spacing w:before="1"/>
              <w:ind w:left="50"/>
              <w:jc w:val="left"/>
              <w:rPr>
                <w:sz w:val="18"/>
              </w:rPr>
            </w:pPr>
            <w:r>
              <w:rPr>
                <w:color w:val="231F20"/>
                <w:sz w:val="18"/>
              </w:rPr>
              <w:t>Capital leases (Note 8)   . . . . . . . . . . . . . . . . . . . . . . . . . . . . . . . . . . . . . . . . </w:t>
            </w:r>
          </w:p>
        </w:tc>
        <w:tc>
          <w:tcPr>
            <w:tcW w:w="1577" w:type="dxa"/>
            <w:tcBorders>
              <w:bottom w:val="single" w:sz="4" w:space="0" w:color="231F20"/>
            </w:tcBorders>
          </w:tcPr>
          <w:p>
            <w:pPr>
              <w:pStyle w:val="TableParagraph"/>
              <w:spacing w:before="1"/>
              <w:ind w:right="39"/>
              <w:rPr>
                <w:sz w:val="18"/>
              </w:rPr>
            </w:pPr>
            <w:r>
              <w:rPr>
                <w:color w:val="231F20"/>
                <w:sz w:val="18"/>
              </w:rPr>
              <w:t>37</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40</w:t>
            </w:r>
          </w:p>
        </w:tc>
      </w:tr>
      <w:tr>
        <w:trPr>
          <w:trHeight w:val="275" w:hRule="exact"/>
        </w:trPr>
        <w:tc>
          <w:tcPr>
            <w:tcW w:w="5493" w:type="dxa"/>
          </w:tcPr>
          <w:p>
            <w:pPr/>
          </w:p>
        </w:tc>
        <w:tc>
          <w:tcPr>
            <w:tcW w:w="1577" w:type="dxa"/>
            <w:tcBorders>
              <w:top w:val="single" w:sz="4" w:space="0" w:color="231F20"/>
            </w:tcBorders>
          </w:tcPr>
          <w:p>
            <w:pPr>
              <w:pStyle w:val="TableParagraph"/>
              <w:spacing w:before="52"/>
              <w:ind w:right="39"/>
              <w:rPr>
                <w:sz w:val="18"/>
              </w:rPr>
            </w:pPr>
            <w:r>
              <w:rPr>
                <w:color w:val="231F20"/>
                <w:sz w:val="18"/>
              </w:rPr>
              <w:t>3,175</w:t>
            </w:r>
          </w:p>
        </w:tc>
        <w:tc>
          <w:tcPr>
            <w:tcW w:w="200" w:type="dxa"/>
          </w:tcPr>
          <w:p>
            <w:pPr/>
          </w:p>
        </w:tc>
        <w:tc>
          <w:tcPr>
            <w:tcW w:w="1500" w:type="dxa"/>
            <w:tcBorders>
              <w:top w:val="single" w:sz="4" w:space="0" w:color="231F20"/>
            </w:tcBorders>
          </w:tcPr>
          <w:p>
            <w:pPr>
              <w:pStyle w:val="TableParagraph"/>
              <w:spacing w:before="52"/>
              <w:ind w:right="38"/>
              <w:rPr>
                <w:sz w:val="18"/>
              </w:rPr>
            </w:pPr>
            <w:r>
              <w:rPr>
                <w:color w:val="231F20"/>
                <w:sz w:val="18"/>
              </w:rPr>
              <w:t>3,777</w:t>
            </w:r>
          </w:p>
        </w:tc>
      </w:tr>
      <w:tr>
        <w:trPr>
          <w:trHeight w:val="220" w:hRule="exact"/>
        </w:trPr>
        <w:tc>
          <w:tcPr>
            <w:tcW w:w="5493" w:type="dxa"/>
          </w:tcPr>
          <w:p>
            <w:pPr>
              <w:pStyle w:val="TableParagraph"/>
              <w:spacing w:before="1"/>
              <w:ind w:left="50"/>
              <w:jc w:val="left"/>
              <w:rPr>
                <w:sz w:val="18"/>
              </w:rPr>
            </w:pPr>
            <w:r>
              <w:rPr>
                <w:color w:val="231F20"/>
                <w:sz w:val="18"/>
              </w:rPr>
              <w:t>Less current maturities   . . . . . . . . . . . . . . . . . . . . . . . . . . . . . . . . . . . . . . . . </w:t>
            </w:r>
          </w:p>
        </w:tc>
        <w:tc>
          <w:tcPr>
            <w:tcW w:w="1577" w:type="dxa"/>
          </w:tcPr>
          <w:p>
            <w:pPr>
              <w:pStyle w:val="TableParagraph"/>
              <w:spacing w:before="1"/>
              <w:ind w:right="39"/>
              <w:rPr>
                <w:sz w:val="18"/>
              </w:rPr>
            </w:pPr>
            <w:r>
              <w:rPr>
                <w:color w:val="231F20"/>
                <w:sz w:val="18"/>
              </w:rPr>
              <w:t>271</w:t>
            </w:r>
          </w:p>
        </w:tc>
        <w:tc>
          <w:tcPr>
            <w:tcW w:w="200" w:type="dxa"/>
          </w:tcPr>
          <w:p>
            <w:pPr/>
          </w:p>
        </w:tc>
        <w:tc>
          <w:tcPr>
            <w:tcW w:w="1500" w:type="dxa"/>
          </w:tcPr>
          <w:p>
            <w:pPr>
              <w:pStyle w:val="TableParagraph"/>
              <w:spacing w:before="1"/>
              <w:ind w:right="38"/>
              <w:rPr>
                <w:sz w:val="18"/>
              </w:rPr>
            </w:pPr>
            <w:r>
              <w:rPr>
                <w:color w:val="231F20"/>
                <w:sz w:val="18"/>
              </w:rPr>
              <w:t>644</w:t>
            </w:r>
          </w:p>
        </w:tc>
      </w:tr>
      <w:tr>
        <w:trPr>
          <w:trHeight w:val="245" w:hRule="exact"/>
        </w:trPr>
        <w:tc>
          <w:tcPr>
            <w:tcW w:w="5493" w:type="dxa"/>
          </w:tcPr>
          <w:p>
            <w:pPr>
              <w:pStyle w:val="TableParagraph"/>
              <w:spacing w:before="1"/>
              <w:ind w:left="50"/>
              <w:jc w:val="left"/>
              <w:rPr>
                <w:sz w:val="18"/>
              </w:rPr>
            </w:pPr>
            <w:r>
              <w:rPr>
                <w:color w:val="231F20"/>
                <w:sz w:val="18"/>
              </w:rPr>
              <w:t>Less debt discount and issuance costs . . . . . . . . . . . . . . . . . . . . . . . . . . . . . </w:t>
            </w:r>
          </w:p>
        </w:tc>
        <w:tc>
          <w:tcPr>
            <w:tcW w:w="1577" w:type="dxa"/>
            <w:tcBorders>
              <w:bottom w:val="single" w:sz="4" w:space="0" w:color="231F20"/>
            </w:tcBorders>
          </w:tcPr>
          <w:p>
            <w:pPr>
              <w:pStyle w:val="TableParagraph"/>
              <w:spacing w:before="1"/>
              <w:ind w:right="39"/>
              <w:rPr>
                <w:sz w:val="18"/>
              </w:rPr>
            </w:pPr>
            <w:r>
              <w:rPr>
                <w:color w:val="231F20"/>
                <w:sz w:val="18"/>
              </w:rPr>
              <w:t>21</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26</w:t>
            </w:r>
          </w:p>
        </w:tc>
      </w:tr>
      <w:tr>
        <w:trPr>
          <w:trHeight w:val="340" w:hRule="exact"/>
        </w:trPr>
        <w:tc>
          <w:tcPr>
            <w:tcW w:w="5493" w:type="dxa"/>
          </w:tcPr>
          <w:p>
            <w:pPr/>
          </w:p>
        </w:tc>
        <w:tc>
          <w:tcPr>
            <w:tcW w:w="1577" w:type="dxa"/>
            <w:tcBorders>
              <w:top w:val="single" w:sz="4" w:space="0" w:color="231F20"/>
              <w:bottom w:val="single" w:sz="4" w:space="0" w:color="231F20"/>
            </w:tcBorders>
          </w:tcPr>
          <w:p>
            <w:pPr>
              <w:pStyle w:val="TableParagraph"/>
              <w:tabs>
                <w:tab w:pos="1132" w:val="left" w:leader="none"/>
              </w:tabs>
              <w:spacing w:before="52"/>
              <w:ind w:left="77"/>
              <w:jc w:val="left"/>
              <w:rPr>
                <w:sz w:val="18"/>
              </w:rPr>
            </w:pPr>
            <w:r>
              <w:rPr>
                <w:color w:val="231F20"/>
                <w:sz w:val="18"/>
              </w:rPr>
              <w:t>$</w:t>
              <w:tab/>
              <w:t>2,883</w:t>
            </w:r>
          </w:p>
        </w:tc>
        <w:tc>
          <w:tcPr>
            <w:tcW w:w="200" w:type="dxa"/>
          </w:tcPr>
          <w:p>
            <w:pPr/>
          </w:p>
        </w:tc>
        <w:tc>
          <w:tcPr>
            <w:tcW w:w="1500"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3,107</w:t>
            </w:r>
          </w:p>
        </w:tc>
      </w:tr>
    </w:tbl>
    <w:p>
      <w:pPr>
        <w:spacing w:after="0"/>
        <w:rPr>
          <w:sz w:val="18"/>
        </w:rPr>
        <w:sectPr>
          <w:type w:val="continuous"/>
          <w:pgSz w:w="11880" w:h="15480"/>
          <w:pgMar w:top="1200" w:bottom="280" w:left="1220" w:right="1280"/>
        </w:sectPr>
      </w:pPr>
    </w:p>
    <w:p>
      <w:pPr>
        <w:pStyle w:val="Heading4"/>
        <w:spacing w:before="73"/>
        <w:rPr>
          <w:i/>
        </w:rPr>
      </w:pPr>
      <w:r>
        <w:rPr>
          <w:i/>
          <w:color w:val="231F20"/>
        </w:rPr>
        <w:t>AirTran Long-Term Debt</w:t>
      </w:r>
    </w:p>
    <w:p>
      <w:pPr>
        <w:pStyle w:val="BodyText"/>
        <w:spacing w:line="249" w:lineRule="auto" w:before="129"/>
        <w:ind w:left="100" w:right="601" w:firstLine="490"/>
      </w:pPr>
      <w:r>
        <w:rPr>
          <w:color w:val="231F20"/>
        </w:rPr>
        <w:t>AirTran Holdings previously entered into aircraft purchase financing facilities, under which a total of 29 aircraft were financed as of December 31, 2012.</w:t>
      </w:r>
    </w:p>
    <w:p>
      <w:pPr>
        <w:pStyle w:val="BodyText"/>
        <w:spacing w:before="10"/>
      </w:pPr>
    </w:p>
    <w:p>
      <w:pPr>
        <w:pStyle w:val="BodyText"/>
        <w:spacing w:line="249" w:lineRule="auto"/>
        <w:ind w:left="100" w:right="480" w:firstLine="490"/>
      </w:pPr>
      <w:r>
        <w:rPr>
          <w:color w:val="231F20"/>
        </w:rPr>
        <w:t>As of December 31, 2012, after prepaying one aircraft secured term loan during fourth quarter 2012, 26 Boeing 737 aircraft remain that were financed under floating-rate facilities. Each note is secured by a</w:t>
      </w:r>
      <w:r>
        <w:rPr>
          <w:color w:val="231F20"/>
          <w:spacing w:val="13"/>
        </w:rPr>
        <w:t> </w:t>
      </w:r>
      <w:r>
        <w:rPr>
          <w:color w:val="231F20"/>
        </w:rPr>
        <w:t>first</w:t>
      </w:r>
    </w:p>
    <w:p>
      <w:pPr>
        <w:pStyle w:val="BodyText"/>
        <w:spacing w:line="249" w:lineRule="auto"/>
        <w:ind w:left="100" w:right="140"/>
      </w:pPr>
      <w:r>
        <w:rPr>
          <w:color w:val="231F20"/>
        </w:rPr>
        <w:t>mortgage on the aircraft to which it relates. The notes bear interest at a floating rate per annum equal to a margin plus the three or six-month London Interbank Offered Rate (“LIBOR” or “LIBO rate”) in effect at the commencement of each semi-annual or three-month period, as applicable. As of December 31, 2012, the weighted average interest rate is 1.90 percent. Principal and interest under the notes are payable semi-annually or every three months as applicable. As of December 31, 2012, the remaining debt outstanding may be prepaid without penalty under all aircraft loans provided under such facilities with the exception of one aircraft loan.</w:t>
      </w:r>
    </w:p>
    <w:p>
      <w:pPr>
        <w:pStyle w:val="BodyText"/>
        <w:spacing w:line="249" w:lineRule="auto"/>
        <w:ind w:left="100" w:right="102"/>
      </w:pPr>
      <w:r>
        <w:rPr>
          <w:color w:val="231F20"/>
        </w:rPr>
        <w:t>Under the aircraft loan for such aircraft, the right to prepay without penalty commences on the third anniversary of the date such loan was made, or January 2013. The notes mature in years 2016 to 2020. As discussed further in Note 10, a portion of the above floating-rate debt has been effectively converted to a fixed rate via interest rate swap agreements which expire between 2016 and 2020. In January 2013, an additional aircraft secured term loan, in the amount of $20 million, was prepaid.</w:t>
      </w:r>
    </w:p>
    <w:p>
      <w:pPr>
        <w:pStyle w:val="BodyText"/>
        <w:spacing w:before="10"/>
      </w:pPr>
    </w:p>
    <w:p>
      <w:pPr>
        <w:pStyle w:val="BodyText"/>
        <w:spacing w:line="249" w:lineRule="auto"/>
        <w:ind w:left="100" w:right="202" w:firstLine="490"/>
      </w:pPr>
      <w:r>
        <w:rPr>
          <w:color w:val="231F20"/>
        </w:rPr>
        <w:t>As of December 31, 2012, three Boeing 737 aircraft were financed under a fixed-rate facility. Each note is secured by a first mortgage on the aircraft to which it relates. As of December 31, 2012, the weighted average interest rate is 7.02 percent. Payments of principal and interest under the notes are due semi-annually. The remaining debt outstanding may be prepaid without penalty. The notes mature in years 2016 to 2018.</w:t>
      </w:r>
    </w:p>
    <w:p>
      <w:pPr>
        <w:pStyle w:val="BodyText"/>
        <w:spacing w:line="249" w:lineRule="auto" w:before="120"/>
        <w:ind w:left="100" w:right="96" w:firstLine="490"/>
      </w:pPr>
      <w:r>
        <w:rPr>
          <w:color w:val="231F20"/>
        </w:rPr>
        <w:t>As of December 31, 2012, eight Boeing 717 aircraft were pledged as collateral for the obligations related to enhanced equipment trust certificates (EETCs). Principal and interest payments on the EETCs are due semi- annually through April 2017. The EETCs bear interest at a fixed rate of 10.36 percent.</w:t>
      </w:r>
    </w:p>
    <w:p>
      <w:pPr>
        <w:pStyle w:val="BodyText"/>
        <w:spacing w:before="10"/>
      </w:pPr>
    </w:p>
    <w:p>
      <w:pPr>
        <w:pStyle w:val="BodyText"/>
        <w:spacing w:line="249" w:lineRule="auto"/>
        <w:ind w:left="100" w:right="121" w:firstLine="490"/>
      </w:pPr>
      <w:r>
        <w:rPr>
          <w:color w:val="231F20"/>
        </w:rPr>
        <w:t>In October 2009, AirTran Holdings completed a public offering of $115 million of convertible senior notes due</w:t>
      </w:r>
      <w:r>
        <w:rPr>
          <w:color w:val="231F20"/>
          <w:spacing w:val="-11"/>
        </w:rPr>
        <w:t> </w:t>
      </w:r>
      <w:r>
        <w:rPr>
          <w:color w:val="231F20"/>
        </w:rPr>
        <w:t>in</w:t>
      </w:r>
      <w:r>
        <w:rPr>
          <w:color w:val="231F20"/>
          <w:spacing w:val="-11"/>
        </w:rPr>
        <w:t> </w:t>
      </w:r>
      <w:r>
        <w:rPr>
          <w:color w:val="231F20"/>
        </w:rPr>
        <w:t>2016.</w:t>
      </w:r>
      <w:r>
        <w:rPr>
          <w:color w:val="231F20"/>
          <w:spacing w:val="-11"/>
        </w:rPr>
        <w:t> </w:t>
      </w:r>
      <w:r>
        <w:rPr>
          <w:color w:val="231F20"/>
        </w:rPr>
        <w:t>Such</w:t>
      </w:r>
      <w:r>
        <w:rPr>
          <w:color w:val="231F20"/>
          <w:spacing w:val="-11"/>
        </w:rPr>
        <w:t> </w:t>
      </w:r>
      <w:r>
        <w:rPr>
          <w:color w:val="231F20"/>
        </w:rPr>
        <w:t>notes</w:t>
      </w:r>
      <w:r>
        <w:rPr>
          <w:color w:val="231F20"/>
          <w:spacing w:val="-11"/>
        </w:rPr>
        <w:t> </w:t>
      </w:r>
      <w:r>
        <w:rPr>
          <w:color w:val="231F20"/>
        </w:rPr>
        <w:t>bear</w:t>
      </w:r>
      <w:r>
        <w:rPr>
          <w:color w:val="231F20"/>
          <w:spacing w:val="-11"/>
        </w:rPr>
        <w:t> </w:t>
      </w:r>
      <w:r>
        <w:rPr>
          <w:color w:val="231F20"/>
        </w:rPr>
        <w:t>interest</w:t>
      </w:r>
      <w:r>
        <w:rPr>
          <w:color w:val="231F20"/>
          <w:spacing w:val="-11"/>
        </w:rPr>
        <w:t> </w:t>
      </w:r>
      <w:r>
        <w:rPr>
          <w:color w:val="231F20"/>
        </w:rPr>
        <w:t>at</w:t>
      </w:r>
      <w:r>
        <w:rPr>
          <w:color w:val="231F20"/>
          <w:spacing w:val="-11"/>
        </w:rPr>
        <w:t> </w:t>
      </w:r>
      <w:r>
        <w:rPr>
          <w:color w:val="231F20"/>
        </w:rPr>
        <w:t>5.25</w:t>
      </w:r>
      <w:r>
        <w:rPr>
          <w:color w:val="231F20"/>
          <w:spacing w:val="-11"/>
        </w:rPr>
        <w:t> </w:t>
      </w:r>
      <w:r>
        <w:rPr>
          <w:color w:val="231F20"/>
        </w:rPr>
        <w:t>percent</w:t>
      </w:r>
      <w:r>
        <w:rPr>
          <w:color w:val="231F20"/>
          <w:spacing w:val="-11"/>
        </w:rPr>
        <w:t> </w:t>
      </w:r>
      <w:r>
        <w:rPr>
          <w:color w:val="231F20"/>
        </w:rPr>
        <w:t>payable</w:t>
      </w:r>
      <w:r>
        <w:rPr>
          <w:color w:val="231F20"/>
          <w:spacing w:val="-11"/>
        </w:rPr>
        <w:t> </w:t>
      </w:r>
      <w:r>
        <w:rPr>
          <w:color w:val="231F20"/>
        </w:rPr>
        <w:t>semi-annually,</w:t>
      </w:r>
      <w:r>
        <w:rPr>
          <w:color w:val="231F20"/>
          <w:spacing w:val="-11"/>
        </w:rPr>
        <w:t> </w:t>
      </w:r>
      <w:r>
        <w:rPr>
          <w:color w:val="231F20"/>
        </w:rPr>
        <w:t>in</w:t>
      </w:r>
      <w:r>
        <w:rPr>
          <w:color w:val="231F20"/>
          <w:spacing w:val="-11"/>
        </w:rPr>
        <w:t> </w:t>
      </w:r>
      <w:r>
        <w:rPr>
          <w:color w:val="231F20"/>
        </w:rPr>
        <w:t>arrears,</w:t>
      </w:r>
      <w:r>
        <w:rPr>
          <w:color w:val="231F20"/>
          <w:spacing w:val="-11"/>
        </w:rPr>
        <w:t> </w:t>
      </w:r>
      <w:r>
        <w:rPr>
          <w:color w:val="231F20"/>
        </w:rPr>
        <w:t>on</w:t>
      </w:r>
      <w:r>
        <w:rPr>
          <w:color w:val="231F20"/>
          <w:spacing w:val="-11"/>
        </w:rPr>
        <w:t> </w:t>
      </w:r>
      <w:r>
        <w:rPr>
          <w:color w:val="231F20"/>
        </w:rPr>
        <w:t>May</w:t>
      </w:r>
      <w:r>
        <w:rPr>
          <w:color w:val="231F20"/>
          <w:spacing w:val="-11"/>
        </w:rPr>
        <w:t> </w:t>
      </w:r>
      <w:r>
        <w:rPr>
          <w:color w:val="231F20"/>
        </w:rPr>
        <w:t>1</w:t>
      </w:r>
      <w:r>
        <w:rPr>
          <w:color w:val="231F20"/>
          <w:spacing w:val="-11"/>
        </w:rPr>
        <w:t> </w:t>
      </w:r>
      <w:r>
        <w:rPr>
          <w:color w:val="231F20"/>
        </w:rPr>
        <w:t>and</w:t>
      </w:r>
      <w:r>
        <w:rPr>
          <w:color w:val="231F20"/>
          <w:spacing w:val="-11"/>
        </w:rPr>
        <w:t> </w:t>
      </w:r>
      <w:r>
        <w:rPr>
          <w:color w:val="231F20"/>
        </w:rPr>
        <w:t>November</w:t>
      </w:r>
      <w:r>
        <w:rPr>
          <w:color w:val="231F20"/>
          <w:spacing w:val="-11"/>
        </w:rPr>
        <w:t> </w:t>
      </w:r>
      <w:r>
        <w:rPr>
          <w:color w:val="231F20"/>
        </w:rPr>
        <w:t>1. As a result of the acquisition and subsequent dividends declared by the Company, the convertible senior notes </w:t>
      </w:r>
      <w:r>
        <w:rPr>
          <w:color w:val="231F20"/>
          <w:spacing w:val="-2"/>
        </w:rPr>
        <w:t>are </w:t>
      </w:r>
      <w:r>
        <w:rPr>
          <w:color w:val="231F20"/>
        </w:rPr>
        <w:t>convertible into AirTran conversion units of 164.8461 per $1,000 in principal amount of such notes. Based on </w:t>
      </w:r>
      <w:r>
        <w:rPr>
          <w:color w:val="231F20"/>
          <w:spacing w:val="-2"/>
        </w:rPr>
        <w:t>the </w:t>
      </w:r>
      <w:r>
        <w:rPr>
          <w:color w:val="231F20"/>
        </w:rPr>
        <w:t>terms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merger</w:t>
      </w:r>
      <w:r>
        <w:rPr>
          <w:color w:val="231F20"/>
          <w:spacing w:val="-12"/>
        </w:rPr>
        <w:t> </w:t>
      </w:r>
      <w:r>
        <w:rPr>
          <w:color w:val="231F20"/>
        </w:rPr>
        <w:t>agreement,</w:t>
      </w:r>
      <w:r>
        <w:rPr>
          <w:color w:val="231F20"/>
          <w:spacing w:val="-12"/>
        </w:rPr>
        <w:t> </w:t>
      </w:r>
      <w:r>
        <w:rPr>
          <w:color w:val="231F20"/>
        </w:rPr>
        <w:t>the</w:t>
      </w:r>
      <w:r>
        <w:rPr>
          <w:color w:val="231F20"/>
          <w:spacing w:val="-12"/>
        </w:rPr>
        <w:t> </w:t>
      </w:r>
      <w:r>
        <w:rPr>
          <w:color w:val="231F20"/>
        </w:rPr>
        <w:t>holders</w:t>
      </w:r>
      <w:r>
        <w:rPr>
          <w:color w:val="231F20"/>
          <w:spacing w:val="-12"/>
        </w:rPr>
        <w:t> </w:t>
      </w:r>
      <w:r>
        <w:rPr>
          <w:color w:val="231F20"/>
        </w:rPr>
        <w:t>of</w:t>
      </w:r>
      <w:r>
        <w:rPr>
          <w:color w:val="231F20"/>
          <w:spacing w:val="-12"/>
        </w:rPr>
        <w:t> </w:t>
      </w:r>
      <w:r>
        <w:rPr>
          <w:color w:val="231F20"/>
        </w:rPr>
        <w:t>these</w:t>
      </w:r>
      <w:r>
        <w:rPr>
          <w:color w:val="231F20"/>
          <w:spacing w:val="-12"/>
        </w:rPr>
        <w:t> </w:t>
      </w:r>
      <w:r>
        <w:rPr>
          <w:color w:val="231F20"/>
        </w:rPr>
        <w:t>notes</w:t>
      </w:r>
      <w:r>
        <w:rPr>
          <w:color w:val="231F20"/>
          <w:spacing w:val="-12"/>
        </w:rPr>
        <w:t> </w:t>
      </w:r>
      <w:r>
        <w:rPr>
          <w:color w:val="231F20"/>
        </w:rPr>
        <w:t>would</w:t>
      </w:r>
      <w:r>
        <w:rPr>
          <w:color w:val="231F20"/>
          <w:spacing w:val="-12"/>
        </w:rPr>
        <w:t> </w:t>
      </w:r>
      <w:r>
        <w:rPr>
          <w:color w:val="231F20"/>
        </w:rPr>
        <w:t>receive</w:t>
      </w:r>
      <w:r>
        <w:rPr>
          <w:color w:val="231F20"/>
          <w:spacing w:val="-12"/>
        </w:rPr>
        <w:t> </w:t>
      </w:r>
      <w:r>
        <w:rPr>
          <w:color w:val="231F20"/>
        </w:rPr>
        <w:t>shares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common</w:t>
      </w:r>
      <w:r>
        <w:rPr>
          <w:color w:val="231F20"/>
          <w:spacing w:val="-12"/>
        </w:rPr>
        <w:t> </w:t>
      </w:r>
      <w:r>
        <w:rPr>
          <w:color w:val="231F20"/>
        </w:rPr>
        <w:t>stock</w:t>
      </w:r>
      <w:r>
        <w:rPr>
          <w:color w:val="231F20"/>
          <w:spacing w:val="-12"/>
        </w:rPr>
        <w:t> </w:t>
      </w:r>
      <w:r>
        <w:rPr>
          <w:color w:val="231F20"/>
        </w:rPr>
        <w:t>at a conversion rate of 52.9156 shares and $615.16 in cash per $1,000 in principal amount of such notes. This conversion</w:t>
      </w:r>
      <w:r>
        <w:rPr>
          <w:color w:val="231F20"/>
          <w:spacing w:val="-14"/>
        </w:rPr>
        <w:t> </w:t>
      </w:r>
      <w:r>
        <w:rPr>
          <w:color w:val="231F20"/>
        </w:rPr>
        <w:t>rate</w:t>
      </w:r>
      <w:r>
        <w:rPr>
          <w:color w:val="231F20"/>
          <w:spacing w:val="-14"/>
        </w:rPr>
        <w:t> </w:t>
      </w:r>
      <w:r>
        <w:rPr>
          <w:color w:val="231F20"/>
        </w:rPr>
        <w:t>is</w:t>
      </w:r>
      <w:r>
        <w:rPr>
          <w:color w:val="231F20"/>
          <w:spacing w:val="-14"/>
        </w:rPr>
        <w:t> </w:t>
      </w:r>
      <w:r>
        <w:rPr>
          <w:color w:val="231F20"/>
        </w:rPr>
        <w:t>subject</w:t>
      </w:r>
      <w:r>
        <w:rPr>
          <w:color w:val="231F20"/>
          <w:spacing w:val="-14"/>
        </w:rPr>
        <w:t> </w:t>
      </w:r>
      <w:r>
        <w:rPr>
          <w:color w:val="231F20"/>
        </w:rPr>
        <w:t>to</w:t>
      </w:r>
      <w:r>
        <w:rPr>
          <w:color w:val="231F20"/>
          <w:spacing w:val="-14"/>
        </w:rPr>
        <w:t> </w:t>
      </w:r>
      <w:r>
        <w:rPr>
          <w:color w:val="231F20"/>
        </w:rPr>
        <w:t>adjustment</w:t>
      </w:r>
      <w:r>
        <w:rPr>
          <w:color w:val="231F20"/>
          <w:spacing w:val="-14"/>
        </w:rPr>
        <w:t> </w:t>
      </w:r>
      <w:r>
        <w:rPr>
          <w:color w:val="231F20"/>
        </w:rPr>
        <w:t>under</w:t>
      </w:r>
      <w:r>
        <w:rPr>
          <w:color w:val="231F20"/>
          <w:spacing w:val="-14"/>
        </w:rPr>
        <w:t> </w:t>
      </w:r>
      <w:r>
        <w:rPr>
          <w:color w:val="231F20"/>
        </w:rPr>
        <w:t>certain</w:t>
      </w:r>
      <w:r>
        <w:rPr>
          <w:color w:val="231F20"/>
          <w:spacing w:val="-14"/>
        </w:rPr>
        <w:t> </w:t>
      </w:r>
      <w:r>
        <w:rPr>
          <w:color w:val="231F20"/>
        </w:rPr>
        <w:t>circumstances</w:t>
      </w:r>
      <w:r>
        <w:rPr>
          <w:color w:val="231F20"/>
          <w:spacing w:val="-14"/>
        </w:rPr>
        <w:t> </w:t>
      </w:r>
      <w:r>
        <w:rPr>
          <w:color w:val="231F20"/>
        </w:rPr>
        <w:t>such</w:t>
      </w:r>
      <w:r>
        <w:rPr>
          <w:color w:val="231F20"/>
          <w:spacing w:val="-14"/>
        </w:rPr>
        <w:t> </w:t>
      </w:r>
      <w:r>
        <w:rPr>
          <w:color w:val="231F20"/>
        </w:rPr>
        <w:t>as:</w:t>
      </w:r>
      <w:r>
        <w:rPr>
          <w:color w:val="231F20"/>
          <w:spacing w:val="-14"/>
        </w:rPr>
        <w:t> </w:t>
      </w:r>
      <w:r>
        <w:rPr>
          <w:color w:val="231F20"/>
        </w:rPr>
        <w:t>granting</w:t>
      </w:r>
      <w:r>
        <w:rPr>
          <w:color w:val="231F20"/>
          <w:spacing w:val="-14"/>
        </w:rPr>
        <w:t> </w:t>
      </w:r>
      <w:r>
        <w:rPr>
          <w:color w:val="231F20"/>
        </w:rPr>
        <w:t>of</w:t>
      </w:r>
      <w:r>
        <w:rPr>
          <w:color w:val="231F20"/>
          <w:spacing w:val="-14"/>
        </w:rPr>
        <w:t> </w:t>
      </w:r>
      <w:r>
        <w:rPr>
          <w:color w:val="231F20"/>
        </w:rPr>
        <w:t>stock</w:t>
      </w:r>
      <w:r>
        <w:rPr>
          <w:color w:val="231F20"/>
          <w:spacing w:val="-14"/>
        </w:rPr>
        <w:t> </w:t>
      </w:r>
      <w:r>
        <w:rPr>
          <w:color w:val="231F20"/>
        </w:rPr>
        <w:t>and</w:t>
      </w:r>
      <w:r>
        <w:rPr>
          <w:color w:val="231F20"/>
          <w:spacing w:val="-14"/>
        </w:rPr>
        <w:t> </w:t>
      </w:r>
      <w:r>
        <w:rPr>
          <w:color w:val="231F20"/>
        </w:rPr>
        <w:t>cash</w:t>
      </w:r>
      <w:r>
        <w:rPr>
          <w:color w:val="231F20"/>
          <w:spacing w:val="-14"/>
        </w:rPr>
        <w:t> </w:t>
      </w:r>
      <w:r>
        <w:rPr>
          <w:color w:val="231F20"/>
        </w:rPr>
        <w:t>dividends,</w:t>
      </w:r>
      <w:r>
        <w:rPr>
          <w:color w:val="231F20"/>
          <w:spacing w:val="-14"/>
        </w:rPr>
        <w:t> </w:t>
      </w:r>
      <w:r>
        <w:rPr>
          <w:color w:val="231F20"/>
        </w:rPr>
        <w:t>a make-whole</w:t>
      </w:r>
      <w:r>
        <w:rPr>
          <w:color w:val="231F20"/>
          <w:spacing w:val="-14"/>
        </w:rPr>
        <w:t> </w:t>
      </w:r>
      <w:r>
        <w:rPr>
          <w:color w:val="231F20"/>
        </w:rPr>
        <w:t>fundamental</w:t>
      </w:r>
      <w:r>
        <w:rPr>
          <w:color w:val="231F20"/>
          <w:spacing w:val="-14"/>
        </w:rPr>
        <w:t> </w:t>
      </w:r>
      <w:r>
        <w:rPr>
          <w:color w:val="231F20"/>
        </w:rPr>
        <w:t>change</w:t>
      </w:r>
      <w:r>
        <w:rPr>
          <w:color w:val="231F20"/>
          <w:spacing w:val="-14"/>
        </w:rPr>
        <w:t> </w:t>
      </w:r>
      <w:r>
        <w:rPr>
          <w:color w:val="231F20"/>
        </w:rPr>
        <w:t>of</w:t>
      </w:r>
      <w:r>
        <w:rPr>
          <w:color w:val="231F20"/>
          <w:spacing w:val="-14"/>
        </w:rPr>
        <w:t> </w:t>
      </w:r>
      <w:r>
        <w:rPr>
          <w:color w:val="231F20"/>
        </w:rPr>
        <w:t>ownership</w:t>
      </w:r>
      <w:r>
        <w:rPr>
          <w:color w:val="231F20"/>
          <w:spacing w:val="-14"/>
        </w:rPr>
        <w:t> </w:t>
      </w:r>
      <w:r>
        <w:rPr>
          <w:color w:val="231F20"/>
        </w:rPr>
        <w:t>provision,</w:t>
      </w:r>
      <w:r>
        <w:rPr>
          <w:color w:val="231F20"/>
          <w:spacing w:val="-14"/>
        </w:rPr>
        <w:t> </w:t>
      </w:r>
      <w:r>
        <w:rPr>
          <w:color w:val="231F20"/>
        </w:rPr>
        <w:t>the</w:t>
      </w:r>
      <w:r>
        <w:rPr>
          <w:color w:val="231F20"/>
          <w:spacing w:val="-14"/>
        </w:rPr>
        <w:t> </w:t>
      </w:r>
      <w:r>
        <w:rPr>
          <w:color w:val="231F20"/>
        </w:rPr>
        <w:t>issuance</w:t>
      </w:r>
      <w:r>
        <w:rPr>
          <w:color w:val="231F20"/>
          <w:spacing w:val="-14"/>
        </w:rPr>
        <w:t> </w:t>
      </w:r>
      <w:r>
        <w:rPr>
          <w:color w:val="231F20"/>
        </w:rPr>
        <w:t>of</w:t>
      </w:r>
      <w:r>
        <w:rPr>
          <w:color w:val="231F20"/>
          <w:spacing w:val="-14"/>
        </w:rPr>
        <w:t> </w:t>
      </w:r>
      <w:r>
        <w:rPr>
          <w:color w:val="231F20"/>
        </w:rPr>
        <w:t>rights</w:t>
      </w:r>
      <w:r>
        <w:rPr>
          <w:color w:val="231F20"/>
          <w:spacing w:val="-14"/>
        </w:rPr>
        <w:t> </w:t>
      </w:r>
      <w:r>
        <w:rPr>
          <w:color w:val="231F20"/>
        </w:rPr>
        <w:t>or</w:t>
      </w:r>
      <w:r>
        <w:rPr>
          <w:color w:val="231F20"/>
          <w:spacing w:val="-14"/>
        </w:rPr>
        <w:t> </w:t>
      </w:r>
      <w:r>
        <w:rPr>
          <w:color w:val="231F20"/>
        </w:rPr>
        <w:t>warrants,</w:t>
      </w:r>
      <w:r>
        <w:rPr>
          <w:color w:val="231F20"/>
          <w:spacing w:val="-14"/>
        </w:rPr>
        <w:t> </w:t>
      </w:r>
      <w:r>
        <w:rPr>
          <w:color w:val="231F20"/>
        </w:rPr>
        <w:t>and/or</w:t>
      </w:r>
      <w:r>
        <w:rPr>
          <w:color w:val="231F20"/>
          <w:spacing w:val="-14"/>
        </w:rPr>
        <w:t> </w:t>
      </w:r>
      <w:r>
        <w:rPr>
          <w:color w:val="231F20"/>
        </w:rPr>
        <w:t>a</w:t>
      </w:r>
      <w:r>
        <w:rPr>
          <w:color w:val="231F20"/>
          <w:spacing w:val="-14"/>
        </w:rPr>
        <w:t> </w:t>
      </w:r>
      <w:r>
        <w:rPr>
          <w:color w:val="231F20"/>
        </w:rPr>
        <w:t>distribution</w:t>
      </w:r>
      <w:r>
        <w:rPr>
          <w:color w:val="231F20"/>
          <w:spacing w:val="-14"/>
        </w:rPr>
        <w:t> </w:t>
      </w:r>
      <w:r>
        <w:rPr>
          <w:color w:val="231F20"/>
        </w:rPr>
        <w:t>of capital</w:t>
      </w:r>
      <w:r>
        <w:rPr>
          <w:color w:val="231F20"/>
          <w:spacing w:val="-13"/>
        </w:rPr>
        <w:t> </w:t>
      </w:r>
      <w:r>
        <w:rPr>
          <w:color w:val="231F20"/>
        </w:rPr>
        <w:t>stock.</w:t>
      </w:r>
      <w:r>
        <w:rPr>
          <w:color w:val="231F20"/>
          <w:spacing w:val="-13"/>
        </w:rPr>
        <w:t> </w:t>
      </w:r>
      <w:r>
        <w:rPr>
          <w:color w:val="231F20"/>
        </w:rPr>
        <w:t>Subsequent</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acquisition,</w:t>
      </w:r>
      <w:r>
        <w:rPr>
          <w:color w:val="231F20"/>
          <w:spacing w:val="-13"/>
        </w:rPr>
        <w:t> </w:t>
      </w:r>
      <w:r>
        <w:rPr>
          <w:color w:val="231F20"/>
        </w:rPr>
        <w:t>holders</w:t>
      </w:r>
      <w:r>
        <w:rPr>
          <w:color w:val="231F20"/>
          <w:spacing w:val="-13"/>
        </w:rPr>
        <w:t> </w:t>
      </w:r>
      <w:r>
        <w:rPr>
          <w:color w:val="231F20"/>
        </w:rPr>
        <w:t>of</w:t>
      </w:r>
      <w:r>
        <w:rPr>
          <w:color w:val="231F20"/>
          <w:spacing w:val="-13"/>
        </w:rPr>
        <w:t> </w:t>
      </w:r>
      <w:r>
        <w:rPr>
          <w:color w:val="231F20"/>
        </w:rPr>
        <w:t>$5</w:t>
      </w:r>
      <w:r>
        <w:rPr>
          <w:color w:val="231F20"/>
          <w:spacing w:val="-13"/>
        </w:rPr>
        <w:t> </w:t>
      </w:r>
      <w:r>
        <w:rPr>
          <w:color w:val="231F20"/>
        </w:rPr>
        <w:t>million</w:t>
      </w:r>
      <w:r>
        <w:rPr>
          <w:color w:val="231F20"/>
          <w:spacing w:val="-13"/>
        </w:rPr>
        <w:t> </w:t>
      </w:r>
      <w:r>
        <w:rPr>
          <w:color w:val="231F20"/>
        </w:rPr>
        <w:t>in</w:t>
      </w:r>
      <w:r>
        <w:rPr>
          <w:color w:val="231F20"/>
          <w:spacing w:val="-13"/>
        </w:rPr>
        <w:t> </w:t>
      </w:r>
      <w:r>
        <w:rPr>
          <w:color w:val="231F20"/>
        </w:rPr>
        <w:t>principal</w:t>
      </w:r>
      <w:r>
        <w:rPr>
          <w:color w:val="231F20"/>
          <w:spacing w:val="-13"/>
        </w:rPr>
        <w:t> </w:t>
      </w:r>
      <w:r>
        <w:rPr>
          <w:color w:val="231F20"/>
        </w:rPr>
        <w:t>amount</w:t>
      </w:r>
      <w:r>
        <w:rPr>
          <w:color w:val="231F20"/>
          <w:spacing w:val="-13"/>
        </w:rPr>
        <w:t> </w:t>
      </w:r>
      <w:r>
        <w:rPr>
          <w:color w:val="231F20"/>
        </w:rPr>
        <w:t>elected</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their</w:t>
      </w:r>
      <w:r>
        <w:rPr>
          <w:color w:val="231F20"/>
          <w:spacing w:val="-13"/>
        </w:rPr>
        <w:t> </w:t>
      </w:r>
      <w:r>
        <w:rPr>
          <w:color w:val="231F20"/>
          <w:spacing w:val="-2"/>
        </w:rPr>
        <w:t>notes. </w:t>
      </w:r>
      <w:r>
        <w:rPr>
          <w:color w:val="231F20"/>
        </w:rPr>
        <w:t>Remaining</w:t>
      </w:r>
      <w:r>
        <w:rPr>
          <w:color w:val="231F20"/>
          <w:spacing w:val="-12"/>
        </w:rPr>
        <w:t> </w:t>
      </w:r>
      <w:r>
        <w:rPr>
          <w:color w:val="231F20"/>
        </w:rPr>
        <w:t>holders</w:t>
      </w:r>
      <w:r>
        <w:rPr>
          <w:color w:val="231F20"/>
          <w:spacing w:val="-12"/>
        </w:rPr>
        <w:t> </w:t>
      </w:r>
      <w:r>
        <w:rPr>
          <w:color w:val="231F20"/>
        </w:rPr>
        <w:t>may</w:t>
      </w:r>
      <w:r>
        <w:rPr>
          <w:color w:val="231F20"/>
          <w:spacing w:val="-12"/>
        </w:rPr>
        <w:t> </w:t>
      </w:r>
      <w:r>
        <w:rPr>
          <w:color w:val="231F20"/>
        </w:rPr>
        <w:t>convert</w:t>
      </w:r>
      <w:r>
        <w:rPr>
          <w:color w:val="231F20"/>
          <w:spacing w:val="-12"/>
        </w:rPr>
        <w:t> </w:t>
      </w:r>
      <w:r>
        <w:rPr>
          <w:color w:val="231F20"/>
        </w:rPr>
        <w:t>their</w:t>
      </w:r>
      <w:r>
        <w:rPr>
          <w:color w:val="231F20"/>
          <w:spacing w:val="-12"/>
        </w:rPr>
        <w:t> </w:t>
      </w:r>
      <w:r>
        <w:rPr>
          <w:color w:val="231F20"/>
        </w:rPr>
        <w:t>5.25%</w:t>
      </w:r>
      <w:r>
        <w:rPr>
          <w:color w:val="231F20"/>
          <w:spacing w:val="-12"/>
        </w:rPr>
        <w:t> </w:t>
      </w:r>
      <w:r>
        <w:rPr>
          <w:color w:val="231F20"/>
        </w:rPr>
        <w:t>convertible</w:t>
      </w:r>
      <w:r>
        <w:rPr>
          <w:color w:val="231F20"/>
          <w:spacing w:val="-12"/>
        </w:rPr>
        <w:t> </w:t>
      </w:r>
      <w:r>
        <w:rPr>
          <w:color w:val="231F20"/>
        </w:rPr>
        <w:t>senior</w:t>
      </w:r>
      <w:r>
        <w:rPr>
          <w:color w:val="231F20"/>
          <w:spacing w:val="-12"/>
        </w:rPr>
        <w:t> </w:t>
      </w:r>
      <w:r>
        <w:rPr>
          <w:color w:val="231F20"/>
        </w:rPr>
        <w:t>notes</w:t>
      </w:r>
      <w:r>
        <w:rPr>
          <w:color w:val="231F20"/>
          <w:spacing w:val="-12"/>
        </w:rPr>
        <w:t> </w:t>
      </w:r>
      <w:r>
        <w:rPr>
          <w:color w:val="231F20"/>
        </w:rPr>
        <w:t>into</w:t>
      </w:r>
      <w:r>
        <w:rPr>
          <w:color w:val="231F20"/>
          <w:spacing w:val="-12"/>
        </w:rPr>
        <w:t> </w:t>
      </w:r>
      <w:r>
        <w:rPr>
          <w:color w:val="231F20"/>
        </w:rPr>
        <w:t>cash</w:t>
      </w:r>
      <w:r>
        <w:rPr>
          <w:color w:val="231F20"/>
          <w:spacing w:val="-12"/>
        </w:rPr>
        <w:t> </w:t>
      </w:r>
      <w:r>
        <w:rPr>
          <w:color w:val="231F20"/>
        </w:rPr>
        <w:t>and</w:t>
      </w:r>
      <w:r>
        <w:rPr>
          <w:color w:val="231F20"/>
          <w:spacing w:val="-12"/>
        </w:rPr>
        <w:t> </w:t>
      </w:r>
      <w:r>
        <w:rPr>
          <w:color w:val="231F20"/>
        </w:rPr>
        <w:t>shares</w:t>
      </w:r>
      <w:r>
        <w:rPr>
          <w:color w:val="231F20"/>
          <w:spacing w:val="-12"/>
        </w:rPr>
        <w:t> </w:t>
      </w:r>
      <w:r>
        <w:rPr>
          <w:color w:val="231F20"/>
        </w:rPr>
        <w:t>of</w:t>
      </w:r>
      <w:r>
        <w:rPr>
          <w:color w:val="231F20"/>
          <w:spacing w:val="-12"/>
        </w:rPr>
        <w:t> </w:t>
      </w:r>
      <w:r>
        <w:rPr>
          <w:color w:val="231F20"/>
        </w:rPr>
        <w:t>common</w:t>
      </w:r>
      <w:r>
        <w:rPr>
          <w:color w:val="231F20"/>
          <w:spacing w:val="-12"/>
        </w:rPr>
        <w:t> </w:t>
      </w:r>
      <w:r>
        <w:rPr>
          <w:color w:val="231F20"/>
        </w:rPr>
        <w:t>stock</w:t>
      </w:r>
      <w:r>
        <w:rPr>
          <w:color w:val="231F20"/>
          <w:spacing w:val="-12"/>
        </w:rPr>
        <w:t> </w:t>
      </w:r>
      <w:r>
        <w:rPr>
          <w:color w:val="231F20"/>
        </w:rPr>
        <w:t>at</w:t>
      </w:r>
      <w:r>
        <w:rPr>
          <w:color w:val="231F20"/>
          <w:spacing w:val="-12"/>
        </w:rPr>
        <w:t> </w:t>
      </w:r>
      <w:r>
        <w:rPr>
          <w:color w:val="231F20"/>
        </w:rPr>
        <w:t>their option</w:t>
      </w:r>
      <w:r>
        <w:rPr>
          <w:color w:val="231F20"/>
          <w:spacing w:val="-11"/>
        </w:rPr>
        <w:t> </w:t>
      </w:r>
      <w:r>
        <w:rPr>
          <w:color w:val="231F20"/>
        </w:rPr>
        <w:t>at</w:t>
      </w:r>
      <w:r>
        <w:rPr>
          <w:color w:val="231F20"/>
          <w:spacing w:val="-11"/>
        </w:rPr>
        <w:t> </w:t>
      </w:r>
      <w:r>
        <w:rPr>
          <w:color w:val="231F20"/>
        </w:rPr>
        <w:t>any</w:t>
      </w:r>
      <w:r>
        <w:rPr>
          <w:color w:val="231F20"/>
          <w:spacing w:val="-11"/>
        </w:rPr>
        <w:t> </w:t>
      </w:r>
      <w:r>
        <w:rPr>
          <w:color w:val="231F20"/>
        </w:rPr>
        <w:t>time.</w:t>
      </w:r>
      <w:r>
        <w:rPr>
          <w:color w:val="231F20"/>
          <w:spacing w:val="-11"/>
        </w:rPr>
        <w:t> </w:t>
      </w:r>
      <w:r>
        <w:rPr>
          <w:color w:val="231F20"/>
        </w:rPr>
        <w:t>As</w:t>
      </w:r>
      <w:r>
        <w:rPr>
          <w:color w:val="231F20"/>
          <w:spacing w:val="-11"/>
        </w:rPr>
        <w:t> </w:t>
      </w:r>
      <w:r>
        <w:rPr>
          <w:color w:val="231F20"/>
        </w:rPr>
        <w:t>such,</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has</w:t>
      </w:r>
      <w:r>
        <w:rPr>
          <w:color w:val="231F20"/>
          <w:spacing w:val="-11"/>
        </w:rPr>
        <w:t> </w:t>
      </w:r>
      <w:r>
        <w:rPr>
          <w:color w:val="231F20"/>
        </w:rPr>
        <w:t>classified</w:t>
      </w:r>
      <w:r>
        <w:rPr>
          <w:color w:val="231F20"/>
          <w:spacing w:val="-11"/>
        </w:rPr>
        <w:t> </w:t>
      </w:r>
      <w:r>
        <w:rPr>
          <w:color w:val="231F20"/>
        </w:rPr>
        <w:t>$68</w:t>
      </w:r>
      <w:r>
        <w:rPr>
          <w:color w:val="231F20"/>
          <w:spacing w:val="-11"/>
        </w:rPr>
        <w:t> </w:t>
      </w:r>
      <w:r>
        <w:rPr>
          <w:color w:val="231F20"/>
        </w:rPr>
        <w:t>million,</w:t>
      </w:r>
      <w:r>
        <w:rPr>
          <w:color w:val="231F20"/>
          <w:spacing w:val="-11"/>
        </w:rPr>
        <w:t> </w:t>
      </w:r>
      <w:r>
        <w:rPr>
          <w:color w:val="231F20"/>
        </w:rPr>
        <w:t>which</w:t>
      </w:r>
      <w:r>
        <w:rPr>
          <w:color w:val="231F20"/>
          <w:spacing w:val="-11"/>
        </w:rPr>
        <w:t> </w:t>
      </w:r>
      <w:r>
        <w:rPr>
          <w:color w:val="231F20"/>
        </w:rPr>
        <w:t>is</w:t>
      </w:r>
      <w:r>
        <w:rPr>
          <w:color w:val="231F20"/>
          <w:spacing w:val="-11"/>
        </w:rPr>
        <w:t> </w:t>
      </w:r>
      <w:r>
        <w:rPr>
          <w:color w:val="231F20"/>
        </w:rPr>
        <w:t>the</w:t>
      </w:r>
      <w:r>
        <w:rPr>
          <w:color w:val="231F20"/>
          <w:spacing w:val="-11"/>
        </w:rPr>
        <w:t> </w:t>
      </w:r>
      <w:r>
        <w:rPr>
          <w:color w:val="231F20"/>
        </w:rPr>
        <w:t>cash</w:t>
      </w:r>
      <w:r>
        <w:rPr>
          <w:color w:val="231F20"/>
          <w:spacing w:val="-11"/>
        </w:rPr>
        <w:t> </w:t>
      </w:r>
      <w:r>
        <w:rPr>
          <w:color w:val="231F20"/>
        </w:rPr>
        <w:t>portion</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spacing w:val="-3"/>
        </w:rPr>
        <w:t>would </w:t>
      </w:r>
      <w:r>
        <w:rPr>
          <w:color w:val="231F20"/>
        </w:rPr>
        <w:t>be</w:t>
      </w:r>
      <w:r>
        <w:rPr>
          <w:color w:val="231F20"/>
          <w:spacing w:val="-14"/>
        </w:rPr>
        <w:t> </w:t>
      </w:r>
      <w:r>
        <w:rPr>
          <w:color w:val="231F20"/>
        </w:rPr>
        <w:t>required</w:t>
      </w:r>
      <w:r>
        <w:rPr>
          <w:color w:val="231F20"/>
          <w:spacing w:val="-14"/>
        </w:rPr>
        <w:t> </w:t>
      </w:r>
      <w:r>
        <w:rPr>
          <w:color w:val="231F20"/>
        </w:rPr>
        <w:t>to</w:t>
      </w:r>
      <w:r>
        <w:rPr>
          <w:color w:val="231F20"/>
          <w:spacing w:val="-14"/>
        </w:rPr>
        <w:t> </w:t>
      </w:r>
      <w:r>
        <w:rPr>
          <w:color w:val="231F20"/>
        </w:rPr>
        <w:t>pay</w:t>
      </w:r>
      <w:r>
        <w:rPr>
          <w:color w:val="231F20"/>
          <w:spacing w:val="-14"/>
        </w:rPr>
        <w:t> </w:t>
      </w:r>
      <w:r>
        <w:rPr>
          <w:color w:val="231F20"/>
        </w:rPr>
        <w:t>upon</w:t>
      </w:r>
      <w:r>
        <w:rPr>
          <w:color w:val="231F20"/>
          <w:spacing w:val="-14"/>
        </w:rPr>
        <w:t> </w:t>
      </w:r>
      <w:r>
        <w:rPr>
          <w:color w:val="231F20"/>
        </w:rPr>
        <w:t>conversion,</w:t>
      </w:r>
      <w:r>
        <w:rPr>
          <w:color w:val="231F20"/>
          <w:spacing w:val="-14"/>
        </w:rPr>
        <w:t> </w:t>
      </w:r>
      <w:r>
        <w:rPr>
          <w:color w:val="231F20"/>
        </w:rPr>
        <w:t>as</w:t>
      </w:r>
      <w:r>
        <w:rPr>
          <w:color w:val="231F20"/>
          <w:spacing w:val="-14"/>
        </w:rPr>
        <w:t> </w:t>
      </w:r>
      <w:r>
        <w:rPr>
          <w:color w:val="231F20"/>
        </w:rPr>
        <w:t>current</w:t>
      </w:r>
      <w:r>
        <w:rPr>
          <w:color w:val="231F20"/>
          <w:spacing w:val="-14"/>
        </w:rPr>
        <w:t> </w:t>
      </w:r>
      <w:r>
        <w:rPr>
          <w:color w:val="231F20"/>
        </w:rPr>
        <w:t>maturities</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Consolidated</w:t>
      </w:r>
      <w:r>
        <w:rPr>
          <w:color w:val="231F20"/>
          <w:spacing w:val="-14"/>
        </w:rPr>
        <w:t> </w:t>
      </w:r>
      <w:r>
        <w:rPr>
          <w:color w:val="231F20"/>
        </w:rPr>
        <w:t>Balance</w:t>
      </w:r>
      <w:r>
        <w:rPr>
          <w:color w:val="231F20"/>
          <w:spacing w:val="-14"/>
        </w:rPr>
        <w:t> </w:t>
      </w:r>
      <w:r>
        <w:rPr>
          <w:color w:val="231F20"/>
        </w:rPr>
        <w:t>Sheet.</w:t>
      </w:r>
      <w:r>
        <w:rPr>
          <w:color w:val="231F20"/>
          <w:spacing w:val="-14"/>
        </w:rPr>
        <w:t> </w:t>
      </w:r>
      <w:r>
        <w:rPr>
          <w:color w:val="231F20"/>
        </w:rPr>
        <w:t>The</w:t>
      </w:r>
      <w:r>
        <w:rPr>
          <w:color w:val="231F20"/>
          <w:spacing w:val="-14"/>
        </w:rPr>
        <w:t> </w:t>
      </w:r>
      <w:r>
        <w:rPr>
          <w:color w:val="231F20"/>
        </w:rPr>
        <w:t>5.25%</w:t>
      </w:r>
      <w:r>
        <w:rPr>
          <w:color w:val="231F20"/>
          <w:spacing w:val="-14"/>
        </w:rPr>
        <w:t> </w:t>
      </w:r>
      <w:r>
        <w:rPr>
          <w:color w:val="231F20"/>
        </w:rPr>
        <w:t>convertible senior notes are not redeemable at the Company’s option prior to maturity. The holders of the 5.25% convertible senior</w:t>
      </w:r>
      <w:r>
        <w:rPr>
          <w:color w:val="231F20"/>
          <w:spacing w:val="-12"/>
        </w:rPr>
        <w:t> </w:t>
      </w:r>
      <w:r>
        <w:rPr>
          <w:color w:val="231F20"/>
        </w:rPr>
        <w:t>notes</w:t>
      </w:r>
      <w:r>
        <w:rPr>
          <w:color w:val="231F20"/>
          <w:spacing w:val="-12"/>
        </w:rPr>
        <w:t> </w:t>
      </w:r>
      <w:r>
        <w:rPr>
          <w:color w:val="231F20"/>
        </w:rPr>
        <w:t>may</w:t>
      </w:r>
      <w:r>
        <w:rPr>
          <w:color w:val="231F20"/>
          <w:spacing w:val="-12"/>
        </w:rPr>
        <w:t> </w:t>
      </w:r>
      <w:r>
        <w:rPr>
          <w:color w:val="231F20"/>
        </w:rPr>
        <w:t>require</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to</w:t>
      </w:r>
      <w:r>
        <w:rPr>
          <w:color w:val="231F20"/>
          <w:spacing w:val="-12"/>
        </w:rPr>
        <w:t> </w:t>
      </w:r>
      <w:r>
        <w:rPr>
          <w:color w:val="231F20"/>
        </w:rPr>
        <w:t>repurchase</w:t>
      </w:r>
      <w:r>
        <w:rPr>
          <w:color w:val="231F20"/>
          <w:spacing w:val="-12"/>
        </w:rPr>
        <w:t> </w:t>
      </w:r>
      <w:r>
        <w:rPr>
          <w:color w:val="231F20"/>
        </w:rPr>
        <w:t>such</w:t>
      </w:r>
      <w:r>
        <w:rPr>
          <w:color w:val="231F20"/>
          <w:spacing w:val="-12"/>
        </w:rPr>
        <w:t> </w:t>
      </w:r>
      <w:r>
        <w:rPr>
          <w:color w:val="231F20"/>
        </w:rPr>
        <w:t>notes,</w:t>
      </w:r>
      <w:r>
        <w:rPr>
          <w:color w:val="231F20"/>
          <w:spacing w:val="-12"/>
        </w:rPr>
        <w:t> </w:t>
      </w:r>
      <w:r>
        <w:rPr>
          <w:color w:val="231F20"/>
        </w:rPr>
        <w:t>in</w:t>
      </w:r>
      <w:r>
        <w:rPr>
          <w:color w:val="231F20"/>
          <w:spacing w:val="-12"/>
        </w:rPr>
        <w:t> </w:t>
      </w:r>
      <w:r>
        <w:rPr>
          <w:color w:val="231F20"/>
        </w:rPr>
        <w:t>whole</w:t>
      </w:r>
      <w:r>
        <w:rPr>
          <w:color w:val="231F20"/>
          <w:spacing w:val="-12"/>
        </w:rPr>
        <w:t> </w:t>
      </w:r>
      <w:r>
        <w:rPr>
          <w:color w:val="231F20"/>
        </w:rPr>
        <w:t>or</w:t>
      </w:r>
      <w:r>
        <w:rPr>
          <w:color w:val="231F20"/>
          <w:spacing w:val="-12"/>
        </w:rPr>
        <w:t> </w:t>
      </w:r>
      <w:r>
        <w:rPr>
          <w:color w:val="231F20"/>
        </w:rPr>
        <w:t>in</w:t>
      </w:r>
      <w:r>
        <w:rPr>
          <w:color w:val="231F20"/>
          <w:spacing w:val="-12"/>
        </w:rPr>
        <w:t> </w:t>
      </w:r>
      <w:r>
        <w:rPr>
          <w:color w:val="231F20"/>
        </w:rPr>
        <w:t>part,</w:t>
      </w:r>
      <w:r>
        <w:rPr>
          <w:color w:val="231F20"/>
          <w:spacing w:val="-12"/>
        </w:rPr>
        <w:t> </w:t>
      </w:r>
      <w:r>
        <w:rPr>
          <w:color w:val="231F20"/>
        </w:rPr>
        <w:t>for</w:t>
      </w:r>
      <w:r>
        <w:rPr>
          <w:color w:val="231F20"/>
          <w:spacing w:val="-12"/>
        </w:rPr>
        <w:t> </w:t>
      </w:r>
      <w:r>
        <w:rPr>
          <w:color w:val="231F20"/>
        </w:rPr>
        <w:t>cash</w:t>
      </w:r>
      <w:r>
        <w:rPr>
          <w:color w:val="231F20"/>
          <w:spacing w:val="-12"/>
        </w:rPr>
        <w:t> </w:t>
      </w:r>
      <w:r>
        <w:rPr>
          <w:color w:val="231F20"/>
        </w:rPr>
        <w:t>upon</w:t>
      </w:r>
      <w:r>
        <w:rPr>
          <w:color w:val="231F20"/>
          <w:spacing w:val="-12"/>
        </w:rPr>
        <w:t> </w:t>
      </w:r>
      <w:r>
        <w:rPr>
          <w:color w:val="231F20"/>
        </w:rPr>
        <w:t>the</w:t>
      </w:r>
      <w:r>
        <w:rPr>
          <w:color w:val="231F20"/>
          <w:spacing w:val="-12"/>
        </w:rPr>
        <w:t> </w:t>
      </w:r>
      <w:r>
        <w:rPr>
          <w:color w:val="231F20"/>
        </w:rPr>
        <w:t>occurrence</w:t>
      </w:r>
      <w:r>
        <w:rPr>
          <w:color w:val="231F20"/>
          <w:spacing w:val="-12"/>
        </w:rPr>
        <w:t> </w:t>
      </w:r>
      <w:r>
        <w:rPr>
          <w:color w:val="231F20"/>
        </w:rPr>
        <w:t>of a</w:t>
      </w:r>
      <w:r>
        <w:rPr>
          <w:color w:val="231F20"/>
          <w:spacing w:val="-12"/>
        </w:rPr>
        <w:t> </w:t>
      </w:r>
      <w:r>
        <w:rPr>
          <w:color w:val="231F20"/>
        </w:rPr>
        <w:t>fundamental</w:t>
      </w:r>
      <w:r>
        <w:rPr>
          <w:color w:val="231F20"/>
          <w:spacing w:val="-12"/>
        </w:rPr>
        <w:t> </w:t>
      </w:r>
      <w:r>
        <w:rPr>
          <w:color w:val="231F20"/>
        </w:rPr>
        <w:t>change,</w:t>
      </w:r>
      <w:r>
        <w:rPr>
          <w:color w:val="231F20"/>
          <w:spacing w:val="-12"/>
        </w:rPr>
        <w:t> </w:t>
      </w:r>
      <w:r>
        <w:rPr>
          <w:color w:val="231F20"/>
        </w:rPr>
        <w:t>as</w:t>
      </w:r>
      <w:r>
        <w:rPr>
          <w:color w:val="231F20"/>
          <w:spacing w:val="-12"/>
        </w:rPr>
        <w:t> </w:t>
      </w:r>
      <w:r>
        <w:rPr>
          <w:color w:val="231F20"/>
        </w:rPr>
        <w:t>defined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governing</w:t>
      </w:r>
      <w:r>
        <w:rPr>
          <w:color w:val="231F20"/>
          <w:spacing w:val="-12"/>
        </w:rPr>
        <w:t> </w:t>
      </w:r>
      <w:r>
        <w:rPr>
          <w:color w:val="231F20"/>
        </w:rPr>
        <w:t>supplemental</w:t>
      </w:r>
      <w:r>
        <w:rPr>
          <w:color w:val="231F20"/>
          <w:spacing w:val="-12"/>
        </w:rPr>
        <w:t> </w:t>
      </w:r>
      <w:r>
        <w:rPr>
          <w:color w:val="231F20"/>
        </w:rPr>
        <w:t>indenture,</w:t>
      </w:r>
      <w:r>
        <w:rPr>
          <w:color w:val="231F20"/>
          <w:spacing w:val="-12"/>
        </w:rPr>
        <w:t> </w:t>
      </w:r>
      <w:r>
        <w:rPr>
          <w:color w:val="231F20"/>
        </w:rPr>
        <w:t>at</w:t>
      </w:r>
      <w:r>
        <w:rPr>
          <w:color w:val="231F20"/>
          <w:spacing w:val="-12"/>
        </w:rPr>
        <w:t> </w:t>
      </w:r>
      <w:r>
        <w:rPr>
          <w:color w:val="231F20"/>
        </w:rPr>
        <w:t>a</w:t>
      </w:r>
      <w:r>
        <w:rPr>
          <w:color w:val="231F20"/>
          <w:spacing w:val="-12"/>
        </w:rPr>
        <w:t> </w:t>
      </w:r>
      <w:r>
        <w:rPr>
          <w:color w:val="231F20"/>
        </w:rPr>
        <w:t>repurchase</w:t>
      </w:r>
      <w:r>
        <w:rPr>
          <w:color w:val="231F20"/>
          <w:spacing w:val="-12"/>
        </w:rPr>
        <w:t> </w:t>
      </w:r>
      <w:r>
        <w:rPr>
          <w:color w:val="231F20"/>
        </w:rPr>
        <w:t>price</w:t>
      </w:r>
      <w:r>
        <w:rPr>
          <w:color w:val="231F20"/>
          <w:spacing w:val="-12"/>
        </w:rPr>
        <w:t> </w:t>
      </w:r>
      <w:r>
        <w:rPr>
          <w:color w:val="231F20"/>
        </w:rPr>
        <w:t>of</w:t>
      </w:r>
      <w:r>
        <w:rPr>
          <w:color w:val="231F20"/>
          <w:spacing w:val="-12"/>
        </w:rPr>
        <w:t> </w:t>
      </w:r>
      <w:r>
        <w:rPr>
          <w:color w:val="231F20"/>
        </w:rPr>
        <w:t>100</w:t>
      </w:r>
      <w:r>
        <w:rPr>
          <w:color w:val="231F20"/>
          <w:spacing w:val="-12"/>
        </w:rPr>
        <w:t> </w:t>
      </w:r>
      <w:r>
        <w:rPr>
          <w:color w:val="231F20"/>
        </w:rPr>
        <w:t>percent</w:t>
      </w:r>
      <w:r>
        <w:rPr>
          <w:color w:val="231F20"/>
          <w:spacing w:val="-12"/>
        </w:rPr>
        <w:t> </w:t>
      </w:r>
      <w:r>
        <w:rPr>
          <w:color w:val="231F20"/>
        </w:rPr>
        <w:t>of the</w:t>
      </w:r>
      <w:r>
        <w:rPr>
          <w:color w:val="231F20"/>
          <w:spacing w:val="-15"/>
        </w:rPr>
        <w:t> </w:t>
      </w:r>
      <w:r>
        <w:rPr>
          <w:color w:val="231F20"/>
        </w:rPr>
        <w:t>principal</w:t>
      </w:r>
      <w:r>
        <w:rPr>
          <w:color w:val="231F20"/>
          <w:spacing w:val="-15"/>
        </w:rPr>
        <w:t> </w:t>
      </w:r>
      <w:r>
        <w:rPr>
          <w:color w:val="231F20"/>
        </w:rPr>
        <w:t>amount</w:t>
      </w:r>
      <w:r>
        <w:rPr>
          <w:color w:val="231F20"/>
          <w:spacing w:val="-15"/>
        </w:rPr>
        <w:t> </w:t>
      </w:r>
      <w:r>
        <w:rPr>
          <w:color w:val="231F20"/>
        </w:rPr>
        <w:t>plus</w:t>
      </w:r>
      <w:r>
        <w:rPr>
          <w:color w:val="231F20"/>
          <w:spacing w:val="-15"/>
        </w:rPr>
        <w:t> </w:t>
      </w:r>
      <w:r>
        <w:rPr>
          <w:color w:val="231F20"/>
        </w:rPr>
        <w:t>any</w:t>
      </w:r>
      <w:r>
        <w:rPr>
          <w:color w:val="231F20"/>
          <w:spacing w:val="-15"/>
        </w:rPr>
        <w:t> </w:t>
      </w:r>
      <w:r>
        <w:rPr>
          <w:color w:val="231F20"/>
        </w:rPr>
        <w:t>accrued</w:t>
      </w:r>
      <w:r>
        <w:rPr>
          <w:color w:val="231F20"/>
          <w:spacing w:val="-15"/>
        </w:rPr>
        <w:t> </w:t>
      </w:r>
      <w:r>
        <w:rPr>
          <w:color w:val="231F20"/>
        </w:rPr>
        <w:t>and</w:t>
      </w:r>
      <w:r>
        <w:rPr>
          <w:color w:val="231F20"/>
          <w:spacing w:val="-15"/>
        </w:rPr>
        <w:t> </w:t>
      </w:r>
      <w:r>
        <w:rPr>
          <w:color w:val="231F20"/>
        </w:rPr>
        <w:t>unpaid</w:t>
      </w:r>
      <w:r>
        <w:rPr>
          <w:color w:val="231F20"/>
          <w:spacing w:val="-15"/>
        </w:rPr>
        <w:t> </w:t>
      </w:r>
      <w:r>
        <w:rPr>
          <w:color w:val="231F20"/>
        </w:rPr>
        <w:t>interest.</w:t>
      </w:r>
    </w:p>
    <w:p>
      <w:pPr>
        <w:pStyle w:val="BodyText"/>
        <w:spacing w:before="10"/>
      </w:pPr>
    </w:p>
    <w:p>
      <w:pPr>
        <w:pStyle w:val="BodyText"/>
        <w:spacing w:line="249" w:lineRule="auto"/>
        <w:ind w:left="100" w:right="124" w:firstLine="490"/>
      </w:pPr>
      <w:r>
        <w:rPr>
          <w:color w:val="231F20"/>
        </w:rPr>
        <w:t>As a result of triggering the fundamental change of ownership provision in the 5.25%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w:t>
      </w:r>
      <w:r>
        <w:rPr>
          <w:color w:val="231F20"/>
          <w:spacing w:val="11"/>
        </w:rPr>
        <w:t> </w:t>
      </w:r>
      <w:r>
        <w:rPr>
          <w:color w:val="231F20"/>
        </w:rPr>
        <w:t>notes</w:t>
      </w:r>
    </w:p>
    <w:p>
      <w:pPr>
        <w:spacing w:after="0" w:line="249" w:lineRule="auto"/>
        <w:sectPr>
          <w:pgSz w:w="11880" w:h="15480"/>
          <w:pgMar w:header="0" w:footer="1253" w:top="1240" w:bottom="1440" w:left="1280" w:right="1280"/>
        </w:sectPr>
      </w:pPr>
    </w:p>
    <w:p>
      <w:pPr>
        <w:pStyle w:val="BodyText"/>
        <w:spacing w:line="249" w:lineRule="auto" w:before="73"/>
        <w:ind w:left="100" w:right="191"/>
      </w:pPr>
      <w:r>
        <w:rPr>
          <w:color w:val="231F20"/>
        </w:rPr>
        <w:t>were converted is considered in the Company’s net income per share calculations, unless such conversion would be considered antidilutive. See Note 9.</w:t>
      </w:r>
    </w:p>
    <w:p>
      <w:pPr>
        <w:pStyle w:val="BodyText"/>
        <w:spacing w:before="4"/>
        <w:rPr>
          <w:sz w:val="31"/>
        </w:rPr>
      </w:pPr>
    </w:p>
    <w:p>
      <w:pPr>
        <w:pStyle w:val="Heading4"/>
        <w:rPr>
          <w:i/>
        </w:rPr>
      </w:pPr>
      <w:r>
        <w:rPr>
          <w:i/>
          <w:color w:val="231F20"/>
        </w:rPr>
        <w:t>Other Company Long-Term Debt</w:t>
      </w:r>
    </w:p>
    <w:p>
      <w:pPr>
        <w:pStyle w:val="BodyText"/>
        <w:spacing w:line="249" w:lineRule="auto" w:before="129"/>
        <w:ind w:left="100" w:right="101" w:firstLine="490"/>
      </w:pPr>
      <w:r>
        <w:rPr>
          <w:color w:val="231F20"/>
        </w:rPr>
        <w:t>On July 1, 2009, the Company entered into a term loan agreement providing for loans to the </w:t>
      </w:r>
      <w:r>
        <w:rPr>
          <w:color w:val="231F20"/>
          <w:spacing w:val="-3"/>
        </w:rPr>
        <w:t>Company </w:t>
      </w:r>
      <w:r>
        <w:rPr>
          <w:color w:val="231F20"/>
        </w:rPr>
        <w:t>aggregating up to $124 million, to be secured by mortgages on five of the Company’s 737-700 aircraft. </w:t>
      </w:r>
      <w:r>
        <w:rPr>
          <w:color w:val="231F20"/>
          <w:spacing w:val="-2"/>
        </w:rPr>
        <w:t>The </w:t>
      </w:r>
      <w:r>
        <w:rPr>
          <w:color w:val="231F20"/>
        </w:rPr>
        <w:t>Company</w:t>
      </w:r>
      <w:r>
        <w:rPr>
          <w:color w:val="231F20"/>
          <w:spacing w:val="-12"/>
        </w:rPr>
        <w:t> </w:t>
      </w:r>
      <w:r>
        <w:rPr>
          <w:color w:val="231F20"/>
        </w:rPr>
        <w:t>has</w:t>
      </w:r>
      <w:r>
        <w:rPr>
          <w:color w:val="231F20"/>
          <w:spacing w:val="-12"/>
        </w:rPr>
        <w:t> </w:t>
      </w:r>
      <w:r>
        <w:rPr>
          <w:color w:val="231F20"/>
        </w:rPr>
        <w:t>borrowed</w:t>
      </w:r>
      <w:r>
        <w:rPr>
          <w:color w:val="231F20"/>
          <w:spacing w:val="-13"/>
        </w:rPr>
        <w:t> </w:t>
      </w:r>
      <w:r>
        <w:rPr>
          <w:color w:val="231F20"/>
        </w:rPr>
        <w:t>the</w:t>
      </w:r>
      <w:r>
        <w:rPr>
          <w:color w:val="231F20"/>
          <w:spacing w:val="-12"/>
        </w:rPr>
        <w:t> </w:t>
      </w:r>
      <w:r>
        <w:rPr>
          <w:color w:val="231F20"/>
        </w:rPr>
        <w:t>full</w:t>
      </w:r>
      <w:r>
        <w:rPr>
          <w:color w:val="231F20"/>
          <w:spacing w:val="-12"/>
        </w:rPr>
        <w:t> </w:t>
      </w:r>
      <w:r>
        <w:rPr>
          <w:color w:val="231F20"/>
        </w:rPr>
        <w:t>$124</w:t>
      </w:r>
      <w:r>
        <w:rPr>
          <w:color w:val="231F20"/>
          <w:spacing w:val="-13"/>
        </w:rPr>
        <w:t> </w:t>
      </w:r>
      <w:r>
        <w:rPr>
          <w:color w:val="231F20"/>
        </w:rPr>
        <w:t>million</w:t>
      </w:r>
      <w:r>
        <w:rPr>
          <w:color w:val="231F20"/>
          <w:spacing w:val="-12"/>
        </w:rPr>
        <w:t> </w:t>
      </w:r>
      <w:r>
        <w:rPr>
          <w:color w:val="231F20"/>
        </w:rPr>
        <w:t>and</w:t>
      </w:r>
      <w:r>
        <w:rPr>
          <w:color w:val="231F20"/>
          <w:spacing w:val="-12"/>
        </w:rPr>
        <w:t> </w:t>
      </w:r>
      <w:r>
        <w:rPr>
          <w:color w:val="231F20"/>
        </w:rPr>
        <w:t>secured</w:t>
      </w:r>
      <w:r>
        <w:rPr>
          <w:color w:val="231F20"/>
          <w:spacing w:val="-12"/>
        </w:rPr>
        <w:t> </w:t>
      </w:r>
      <w:r>
        <w:rPr>
          <w:color w:val="231F20"/>
        </w:rPr>
        <w:t>this</w:t>
      </w:r>
      <w:r>
        <w:rPr>
          <w:color w:val="231F20"/>
          <w:spacing w:val="-12"/>
        </w:rPr>
        <w:t> </w:t>
      </w:r>
      <w:r>
        <w:rPr>
          <w:color w:val="231F20"/>
        </w:rPr>
        <w:t>loan</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requisite</w:t>
      </w:r>
      <w:r>
        <w:rPr>
          <w:color w:val="231F20"/>
          <w:spacing w:val="-12"/>
        </w:rPr>
        <w:t> </w:t>
      </w:r>
      <w:r>
        <w:rPr>
          <w:color w:val="231F20"/>
        </w:rPr>
        <w:t>five</w:t>
      </w:r>
      <w:r>
        <w:rPr>
          <w:color w:val="231F20"/>
          <w:spacing w:val="-12"/>
        </w:rPr>
        <w:t> </w:t>
      </w:r>
      <w:r>
        <w:rPr>
          <w:color w:val="231F20"/>
        </w:rPr>
        <w:t>aircraft</w:t>
      </w:r>
      <w:r>
        <w:rPr>
          <w:color w:val="231F20"/>
          <w:spacing w:val="-12"/>
        </w:rPr>
        <w:t> </w:t>
      </w:r>
      <w:r>
        <w:rPr>
          <w:color w:val="231F20"/>
        </w:rPr>
        <w:t>mortgages.</w:t>
      </w:r>
      <w:r>
        <w:rPr>
          <w:color w:val="231F20"/>
          <w:spacing w:val="-13"/>
        </w:rPr>
        <w:t> </w:t>
      </w:r>
      <w:r>
        <w:rPr>
          <w:color w:val="231F20"/>
          <w:spacing w:val="-2"/>
        </w:rPr>
        <w:t>The </w:t>
      </w:r>
      <w:r>
        <w:rPr>
          <w:color w:val="231F20"/>
        </w:rPr>
        <w:t>loan matures on July 1, 2019, and is repayable semi-annually in installments of principal that began January 1, 2010.</w:t>
      </w:r>
      <w:r>
        <w:rPr>
          <w:color w:val="231F20"/>
          <w:spacing w:val="-13"/>
        </w:rPr>
        <w:t> </w:t>
      </w:r>
      <w:r>
        <w:rPr>
          <w:color w:val="231F20"/>
        </w:rPr>
        <w:t>The</w:t>
      </w:r>
      <w:r>
        <w:rPr>
          <w:color w:val="231F20"/>
          <w:spacing w:val="-13"/>
        </w:rPr>
        <w:t> </w:t>
      </w:r>
      <w:r>
        <w:rPr>
          <w:color w:val="231F20"/>
        </w:rPr>
        <w:t>loan</w:t>
      </w:r>
      <w:r>
        <w:rPr>
          <w:color w:val="231F20"/>
          <w:spacing w:val="-13"/>
        </w:rPr>
        <w:t> </w:t>
      </w:r>
      <w:r>
        <w:rPr>
          <w:color w:val="231F20"/>
        </w:rPr>
        <w:t>bears</w:t>
      </w:r>
      <w:r>
        <w:rPr>
          <w:color w:val="231F20"/>
          <w:spacing w:val="-13"/>
        </w:rPr>
        <w:t> </w:t>
      </w:r>
      <w:r>
        <w:rPr>
          <w:color w:val="231F20"/>
        </w:rPr>
        <w:t>interest</w:t>
      </w:r>
      <w:r>
        <w:rPr>
          <w:color w:val="231F20"/>
          <w:spacing w:val="-13"/>
        </w:rPr>
        <w:t> </w:t>
      </w:r>
      <w:r>
        <w:rPr>
          <w:color w:val="231F20"/>
        </w:rPr>
        <w:t>at</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rate</w:t>
      </w:r>
      <w:r>
        <w:rPr>
          <w:color w:val="231F20"/>
          <w:spacing w:val="-13"/>
        </w:rPr>
        <w:t> </w:t>
      </w:r>
      <w:r>
        <w:rPr>
          <w:color w:val="231F20"/>
        </w:rPr>
        <w:t>of</w:t>
      </w:r>
      <w:r>
        <w:rPr>
          <w:color w:val="231F20"/>
          <w:spacing w:val="-13"/>
        </w:rPr>
        <w:t> </w:t>
      </w:r>
      <w:r>
        <w:rPr>
          <w:color w:val="231F20"/>
        </w:rPr>
        <w:t>6.84</w:t>
      </w:r>
      <w:r>
        <w:rPr>
          <w:color w:val="231F20"/>
          <w:spacing w:val="-13"/>
        </w:rPr>
        <w:t> </w:t>
      </w:r>
      <w:r>
        <w:rPr>
          <w:color w:val="231F20"/>
        </w:rPr>
        <w:t>percent,</w:t>
      </w:r>
      <w:r>
        <w:rPr>
          <w:color w:val="231F20"/>
          <w:spacing w:val="-13"/>
        </w:rPr>
        <w:t> </w:t>
      </w:r>
      <w:r>
        <w:rPr>
          <w:color w:val="231F20"/>
        </w:rPr>
        <w:t>and</w:t>
      </w:r>
      <w:r>
        <w:rPr>
          <w:color w:val="231F20"/>
          <w:spacing w:val="-13"/>
        </w:rPr>
        <w:t> </w:t>
      </w:r>
      <w:r>
        <w:rPr>
          <w:color w:val="231F20"/>
        </w:rPr>
        <w:t>interest</w:t>
      </w:r>
      <w:r>
        <w:rPr>
          <w:color w:val="231F20"/>
          <w:spacing w:val="-13"/>
        </w:rPr>
        <w:t> </w:t>
      </w:r>
      <w:r>
        <w:rPr>
          <w:color w:val="231F20"/>
        </w:rPr>
        <w:t>is</w:t>
      </w:r>
      <w:r>
        <w:rPr>
          <w:color w:val="231F20"/>
          <w:spacing w:val="-13"/>
        </w:rPr>
        <w:t> </w:t>
      </w:r>
      <w:r>
        <w:rPr>
          <w:color w:val="231F20"/>
        </w:rPr>
        <w:t>payable</w:t>
      </w:r>
      <w:r>
        <w:rPr>
          <w:color w:val="231F20"/>
          <w:spacing w:val="-13"/>
        </w:rPr>
        <w:t> </w:t>
      </w:r>
      <w:r>
        <w:rPr>
          <w:color w:val="231F20"/>
        </w:rPr>
        <w:t>semi-annually,</w:t>
      </w:r>
      <w:r>
        <w:rPr>
          <w:color w:val="231F20"/>
          <w:spacing w:val="-13"/>
        </w:rPr>
        <w:t> </w:t>
      </w:r>
      <w:r>
        <w:rPr>
          <w:color w:val="231F20"/>
        </w:rPr>
        <w:t>which</w:t>
      </w:r>
      <w:r>
        <w:rPr>
          <w:color w:val="231F20"/>
          <w:spacing w:val="-13"/>
        </w:rPr>
        <w:t> </w:t>
      </w:r>
      <w:r>
        <w:rPr>
          <w:color w:val="231F20"/>
        </w:rPr>
        <w:t>payments began</w:t>
      </w:r>
      <w:r>
        <w:rPr>
          <w:color w:val="231F20"/>
          <w:spacing w:val="-13"/>
        </w:rPr>
        <w:t> </w:t>
      </w:r>
      <w:r>
        <w:rPr>
          <w:color w:val="231F20"/>
        </w:rPr>
        <w:t>on</w:t>
      </w:r>
      <w:r>
        <w:rPr>
          <w:color w:val="231F20"/>
          <w:spacing w:val="-13"/>
        </w:rPr>
        <w:t> </w:t>
      </w:r>
      <w:r>
        <w:rPr>
          <w:color w:val="231F20"/>
        </w:rPr>
        <w:t>January</w:t>
      </w:r>
      <w:r>
        <w:rPr>
          <w:color w:val="231F20"/>
          <w:spacing w:val="-13"/>
        </w:rPr>
        <w:t> </w:t>
      </w:r>
      <w:r>
        <w:rPr>
          <w:color w:val="231F20"/>
        </w:rPr>
        <w:t>1,</w:t>
      </w:r>
      <w:r>
        <w:rPr>
          <w:color w:val="231F20"/>
          <w:spacing w:val="-13"/>
        </w:rPr>
        <w:t> </w:t>
      </w:r>
      <w:r>
        <w:rPr>
          <w:color w:val="231F20"/>
        </w:rPr>
        <w:t>2010.</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used</w:t>
      </w:r>
      <w:r>
        <w:rPr>
          <w:color w:val="231F20"/>
          <w:spacing w:val="-13"/>
        </w:rPr>
        <w:t> </w:t>
      </w:r>
      <w:r>
        <w:rPr>
          <w:color w:val="231F20"/>
        </w:rPr>
        <w:t>the</w:t>
      </w:r>
      <w:r>
        <w:rPr>
          <w:color w:val="231F20"/>
          <w:spacing w:val="-13"/>
        </w:rPr>
        <w:t> </w:t>
      </w:r>
      <w:r>
        <w:rPr>
          <w:color w:val="231F20"/>
        </w:rPr>
        <w:t>proceeds</w:t>
      </w:r>
      <w:r>
        <w:rPr>
          <w:color w:val="231F20"/>
          <w:spacing w:val="-13"/>
        </w:rPr>
        <w:t> </w:t>
      </w:r>
      <w:r>
        <w:rPr>
          <w:color w:val="231F20"/>
        </w:rPr>
        <w:t>from</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for</w:t>
      </w:r>
      <w:r>
        <w:rPr>
          <w:color w:val="231F20"/>
          <w:spacing w:val="-13"/>
        </w:rPr>
        <w:t> </w:t>
      </w:r>
      <w:r>
        <w:rPr>
          <w:color w:val="231F20"/>
        </w:rPr>
        <w:t>general</w:t>
      </w:r>
      <w:r>
        <w:rPr>
          <w:color w:val="231F20"/>
          <w:spacing w:val="-13"/>
        </w:rPr>
        <w:t> </w:t>
      </w:r>
      <w:r>
        <w:rPr>
          <w:color w:val="231F20"/>
        </w:rPr>
        <w:t>corporate</w:t>
      </w:r>
      <w:r>
        <w:rPr>
          <w:color w:val="231F20"/>
          <w:spacing w:val="-13"/>
        </w:rPr>
        <w:t> </w:t>
      </w:r>
      <w:r>
        <w:rPr>
          <w:color w:val="231F20"/>
        </w:rPr>
        <w:t>purposes.</w:t>
      </w:r>
    </w:p>
    <w:p>
      <w:pPr>
        <w:pStyle w:val="BodyText"/>
        <w:spacing w:before="10"/>
      </w:pPr>
    </w:p>
    <w:p>
      <w:pPr>
        <w:pStyle w:val="BodyText"/>
        <w:spacing w:line="249" w:lineRule="auto"/>
        <w:ind w:left="100" w:right="101"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ind w:left="100" w:right="175"/>
      </w:pPr>
      <w:r>
        <w:rPr>
          <w:color w:val="231F20"/>
        </w:rPr>
        <w:t>6.315 percent until maturity. The Company used the proceeds from the term loan for general corporate purposes, including the repayment of the Company’s revolving credit facility in 2009.</w:t>
      </w:r>
    </w:p>
    <w:p>
      <w:pPr>
        <w:pStyle w:val="BodyText"/>
        <w:spacing w:before="10"/>
      </w:pPr>
    </w:p>
    <w:p>
      <w:pPr>
        <w:pStyle w:val="BodyText"/>
        <w:spacing w:line="249" w:lineRule="auto"/>
        <w:ind w:left="100" w:right="241"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ind w:left="100" w:right="103" w:firstLine="49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ind w:left="100" w:right="108" w:firstLine="49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w:t>
      </w:r>
      <w:r>
        <w:rPr>
          <w:color w:val="231F20"/>
          <w:spacing w:val="6"/>
        </w:rPr>
        <w:t> </w:t>
      </w:r>
      <w:r>
        <w:rPr>
          <w:color w:val="231F20"/>
        </w:rPr>
        <w:t>fourth</w:t>
      </w:r>
    </w:p>
    <w:p>
      <w:pPr>
        <w:spacing w:after="0" w:line="249" w:lineRule="auto"/>
        <w:sectPr>
          <w:pgSz w:w="11880" w:h="15480"/>
          <w:pgMar w:header="0" w:footer="1253" w:top="1240" w:bottom="1440" w:left="1280" w:right="1280"/>
        </w:sectPr>
      </w:pPr>
    </w:p>
    <w:p>
      <w:pPr>
        <w:pStyle w:val="BodyText"/>
        <w:spacing w:line="249" w:lineRule="auto" w:before="73"/>
        <w:ind w:left="100" w:right="292"/>
      </w:pPr>
      <w:r>
        <w:rPr>
          <w:color w:val="231F20"/>
        </w:rPr>
        <w:t>quarter 2009, the Company entered into a fixed-to-floating interest rate swap to convert the interest on these unsecured notes to a floating rate until their maturity. See Note 10 for further information on the interest-rate swap agreement.</w:t>
      </w:r>
    </w:p>
    <w:p>
      <w:pPr>
        <w:pStyle w:val="BodyText"/>
        <w:spacing w:before="10"/>
      </w:pPr>
    </w:p>
    <w:p>
      <w:pPr>
        <w:pStyle w:val="BodyText"/>
        <w:spacing w:line="249" w:lineRule="auto" w:before="1"/>
        <w:ind w:left="100" w:right="132" w:firstLine="49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1"/>
      </w:pPr>
    </w:p>
    <w:p>
      <w:pPr>
        <w:pStyle w:val="BodyText"/>
        <w:spacing w:line="249" w:lineRule="auto"/>
        <w:ind w:left="100" w:right="131" w:firstLine="490"/>
      </w:pPr>
      <w:r>
        <w:rPr>
          <w:color w:val="231F20"/>
        </w:rPr>
        <w:t>In</w:t>
      </w:r>
      <w:r>
        <w:rPr>
          <w:color w:val="231F20"/>
          <w:spacing w:val="-16"/>
        </w:rPr>
        <w:t> </w:t>
      </w:r>
      <w:r>
        <w:rPr>
          <w:color w:val="231F20"/>
        </w:rPr>
        <w:t>fourth</w:t>
      </w:r>
      <w:r>
        <w:rPr>
          <w:color w:val="231F20"/>
          <w:spacing w:val="-16"/>
        </w:rPr>
        <w:t> </w:t>
      </w:r>
      <w:r>
        <w:rPr>
          <w:color w:val="231F20"/>
        </w:rPr>
        <w:t>quarter</w:t>
      </w:r>
      <w:r>
        <w:rPr>
          <w:color w:val="231F20"/>
          <w:spacing w:val="-16"/>
        </w:rPr>
        <w:t> </w:t>
      </w:r>
      <w:r>
        <w:rPr>
          <w:color w:val="231F20"/>
        </w:rPr>
        <w:t>2004,</w:t>
      </w:r>
      <w:r>
        <w:rPr>
          <w:color w:val="231F20"/>
          <w:spacing w:val="-16"/>
        </w:rPr>
        <w:t> </w:t>
      </w:r>
      <w:r>
        <w:rPr>
          <w:color w:val="231F20"/>
        </w:rPr>
        <w:t>the</w:t>
      </w:r>
      <w:r>
        <w:rPr>
          <w:color w:val="231F20"/>
          <w:spacing w:val="-16"/>
        </w:rPr>
        <w:t> </w:t>
      </w:r>
      <w:r>
        <w:rPr>
          <w:color w:val="231F20"/>
        </w:rPr>
        <w:t>Company</w:t>
      </w:r>
      <w:r>
        <w:rPr>
          <w:color w:val="231F20"/>
          <w:spacing w:val="-16"/>
        </w:rPr>
        <w:t> </w:t>
      </w:r>
      <w:r>
        <w:rPr>
          <w:color w:val="231F20"/>
        </w:rPr>
        <w:t>entered</w:t>
      </w:r>
      <w:r>
        <w:rPr>
          <w:color w:val="231F20"/>
          <w:spacing w:val="-16"/>
        </w:rPr>
        <w:t> </w:t>
      </w:r>
      <w:r>
        <w:rPr>
          <w:color w:val="231F20"/>
        </w:rPr>
        <w:t>into</w:t>
      </w:r>
      <w:r>
        <w:rPr>
          <w:color w:val="231F20"/>
          <w:spacing w:val="-16"/>
        </w:rPr>
        <w:t> </w:t>
      </w:r>
      <w:r>
        <w:rPr>
          <w:color w:val="231F20"/>
        </w:rPr>
        <w:t>four</w:t>
      </w:r>
      <w:r>
        <w:rPr>
          <w:color w:val="231F20"/>
          <w:spacing w:val="-16"/>
        </w:rPr>
        <w:t> </w:t>
      </w:r>
      <w:r>
        <w:rPr>
          <w:color w:val="231F20"/>
        </w:rPr>
        <w:t>identical</w:t>
      </w:r>
      <w:r>
        <w:rPr>
          <w:color w:val="231F20"/>
          <w:spacing w:val="-16"/>
        </w:rPr>
        <w:t> </w:t>
      </w:r>
      <w:r>
        <w:rPr>
          <w:color w:val="231F20"/>
        </w:rPr>
        <w:t>13-year</w:t>
      </w:r>
      <w:r>
        <w:rPr>
          <w:color w:val="231F20"/>
          <w:spacing w:val="-16"/>
        </w:rPr>
        <w:t> </w:t>
      </w:r>
      <w:r>
        <w:rPr>
          <w:color w:val="231F20"/>
        </w:rPr>
        <w:t>floating-rate</w:t>
      </w:r>
      <w:r>
        <w:rPr>
          <w:color w:val="231F20"/>
          <w:spacing w:val="-16"/>
        </w:rPr>
        <w:t> </w:t>
      </w:r>
      <w:r>
        <w:rPr>
          <w:color w:val="231F20"/>
        </w:rPr>
        <w:t>financing</w:t>
      </w:r>
      <w:r>
        <w:rPr>
          <w:color w:val="231F20"/>
          <w:spacing w:val="-16"/>
        </w:rPr>
        <w:t> </w:t>
      </w:r>
      <w:r>
        <w:rPr>
          <w:color w:val="231F20"/>
        </w:rPr>
        <w:t>arrangements, whereby it borrowed a total of $112 million from French banking partnerships. Although the interest rates on </w:t>
      </w:r>
      <w:r>
        <w:rPr>
          <w:color w:val="231F20"/>
          <w:spacing w:val="-2"/>
        </w:rPr>
        <w:t>the </w:t>
      </w:r>
      <w:r>
        <w:rPr>
          <w:color w:val="231F20"/>
        </w:rPr>
        <w:t>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w:t>
      </w:r>
      <w:r>
        <w:rPr>
          <w:color w:val="231F20"/>
          <w:spacing w:val="-2"/>
        </w:rPr>
        <w:t>and </w:t>
      </w:r>
      <w:r>
        <w:rPr>
          <w:color w:val="231F20"/>
        </w:rPr>
        <w:t>December</w:t>
      </w:r>
      <w:r>
        <w:rPr>
          <w:color w:val="231F20"/>
          <w:spacing w:val="-11"/>
        </w:rPr>
        <w:t> </w:t>
      </w:r>
      <w:r>
        <w:rPr>
          <w:color w:val="231F20"/>
        </w:rPr>
        <w:t>31</w:t>
      </w:r>
      <w:r>
        <w:rPr>
          <w:color w:val="231F20"/>
          <w:spacing w:val="-11"/>
        </w:rPr>
        <w:t> </w:t>
      </w:r>
      <w:r>
        <w:rPr>
          <w:color w:val="231F20"/>
        </w:rPr>
        <w:t>for</w:t>
      </w:r>
      <w:r>
        <w:rPr>
          <w:color w:val="231F20"/>
          <w:spacing w:val="-11"/>
        </w:rPr>
        <w:t> </w:t>
      </w:r>
      <w:r>
        <w:rPr>
          <w:color w:val="231F20"/>
        </w:rPr>
        <w:t>each</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loans,</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may</w:t>
      </w:r>
      <w:r>
        <w:rPr>
          <w:color w:val="231F20"/>
          <w:spacing w:val="-11"/>
        </w:rPr>
        <w:t> </w:t>
      </w:r>
      <w:r>
        <w:rPr>
          <w:color w:val="231F20"/>
        </w:rPr>
        <w:t>terminate</w:t>
      </w:r>
      <w:r>
        <w:rPr>
          <w:color w:val="231F20"/>
          <w:spacing w:val="-11"/>
        </w:rPr>
        <w:t> </w:t>
      </w:r>
      <w:r>
        <w:rPr>
          <w:color w:val="231F20"/>
        </w:rPr>
        <w:t>the</w:t>
      </w:r>
      <w:r>
        <w:rPr>
          <w:color w:val="231F20"/>
          <w:spacing w:val="-11"/>
        </w:rPr>
        <w:t> </w:t>
      </w:r>
      <w:r>
        <w:rPr>
          <w:color w:val="231F20"/>
        </w:rPr>
        <w:t>arrangements</w:t>
      </w:r>
      <w:r>
        <w:rPr>
          <w:color w:val="231F20"/>
          <w:spacing w:val="-11"/>
        </w:rPr>
        <w:t> </w:t>
      </w:r>
      <w:r>
        <w:rPr>
          <w:color w:val="231F20"/>
        </w:rPr>
        <w:t>in</w:t>
      </w:r>
      <w:r>
        <w:rPr>
          <w:color w:val="231F20"/>
          <w:spacing w:val="-11"/>
        </w:rPr>
        <w:t> </w:t>
      </w:r>
      <w:r>
        <w:rPr>
          <w:color w:val="231F20"/>
        </w:rPr>
        <w:t>any</w:t>
      </w:r>
      <w:r>
        <w:rPr>
          <w:color w:val="231F20"/>
          <w:spacing w:val="-11"/>
        </w:rPr>
        <w:t> </w:t>
      </w:r>
      <w:r>
        <w:rPr>
          <w:color w:val="231F20"/>
        </w:rPr>
        <w:t>year</w:t>
      </w:r>
      <w:r>
        <w:rPr>
          <w:color w:val="231F20"/>
          <w:spacing w:val="-11"/>
        </w:rPr>
        <w:t> </w:t>
      </w:r>
      <w:r>
        <w:rPr>
          <w:color w:val="231F20"/>
        </w:rPr>
        <w:t>on</w:t>
      </w:r>
      <w:r>
        <w:rPr>
          <w:color w:val="231F20"/>
          <w:spacing w:val="-11"/>
        </w:rPr>
        <w:t> </w:t>
      </w:r>
      <w:r>
        <w:rPr>
          <w:color w:val="231F20"/>
        </w:rPr>
        <w:t>either</w:t>
      </w:r>
      <w:r>
        <w:rPr>
          <w:color w:val="231F20"/>
          <w:spacing w:val="-11"/>
        </w:rPr>
        <w:t> </w:t>
      </w:r>
      <w:r>
        <w:rPr>
          <w:color w:val="231F20"/>
        </w:rPr>
        <w:t>of</w:t>
      </w:r>
      <w:r>
        <w:rPr>
          <w:color w:val="231F20"/>
          <w:spacing w:val="-11"/>
        </w:rPr>
        <w:t> </w:t>
      </w:r>
      <w:r>
        <w:rPr>
          <w:color w:val="231F20"/>
        </w:rPr>
        <w:t>those dates,</w:t>
      </w:r>
      <w:r>
        <w:rPr>
          <w:color w:val="231F20"/>
          <w:spacing w:val="-16"/>
        </w:rPr>
        <w:t> </w:t>
      </w:r>
      <w:r>
        <w:rPr>
          <w:color w:val="231F20"/>
        </w:rPr>
        <w:t>under</w:t>
      </w:r>
      <w:r>
        <w:rPr>
          <w:color w:val="231F20"/>
          <w:spacing w:val="-16"/>
        </w:rPr>
        <w:t> </w:t>
      </w:r>
      <w:r>
        <w:rPr>
          <w:color w:val="231F20"/>
        </w:rPr>
        <w:t>certain</w:t>
      </w:r>
      <w:r>
        <w:rPr>
          <w:color w:val="231F20"/>
          <w:spacing w:val="-17"/>
        </w:rPr>
        <w:t> </w:t>
      </w:r>
      <w:r>
        <w:rPr>
          <w:color w:val="231F20"/>
        </w:rPr>
        <w:t>conditions.</w:t>
      </w:r>
      <w:r>
        <w:rPr>
          <w:color w:val="231F20"/>
          <w:spacing w:val="-17"/>
        </w:rPr>
        <w:t> </w:t>
      </w:r>
      <w:r>
        <w:rPr>
          <w:color w:val="231F20"/>
        </w:rPr>
        <w:t>The</w:t>
      </w:r>
      <w:r>
        <w:rPr>
          <w:color w:val="231F20"/>
          <w:spacing w:val="-16"/>
        </w:rPr>
        <w:t> </w:t>
      </w:r>
      <w:r>
        <w:rPr>
          <w:color w:val="231F20"/>
        </w:rPr>
        <w:t>Company</w:t>
      </w:r>
      <w:r>
        <w:rPr>
          <w:color w:val="231F20"/>
          <w:spacing w:val="-16"/>
        </w:rPr>
        <w:t> </w:t>
      </w:r>
      <w:r>
        <w:rPr>
          <w:color w:val="231F20"/>
        </w:rPr>
        <w:t>pledged</w:t>
      </w:r>
      <w:r>
        <w:rPr>
          <w:color w:val="231F20"/>
          <w:spacing w:val="-16"/>
        </w:rPr>
        <w:t> </w:t>
      </w:r>
      <w:r>
        <w:rPr>
          <w:color w:val="231F20"/>
        </w:rPr>
        <w:t>four</w:t>
      </w:r>
      <w:r>
        <w:rPr>
          <w:color w:val="231F20"/>
          <w:spacing w:val="-16"/>
        </w:rPr>
        <w:t> </w:t>
      </w:r>
      <w:r>
        <w:rPr>
          <w:color w:val="231F20"/>
        </w:rPr>
        <w:t>aircraft</w:t>
      </w:r>
      <w:r>
        <w:rPr>
          <w:color w:val="231F20"/>
          <w:spacing w:val="-16"/>
        </w:rPr>
        <w:t> </w:t>
      </w:r>
      <w:r>
        <w:rPr>
          <w:color w:val="231F20"/>
        </w:rPr>
        <w:t>as</w:t>
      </w:r>
      <w:r>
        <w:rPr>
          <w:color w:val="231F20"/>
          <w:spacing w:val="-16"/>
        </w:rPr>
        <w:t> </w:t>
      </w:r>
      <w:r>
        <w:rPr>
          <w:color w:val="231F20"/>
        </w:rPr>
        <w:t>collateral</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transactions.</w:t>
      </w:r>
    </w:p>
    <w:p>
      <w:pPr>
        <w:pStyle w:val="BodyText"/>
        <w:spacing w:before="10"/>
      </w:pPr>
    </w:p>
    <w:p>
      <w:pPr>
        <w:pStyle w:val="BodyText"/>
        <w:spacing w:line="249" w:lineRule="auto" w:before="1"/>
        <w:ind w:left="100" w:firstLine="49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1"/>
      </w:pPr>
    </w:p>
    <w:p>
      <w:pPr>
        <w:pStyle w:val="BodyText"/>
        <w:spacing w:line="249" w:lineRule="auto"/>
        <w:ind w:left="100" w:right="108" w:firstLine="490"/>
      </w:pPr>
      <w:r>
        <w:rPr>
          <w:color w:val="231F20"/>
        </w:rPr>
        <w:t>On March 1, 2002, the Company issued $385 million senior unsecured notes due March 1, 2012. The notes bore interest at 6.5 percent, payable semi-annually on March 1 and September 1. During 2003, the Company entered into an interest rate swap agreement to convert this fixed-rate debt to a floating rate. The notes and associated interest rate swap matured and were redeemed on March 1, 2012, utilizing available cash on hand.</w:t>
      </w:r>
    </w:p>
    <w:p>
      <w:pPr>
        <w:pStyle w:val="BodyText"/>
        <w:spacing w:before="10"/>
      </w:pPr>
    </w:p>
    <w:p>
      <w:pPr>
        <w:pStyle w:val="BodyText"/>
        <w:spacing w:line="249" w:lineRule="auto" w:before="1"/>
        <w:ind w:left="100" w:right="388" w:firstLine="490"/>
      </w:pPr>
      <w:r>
        <w:rPr>
          <w:color w:val="231F20"/>
        </w:rPr>
        <w:t>In fourth quarter 1999, the Company entered into two identical 13-year floating rate financing arrangements, whereby it borrowed a total of $56 million from French banking partnerships. Although the interest on the borrowings was at a floating rate, the Company estimated at inception that, considering the full effect of the “net present value benefits” included in the transactions, the effective economic yield over the 13-year term of the loans was approximately LIBOR minus 67 basis points. Principal and interest were paid semi-annually on June 30 and December 31 for each of the loans. The Company had pledged two aircraft as</w:t>
      </w:r>
    </w:p>
    <w:p>
      <w:pPr>
        <w:pStyle w:val="BodyText"/>
        <w:spacing w:line="249" w:lineRule="auto" w:before="1"/>
        <w:ind w:left="100" w:right="104"/>
      </w:pPr>
      <w:r>
        <w:rPr>
          <w:color w:val="231F20"/>
        </w:rPr>
        <w:t>collateral for the transactions. These financing arrangements were paid in full on the final principal payment date of December 31, 2012, utilizing available cash on hand.</w:t>
      </w:r>
    </w:p>
    <w:p>
      <w:pPr>
        <w:pStyle w:val="BodyText"/>
        <w:spacing w:before="10"/>
      </w:pPr>
    </w:p>
    <w:p>
      <w:pPr>
        <w:pStyle w:val="BodyText"/>
        <w:spacing w:line="249" w:lineRule="auto" w:before="1"/>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w:t>
      </w:r>
      <w:r>
        <w:rPr>
          <w:color w:val="231F20"/>
          <w:spacing w:val="7"/>
        </w:rPr>
        <w:t> </w:t>
      </w:r>
      <w:r>
        <w:rPr>
          <w:color w:val="231F20"/>
        </w:rPr>
        <w:t>termination.</w:t>
      </w:r>
    </w:p>
    <w:p>
      <w:pPr>
        <w:pStyle w:val="BodyText"/>
        <w:spacing w:before="11"/>
      </w:pPr>
    </w:p>
    <w:p>
      <w:pPr>
        <w:pStyle w:val="BodyText"/>
        <w:spacing w:line="249" w:lineRule="auto"/>
        <w:ind w:left="100" w:right="148"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$208 million at December 31, 2012.</w:t>
      </w:r>
    </w:p>
    <w:p>
      <w:pPr>
        <w:spacing w:after="0" w:line="249" w:lineRule="auto"/>
        <w:sectPr>
          <w:pgSz w:w="11880" w:h="15480"/>
          <w:pgMar w:header="0" w:footer="1253" w:top="1240" w:bottom="1440" w:left="1280" w:right="1300"/>
        </w:sectPr>
      </w:pPr>
    </w:p>
    <w:p>
      <w:pPr>
        <w:pStyle w:val="BodyText"/>
        <w:spacing w:line="249" w:lineRule="auto" w:before="73"/>
        <w:ind w:left="160" w:right="107" w:firstLine="490"/>
      </w:pPr>
      <w:r>
        <w:rPr>
          <w:color w:val="231F20"/>
        </w:rPr>
        <w:t>The net book value of the assets pledged as collateral for the Company’s secured borrowings, primarily aircraft and engines, was $2.5 billion at December 31, 2012. In addition, the Company has pledged a total of up to 50 of its Boeing 737-700 aircraft at a net book value of $1.1 billion, in the case that it has obligations related to its fuel derivative instruments with counterparties that exceed certain thresholds. See Note 10 for further information on these collateral</w:t>
      </w:r>
      <w:r>
        <w:rPr>
          <w:color w:val="231F20"/>
          <w:spacing w:val="5"/>
        </w:rPr>
        <w:t> </w:t>
      </w:r>
      <w:r>
        <w:rPr>
          <w:color w:val="231F20"/>
        </w:rPr>
        <w:t>arrangements.</w:t>
      </w:r>
    </w:p>
    <w:p>
      <w:pPr>
        <w:pStyle w:val="BodyText"/>
        <w:spacing w:before="5"/>
        <w:rPr>
          <w:sz w:val="23"/>
        </w:rPr>
      </w:pPr>
    </w:p>
    <w:p>
      <w:pPr>
        <w:pStyle w:val="BodyText"/>
        <w:spacing w:line="249" w:lineRule="auto"/>
        <w:ind w:left="160" w:right="94" w:firstLine="490"/>
      </w:pPr>
      <w:r>
        <w:rPr>
          <w:color w:val="231F20"/>
        </w:rPr>
        <w:t>As of </w:t>
      </w:r>
      <w:r>
        <w:rPr>
          <w:color w:val="231F20"/>
          <w:spacing w:val="-4"/>
        </w:rPr>
        <w:t>December </w:t>
      </w:r>
      <w:r>
        <w:rPr>
          <w:color w:val="231F20"/>
          <w:spacing w:val="-3"/>
        </w:rPr>
        <w:t>31, </w:t>
      </w:r>
      <w:r>
        <w:rPr>
          <w:color w:val="231F20"/>
          <w:spacing w:val="-4"/>
        </w:rPr>
        <w:t>2012, aggregate annual principal maturities </w:t>
      </w:r>
      <w:r>
        <w:rPr>
          <w:color w:val="231F20"/>
        </w:rPr>
        <w:t>of </w:t>
      </w:r>
      <w:r>
        <w:rPr>
          <w:color w:val="231F20"/>
          <w:spacing w:val="-3"/>
        </w:rPr>
        <w:t>debt and </w:t>
      </w:r>
      <w:r>
        <w:rPr>
          <w:color w:val="231F20"/>
          <w:spacing w:val="-4"/>
        </w:rPr>
        <w:t>capital leases </w:t>
      </w:r>
      <w:r>
        <w:rPr>
          <w:color w:val="231F20"/>
          <w:spacing w:val="-3"/>
        </w:rPr>
        <w:t>(not </w:t>
      </w:r>
      <w:r>
        <w:rPr>
          <w:color w:val="231F20"/>
          <w:spacing w:val="-4"/>
        </w:rPr>
        <w:t>including amounts associated </w:t>
      </w:r>
      <w:r>
        <w:rPr>
          <w:color w:val="231F20"/>
          <w:spacing w:val="-3"/>
        </w:rPr>
        <w:t>with </w:t>
      </w:r>
      <w:r>
        <w:rPr>
          <w:color w:val="231F20"/>
          <w:spacing w:val="-4"/>
        </w:rPr>
        <w:t>interest </w:t>
      </w:r>
      <w:r>
        <w:rPr>
          <w:color w:val="231F20"/>
          <w:spacing w:val="-3"/>
        </w:rPr>
        <w:t>rate swap </w:t>
      </w:r>
      <w:r>
        <w:rPr>
          <w:color w:val="231F20"/>
          <w:spacing w:val="-4"/>
        </w:rPr>
        <w:t>agreements, interest </w:t>
      </w:r>
      <w:r>
        <w:rPr>
          <w:color w:val="231F20"/>
        </w:rPr>
        <w:t>on </w:t>
      </w:r>
      <w:r>
        <w:rPr>
          <w:color w:val="231F20"/>
          <w:spacing w:val="-4"/>
        </w:rPr>
        <w:t>capital leases, </w:t>
      </w:r>
      <w:r>
        <w:rPr>
          <w:color w:val="231F20"/>
          <w:spacing w:val="-3"/>
        </w:rPr>
        <w:t>and </w:t>
      </w:r>
      <w:r>
        <w:rPr>
          <w:color w:val="231F20"/>
          <w:spacing w:val="-4"/>
        </w:rPr>
        <w:t>amortization </w:t>
      </w:r>
      <w:r>
        <w:rPr>
          <w:color w:val="231F20"/>
        </w:rPr>
        <w:t>of </w:t>
      </w:r>
      <w:r>
        <w:rPr>
          <w:color w:val="231F20"/>
          <w:spacing w:val="-4"/>
        </w:rPr>
        <w:t>purchase accounting adjustments) </w:t>
      </w:r>
      <w:r>
        <w:rPr>
          <w:color w:val="231F20"/>
          <w:spacing w:val="-3"/>
        </w:rPr>
        <w:t>for the </w:t>
      </w:r>
      <w:r>
        <w:rPr>
          <w:color w:val="231F20"/>
          <w:spacing w:val="-4"/>
        </w:rPr>
        <w:t>five-year period ending December </w:t>
      </w:r>
      <w:r>
        <w:rPr>
          <w:color w:val="231F20"/>
          <w:spacing w:val="-3"/>
        </w:rPr>
        <w:t>31, 2017 and </w:t>
      </w:r>
      <w:r>
        <w:rPr>
          <w:color w:val="231F20"/>
          <w:spacing w:val="-4"/>
        </w:rPr>
        <w:t>thereafter, </w:t>
      </w:r>
      <w:r>
        <w:rPr>
          <w:color w:val="231F20"/>
          <w:spacing w:val="-3"/>
        </w:rPr>
        <w:t>were $186 </w:t>
      </w:r>
      <w:r>
        <w:rPr>
          <w:color w:val="231F20"/>
          <w:spacing w:val="-4"/>
        </w:rPr>
        <w:t>million </w:t>
      </w:r>
      <w:r>
        <w:rPr>
          <w:color w:val="231F20"/>
        </w:rPr>
        <w:t>in </w:t>
      </w:r>
      <w:r>
        <w:rPr>
          <w:color w:val="231F20"/>
          <w:spacing w:val="-4"/>
        </w:rPr>
        <w:t>2013,</w:t>
      </w:r>
    </w:p>
    <w:p>
      <w:pPr>
        <w:pStyle w:val="BodyText"/>
        <w:ind w:left="160"/>
      </w:pPr>
      <w:r>
        <w:rPr>
          <w:color w:val="231F20"/>
          <w:spacing w:val="-3"/>
        </w:rPr>
        <w:t>$534 </w:t>
      </w:r>
      <w:r>
        <w:rPr>
          <w:color w:val="231F20"/>
          <w:spacing w:val="-4"/>
        </w:rPr>
        <w:t>million </w:t>
      </w:r>
      <w:r>
        <w:rPr>
          <w:color w:val="231F20"/>
        </w:rPr>
        <w:t>in </w:t>
      </w:r>
      <w:r>
        <w:rPr>
          <w:color w:val="231F20"/>
          <w:spacing w:val="-4"/>
        </w:rPr>
        <w:t>2014, </w:t>
      </w:r>
      <w:r>
        <w:rPr>
          <w:color w:val="231F20"/>
          <w:spacing w:val="-3"/>
        </w:rPr>
        <w:t>$204 </w:t>
      </w:r>
      <w:r>
        <w:rPr>
          <w:color w:val="231F20"/>
          <w:spacing w:val="-4"/>
        </w:rPr>
        <w:t>million </w:t>
      </w:r>
      <w:r>
        <w:rPr>
          <w:color w:val="231F20"/>
        </w:rPr>
        <w:t>in </w:t>
      </w:r>
      <w:r>
        <w:rPr>
          <w:color w:val="231F20"/>
          <w:spacing w:val="-4"/>
        </w:rPr>
        <w:t>2015, </w:t>
      </w:r>
      <w:r>
        <w:rPr>
          <w:color w:val="231F20"/>
          <w:spacing w:val="-3"/>
        </w:rPr>
        <w:t>$615 </w:t>
      </w:r>
      <w:r>
        <w:rPr>
          <w:color w:val="231F20"/>
          <w:spacing w:val="-4"/>
        </w:rPr>
        <w:t>million </w:t>
      </w:r>
      <w:r>
        <w:rPr>
          <w:color w:val="231F20"/>
        </w:rPr>
        <w:t>in </w:t>
      </w:r>
      <w:r>
        <w:rPr>
          <w:color w:val="231F20"/>
          <w:spacing w:val="-4"/>
        </w:rPr>
        <w:t>2016, </w:t>
      </w:r>
      <w:r>
        <w:rPr>
          <w:color w:val="231F20"/>
          <w:spacing w:val="-3"/>
        </w:rPr>
        <w:t>$523 </w:t>
      </w:r>
      <w:r>
        <w:rPr>
          <w:color w:val="231F20"/>
          <w:spacing w:val="-4"/>
        </w:rPr>
        <w:t>million </w:t>
      </w:r>
      <w:r>
        <w:rPr>
          <w:color w:val="231F20"/>
        </w:rPr>
        <w:t>in </w:t>
      </w:r>
      <w:r>
        <w:rPr>
          <w:color w:val="231F20"/>
          <w:spacing w:val="-4"/>
        </w:rPr>
        <w:t>2017, </w:t>
      </w:r>
      <w:r>
        <w:rPr>
          <w:color w:val="231F20"/>
          <w:spacing w:val="-3"/>
        </w:rPr>
        <w:t>and $971 </w:t>
      </w:r>
      <w:r>
        <w:rPr>
          <w:color w:val="231F20"/>
          <w:spacing w:val="-4"/>
        </w:rPr>
        <w:t>million thereafter.</w:t>
      </w:r>
    </w:p>
    <w:p>
      <w:pPr>
        <w:pStyle w:val="BodyText"/>
        <w:rPr>
          <w:sz w:val="22"/>
        </w:rPr>
      </w:pPr>
    </w:p>
    <w:p>
      <w:pPr>
        <w:pStyle w:val="Heading3"/>
        <w:numPr>
          <w:ilvl w:val="0"/>
          <w:numId w:val="13"/>
        </w:numPr>
        <w:tabs>
          <w:tab w:pos="360" w:val="left" w:leader="none"/>
        </w:tabs>
        <w:spacing w:line="240" w:lineRule="auto" w:before="159" w:after="0"/>
        <w:ind w:left="360" w:right="0" w:hanging="200"/>
        <w:jc w:val="left"/>
      </w:pPr>
      <w:r>
        <w:rPr>
          <w:color w:val="231F20"/>
        </w:rPr>
        <w:t>LEASES</w:t>
      </w:r>
    </w:p>
    <w:p>
      <w:pPr>
        <w:pStyle w:val="BodyText"/>
        <w:spacing w:line="249" w:lineRule="auto" w:before="143"/>
        <w:ind w:left="160" w:right="279" w:firstLine="490"/>
      </w:pPr>
      <w:r>
        <w:rPr>
          <w:color w:val="231F20"/>
        </w:rPr>
        <w:t>The Company had two aircraft classified as capital leases at December 31, 2012, compared to seven aircraft classified as capital leases at December 31, 2011. Amounts applicable to these aircraft that are included in property and equipment were:</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5"/>
        <w:gridCol w:w="155"/>
        <w:gridCol w:w="750"/>
        <w:gridCol w:w="250"/>
        <w:gridCol w:w="200"/>
        <w:gridCol w:w="705"/>
        <w:gridCol w:w="345"/>
      </w:tblGrid>
      <w:tr>
        <w:trPr>
          <w:trHeight w:val="230" w:hRule="exact"/>
        </w:trPr>
        <w:tc>
          <w:tcPr>
            <w:tcW w:w="377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2012</w:t>
            </w:r>
          </w:p>
        </w:tc>
        <w:tc>
          <w:tcPr>
            <w:tcW w:w="250" w:type="dxa"/>
            <w:tcBorders>
              <w:bottom w:val="single" w:sz="8" w:space="0" w:color="231F20"/>
            </w:tcBorders>
          </w:tcPr>
          <w:p>
            <w:pPr/>
          </w:p>
        </w:tc>
        <w:tc>
          <w:tcPr>
            <w:tcW w:w="200" w:type="dxa"/>
          </w:tcPr>
          <w:p>
            <w:pPr/>
          </w:p>
        </w:tc>
        <w:tc>
          <w:tcPr>
            <w:tcW w:w="705" w:type="dxa"/>
            <w:tcBorders>
              <w:bottom w:val="single" w:sz="8" w:space="0" w:color="231F20"/>
            </w:tcBorders>
          </w:tcPr>
          <w:p>
            <w:pPr>
              <w:pStyle w:val="TableParagraph"/>
              <w:spacing w:line="199" w:lineRule="exact"/>
              <w:ind w:left="320"/>
              <w:jc w:val="left"/>
              <w:rPr>
                <w:b/>
                <w:sz w:val="18"/>
              </w:rPr>
            </w:pPr>
            <w:r>
              <w:rPr>
                <w:b/>
                <w:color w:val="231F20"/>
                <w:sz w:val="18"/>
              </w:rPr>
              <w:t>2011</w:t>
            </w:r>
          </w:p>
        </w:tc>
        <w:tc>
          <w:tcPr>
            <w:tcW w:w="345" w:type="dxa"/>
            <w:tcBorders>
              <w:bottom w:val="single" w:sz="8" w:space="0" w:color="231F20"/>
            </w:tcBorders>
          </w:tcPr>
          <w:p>
            <w:pPr/>
          </w:p>
        </w:tc>
      </w:tr>
      <w:tr>
        <w:trPr>
          <w:trHeight w:val="280" w:hRule="exact"/>
        </w:trPr>
        <w:tc>
          <w:tcPr>
            <w:tcW w:w="3775" w:type="dxa"/>
            <w:tcBorders>
              <w:top w:val="single" w:sz="8" w:space="0" w:color="231F20"/>
            </w:tcBorders>
          </w:tcPr>
          <w:p>
            <w:pPr>
              <w:pStyle w:val="TableParagraph"/>
              <w:spacing w:before="52"/>
              <w:ind w:left="50"/>
              <w:jc w:val="left"/>
              <w:rPr>
                <w:sz w:val="18"/>
              </w:rPr>
            </w:pPr>
            <w:r>
              <w:rPr>
                <w:color w:val="231F20"/>
                <w:sz w:val="18"/>
              </w:rPr>
              <w:t>Flight equipment . . . . . . . . . . . . . . . . . . . . . . . . . . . </w:t>
            </w:r>
          </w:p>
        </w:tc>
        <w:tc>
          <w:tcPr>
            <w:tcW w:w="155"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250" w:type="dxa"/>
            <w:tcBorders>
              <w:top w:val="single" w:sz="8" w:space="0" w:color="231F20"/>
            </w:tcBorders>
          </w:tcPr>
          <w:p>
            <w:pPr>
              <w:pStyle w:val="TableParagraph"/>
              <w:spacing w:before="52"/>
              <w:ind w:left="69"/>
              <w:jc w:val="center"/>
              <w:rPr>
                <w:sz w:val="18"/>
              </w:rPr>
            </w:pPr>
            <w:r>
              <w:rPr>
                <w:color w:val="231F20"/>
                <w:sz w:val="18"/>
              </w:rPr>
              <w:t>45</w:t>
            </w:r>
          </w:p>
        </w:tc>
        <w:tc>
          <w:tcPr>
            <w:tcW w:w="200" w:type="dxa"/>
          </w:tcPr>
          <w:p>
            <w:pPr/>
          </w:p>
        </w:tc>
        <w:tc>
          <w:tcPr>
            <w:tcW w:w="705" w:type="dxa"/>
            <w:tcBorders>
              <w:top w:val="single" w:sz="8" w:space="0" w:color="231F20"/>
            </w:tcBorders>
          </w:tcPr>
          <w:p>
            <w:pPr>
              <w:pStyle w:val="TableParagraph"/>
              <w:spacing w:before="52"/>
              <w:jc w:val="left"/>
              <w:rPr>
                <w:sz w:val="18"/>
              </w:rPr>
            </w:pPr>
            <w:r>
              <w:rPr>
                <w:color w:val="231F20"/>
                <w:sz w:val="18"/>
              </w:rPr>
              <w:t>$</w:t>
            </w:r>
          </w:p>
        </w:tc>
        <w:tc>
          <w:tcPr>
            <w:tcW w:w="345" w:type="dxa"/>
            <w:tcBorders>
              <w:top w:val="single" w:sz="8" w:space="0" w:color="231F20"/>
            </w:tcBorders>
          </w:tcPr>
          <w:p>
            <w:pPr>
              <w:pStyle w:val="TableParagraph"/>
              <w:spacing w:before="52"/>
              <w:ind w:left="6" w:right="29"/>
              <w:jc w:val="center"/>
              <w:rPr>
                <w:sz w:val="18"/>
              </w:rPr>
            </w:pPr>
            <w:r>
              <w:rPr>
                <w:color w:val="231F20"/>
                <w:sz w:val="18"/>
              </w:rPr>
              <w:t>177</w:t>
            </w:r>
          </w:p>
        </w:tc>
      </w:tr>
      <w:tr>
        <w:trPr>
          <w:trHeight w:val="245" w:hRule="exact"/>
        </w:trPr>
        <w:tc>
          <w:tcPr>
            <w:tcW w:w="3775" w:type="dxa"/>
          </w:tcPr>
          <w:p>
            <w:pPr>
              <w:pStyle w:val="TableParagraph"/>
              <w:spacing w:before="1"/>
              <w:ind w:left="50"/>
              <w:jc w:val="left"/>
              <w:rPr>
                <w:sz w:val="18"/>
              </w:rPr>
            </w:pPr>
            <w:r>
              <w:rPr>
                <w:color w:val="231F20"/>
                <w:sz w:val="18"/>
              </w:rPr>
              <w:t>Less: accumulated amortization  . . . . . . . . . . . . . . . </w:t>
            </w:r>
          </w:p>
        </w:tc>
        <w:tc>
          <w:tcPr>
            <w:tcW w:w="155" w:type="dxa"/>
          </w:tcPr>
          <w:p>
            <w:pPr/>
          </w:p>
        </w:tc>
        <w:tc>
          <w:tcPr>
            <w:tcW w:w="750" w:type="dxa"/>
            <w:tcBorders>
              <w:bottom w:val="single" w:sz="4" w:space="0" w:color="231F20"/>
            </w:tcBorders>
          </w:tcPr>
          <w:p>
            <w:pPr/>
          </w:p>
        </w:tc>
        <w:tc>
          <w:tcPr>
            <w:tcW w:w="250" w:type="dxa"/>
            <w:tcBorders>
              <w:bottom w:val="single" w:sz="4" w:space="0" w:color="231F20"/>
            </w:tcBorders>
          </w:tcPr>
          <w:p>
            <w:pPr>
              <w:pStyle w:val="TableParagraph"/>
              <w:spacing w:before="1"/>
              <w:ind w:left="159"/>
              <w:jc w:val="center"/>
              <w:rPr>
                <w:sz w:val="18"/>
              </w:rPr>
            </w:pPr>
            <w:r>
              <w:rPr>
                <w:color w:val="231F20"/>
                <w:sz w:val="18"/>
              </w:rPr>
              <w:t>8</w:t>
            </w:r>
          </w:p>
        </w:tc>
        <w:tc>
          <w:tcPr>
            <w:tcW w:w="200" w:type="dxa"/>
          </w:tcPr>
          <w:p>
            <w:pPr/>
          </w:p>
        </w:tc>
        <w:tc>
          <w:tcPr>
            <w:tcW w:w="705" w:type="dxa"/>
            <w:tcBorders>
              <w:bottom w:val="single" w:sz="4" w:space="0" w:color="231F20"/>
            </w:tcBorders>
          </w:tcPr>
          <w:p>
            <w:pPr/>
          </w:p>
        </w:tc>
        <w:tc>
          <w:tcPr>
            <w:tcW w:w="345" w:type="dxa"/>
            <w:tcBorders>
              <w:bottom w:val="single" w:sz="4" w:space="0" w:color="231F20"/>
            </w:tcBorders>
          </w:tcPr>
          <w:p>
            <w:pPr>
              <w:pStyle w:val="TableParagraph"/>
              <w:spacing w:before="1"/>
              <w:ind w:left="6" w:right="29"/>
              <w:jc w:val="center"/>
              <w:rPr>
                <w:sz w:val="18"/>
              </w:rPr>
            </w:pPr>
            <w:r>
              <w:rPr>
                <w:color w:val="231F20"/>
                <w:sz w:val="18"/>
              </w:rPr>
              <w:t>132</w:t>
            </w:r>
          </w:p>
        </w:tc>
      </w:tr>
      <w:tr>
        <w:trPr>
          <w:trHeight w:val="340" w:hRule="exact"/>
        </w:trPr>
        <w:tc>
          <w:tcPr>
            <w:tcW w:w="3775" w:type="dxa"/>
          </w:tcPr>
          <w:p>
            <w:pPr/>
          </w:p>
        </w:tc>
        <w:tc>
          <w:tcPr>
            <w:tcW w:w="155"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250" w:type="dxa"/>
            <w:tcBorders>
              <w:top w:val="single" w:sz="4" w:space="0" w:color="231F20"/>
              <w:bottom w:val="single" w:sz="4" w:space="0" w:color="231F20"/>
            </w:tcBorders>
          </w:tcPr>
          <w:p>
            <w:pPr>
              <w:pStyle w:val="TableParagraph"/>
              <w:spacing w:before="52"/>
              <w:ind w:left="70"/>
              <w:jc w:val="center"/>
              <w:rPr>
                <w:sz w:val="18"/>
              </w:rPr>
            </w:pPr>
            <w:r>
              <w:rPr>
                <w:color w:val="231F20"/>
                <w:sz w:val="18"/>
              </w:rPr>
              <w:t>37</w:t>
            </w:r>
          </w:p>
        </w:tc>
        <w:tc>
          <w:tcPr>
            <w:tcW w:w="200" w:type="dxa"/>
          </w:tcPr>
          <w:p>
            <w:pPr/>
          </w:p>
        </w:tc>
        <w:tc>
          <w:tcPr>
            <w:tcW w:w="705"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45" w:type="dxa"/>
            <w:tcBorders>
              <w:top w:val="single" w:sz="4" w:space="0" w:color="231F20"/>
              <w:bottom w:val="single" w:sz="4" w:space="0" w:color="231F20"/>
            </w:tcBorders>
          </w:tcPr>
          <w:p>
            <w:pPr>
              <w:pStyle w:val="TableParagraph"/>
              <w:spacing w:before="52"/>
              <w:ind w:left="94" w:right="29"/>
              <w:jc w:val="center"/>
              <w:rPr>
                <w:sz w:val="18"/>
              </w:rPr>
            </w:pPr>
            <w:r>
              <w:rPr>
                <w:color w:val="231F20"/>
                <w:sz w:val="18"/>
              </w:rPr>
              <w:t>45</w:t>
            </w:r>
          </w:p>
        </w:tc>
      </w:tr>
    </w:tbl>
    <w:p>
      <w:pPr>
        <w:pStyle w:val="BodyText"/>
        <w:spacing w:before="6"/>
        <w:rPr>
          <w:sz w:val="27"/>
        </w:rPr>
      </w:pPr>
    </w:p>
    <w:p>
      <w:pPr>
        <w:pStyle w:val="BodyText"/>
        <w:spacing w:line="249" w:lineRule="auto" w:before="1"/>
        <w:ind w:left="160" w:right="161" w:firstLine="490"/>
      </w:pPr>
      <w:r>
        <w:rPr/>
        <w:pict>
          <v:line style="position:absolute;mso-position-horizontal-relative:page;mso-position-vertical-relative:paragraph;z-index:-353848" from="263pt,-18.314075pt" to="313pt,-18.314075pt" stroked="true" strokeweight=".5pt" strokecolor="#231f20">
            <v:stroke dashstyle="solid"/>
            <w10:wrap type="none"/>
          </v:line>
        </w:pict>
      </w:r>
      <w:r>
        <w:rPr/>
        <w:pict>
          <v:line style="position:absolute;mso-position-horizontal-relative:page;mso-position-vertical-relative:paragraph;z-index:-353824" from="323pt,-18.314075pt" to="373pt,-18.314075pt" stroked="true" strokeweight=".5pt" strokecolor="#231f20">
            <v:stroke dashstyle="solid"/>
            <w10:wrap type="none"/>
          </v:line>
        </w:pict>
      </w:r>
      <w:r>
        <w:rPr>
          <w:color w:val="231F20"/>
        </w:rPr>
        <w:t>Total rental expense for operating leases, both aircraft and other, charged to operations in 2012, 2011, and 2010 was $943 million, $847 million, and $631 million, respectively. The majority of the Company’s terminal operations space, as well as 187 aircraft, were under operating leases at December 31, 2012.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2012, were:</w:t>
      </w:r>
    </w:p>
    <w:p>
      <w:pPr>
        <w:pStyle w:val="BodyText"/>
        <w:spacing w:before="1"/>
        <w:rPr>
          <w:sz w:val="24"/>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155"/>
        <w:gridCol w:w="900"/>
        <w:gridCol w:w="200"/>
        <w:gridCol w:w="900"/>
        <w:gridCol w:w="200"/>
        <w:gridCol w:w="900"/>
        <w:gridCol w:w="200"/>
        <w:gridCol w:w="900"/>
      </w:tblGrid>
      <w:tr>
        <w:trPr>
          <w:trHeight w:val="450" w:hRule="exact"/>
        </w:trPr>
        <w:tc>
          <w:tcPr>
            <w:tcW w:w="441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254" w:lineRule="auto"/>
              <w:ind w:left="229" w:right="145" w:hanging="65"/>
              <w:jc w:val="left"/>
              <w:rPr>
                <w:b/>
                <w:sz w:val="18"/>
              </w:rPr>
            </w:pPr>
            <w:r>
              <w:rPr>
                <w:b/>
                <w:color w:val="231F20"/>
                <w:sz w:val="18"/>
              </w:rPr>
              <w:t>Capital leases</w:t>
            </w:r>
          </w:p>
        </w:tc>
        <w:tc>
          <w:tcPr>
            <w:tcW w:w="200" w:type="dxa"/>
          </w:tcPr>
          <w:p>
            <w:pPr/>
          </w:p>
        </w:tc>
        <w:tc>
          <w:tcPr>
            <w:tcW w:w="900" w:type="dxa"/>
            <w:tcBorders>
              <w:bottom w:val="single" w:sz="8" w:space="0" w:color="231F20"/>
            </w:tcBorders>
          </w:tcPr>
          <w:p>
            <w:pPr>
              <w:pStyle w:val="TableParagraph"/>
              <w:spacing w:line="254" w:lineRule="auto"/>
              <w:ind w:left="184" w:right="36" w:hanging="130"/>
              <w:jc w:val="left"/>
              <w:rPr>
                <w:b/>
                <w:sz w:val="18"/>
              </w:rPr>
            </w:pPr>
            <w:r>
              <w:rPr>
                <w:b/>
                <w:color w:val="231F20"/>
                <w:sz w:val="18"/>
              </w:rPr>
              <w:t>Operating leases*</w:t>
            </w:r>
          </w:p>
        </w:tc>
        <w:tc>
          <w:tcPr>
            <w:tcW w:w="200" w:type="dxa"/>
          </w:tcPr>
          <w:p>
            <w:pPr/>
          </w:p>
        </w:tc>
        <w:tc>
          <w:tcPr>
            <w:tcW w:w="900" w:type="dxa"/>
            <w:tcBorders>
              <w:bottom w:val="single" w:sz="8" w:space="0" w:color="231F20"/>
            </w:tcBorders>
          </w:tcPr>
          <w:p>
            <w:pPr>
              <w:pStyle w:val="TableParagraph"/>
              <w:spacing w:before="5"/>
              <w:jc w:val="left"/>
              <w:rPr>
                <w:sz w:val="18"/>
              </w:rPr>
            </w:pPr>
          </w:p>
          <w:p>
            <w:pPr>
              <w:pStyle w:val="TableParagraph"/>
              <w:ind w:right="78"/>
              <w:rPr>
                <w:b/>
                <w:sz w:val="18"/>
              </w:rPr>
            </w:pPr>
            <w:r>
              <w:rPr>
                <w:b/>
                <w:color w:val="231F20"/>
                <w:w w:val="95"/>
                <w:sz w:val="18"/>
              </w:rPr>
              <w:t>Subleases</w:t>
            </w:r>
          </w:p>
        </w:tc>
        <w:tc>
          <w:tcPr>
            <w:tcW w:w="200" w:type="dxa"/>
          </w:tcPr>
          <w:p>
            <w:pPr/>
          </w:p>
        </w:tc>
        <w:tc>
          <w:tcPr>
            <w:tcW w:w="900" w:type="dxa"/>
            <w:tcBorders>
              <w:bottom w:val="single" w:sz="8" w:space="0" w:color="231F20"/>
            </w:tcBorders>
          </w:tcPr>
          <w:p>
            <w:pPr>
              <w:pStyle w:val="TableParagraph"/>
              <w:spacing w:line="254" w:lineRule="auto"/>
              <w:ind w:left="65" w:right="35" w:hanging="10"/>
              <w:jc w:val="left"/>
              <w:rPr>
                <w:b/>
                <w:sz w:val="18"/>
              </w:rPr>
            </w:pPr>
            <w:r>
              <w:rPr>
                <w:b/>
                <w:color w:val="231F20"/>
                <w:sz w:val="18"/>
              </w:rPr>
              <w:t>Operating leases, net</w:t>
            </w:r>
          </w:p>
        </w:tc>
      </w:tr>
      <w:tr>
        <w:trPr>
          <w:trHeight w:val="280" w:hRule="exact"/>
        </w:trPr>
        <w:tc>
          <w:tcPr>
            <w:tcW w:w="4415" w:type="dxa"/>
            <w:tcBorders>
              <w:top w:val="single" w:sz="8" w:space="0" w:color="231F20"/>
            </w:tcBorders>
          </w:tcPr>
          <w:p>
            <w:pPr>
              <w:pStyle w:val="TableParagraph"/>
              <w:spacing w:before="52"/>
              <w:ind w:left="50"/>
              <w:jc w:val="left"/>
              <w:rPr>
                <w:sz w:val="18"/>
              </w:rPr>
            </w:pPr>
            <w:r>
              <w:rPr>
                <w:color w:val="231F20"/>
                <w:sz w:val="18"/>
              </w:rPr>
              <w:t>2013 . . . . . . . . . . . . . . . . . . . . . . . . . . . . . . . . . . . . . . . . . . . . </w:t>
            </w:r>
          </w:p>
        </w:tc>
        <w:tc>
          <w:tcPr>
            <w:tcW w:w="155" w:type="dxa"/>
          </w:tcPr>
          <w:p>
            <w:pPr/>
          </w:p>
        </w:tc>
        <w:tc>
          <w:tcPr>
            <w:tcW w:w="900" w:type="dxa"/>
            <w:tcBorders>
              <w:top w:val="single" w:sz="8" w:space="0" w:color="231F20"/>
            </w:tcBorders>
          </w:tcPr>
          <w:p>
            <w:pPr>
              <w:pStyle w:val="TableParagraph"/>
              <w:tabs>
                <w:tab w:pos="749" w:val="left" w:leader="none"/>
              </w:tabs>
              <w:spacing w:before="52"/>
              <w:ind w:right="59"/>
              <w:rPr>
                <w:sz w:val="18"/>
              </w:rPr>
            </w:pPr>
            <w:r>
              <w:rPr>
                <w:color w:val="231F20"/>
                <w:sz w:val="18"/>
              </w:rPr>
              <w:t>$</w:t>
              <w:tab/>
              <w:t>5</w:t>
            </w:r>
          </w:p>
        </w:tc>
        <w:tc>
          <w:tcPr>
            <w:tcW w:w="200" w:type="dxa"/>
          </w:tcPr>
          <w:p>
            <w:pPr/>
          </w:p>
        </w:tc>
        <w:tc>
          <w:tcPr>
            <w:tcW w:w="900" w:type="dxa"/>
            <w:tcBorders>
              <w:top w:val="single" w:sz="8" w:space="0" w:color="231F20"/>
            </w:tcBorders>
          </w:tcPr>
          <w:p>
            <w:pPr>
              <w:pStyle w:val="TableParagraph"/>
              <w:tabs>
                <w:tab w:pos="569" w:val="left" w:leader="none"/>
              </w:tabs>
              <w:spacing w:before="52"/>
              <w:ind w:right="59"/>
              <w:rPr>
                <w:sz w:val="18"/>
              </w:rPr>
            </w:pPr>
            <w:r>
              <w:rPr>
                <w:color w:val="231F20"/>
                <w:sz w:val="18"/>
              </w:rPr>
              <w:t>$</w:t>
              <w:tab/>
            </w:r>
            <w:r>
              <w:rPr>
                <w:color w:val="231F20"/>
                <w:spacing w:val="-1"/>
                <w:sz w:val="18"/>
              </w:rPr>
              <w:t>693</w:t>
            </w:r>
          </w:p>
        </w:tc>
        <w:tc>
          <w:tcPr>
            <w:tcW w:w="200" w:type="dxa"/>
          </w:tcPr>
          <w:p>
            <w:pPr/>
          </w:p>
        </w:tc>
        <w:tc>
          <w:tcPr>
            <w:tcW w:w="900" w:type="dxa"/>
            <w:tcBorders>
              <w:top w:val="single" w:sz="8" w:space="0" w:color="231F20"/>
            </w:tcBorders>
          </w:tcPr>
          <w:p>
            <w:pPr>
              <w:pStyle w:val="TableParagraph"/>
              <w:tabs>
                <w:tab w:pos="649" w:val="left" w:leader="none"/>
              </w:tabs>
              <w:spacing w:before="52"/>
              <w:ind w:right="38"/>
              <w:rPr>
                <w:sz w:val="18"/>
              </w:rPr>
            </w:pPr>
            <w:r>
              <w:rPr>
                <w:color w:val="231F20"/>
                <w:sz w:val="18"/>
              </w:rPr>
              <w:t>$</w:t>
              <w:tab/>
              <w:t>(5)</w:t>
            </w:r>
          </w:p>
        </w:tc>
        <w:tc>
          <w:tcPr>
            <w:tcW w:w="200" w:type="dxa"/>
          </w:tcPr>
          <w:p>
            <w:pPr/>
          </w:p>
        </w:tc>
        <w:tc>
          <w:tcPr>
            <w:tcW w:w="900" w:type="dxa"/>
            <w:tcBorders>
              <w:top w:val="single" w:sz="8" w:space="0" w:color="231F20"/>
            </w:tcBorders>
          </w:tcPr>
          <w:p>
            <w:pPr>
              <w:pStyle w:val="TableParagraph"/>
              <w:tabs>
                <w:tab w:pos="569" w:val="left" w:leader="none"/>
              </w:tabs>
              <w:spacing w:before="52"/>
              <w:ind w:right="58"/>
              <w:rPr>
                <w:sz w:val="18"/>
              </w:rPr>
            </w:pPr>
            <w:r>
              <w:rPr>
                <w:color w:val="231F20"/>
                <w:sz w:val="18"/>
              </w:rPr>
              <w:t>$</w:t>
              <w:tab/>
            </w:r>
            <w:r>
              <w:rPr>
                <w:color w:val="231F20"/>
                <w:spacing w:val="-1"/>
                <w:sz w:val="18"/>
              </w:rPr>
              <w:t>688</w:t>
            </w:r>
          </w:p>
        </w:tc>
      </w:tr>
      <w:tr>
        <w:trPr>
          <w:trHeight w:val="220" w:hRule="exact"/>
        </w:trPr>
        <w:tc>
          <w:tcPr>
            <w:tcW w:w="4415" w:type="dxa"/>
          </w:tcPr>
          <w:p>
            <w:pPr>
              <w:pStyle w:val="TableParagraph"/>
              <w:spacing w:before="1"/>
              <w:ind w:left="50"/>
              <w:jc w:val="left"/>
              <w:rPr>
                <w:sz w:val="18"/>
              </w:rPr>
            </w:pPr>
            <w:r>
              <w:rPr>
                <w:color w:val="231F20"/>
                <w:sz w:val="18"/>
              </w:rPr>
              <w:t>2014 . . . . . . . . . . . . . . . . . . . . . . . . . . . . . . . . . . . . . . . . . . . .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663</w:t>
            </w:r>
          </w:p>
        </w:tc>
        <w:tc>
          <w:tcPr>
            <w:tcW w:w="200" w:type="dxa"/>
          </w:tcPr>
          <w:p>
            <w:pPr/>
          </w:p>
        </w:tc>
        <w:tc>
          <w:tcPr>
            <w:tcW w:w="900" w:type="dxa"/>
          </w:tcPr>
          <w:p>
            <w:pPr>
              <w:pStyle w:val="TableParagraph"/>
              <w:spacing w:before="1"/>
              <w:ind w:right="38"/>
              <w:rPr>
                <w:sz w:val="18"/>
              </w:rPr>
            </w:pPr>
            <w:r>
              <w:rPr>
                <w:color w:val="231F20"/>
                <w:sz w:val="18"/>
              </w:rPr>
              <w:t>(49)</w:t>
            </w:r>
          </w:p>
        </w:tc>
        <w:tc>
          <w:tcPr>
            <w:tcW w:w="200" w:type="dxa"/>
          </w:tcPr>
          <w:p>
            <w:pPr/>
          </w:p>
        </w:tc>
        <w:tc>
          <w:tcPr>
            <w:tcW w:w="900" w:type="dxa"/>
          </w:tcPr>
          <w:p>
            <w:pPr>
              <w:pStyle w:val="TableParagraph"/>
              <w:spacing w:before="1"/>
              <w:ind w:right="58"/>
              <w:rPr>
                <w:sz w:val="18"/>
              </w:rPr>
            </w:pPr>
            <w:r>
              <w:rPr>
                <w:color w:val="231F20"/>
                <w:sz w:val="18"/>
              </w:rPr>
              <w:t>614</w:t>
            </w:r>
          </w:p>
        </w:tc>
      </w:tr>
      <w:tr>
        <w:trPr>
          <w:trHeight w:val="220" w:hRule="exact"/>
        </w:trPr>
        <w:tc>
          <w:tcPr>
            <w:tcW w:w="4415" w:type="dxa"/>
          </w:tcPr>
          <w:p>
            <w:pPr>
              <w:pStyle w:val="TableParagraph"/>
              <w:spacing w:before="1"/>
              <w:ind w:left="50"/>
              <w:jc w:val="left"/>
              <w:rPr>
                <w:sz w:val="18"/>
              </w:rPr>
            </w:pPr>
            <w:r>
              <w:rPr>
                <w:color w:val="231F20"/>
                <w:sz w:val="18"/>
              </w:rPr>
              <w:t>2015 . . . . . . . . . . . . . . . . . . . . . . . . . . . . . . . . . . . . . . . . . . . .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598</w:t>
            </w:r>
          </w:p>
        </w:tc>
        <w:tc>
          <w:tcPr>
            <w:tcW w:w="200" w:type="dxa"/>
          </w:tcPr>
          <w:p>
            <w:pPr/>
          </w:p>
        </w:tc>
        <w:tc>
          <w:tcPr>
            <w:tcW w:w="900" w:type="dxa"/>
          </w:tcPr>
          <w:p>
            <w:pPr>
              <w:pStyle w:val="TableParagraph"/>
              <w:spacing w:before="1"/>
              <w:ind w:right="38"/>
              <w:rPr>
                <w:sz w:val="18"/>
              </w:rPr>
            </w:pPr>
            <w:r>
              <w:rPr>
                <w:color w:val="231F20"/>
                <w:sz w:val="18"/>
              </w:rPr>
              <w:t>(91)</w:t>
            </w:r>
          </w:p>
        </w:tc>
        <w:tc>
          <w:tcPr>
            <w:tcW w:w="200" w:type="dxa"/>
          </w:tcPr>
          <w:p>
            <w:pPr/>
          </w:p>
        </w:tc>
        <w:tc>
          <w:tcPr>
            <w:tcW w:w="900" w:type="dxa"/>
          </w:tcPr>
          <w:p>
            <w:pPr>
              <w:pStyle w:val="TableParagraph"/>
              <w:spacing w:before="1"/>
              <w:ind w:right="58"/>
              <w:rPr>
                <w:sz w:val="18"/>
              </w:rPr>
            </w:pPr>
            <w:r>
              <w:rPr>
                <w:color w:val="231F20"/>
                <w:sz w:val="18"/>
              </w:rPr>
              <w:t>507</w:t>
            </w:r>
          </w:p>
        </w:tc>
      </w:tr>
      <w:tr>
        <w:trPr>
          <w:trHeight w:val="220" w:hRule="exact"/>
        </w:trPr>
        <w:tc>
          <w:tcPr>
            <w:tcW w:w="4415" w:type="dxa"/>
          </w:tcPr>
          <w:p>
            <w:pPr>
              <w:pStyle w:val="TableParagraph"/>
              <w:spacing w:before="1"/>
              <w:ind w:left="50"/>
              <w:jc w:val="left"/>
              <w:rPr>
                <w:sz w:val="18"/>
              </w:rPr>
            </w:pPr>
            <w:r>
              <w:rPr>
                <w:color w:val="231F20"/>
                <w:sz w:val="18"/>
              </w:rPr>
              <w:t>2016 . . . . . . . . . . . . . . . . . . . . . . . . . . . . . . . . . . . . . . . . . . . .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5</w:t>
            </w:r>
          </w:p>
        </w:tc>
        <w:tc>
          <w:tcPr>
            <w:tcW w:w="200" w:type="dxa"/>
          </w:tcPr>
          <w:p>
            <w:pPr/>
          </w:p>
        </w:tc>
        <w:tc>
          <w:tcPr>
            <w:tcW w:w="900" w:type="dxa"/>
          </w:tcPr>
          <w:p>
            <w:pPr>
              <w:pStyle w:val="TableParagraph"/>
              <w:spacing w:before="1"/>
              <w:ind w:right="59"/>
              <w:rPr>
                <w:sz w:val="18"/>
              </w:rPr>
            </w:pPr>
            <w:r>
              <w:rPr>
                <w:color w:val="231F20"/>
                <w:sz w:val="18"/>
              </w:rPr>
              <w:t>497</w:t>
            </w:r>
          </w:p>
        </w:tc>
        <w:tc>
          <w:tcPr>
            <w:tcW w:w="200" w:type="dxa"/>
          </w:tcPr>
          <w:p>
            <w:pPr/>
          </w:p>
        </w:tc>
        <w:tc>
          <w:tcPr>
            <w:tcW w:w="900" w:type="dxa"/>
          </w:tcPr>
          <w:p>
            <w:pPr>
              <w:pStyle w:val="TableParagraph"/>
              <w:spacing w:before="1"/>
              <w:ind w:right="38"/>
              <w:rPr>
                <w:sz w:val="18"/>
              </w:rPr>
            </w:pPr>
            <w:r>
              <w:rPr>
                <w:color w:val="231F20"/>
                <w:sz w:val="18"/>
              </w:rPr>
              <w:t>(105)</w:t>
            </w:r>
          </w:p>
        </w:tc>
        <w:tc>
          <w:tcPr>
            <w:tcW w:w="200" w:type="dxa"/>
          </w:tcPr>
          <w:p>
            <w:pPr/>
          </w:p>
        </w:tc>
        <w:tc>
          <w:tcPr>
            <w:tcW w:w="900" w:type="dxa"/>
          </w:tcPr>
          <w:p>
            <w:pPr>
              <w:pStyle w:val="TableParagraph"/>
              <w:spacing w:before="1"/>
              <w:ind w:right="58"/>
              <w:rPr>
                <w:sz w:val="18"/>
              </w:rPr>
            </w:pPr>
            <w:r>
              <w:rPr>
                <w:color w:val="231F20"/>
                <w:sz w:val="18"/>
              </w:rPr>
              <w:t>392</w:t>
            </w:r>
          </w:p>
        </w:tc>
      </w:tr>
      <w:tr>
        <w:trPr>
          <w:trHeight w:val="220" w:hRule="exact"/>
        </w:trPr>
        <w:tc>
          <w:tcPr>
            <w:tcW w:w="4415" w:type="dxa"/>
          </w:tcPr>
          <w:p>
            <w:pPr>
              <w:pStyle w:val="TableParagraph"/>
              <w:spacing w:before="1"/>
              <w:ind w:left="50"/>
              <w:jc w:val="left"/>
              <w:rPr>
                <w:sz w:val="18"/>
              </w:rPr>
            </w:pPr>
            <w:r>
              <w:rPr>
                <w:color w:val="231F20"/>
                <w:sz w:val="18"/>
              </w:rPr>
              <w:t>2017 . . . . . . . . . . . . . . . . . . . . . . . . . . . . . . . . . . . . . . . . . . . .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474</w:t>
            </w:r>
          </w:p>
        </w:tc>
        <w:tc>
          <w:tcPr>
            <w:tcW w:w="200" w:type="dxa"/>
          </w:tcPr>
          <w:p>
            <w:pPr/>
          </w:p>
        </w:tc>
        <w:tc>
          <w:tcPr>
            <w:tcW w:w="900" w:type="dxa"/>
          </w:tcPr>
          <w:p>
            <w:pPr>
              <w:pStyle w:val="TableParagraph"/>
              <w:spacing w:before="1"/>
              <w:ind w:right="38"/>
              <w:rPr>
                <w:sz w:val="18"/>
              </w:rPr>
            </w:pPr>
            <w:r>
              <w:rPr>
                <w:color w:val="231F20"/>
                <w:sz w:val="18"/>
              </w:rPr>
              <w:t>(105)</w:t>
            </w:r>
          </w:p>
        </w:tc>
        <w:tc>
          <w:tcPr>
            <w:tcW w:w="200" w:type="dxa"/>
          </w:tcPr>
          <w:p>
            <w:pPr/>
          </w:p>
        </w:tc>
        <w:tc>
          <w:tcPr>
            <w:tcW w:w="900" w:type="dxa"/>
          </w:tcPr>
          <w:p>
            <w:pPr>
              <w:pStyle w:val="TableParagraph"/>
              <w:spacing w:before="1"/>
              <w:ind w:right="58"/>
              <w:rPr>
                <w:sz w:val="18"/>
              </w:rPr>
            </w:pPr>
            <w:r>
              <w:rPr>
                <w:color w:val="231F20"/>
                <w:sz w:val="18"/>
              </w:rPr>
              <w:t>369</w:t>
            </w:r>
          </w:p>
        </w:tc>
      </w:tr>
      <w:tr>
        <w:trPr>
          <w:trHeight w:val="245" w:hRule="exact"/>
        </w:trPr>
        <w:tc>
          <w:tcPr>
            <w:tcW w:w="4415" w:type="dxa"/>
          </w:tcPr>
          <w:p>
            <w:pPr>
              <w:pStyle w:val="TableParagraph"/>
              <w:spacing w:before="1"/>
              <w:ind w:left="50"/>
              <w:jc w:val="left"/>
              <w:rPr>
                <w:sz w:val="18"/>
              </w:rPr>
            </w:pPr>
            <w:r>
              <w:rPr>
                <w:color w:val="231F20"/>
                <w:sz w:val="18"/>
              </w:rPr>
              <w:t>Thereafter  . . . . . . . . . . . . . . . . . . . . . . . . . . . . . . . . . . . . . . . </w:t>
            </w:r>
          </w:p>
        </w:tc>
        <w:tc>
          <w:tcPr>
            <w:tcW w:w="155" w:type="dxa"/>
          </w:tcPr>
          <w:p>
            <w:pPr/>
          </w:p>
        </w:tc>
        <w:tc>
          <w:tcPr>
            <w:tcW w:w="900" w:type="dxa"/>
            <w:tcBorders>
              <w:bottom w:val="single" w:sz="4" w:space="0" w:color="231F20"/>
            </w:tcBorders>
          </w:tcPr>
          <w:p>
            <w:pPr>
              <w:pStyle w:val="TableParagraph"/>
              <w:spacing w:before="1"/>
              <w:ind w:right="59"/>
              <w:rPr>
                <w:sz w:val="18"/>
              </w:rPr>
            </w:pPr>
            <w:r>
              <w:rPr>
                <w:color w:val="231F20"/>
                <w:sz w:val="18"/>
              </w:rPr>
              <w:t>18</w:t>
            </w:r>
          </w:p>
        </w:tc>
        <w:tc>
          <w:tcPr>
            <w:tcW w:w="200" w:type="dxa"/>
          </w:tcPr>
          <w:p>
            <w:pPr/>
          </w:p>
        </w:tc>
        <w:tc>
          <w:tcPr>
            <w:tcW w:w="900" w:type="dxa"/>
            <w:tcBorders>
              <w:bottom w:val="single" w:sz="4" w:space="0" w:color="231F20"/>
            </w:tcBorders>
          </w:tcPr>
          <w:p>
            <w:pPr>
              <w:pStyle w:val="TableParagraph"/>
              <w:spacing w:before="1"/>
              <w:ind w:right="59"/>
              <w:rPr>
                <w:sz w:val="18"/>
              </w:rPr>
            </w:pPr>
            <w:r>
              <w:rPr>
                <w:color w:val="231F20"/>
                <w:sz w:val="18"/>
              </w:rPr>
              <w:t>2,161</w:t>
            </w:r>
          </w:p>
        </w:tc>
        <w:tc>
          <w:tcPr>
            <w:tcW w:w="200" w:type="dxa"/>
          </w:tcPr>
          <w:p>
            <w:pPr/>
          </w:p>
        </w:tc>
        <w:tc>
          <w:tcPr>
            <w:tcW w:w="900" w:type="dxa"/>
            <w:tcBorders>
              <w:bottom w:val="single" w:sz="4" w:space="0" w:color="231F20"/>
            </w:tcBorders>
          </w:tcPr>
          <w:p>
            <w:pPr>
              <w:pStyle w:val="TableParagraph"/>
              <w:spacing w:before="1"/>
              <w:ind w:right="38"/>
              <w:rPr>
                <w:sz w:val="18"/>
              </w:rPr>
            </w:pPr>
            <w:r>
              <w:rPr>
                <w:color w:val="231F20"/>
                <w:sz w:val="18"/>
              </w:rPr>
              <w:t>(338)</w:t>
            </w:r>
          </w:p>
        </w:tc>
        <w:tc>
          <w:tcPr>
            <w:tcW w:w="200" w:type="dxa"/>
          </w:tcPr>
          <w:p>
            <w:pPr/>
          </w:p>
        </w:tc>
        <w:tc>
          <w:tcPr>
            <w:tcW w:w="900" w:type="dxa"/>
            <w:tcBorders>
              <w:bottom w:val="single" w:sz="4" w:space="0" w:color="231F20"/>
            </w:tcBorders>
          </w:tcPr>
          <w:p>
            <w:pPr>
              <w:pStyle w:val="TableParagraph"/>
              <w:spacing w:before="1"/>
              <w:ind w:right="58"/>
              <w:rPr>
                <w:sz w:val="18"/>
              </w:rPr>
            </w:pPr>
            <w:r>
              <w:rPr>
                <w:color w:val="231F20"/>
                <w:sz w:val="18"/>
              </w:rPr>
              <w:t>1,823</w:t>
            </w:r>
          </w:p>
        </w:tc>
      </w:tr>
      <w:tr>
        <w:trPr>
          <w:trHeight w:val="340" w:hRule="exact"/>
        </w:trPr>
        <w:tc>
          <w:tcPr>
            <w:tcW w:w="4415" w:type="dxa"/>
          </w:tcPr>
          <w:p>
            <w:pPr>
              <w:pStyle w:val="TableParagraph"/>
              <w:spacing w:before="57"/>
              <w:ind w:left="50"/>
              <w:jc w:val="left"/>
              <w:rPr>
                <w:sz w:val="18"/>
              </w:rPr>
            </w:pPr>
            <w:r>
              <w:rPr>
                <w:color w:val="231F20"/>
                <w:sz w:val="18"/>
              </w:rPr>
              <w:t>Total minimum lease payments   . . . . . . . . . . . . . . . . . . . . . . </w:t>
            </w:r>
          </w:p>
        </w:tc>
        <w:tc>
          <w:tcPr>
            <w:tcW w:w="155" w:type="dxa"/>
          </w:tcPr>
          <w:p>
            <w:pPr/>
          </w:p>
        </w:tc>
        <w:tc>
          <w:tcPr>
            <w:tcW w:w="900" w:type="dxa"/>
            <w:tcBorders>
              <w:top w:val="single" w:sz="4" w:space="0" w:color="231F20"/>
            </w:tcBorders>
          </w:tcPr>
          <w:p>
            <w:pPr>
              <w:pStyle w:val="TableParagraph"/>
              <w:spacing w:before="52"/>
              <w:ind w:right="59"/>
              <w:rPr>
                <w:sz w:val="18"/>
              </w:rPr>
            </w:pPr>
            <w:r>
              <w:rPr>
                <w:color w:val="231F20"/>
                <w:sz w:val="18"/>
              </w:rPr>
              <w:t>46</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9"/>
              <w:rPr>
                <w:sz w:val="18"/>
              </w:rPr>
            </w:pPr>
            <w:r>
              <w:rPr>
                <w:color w:val="231F20"/>
                <w:sz w:val="18"/>
              </w:rPr>
              <w:t>$</w:t>
              <w:tab/>
            </w:r>
            <w:r>
              <w:rPr>
                <w:color w:val="231F20"/>
                <w:spacing w:val="-1"/>
                <w:sz w:val="18"/>
              </w:rPr>
              <w:t>5,086</w:t>
            </w:r>
          </w:p>
        </w:tc>
        <w:tc>
          <w:tcPr>
            <w:tcW w:w="200" w:type="dxa"/>
          </w:tcPr>
          <w:p>
            <w:pPr/>
          </w:p>
        </w:tc>
        <w:tc>
          <w:tcPr>
            <w:tcW w:w="900" w:type="dxa"/>
            <w:tcBorders>
              <w:top w:val="single" w:sz="4" w:space="0" w:color="231F20"/>
              <w:bottom w:val="single" w:sz="4" w:space="0" w:color="231F20"/>
            </w:tcBorders>
          </w:tcPr>
          <w:p>
            <w:pPr>
              <w:pStyle w:val="TableParagraph"/>
              <w:tabs>
                <w:tab w:pos="469" w:val="left" w:leader="none"/>
              </w:tabs>
              <w:spacing w:before="52"/>
              <w:ind w:right="38"/>
              <w:rPr>
                <w:sz w:val="18"/>
              </w:rPr>
            </w:pPr>
            <w:r>
              <w:rPr>
                <w:color w:val="231F20"/>
                <w:sz w:val="18"/>
              </w:rPr>
              <w:t>$</w:t>
              <w:tab/>
            </w:r>
            <w:r>
              <w:rPr>
                <w:color w:val="231F20"/>
                <w:spacing w:val="-1"/>
                <w:sz w:val="18"/>
              </w:rPr>
              <w:t>(693)</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4,393</w:t>
            </w:r>
          </w:p>
        </w:tc>
      </w:tr>
      <w:tr>
        <w:trPr>
          <w:trHeight w:val="434" w:hRule="exact"/>
        </w:trPr>
        <w:tc>
          <w:tcPr>
            <w:tcW w:w="4415" w:type="dxa"/>
          </w:tcPr>
          <w:p>
            <w:pPr>
              <w:pStyle w:val="TableParagraph"/>
              <w:spacing w:before="6"/>
              <w:jc w:val="left"/>
              <w:rPr>
                <w:sz w:val="16"/>
              </w:rPr>
            </w:pPr>
          </w:p>
          <w:p>
            <w:pPr>
              <w:pStyle w:val="TableParagraph"/>
              <w:spacing w:before="1"/>
              <w:ind w:left="50"/>
              <w:jc w:val="left"/>
              <w:rPr>
                <w:sz w:val="18"/>
              </w:rPr>
            </w:pPr>
            <w:r>
              <w:rPr>
                <w:color w:val="231F20"/>
                <w:sz w:val="18"/>
              </w:rPr>
              <w:t>Less amount representing interest . . . . . . . . . . . . . . . . . . . . . </w:t>
            </w:r>
          </w:p>
        </w:tc>
        <w:tc>
          <w:tcPr>
            <w:tcW w:w="155" w:type="dxa"/>
          </w:tcPr>
          <w:p>
            <w:pPr/>
          </w:p>
        </w:tc>
        <w:tc>
          <w:tcPr>
            <w:tcW w:w="900" w:type="dxa"/>
            <w:tcBorders>
              <w:bottom w:val="single" w:sz="4" w:space="0" w:color="231F20"/>
            </w:tcBorders>
          </w:tcPr>
          <w:p>
            <w:pPr>
              <w:pStyle w:val="TableParagraph"/>
              <w:spacing w:before="6"/>
              <w:jc w:val="left"/>
              <w:rPr>
                <w:sz w:val="16"/>
              </w:rPr>
            </w:pPr>
          </w:p>
          <w:p>
            <w:pPr>
              <w:pStyle w:val="TableParagraph"/>
              <w:spacing w:before="1"/>
              <w:ind w:right="59"/>
              <w:rPr>
                <w:sz w:val="18"/>
              </w:rPr>
            </w:pPr>
            <w:r>
              <w:rPr>
                <w:color w:val="231F20"/>
                <w:sz w:val="18"/>
              </w:rPr>
              <w:t>10</w:t>
            </w:r>
          </w:p>
        </w:tc>
        <w:tc>
          <w:tcPr>
            <w:tcW w:w="3300" w:type="dxa"/>
            <w:gridSpan w:val="6"/>
            <w:vMerge w:val="restart"/>
          </w:tcPr>
          <w:p>
            <w:pPr/>
          </w:p>
        </w:tc>
      </w:tr>
      <w:tr>
        <w:trPr>
          <w:trHeight w:val="275" w:hRule="exact"/>
        </w:trPr>
        <w:tc>
          <w:tcPr>
            <w:tcW w:w="4415" w:type="dxa"/>
          </w:tcPr>
          <w:p>
            <w:pPr>
              <w:pStyle w:val="TableParagraph"/>
              <w:spacing w:before="57"/>
              <w:ind w:left="50"/>
              <w:jc w:val="left"/>
              <w:rPr>
                <w:sz w:val="18"/>
              </w:rPr>
            </w:pPr>
            <w:r>
              <w:rPr>
                <w:color w:val="231F20"/>
                <w:sz w:val="18"/>
              </w:rPr>
              <w:t>Present value of minimum lease payments . . . . . . . . . . . . . . </w:t>
            </w:r>
          </w:p>
        </w:tc>
        <w:tc>
          <w:tcPr>
            <w:tcW w:w="155" w:type="dxa"/>
          </w:tcPr>
          <w:p>
            <w:pPr/>
          </w:p>
        </w:tc>
        <w:tc>
          <w:tcPr>
            <w:tcW w:w="900" w:type="dxa"/>
            <w:tcBorders>
              <w:top w:val="single" w:sz="4" w:space="0" w:color="231F20"/>
            </w:tcBorders>
          </w:tcPr>
          <w:p>
            <w:pPr>
              <w:pStyle w:val="TableParagraph"/>
              <w:spacing w:before="52"/>
              <w:ind w:right="59"/>
              <w:rPr>
                <w:sz w:val="18"/>
              </w:rPr>
            </w:pPr>
            <w:r>
              <w:rPr>
                <w:color w:val="231F20"/>
                <w:sz w:val="18"/>
              </w:rPr>
              <w:t>36</w:t>
            </w:r>
          </w:p>
        </w:tc>
        <w:tc>
          <w:tcPr>
            <w:tcW w:w="3300" w:type="dxa"/>
            <w:gridSpan w:val="6"/>
            <w:vMerge/>
          </w:tcPr>
          <w:p>
            <w:pPr/>
          </w:p>
        </w:tc>
      </w:tr>
      <w:tr>
        <w:trPr>
          <w:trHeight w:val="245" w:hRule="exact"/>
        </w:trPr>
        <w:tc>
          <w:tcPr>
            <w:tcW w:w="4415" w:type="dxa"/>
          </w:tcPr>
          <w:p>
            <w:pPr>
              <w:pStyle w:val="TableParagraph"/>
              <w:spacing w:before="1"/>
              <w:ind w:left="50"/>
              <w:jc w:val="left"/>
              <w:rPr>
                <w:sz w:val="18"/>
              </w:rPr>
            </w:pPr>
            <w:r>
              <w:rPr>
                <w:color w:val="231F20"/>
                <w:sz w:val="18"/>
              </w:rPr>
              <w:t>Less current portion   . . . . . . . . . . . . . . . . . . . . . . . . . . . . . . . </w:t>
            </w:r>
          </w:p>
        </w:tc>
        <w:tc>
          <w:tcPr>
            <w:tcW w:w="155" w:type="dxa"/>
          </w:tcPr>
          <w:p>
            <w:pPr/>
          </w:p>
        </w:tc>
        <w:tc>
          <w:tcPr>
            <w:tcW w:w="900" w:type="dxa"/>
            <w:tcBorders>
              <w:bottom w:val="single" w:sz="4" w:space="0" w:color="231F20"/>
            </w:tcBorders>
          </w:tcPr>
          <w:p>
            <w:pPr>
              <w:pStyle w:val="TableParagraph"/>
              <w:spacing w:before="1"/>
              <w:ind w:right="59"/>
              <w:rPr>
                <w:sz w:val="18"/>
              </w:rPr>
            </w:pPr>
            <w:r>
              <w:rPr>
                <w:color w:val="231F20"/>
                <w:sz w:val="18"/>
              </w:rPr>
              <w:t>3</w:t>
            </w:r>
          </w:p>
        </w:tc>
        <w:tc>
          <w:tcPr>
            <w:tcW w:w="3300" w:type="dxa"/>
            <w:gridSpan w:val="6"/>
            <w:vMerge/>
          </w:tcPr>
          <w:p>
            <w:pPr/>
          </w:p>
        </w:tc>
      </w:tr>
      <w:tr>
        <w:trPr>
          <w:trHeight w:val="320" w:hRule="exact"/>
        </w:trPr>
        <w:tc>
          <w:tcPr>
            <w:tcW w:w="4415" w:type="dxa"/>
          </w:tcPr>
          <w:p>
            <w:pPr>
              <w:pStyle w:val="TableParagraph"/>
              <w:spacing w:before="57"/>
              <w:ind w:left="50"/>
              <w:jc w:val="left"/>
              <w:rPr>
                <w:sz w:val="18"/>
              </w:rPr>
            </w:pPr>
            <w:r>
              <w:rPr>
                <w:color w:val="231F20"/>
                <w:sz w:val="18"/>
              </w:rPr>
              <w:t>Long-term portion . . . . . . . . . . . . . . . . . . . . . . . . . . . . . . . . . </w:t>
            </w:r>
          </w:p>
        </w:tc>
        <w:tc>
          <w:tcPr>
            <w:tcW w:w="155" w:type="dxa"/>
          </w:tcPr>
          <w:p>
            <w:pPr/>
          </w:p>
        </w:tc>
        <w:tc>
          <w:tcPr>
            <w:tcW w:w="900" w:type="dxa"/>
            <w:tcBorders>
              <w:top w:val="single" w:sz="4" w:space="0" w:color="231F20"/>
              <w:bottom w:val="double" w:sz="7" w:space="0" w:color="231F20"/>
            </w:tcBorders>
          </w:tcPr>
          <w:p>
            <w:pPr>
              <w:pStyle w:val="TableParagraph"/>
              <w:tabs>
                <w:tab w:pos="659" w:val="left" w:leader="none"/>
              </w:tabs>
              <w:spacing w:before="52"/>
              <w:ind w:right="59"/>
              <w:rPr>
                <w:sz w:val="18"/>
              </w:rPr>
            </w:pPr>
            <w:r>
              <w:rPr>
                <w:color w:val="231F20"/>
                <w:sz w:val="18"/>
              </w:rPr>
              <w:t>$</w:t>
              <w:tab/>
              <w:t>33</w:t>
            </w:r>
          </w:p>
        </w:tc>
        <w:tc>
          <w:tcPr>
            <w:tcW w:w="3300" w:type="dxa"/>
            <w:gridSpan w:val="6"/>
            <w:vMerge/>
          </w:tcPr>
          <w:p>
            <w:pPr/>
          </w:p>
        </w:tc>
      </w:tr>
      <w:tr>
        <w:trPr>
          <w:trHeight w:val="180" w:hRule="exact"/>
        </w:trPr>
        <w:tc>
          <w:tcPr>
            <w:tcW w:w="4415" w:type="dxa"/>
            <w:tcBorders>
              <w:bottom w:val="single" w:sz="4" w:space="0" w:color="231F20"/>
            </w:tcBorders>
          </w:tcPr>
          <w:p>
            <w:pPr/>
          </w:p>
        </w:tc>
        <w:tc>
          <w:tcPr>
            <w:tcW w:w="155" w:type="dxa"/>
          </w:tcPr>
          <w:p>
            <w:pPr/>
          </w:p>
        </w:tc>
        <w:tc>
          <w:tcPr>
            <w:tcW w:w="900" w:type="dxa"/>
            <w:tcBorders>
              <w:top w:val="double" w:sz="7" w:space="0" w:color="231F20"/>
            </w:tcBorders>
          </w:tcPr>
          <w:p>
            <w:pPr/>
          </w:p>
        </w:tc>
        <w:tc>
          <w:tcPr>
            <w:tcW w:w="3300" w:type="dxa"/>
            <w:gridSpan w:val="6"/>
            <w:vMerge/>
          </w:tcPr>
          <w:p>
            <w:pPr/>
          </w:p>
        </w:tc>
      </w:tr>
    </w:tbl>
    <w:p>
      <w:pPr>
        <w:pStyle w:val="BodyText"/>
        <w:tabs>
          <w:tab w:pos="559" w:val="left" w:leader="none"/>
        </w:tabs>
        <w:spacing w:before="48"/>
        <w:ind w:left="160"/>
      </w:pPr>
      <w:r>
        <w:rPr/>
        <w:pict>
          <v:line style="position:absolute;mso-position-horizontal-relative:page;mso-position-vertical-relative:paragraph;z-index:-353800" from="350pt,-75.213959pt" to="395pt,-75.213959pt" stroked="true" strokeweight=".5pt" strokecolor="#231f20">
            <v:stroke dashstyle="solid"/>
            <w10:wrap type="none"/>
          </v:line>
        </w:pict>
      </w:r>
      <w:r>
        <w:rPr/>
        <w:pict>
          <v:line style="position:absolute;mso-position-horizontal-relative:page;mso-position-vertical-relative:paragraph;z-index:-353776" from="405pt,-75.213959pt" to="450pt,-75.213959pt" stroked="true" strokeweight=".5pt" strokecolor="#231f20">
            <v:stroke dashstyle="solid"/>
            <w10:wrap type="none"/>
          </v:line>
        </w:pict>
      </w:r>
      <w:r>
        <w:rPr/>
        <w:pict>
          <v:line style="position:absolute;mso-position-horizontal-relative:page;mso-position-vertical-relative:paragraph;z-index:-353752" from="460pt,-75.213959pt" to="505pt,-75.213959pt" stroked="true" strokeweight=".5pt" strokecolor="#231f20">
            <v:stroke dashstyle="solid"/>
            <w10:wrap type="none"/>
          </v:line>
        </w:pict>
      </w:r>
      <w:r>
        <w:rPr>
          <w:color w:val="231F20"/>
        </w:rPr>
        <w:t>*</w:t>
        <w:tab/>
        <w:t>Includes LFMP airport rental payments. See Note</w:t>
      </w:r>
      <w:r>
        <w:rPr>
          <w:color w:val="231F20"/>
          <w:spacing w:val="3"/>
        </w:rPr>
        <w:t> </w:t>
      </w:r>
      <w:r>
        <w:rPr>
          <w:color w:val="231F20"/>
        </w:rPr>
        <w:t>4.</w:t>
      </w:r>
    </w:p>
    <w:p>
      <w:pPr>
        <w:pStyle w:val="BodyText"/>
        <w:spacing w:before="2"/>
        <w:rPr>
          <w:sz w:val="24"/>
        </w:rPr>
      </w:pPr>
    </w:p>
    <w:p>
      <w:pPr>
        <w:pStyle w:val="BodyText"/>
        <w:spacing w:line="249" w:lineRule="auto"/>
        <w:ind w:left="160" w:right="198"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spacing w:after="0" w:line="249" w:lineRule="auto"/>
        <w:sectPr>
          <w:pgSz w:w="11880" w:h="15480"/>
          <w:pgMar w:header="0" w:footer="1253" w:top="1240" w:bottom="1440" w:left="1220" w:right="1280"/>
        </w:sectPr>
      </w:pPr>
    </w:p>
    <w:p>
      <w:pPr>
        <w:pStyle w:val="BodyText"/>
        <w:spacing w:line="249" w:lineRule="auto" w:before="73"/>
        <w:ind w:left="100" w:right="147" w:firstLine="490"/>
      </w:pPr>
      <w:r>
        <w:rPr>
          <w:color w:val="231F20"/>
        </w:rPr>
        <w:t>On July 9, 2012, the Company signed an agreement with Delta and Boeing Capital Corp. to lease or sublease all 88 of AirTran’s Boeing 717-200 aircraft (“B717s”) to Delta, with the first delivery expected to occur in August 2013, at a rate of approximately three B717s per month. A total of 78 of the B717s are on operating lease, eight are owned, and two are currently classified as capital leases.</w:t>
      </w:r>
    </w:p>
    <w:p>
      <w:pPr>
        <w:pStyle w:val="BodyText"/>
        <w:spacing w:before="10"/>
      </w:pPr>
    </w:p>
    <w:p>
      <w:pPr>
        <w:pStyle w:val="BodyText"/>
        <w:spacing w:line="249" w:lineRule="auto" w:before="1"/>
        <w:ind w:left="100" w:right="101" w:firstLine="490"/>
      </w:pPr>
      <w:r>
        <w:rPr>
          <w:color w:val="231F20"/>
        </w:rPr>
        <w:t>The B717s would add complexity to Southwest’s operations, as it has historically operated an all-Boeing 737 fleet. From a fleet management perspective, the transition of approximately three B717s per month to Delta beginning in August 2013 allows the Company to minimize the impact of this transaction on operations, as the B717 capacity lost is expected to be replaced through the capacity gained as a result of (i) the Company’s extension of the retirement dates for a portion of its 737-300 and 737-500 aircraft and (ii) its receipt of new</w:t>
      </w:r>
    </w:p>
    <w:p>
      <w:pPr>
        <w:pStyle w:val="BodyText"/>
        <w:spacing w:before="1"/>
        <w:ind w:left="100"/>
      </w:pPr>
      <w:r>
        <w:rPr>
          <w:color w:val="231F20"/>
        </w:rPr>
        <w:t>737 deliveries from Boeing or used 737s that could be acquired.</w:t>
      </w:r>
    </w:p>
    <w:p>
      <w:pPr>
        <w:pStyle w:val="BodyText"/>
        <w:spacing w:before="9"/>
      </w:pPr>
    </w:p>
    <w:p>
      <w:pPr>
        <w:pStyle w:val="BodyText"/>
        <w:ind w:left="100" w:right="252" w:firstLine="490"/>
      </w:pPr>
      <w:r>
        <w:rPr>
          <w:color w:val="231F20"/>
        </w:rPr>
        <w:t>The Company will lease and/or sublease all 88 of the B717s to Delta at agreed-upon lease rates. In addition, the Company will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w:t>
      </w:r>
    </w:p>
    <w:p>
      <w:pPr>
        <w:pStyle w:val="BodyText"/>
        <w:ind w:left="100" w:right="163"/>
      </w:pPr>
      <w:r>
        <w:rPr>
          <w:color w:val="231F20"/>
        </w:rPr>
        <w:t>78 B717s currently on operating lease and the two B717s currently classified as capital leases coincide with the Company’s remaining lease terms for these aircraft from the original lessor, which range from approximately six years to approximately twelve years. The lease terms for the eight B717s that are owned by the Company are for a period of seven years, after which Delta will have the option to purchase the aircraft at the then-prevailing market value. The Company will account for the lease and sublease transactions with Delta as operating leases, except for the two aircraft classified by the Company as capital leases. The sublease of these two aircraft will be accounted for as direct financing leases. There are no contingent payments and no significant residual value conditions associated with the transaction.</w:t>
      </w:r>
    </w:p>
    <w:p>
      <w:pPr>
        <w:pStyle w:val="BodyText"/>
        <w:spacing w:before="10"/>
      </w:pPr>
    </w:p>
    <w:p>
      <w:pPr>
        <w:pStyle w:val="BodyText"/>
        <w:ind w:left="100" w:right="112" w:firstLine="490"/>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approximately $137 million during third quarter 2012. The charge represents the remaining estimated cost, at the scheduled date of delivery of each B717 to Delta (including the conversion, maintenance, and other contractual costs to be incurred), of the Company’s lease of the 78 B717s that are currently accounted for as operating leases, net of the future sublease income from Delta. The charges recorded by the Company for this transaction are included as a component of Acquisition and integration costs in the Company’s Consolidated Statement of Income and are included as a component of Other, net in Cash flows from operating activities in the Company’s Consolidated Statement of Cash Flows, and the corresponding liability for this transaction is included as a component of Accrued liabilities and Other noncurrent liabilities in the Company’s Consolidated Balance Sheet. See Note 2 for further information on the Company’s Acquisition and integration costs. The Company may also incur other costs associated with this transaction, such as contract termination costs with certain aircraft maintenance vendors. Two of these vendor maintenance contracts have stated termination penalties totaling approximately $106 million if the Company were to terminate such contracts; however, termination of these contracts has not occurred and any charges would only be recorded at the time of contract termination or at the time any associated charges become probable and</w:t>
      </w:r>
      <w:r>
        <w:rPr>
          <w:color w:val="231F20"/>
          <w:spacing w:val="11"/>
        </w:rPr>
        <w:t> </w:t>
      </w:r>
      <w:r>
        <w:rPr>
          <w:color w:val="231F20"/>
        </w:rPr>
        <w:t>estimable.</w:t>
      </w:r>
    </w:p>
    <w:p>
      <w:pPr>
        <w:spacing w:after="0"/>
        <w:sectPr>
          <w:pgSz w:w="11880" w:h="15480"/>
          <w:pgMar w:header="0" w:footer="1253" w:top="1240" w:bottom="1440" w:left="1280" w:right="1280"/>
        </w:sectPr>
      </w:pPr>
    </w:p>
    <w:p>
      <w:pPr>
        <w:pStyle w:val="Heading3"/>
        <w:numPr>
          <w:ilvl w:val="0"/>
          <w:numId w:val="13"/>
        </w:numPr>
        <w:tabs>
          <w:tab w:pos="300" w:val="left" w:leader="none"/>
        </w:tabs>
        <w:spacing w:line="240" w:lineRule="auto" w:before="63" w:after="0"/>
        <w:ind w:left="300" w:right="0" w:hanging="200"/>
        <w:jc w:val="left"/>
      </w:pPr>
      <w:r>
        <w:rPr>
          <w:color w:val="231F20"/>
        </w:rPr>
        <w:t>NET INCOME PER</w:t>
      </w:r>
      <w:r>
        <w:rPr>
          <w:color w:val="231F20"/>
          <w:spacing w:val="-4"/>
        </w:rPr>
        <w:t> </w:t>
      </w:r>
      <w:r>
        <w:rPr>
          <w:color w:val="231F20"/>
        </w:rPr>
        <w:t>SHARE</w:t>
      </w:r>
    </w:p>
    <w:p>
      <w:pPr>
        <w:pStyle w:val="BodyText"/>
        <w:spacing w:before="104"/>
        <w:ind w:left="100" w:firstLine="490"/>
      </w:pPr>
      <w:r>
        <w:rPr/>
        <w:pict>
          <v:shape style="position:absolute;margin-left:69pt;margin-top:37.584938pt;width:416.5pt;height:238.95pt;mso-position-horizontal-relative:page;mso-position-vertical-relative:paragraph;z-index:51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70"/>
                    <w:gridCol w:w="735"/>
                    <w:gridCol w:w="315"/>
                    <w:gridCol w:w="200"/>
                    <w:gridCol w:w="685"/>
                    <w:gridCol w:w="315"/>
                    <w:gridCol w:w="200"/>
                    <w:gridCol w:w="685"/>
                    <w:gridCol w:w="325"/>
                  </w:tblGrid>
                  <w:tr>
                    <w:trPr>
                      <w:trHeight w:val="230" w:hRule="exact"/>
                    </w:trPr>
                    <w:tc>
                      <w:tcPr>
                        <w:tcW w:w="5605" w:type="dxa"/>
                        <w:gridSpan w:val="2"/>
                      </w:tcPr>
                      <w:p>
                        <w:pPr>
                          <w:pStyle w:val="TableParagraph"/>
                          <w:spacing w:line="199" w:lineRule="exact"/>
                          <w:ind w:right="4"/>
                          <w:rPr>
                            <w:b/>
                            <w:sz w:val="18"/>
                          </w:rPr>
                        </w:pPr>
                        <w:r>
                          <w:rPr>
                            <w:b/>
                            <w:color w:val="231F20"/>
                            <w:sz w:val="18"/>
                          </w:rPr>
                          <w:t>2012</w:t>
                        </w:r>
                      </w:p>
                    </w:tc>
                    <w:tc>
                      <w:tcPr>
                        <w:tcW w:w="315" w:type="dxa"/>
                        <w:tcBorders>
                          <w:bottom w:val="single" w:sz="8" w:space="0" w:color="231F20"/>
                        </w:tcBorders>
                      </w:tcPr>
                      <w:p>
                        <w:pPr/>
                      </w:p>
                    </w:tc>
                    <w:tc>
                      <w:tcPr>
                        <w:tcW w:w="200" w:type="dxa"/>
                      </w:tcPr>
                      <w:p>
                        <w:pPr/>
                      </w:p>
                    </w:tc>
                    <w:tc>
                      <w:tcPr>
                        <w:tcW w:w="685" w:type="dxa"/>
                        <w:tcBorders>
                          <w:bottom w:val="single" w:sz="8" w:space="0" w:color="231F20"/>
                        </w:tcBorders>
                      </w:tcPr>
                      <w:p>
                        <w:pPr>
                          <w:pStyle w:val="TableParagraph"/>
                          <w:spacing w:line="199" w:lineRule="exact"/>
                          <w:ind w:left="320"/>
                          <w:jc w:val="left"/>
                          <w:rPr>
                            <w:b/>
                            <w:sz w:val="18"/>
                          </w:rPr>
                        </w:pPr>
                        <w:r>
                          <w:rPr>
                            <w:b/>
                            <w:color w:val="231F20"/>
                            <w:sz w:val="18"/>
                          </w:rPr>
                          <w:t>2011</w:t>
                        </w:r>
                      </w:p>
                    </w:tc>
                    <w:tc>
                      <w:tcPr>
                        <w:tcW w:w="315" w:type="dxa"/>
                        <w:tcBorders>
                          <w:bottom w:val="single" w:sz="8" w:space="0" w:color="231F20"/>
                        </w:tcBorders>
                      </w:tcPr>
                      <w:p>
                        <w:pPr/>
                      </w:p>
                    </w:tc>
                    <w:tc>
                      <w:tcPr>
                        <w:tcW w:w="200" w:type="dxa"/>
                      </w:tcPr>
                      <w:p>
                        <w:pPr/>
                      </w:p>
                    </w:tc>
                    <w:tc>
                      <w:tcPr>
                        <w:tcW w:w="685" w:type="dxa"/>
                        <w:tcBorders>
                          <w:bottom w:val="single" w:sz="8" w:space="0" w:color="231F20"/>
                        </w:tcBorders>
                      </w:tcPr>
                      <w:p>
                        <w:pPr>
                          <w:pStyle w:val="TableParagraph"/>
                          <w:spacing w:line="199" w:lineRule="exact"/>
                          <w:ind w:left="320"/>
                          <w:jc w:val="left"/>
                          <w:rPr>
                            <w:b/>
                            <w:sz w:val="18"/>
                          </w:rPr>
                        </w:pPr>
                        <w:r>
                          <w:rPr>
                            <w:b/>
                            <w:color w:val="231F20"/>
                            <w:sz w:val="18"/>
                          </w:rPr>
                          <w:t>2010</w:t>
                        </w:r>
                      </w:p>
                    </w:tc>
                    <w:tc>
                      <w:tcPr>
                        <w:tcW w:w="325" w:type="dxa"/>
                        <w:tcBorders>
                          <w:bottom w:val="single" w:sz="8" w:space="0" w:color="231F20"/>
                        </w:tcBorders>
                      </w:tcPr>
                      <w:p>
                        <w:pPr/>
                      </w:p>
                    </w:tc>
                  </w:tr>
                  <w:tr>
                    <w:trPr>
                      <w:trHeight w:val="610" w:hRule="exact"/>
                    </w:trPr>
                    <w:tc>
                      <w:tcPr>
                        <w:tcW w:w="5605" w:type="dxa"/>
                        <w:gridSpan w:val="2"/>
                      </w:tcPr>
                      <w:p>
                        <w:pPr>
                          <w:pStyle w:val="TableParagraph"/>
                          <w:spacing w:before="62"/>
                          <w:jc w:val="left"/>
                          <w:rPr>
                            <w:b/>
                            <w:sz w:val="18"/>
                          </w:rPr>
                        </w:pPr>
                        <w:r>
                          <w:rPr>
                            <w:b/>
                            <w:color w:val="231F20"/>
                            <w:sz w:val="18"/>
                          </w:rPr>
                          <w:t>NUMERATOR:</w:t>
                        </w:r>
                      </w:p>
                      <w:p>
                        <w:pPr>
                          <w:pStyle w:val="TableParagraph"/>
                          <w:spacing w:before="13"/>
                          <w:ind w:left="180"/>
                          <w:jc w:val="left"/>
                          <w:rPr>
                            <w:sz w:val="18"/>
                          </w:rPr>
                        </w:pPr>
                        <w:r>
                          <w:rPr>
                            <w:color w:val="231F20"/>
                            <w:sz w:val="18"/>
                          </w:rPr>
                          <w:t>Net income . . . . . . . . . . . . . . . . . . . . . . . . . . . . . . . . . . . . . . . . .    $</w:t>
                        </w:r>
                      </w:p>
                    </w:tc>
                    <w:tc>
                      <w:tcPr>
                        <w:tcW w:w="315" w:type="dxa"/>
                        <w:tcBorders>
                          <w:top w:val="single" w:sz="8" w:space="0" w:color="231F20"/>
                        </w:tcBorders>
                      </w:tcPr>
                      <w:p>
                        <w:pPr>
                          <w:pStyle w:val="TableParagraph"/>
                          <w:spacing w:before="7"/>
                          <w:jc w:val="left"/>
                          <w:rPr>
                            <w:sz w:val="23"/>
                          </w:rPr>
                        </w:pPr>
                      </w:p>
                      <w:p>
                        <w:pPr>
                          <w:pStyle w:val="TableParagraph"/>
                          <w:ind w:right="38"/>
                          <w:rPr>
                            <w:sz w:val="18"/>
                          </w:rPr>
                        </w:pPr>
                        <w:r>
                          <w:rPr>
                            <w:color w:val="231F20"/>
                            <w:sz w:val="18"/>
                          </w:rPr>
                          <w:t>421</w:t>
                        </w:r>
                      </w:p>
                    </w:tc>
                    <w:tc>
                      <w:tcPr>
                        <w:tcW w:w="200" w:type="dxa"/>
                      </w:tcPr>
                      <w:p>
                        <w:pPr/>
                      </w:p>
                    </w:tc>
                    <w:tc>
                      <w:tcPr>
                        <w:tcW w:w="685" w:type="dxa"/>
                        <w:tcBorders>
                          <w:top w:val="single" w:sz="8" w:space="0" w:color="231F20"/>
                        </w:tcBorders>
                      </w:tcPr>
                      <w:p>
                        <w:pPr>
                          <w:pStyle w:val="TableParagraph"/>
                          <w:spacing w:before="7"/>
                          <w:jc w:val="left"/>
                          <w:rPr>
                            <w:sz w:val="23"/>
                          </w:rPr>
                        </w:pPr>
                      </w:p>
                      <w:p>
                        <w:pPr>
                          <w:pStyle w:val="TableParagraph"/>
                          <w:jc w:val="left"/>
                          <w:rPr>
                            <w:sz w:val="18"/>
                          </w:rPr>
                        </w:pPr>
                        <w:r>
                          <w:rPr>
                            <w:color w:val="231F20"/>
                            <w:sz w:val="18"/>
                          </w:rPr>
                          <w:t>$</w:t>
                        </w:r>
                      </w:p>
                    </w:tc>
                    <w:tc>
                      <w:tcPr>
                        <w:tcW w:w="315" w:type="dxa"/>
                        <w:tcBorders>
                          <w:top w:val="single" w:sz="8" w:space="0" w:color="231F20"/>
                        </w:tcBorders>
                      </w:tcPr>
                      <w:p>
                        <w:pPr>
                          <w:pStyle w:val="TableParagraph"/>
                          <w:spacing w:before="7"/>
                          <w:jc w:val="left"/>
                          <w:rPr>
                            <w:sz w:val="23"/>
                          </w:rPr>
                        </w:pPr>
                      </w:p>
                      <w:p>
                        <w:pPr>
                          <w:pStyle w:val="TableParagraph"/>
                          <w:ind w:left="4"/>
                          <w:jc w:val="left"/>
                          <w:rPr>
                            <w:sz w:val="18"/>
                          </w:rPr>
                        </w:pPr>
                        <w:r>
                          <w:rPr>
                            <w:color w:val="231F20"/>
                            <w:sz w:val="18"/>
                          </w:rPr>
                          <w:t>178</w:t>
                        </w:r>
                      </w:p>
                    </w:tc>
                    <w:tc>
                      <w:tcPr>
                        <w:tcW w:w="200" w:type="dxa"/>
                      </w:tcPr>
                      <w:p>
                        <w:pPr/>
                      </w:p>
                    </w:tc>
                    <w:tc>
                      <w:tcPr>
                        <w:tcW w:w="685" w:type="dxa"/>
                        <w:tcBorders>
                          <w:top w:val="single" w:sz="8" w:space="0" w:color="231F20"/>
                        </w:tcBorders>
                      </w:tcPr>
                      <w:p>
                        <w:pPr>
                          <w:pStyle w:val="TableParagraph"/>
                          <w:spacing w:before="7"/>
                          <w:jc w:val="left"/>
                          <w:rPr>
                            <w:sz w:val="23"/>
                          </w:rPr>
                        </w:pPr>
                      </w:p>
                      <w:p>
                        <w:pPr>
                          <w:pStyle w:val="TableParagraph"/>
                          <w:ind w:left="-1"/>
                          <w:jc w:val="left"/>
                          <w:rPr>
                            <w:sz w:val="18"/>
                          </w:rPr>
                        </w:pPr>
                        <w:r>
                          <w:rPr>
                            <w:color w:val="231F20"/>
                            <w:sz w:val="18"/>
                          </w:rPr>
                          <w:t>$</w:t>
                        </w:r>
                      </w:p>
                    </w:tc>
                    <w:tc>
                      <w:tcPr>
                        <w:tcW w:w="325" w:type="dxa"/>
                        <w:tcBorders>
                          <w:top w:val="single" w:sz="8" w:space="0" w:color="231F20"/>
                        </w:tcBorders>
                      </w:tcPr>
                      <w:p>
                        <w:pPr>
                          <w:pStyle w:val="TableParagraph"/>
                          <w:spacing w:before="7"/>
                          <w:jc w:val="left"/>
                          <w:rPr>
                            <w:sz w:val="23"/>
                          </w:rPr>
                        </w:pPr>
                      </w:p>
                      <w:p>
                        <w:pPr>
                          <w:pStyle w:val="TableParagraph"/>
                          <w:ind w:left="4"/>
                          <w:jc w:val="left"/>
                          <w:rPr>
                            <w:sz w:val="18"/>
                          </w:rPr>
                        </w:pPr>
                        <w:r>
                          <w:rPr>
                            <w:color w:val="231F20"/>
                            <w:sz w:val="18"/>
                          </w:rPr>
                          <w:t>459</w:t>
                        </w:r>
                      </w:p>
                    </w:tc>
                  </w:tr>
                  <w:tr>
                    <w:trPr>
                      <w:trHeight w:val="355" w:hRule="exact"/>
                    </w:trPr>
                    <w:tc>
                      <w:tcPr>
                        <w:tcW w:w="5605" w:type="dxa"/>
                        <w:gridSpan w:val="2"/>
                      </w:tcPr>
                      <w:p>
                        <w:pPr>
                          <w:pStyle w:val="TableParagraph"/>
                          <w:spacing w:before="111"/>
                          <w:ind w:left="360"/>
                          <w:jc w:val="left"/>
                          <w:rPr>
                            <w:sz w:val="18"/>
                          </w:rPr>
                        </w:pPr>
                        <w:r>
                          <w:rPr>
                            <w:color w:val="231F20"/>
                            <w:sz w:val="18"/>
                          </w:rPr>
                          <w:t>notes . . . . . . . . . . . . . . . . . . . . . . . . . . . . . . . . . . . . . . . . . . . . </w:t>
                        </w:r>
                      </w:p>
                    </w:tc>
                    <w:tc>
                      <w:tcPr>
                        <w:tcW w:w="315" w:type="dxa"/>
                        <w:tcBorders>
                          <w:bottom w:val="single" w:sz="4" w:space="0" w:color="231F20"/>
                        </w:tcBorders>
                      </w:tcPr>
                      <w:p>
                        <w:pPr>
                          <w:pStyle w:val="TableParagraph"/>
                          <w:spacing w:before="111"/>
                          <w:ind w:right="38"/>
                          <w:rPr>
                            <w:sz w:val="18"/>
                          </w:rPr>
                        </w:pPr>
                        <w:r>
                          <w:rPr>
                            <w:color w:val="231F20"/>
                            <w:sz w:val="18"/>
                          </w:rPr>
                          <w:t>3</w:t>
                        </w:r>
                      </w:p>
                    </w:tc>
                    <w:tc>
                      <w:tcPr>
                        <w:tcW w:w="200" w:type="dxa"/>
                      </w:tcPr>
                      <w:p>
                        <w:pPr/>
                      </w:p>
                    </w:tc>
                    <w:tc>
                      <w:tcPr>
                        <w:tcW w:w="685" w:type="dxa"/>
                        <w:tcBorders>
                          <w:bottom w:val="single" w:sz="4" w:space="0" w:color="231F20"/>
                        </w:tcBorders>
                      </w:tcPr>
                      <w:p>
                        <w:pPr/>
                      </w:p>
                    </w:tc>
                    <w:tc>
                      <w:tcPr>
                        <w:tcW w:w="315" w:type="dxa"/>
                        <w:tcBorders>
                          <w:bottom w:val="single" w:sz="4" w:space="0" w:color="231F20"/>
                        </w:tcBorders>
                      </w:tcPr>
                      <w:p>
                        <w:pPr>
                          <w:pStyle w:val="TableParagraph"/>
                          <w:spacing w:before="111"/>
                          <w:ind w:left="5"/>
                          <w:jc w:val="left"/>
                          <w:rPr>
                            <w:sz w:val="18"/>
                          </w:rPr>
                        </w:pPr>
                        <w:r>
                          <w:rPr>
                            <w:color w:val="231F20"/>
                            <w:sz w:val="18"/>
                          </w:rPr>
                          <w:t>—</w:t>
                        </w:r>
                      </w:p>
                    </w:tc>
                    <w:tc>
                      <w:tcPr>
                        <w:tcW w:w="200" w:type="dxa"/>
                      </w:tcPr>
                      <w:p>
                        <w:pPr/>
                      </w:p>
                    </w:tc>
                    <w:tc>
                      <w:tcPr>
                        <w:tcW w:w="685" w:type="dxa"/>
                        <w:tcBorders>
                          <w:bottom w:val="single" w:sz="4" w:space="0" w:color="231F20"/>
                        </w:tcBorders>
                      </w:tcPr>
                      <w:p>
                        <w:pPr/>
                      </w:p>
                    </w:tc>
                    <w:tc>
                      <w:tcPr>
                        <w:tcW w:w="325" w:type="dxa"/>
                        <w:tcBorders>
                          <w:bottom w:val="single" w:sz="4" w:space="0" w:color="231F20"/>
                        </w:tcBorders>
                      </w:tcPr>
                      <w:p>
                        <w:pPr>
                          <w:pStyle w:val="TableParagraph"/>
                          <w:spacing w:before="111"/>
                          <w:ind w:left="5"/>
                          <w:jc w:val="left"/>
                          <w:rPr>
                            <w:sz w:val="18"/>
                          </w:rPr>
                        </w:pPr>
                        <w:r>
                          <w:rPr>
                            <w:color w:val="231F20"/>
                            <w:sz w:val="18"/>
                          </w:rPr>
                          <w:t>—</w:t>
                        </w:r>
                      </w:p>
                    </w:tc>
                  </w:tr>
                  <w:tr>
                    <w:trPr>
                      <w:trHeight w:val="300" w:hRule="exact"/>
                    </w:trPr>
                    <w:tc>
                      <w:tcPr>
                        <w:tcW w:w="5605" w:type="dxa"/>
                        <w:gridSpan w:val="2"/>
                      </w:tcPr>
                      <w:p>
                        <w:pPr>
                          <w:pStyle w:val="TableParagraph"/>
                          <w:spacing w:before="57"/>
                          <w:ind w:left="180"/>
                          <w:jc w:val="left"/>
                          <w:rPr>
                            <w:sz w:val="18"/>
                          </w:rPr>
                        </w:pPr>
                        <w:r>
                          <w:rPr>
                            <w:color w:val="231F20"/>
                            <w:sz w:val="18"/>
                          </w:rPr>
                          <w:t>Net income after assumed conversion  . . . . . . . . . . . . . . . . . . . .    $</w:t>
                        </w:r>
                      </w:p>
                    </w:tc>
                    <w:tc>
                      <w:tcPr>
                        <w:tcW w:w="315" w:type="dxa"/>
                        <w:tcBorders>
                          <w:top w:val="single" w:sz="4" w:space="0" w:color="231F20"/>
                          <w:bottom w:val="single" w:sz="4" w:space="0" w:color="231F20"/>
                        </w:tcBorders>
                      </w:tcPr>
                      <w:p>
                        <w:pPr>
                          <w:pStyle w:val="TableParagraph"/>
                          <w:spacing w:before="52"/>
                          <w:ind w:right="38"/>
                          <w:rPr>
                            <w:sz w:val="18"/>
                          </w:rPr>
                        </w:pPr>
                        <w:r>
                          <w:rPr>
                            <w:color w:val="231F20"/>
                            <w:sz w:val="18"/>
                          </w:rPr>
                          <w:t>424</w:t>
                        </w:r>
                      </w:p>
                    </w:tc>
                    <w:tc>
                      <w:tcPr>
                        <w:tcW w:w="200" w:type="dxa"/>
                      </w:tcPr>
                      <w:p>
                        <w:pPr/>
                      </w:p>
                    </w:tc>
                    <w:tc>
                      <w:tcPr>
                        <w:tcW w:w="685"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5" w:type="dxa"/>
                        <w:tcBorders>
                          <w:top w:val="single" w:sz="4" w:space="0" w:color="231F20"/>
                          <w:bottom w:val="single" w:sz="4" w:space="0" w:color="231F20"/>
                        </w:tcBorders>
                      </w:tcPr>
                      <w:p>
                        <w:pPr>
                          <w:pStyle w:val="TableParagraph"/>
                          <w:spacing w:before="52"/>
                          <w:ind w:left="4"/>
                          <w:jc w:val="left"/>
                          <w:rPr>
                            <w:sz w:val="18"/>
                          </w:rPr>
                        </w:pPr>
                        <w:r>
                          <w:rPr>
                            <w:color w:val="231F20"/>
                            <w:sz w:val="18"/>
                          </w:rPr>
                          <w:t>178</w:t>
                        </w:r>
                      </w:p>
                    </w:tc>
                    <w:tc>
                      <w:tcPr>
                        <w:tcW w:w="200" w:type="dxa"/>
                      </w:tcPr>
                      <w:p>
                        <w:pPr/>
                      </w:p>
                    </w:tc>
                    <w:tc>
                      <w:tcPr>
                        <w:tcW w:w="685" w:type="dxa"/>
                        <w:tcBorders>
                          <w:top w:val="single" w:sz="4" w:space="0" w:color="231F20"/>
                          <w:bottom w:val="single" w:sz="4" w:space="0" w:color="231F20"/>
                        </w:tcBorders>
                      </w:tcPr>
                      <w:p>
                        <w:pPr>
                          <w:pStyle w:val="TableParagraph"/>
                          <w:spacing w:before="52"/>
                          <w:ind w:left="-1"/>
                          <w:jc w:val="left"/>
                          <w:rPr>
                            <w:sz w:val="18"/>
                          </w:rPr>
                        </w:pPr>
                        <w:r>
                          <w:rPr>
                            <w:color w:val="231F20"/>
                            <w:sz w:val="18"/>
                          </w:rPr>
                          <w:t>$</w:t>
                        </w:r>
                      </w:p>
                    </w:tc>
                    <w:tc>
                      <w:tcPr>
                        <w:tcW w:w="325" w:type="dxa"/>
                        <w:tcBorders>
                          <w:top w:val="single" w:sz="4" w:space="0" w:color="231F20"/>
                          <w:bottom w:val="single" w:sz="4" w:space="0" w:color="231F20"/>
                        </w:tcBorders>
                      </w:tcPr>
                      <w:p>
                        <w:pPr>
                          <w:pStyle w:val="TableParagraph"/>
                          <w:spacing w:before="52"/>
                          <w:ind w:left="4"/>
                          <w:jc w:val="left"/>
                          <w:rPr>
                            <w:sz w:val="18"/>
                          </w:rPr>
                        </w:pPr>
                        <w:r>
                          <w:rPr>
                            <w:color w:val="231F20"/>
                            <w:sz w:val="18"/>
                          </w:rPr>
                          <w:t>459</w:t>
                        </w:r>
                      </w:p>
                    </w:tc>
                  </w:tr>
                  <w:tr>
                    <w:trPr>
                      <w:trHeight w:val="520" w:hRule="exact"/>
                    </w:trPr>
                    <w:tc>
                      <w:tcPr>
                        <w:tcW w:w="5605" w:type="dxa"/>
                        <w:gridSpan w:val="2"/>
                      </w:tcPr>
                      <w:p>
                        <w:pPr>
                          <w:pStyle w:val="TableParagraph"/>
                          <w:spacing w:before="57"/>
                          <w:jc w:val="left"/>
                          <w:rPr>
                            <w:b/>
                            <w:sz w:val="18"/>
                          </w:rPr>
                        </w:pPr>
                        <w:r>
                          <w:rPr>
                            <w:b/>
                            <w:color w:val="231F20"/>
                            <w:sz w:val="18"/>
                          </w:rPr>
                          <w:t>DENOMINATOR:</w:t>
                        </w:r>
                      </w:p>
                      <w:p>
                        <w:pPr>
                          <w:pStyle w:val="TableParagraph"/>
                          <w:spacing w:before="13"/>
                          <w:ind w:left="180"/>
                          <w:jc w:val="left"/>
                          <w:rPr>
                            <w:sz w:val="18"/>
                          </w:rPr>
                        </w:pPr>
                        <w:r>
                          <w:rPr>
                            <w:color w:val="231F20"/>
                            <w:sz w:val="18"/>
                          </w:rPr>
                          <w:t>Weighted-average shares outstanding, basic  . . . . . . . . . . . . . . . </w:t>
                        </w:r>
                      </w:p>
                    </w:tc>
                    <w:tc>
                      <w:tcPr>
                        <w:tcW w:w="315" w:type="dxa"/>
                        <w:tcBorders>
                          <w:top w:val="single" w:sz="4" w:space="0" w:color="231F20"/>
                          <w:bottom w:val="single" w:sz="4" w:space="0" w:color="231F20"/>
                        </w:tcBorders>
                      </w:tcPr>
                      <w:p>
                        <w:pPr>
                          <w:pStyle w:val="TableParagraph"/>
                          <w:spacing w:before="7"/>
                          <w:jc w:val="left"/>
                          <w:rPr>
                            <w:sz w:val="23"/>
                          </w:rPr>
                        </w:pPr>
                      </w:p>
                      <w:p>
                        <w:pPr>
                          <w:pStyle w:val="TableParagraph"/>
                          <w:ind w:right="38"/>
                          <w:rPr>
                            <w:sz w:val="18"/>
                          </w:rPr>
                        </w:pPr>
                        <w:r>
                          <w:rPr>
                            <w:color w:val="231F20"/>
                            <w:sz w:val="18"/>
                          </w:rPr>
                          <w:t>750</w:t>
                        </w:r>
                      </w:p>
                    </w:tc>
                    <w:tc>
                      <w:tcPr>
                        <w:tcW w:w="200" w:type="dxa"/>
                      </w:tcPr>
                      <w:p>
                        <w:pPr/>
                      </w:p>
                    </w:tc>
                    <w:tc>
                      <w:tcPr>
                        <w:tcW w:w="685" w:type="dxa"/>
                        <w:tcBorders>
                          <w:top w:val="single" w:sz="4" w:space="0" w:color="231F20"/>
                          <w:bottom w:val="single" w:sz="4" w:space="0" w:color="231F20"/>
                        </w:tcBorders>
                      </w:tcPr>
                      <w:p>
                        <w:pPr/>
                      </w:p>
                    </w:tc>
                    <w:tc>
                      <w:tcPr>
                        <w:tcW w:w="315" w:type="dxa"/>
                        <w:tcBorders>
                          <w:top w:val="single" w:sz="4" w:space="0" w:color="231F20"/>
                          <w:bottom w:val="single" w:sz="4" w:space="0" w:color="231F20"/>
                        </w:tcBorders>
                      </w:tcPr>
                      <w:p>
                        <w:pPr>
                          <w:pStyle w:val="TableParagraph"/>
                          <w:spacing w:before="7"/>
                          <w:jc w:val="left"/>
                          <w:rPr>
                            <w:sz w:val="23"/>
                          </w:rPr>
                        </w:pPr>
                      </w:p>
                      <w:p>
                        <w:pPr>
                          <w:pStyle w:val="TableParagraph"/>
                          <w:ind w:left="5"/>
                          <w:jc w:val="left"/>
                          <w:rPr>
                            <w:sz w:val="18"/>
                          </w:rPr>
                        </w:pPr>
                        <w:r>
                          <w:rPr>
                            <w:color w:val="231F20"/>
                            <w:sz w:val="18"/>
                          </w:rPr>
                          <w:t>774</w:t>
                        </w:r>
                      </w:p>
                    </w:tc>
                    <w:tc>
                      <w:tcPr>
                        <w:tcW w:w="200" w:type="dxa"/>
                      </w:tcPr>
                      <w:p>
                        <w:pPr/>
                      </w:p>
                    </w:tc>
                    <w:tc>
                      <w:tcPr>
                        <w:tcW w:w="685" w:type="dxa"/>
                        <w:tcBorders>
                          <w:top w:val="single" w:sz="4" w:space="0" w:color="231F20"/>
                          <w:bottom w:val="single" w:sz="4" w:space="0" w:color="231F20"/>
                        </w:tcBorders>
                      </w:tcPr>
                      <w:p>
                        <w:pPr/>
                      </w:p>
                    </w:tc>
                    <w:tc>
                      <w:tcPr>
                        <w:tcW w:w="325" w:type="dxa"/>
                        <w:tcBorders>
                          <w:top w:val="single" w:sz="4" w:space="0" w:color="231F20"/>
                          <w:bottom w:val="single" w:sz="4" w:space="0" w:color="231F20"/>
                        </w:tcBorders>
                      </w:tcPr>
                      <w:p>
                        <w:pPr>
                          <w:pStyle w:val="TableParagraph"/>
                          <w:spacing w:before="7"/>
                          <w:jc w:val="left"/>
                          <w:rPr>
                            <w:sz w:val="23"/>
                          </w:rPr>
                        </w:pPr>
                      </w:p>
                      <w:p>
                        <w:pPr>
                          <w:pStyle w:val="TableParagraph"/>
                          <w:ind w:left="5"/>
                          <w:jc w:val="left"/>
                          <w:rPr>
                            <w:sz w:val="18"/>
                          </w:rPr>
                        </w:pPr>
                        <w:r>
                          <w:rPr>
                            <w:color w:val="231F20"/>
                            <w:sz w:val="18"/>
                          </w:rPr>
                          <w:t>746</w:t>
                        </w:r>
                      </w:p>
                    </w:tc>
                  </w:tr>
                  <w:tr>
                    <w:trPr>
                      <w:trHeight w:val="495" w:hRule="exact"/>
                    </w:trPr>
                    <w:tc>
                      <w:tcPr>
                        <w:tcW w:w="4870" w:type="dxa"/>
                      </w:tcPr>
                      <w:p>
                        <w:pPr>
                          <w:pStyle w:val="TableParagraph"/>
                          <w:spacing w:line="254" w:lineRule="auto" w:before="52"/>
                          <w:ind w:left="360" w:hanging="180"/>
                          <w:jc w:val="left"/>
                          <w:rPr>
                            <w:sz w:val="18"/>
                          </w:rPr>
                        </w:pPr>
                        <w:r>
                          <w:rPr>
                            <w:color w:val="231F20"/>
                            <w:sz w:val="18"/>
                          </w:rPr>
                          <w:t>Dilutive effect of Employee stock options and restricted stock units  . . . . . . . . . . . . . . . . . . . . . . . . . . . . . . . . . . . . . . . . . . . . </w:t>
                        </w:r>
                      </w:p>
                    </w:tc>
                    <w:tc>
                      <w:tcPr>
                        <w:tcW w:w="1050" w:type="dxa"/>
                        <w:gridSpan w:val="2"/>
                      </w:tcPr>
                      <w:p>
                        <w:pPr>
                          <w:pStyle w:val="TableParagraph"/>
                          <w:spacing w:before="7"/>
                          <w:jc w:val="left"/>
                          <w:rPr>
                            <w:sz w:val="23"/>
                          </w:rPr>
                        </w:pPr>
                      </w:p>
                      <w:p>
                        <w:pPr>
                          <w:pStyle w:val="TableParagraph"/>
                          <w:ind w:right="38"/>
                          <w:rPr>
                            <w:sz w:val="18"/>
                          </w:rPr>
                        </w:pPr>
                        <w:r>
                          <w:rPr>
                            <w:color w:val="231F20"/>
                            <w:sz w:val="18"/>
                          </w:rPr>
                          <w:t>1</w:t>
                        </w:r>
                      </w:p>
                    </w:tc>
                    <w:tc>
                      <w:tcPr>
                        <w:tcW w:w="200" w:type="dxa"/>
                      </w:tcPr>
                      <w:p>
                        <w:pPr/>
                      </w:p>
                    </w:tc>
                    <w:tc>
                      <w:tcPr>
                        <w:tcW w:w="1000" w:type="dxa"/>
                        <w:gridSpan w:val="2"/>
                      </w:tcPr>
                      <w:p>
                        <w:pPr>
                          <w:pStyle w:val="TableParagraph"/>
                          <w:spacing w:before="7"/>
                          <w:jc w:val="left"/>
                          <w:rPr>
                            <w:sz w:val="23"/>
                          </w:rPr>
                        </w:pPr>
                      </w:p>
                      <w:p>
                        <w:pPr>
                          <w:pStyle w:val="TableParagraph"/>
                          <w:ind w:right="38"/>
                          <w:rPr>
                            <w:sz w:val="18"/>
                          </w:rPr>
                        </w:pPr>
                        <w:r>
                          <w:rPr>
                            <w:color w:val="231F20"/>
                            <w:sz w:val="18"/>
                          </w:rPr>
                          <w:t>1</w:t>
                        </w:r>
                      </w:p>
                    </w:tc>
                    <w:tc>
                      <w:tcPr>
                        <w:tcW w:w="200" w:type="dxa"/>
                      </w:tcPr>
                      <w:p>
                        <w:pPr/>
                      </w:p>
                    </w:tc>
                    <w:tc>
                      <w:tcPr>
                        <w:tcW w:w="1010" w:type="dxa"/>
                        <w:gridSpan w:val="2"/>
                      </w:tcPr>
                      <w:p>
                        <w:pPr>
                          <w:pStyle w:val="TableParagraph"/>
                          <w:spacing w:before="7"/>
                          <w:jc w:val="left"/>
                          <w:rPr>
                            <w:sz w:val="23"/>
                          </w:rPr>
                        </w:pPr>
                      </w:p>
                      <w:p>
                        <w:pPr>
                          <w:pStyle w:val="TableParagraph"/>
                          <w:ind w:right="49"/>
                          <w:rPr>
                            <w:sz w:val="18"/>
                          </w:rPr>
                        </w:pPr>
                        <w:r>
                          <w:rPr>
                            <w:color w:val="231F20"/>
                            <w:sz w:val="18"/>
                          </w:rPr>
                          <w:t>1</w:t>
                        </w:r>
                      </w:p>
                    </w:tc>
                  </w:tr>
                  <w:tr>
                    <w:trPr>
                      <w:trHeight w:val="245" w:hRule="exact"/>
                    </w:trPr>
                    <w:tc>
                      <w:tcPr>
                        <w:tcW w:w="4870" w:type="dxa"/>
                      </w:tcPr>
                      <w:p>
                        <w:pPr>
                          <w:pStyle w:val="TableParagraph"/>
                          <w:spacing w:before="1"/>
                          <w:ind w:right="104"/>
                          <w:rPr>
                            <w:sz w:val="18"/>
                          </w:rPr>
                        </w:pPr>
                        <w:r>
                          <w:rPr>
                            <w:color w:val="231F20"/>
                            <w:sz w:val="18"/>
                          </w:rPr>
                          <w:t>Dilutive effect of 5.25% convertible notes   . . . . . . . . . . . . . . . . </w:t>
                        </w:r>
                      </w:p>
                    </w:tc>
                    <w:tc>
                      <w:tcPr>
                        <w:tcW w:w="1050" w:type="dxa"/>
                        <w:gridSpan w:val="2"/>
                        <w:tcBorders>
                          <w:bottom w:val="single" w:sz="4" w:space="0" w:color="231F20"/>
                        </w:tcBorders>
                      </w:tcPr>
                      <w:p>
                        <w:pPr>
                          <w:pStyle w:val="TableParagraph"/>
                          <w:spacing w:before="1"/>
                          <w:ind w:right="38"/>
                          <w:rPr>
                            <w:sz w:val="18"/>
                          </w:rPr>
                        </w:pPr>
                        <w:r>
                          <w:rPr>
                            <w:color w:val="231F20"/>
                            <w:sz w:val="18"/>
                          </w:rPr>
                          <w:t>6</w:t>
                        </w:r>
                      </w:p>
                    </w:tc>
                    <w:tc>
                      <w:tcPr>
                        <w:tcW w:w="200" w:type="dxa"/>
                      </w:tcPr>
                      <w:p>
                        <w:pPr/>
                      </w:p>
                    </w:tc>
                    <w:tc>
                      <w:tcPr>
                        <w:tcW w:w="1000" w:type="dxa"/>
                        <w:gridSpan w:val="2"/>
                        <w:tcBorders>
                          <w:bottom w:val="single" w:sz="4" w:space="0" w:color="231F20"/>
                        </w:tcBorders>
                      </w:tcPr>
                      <w:p>
                        <w:pPr>
                          <w:pStyle w:val="TableParagraph"/>
                          <w:spacing w:before="1"/>
                          <w:ind w:right="128"/>
                          <w:rPr>
                            <w:sz w:val="18"/>
                          </w:rPr>
                        </w:pPr>
                        <w:r>
                          <w:rPr>
                            <w:color w:val="231F20"/>
                            <w:sz w:val="18"/>
                          </w:rPr>
                          <w:t>—</w:t>
                        </w:r>
                      </w:p>
                    </w:tc>
                    <w:tc>
                      <w:tcPr>
                        <w:tcW w:w="200" w:type="dxa"/>
                      </w:tcPr>
                      <w:p>
                        <w:pPr/>
                      </w:p>
                    </w:tc>
                    <w:tc>
                      <w:tcPr>
                        <w:tcW w:w="1010" w:type="dxa"/>
                        <w:gridSpan w:val="2"/>
                        <w:tcBorders>
                          <w:bottom w:val="single" w:sz="4" w:space="0" w:color="231F20"/>
                        </w:tcBorders>
                      </w:tcPr>
                      <w:p>
                        <w:pPr>
                          <w:pStyle w:val="TableParagraph"/>
                          <w:spacing w:before="1"/>
                          <w:ind w:right="138"/>
                          <w:rPr>
                            <w:sz w:val="18"/>
                          </w:rPr>
                        </w:pPr>
                        <w:r>
                          <w:rPr>
                            <w:color w:val="231F20"/>
                            <w:sz w:val="18"/>
                          </w:rPr>
                          <w:t>—</w:t>
                        </w:r>
                      </w:p>
                    </w:tc>
                  </w:tr>
                  <w:tr>
                    <w:trPr>
                      <w:trHeight w:val="340" w:hRule="exact"/>
                    </w:trPr>
                    <w:tc>
                      <w:tcPr>
                        <w:tcW w:w="4870" w:type="dxa"/>
                      </w:tcPr>
                      <w:p>
                        <w:pPr>
                          <w:pStyle w:val="TableParagraph"/>
                          <w:spacing w:before="57"/>
                          <w:ind w:right="104"/>
                          <w:rPr>
                            <w:sz w:val="18"/>
                          </w:rPr>
                        </w:pPr>
                        <w:r>
                          <w:rPr>
                            <w:color w:val="231F20"/>
                            <w:sz w:val="18"/>
                          </w:rPr>
                          <w:t>Adjusted weighted-average shares outstanding, diluted  . . . . . . </w:t>
                        </w:r>
                      </w:p>
                    </w:tc>
                    <w:tc>
                      <w:tcPr>
                        <w:tcW w:w="1050" w:type="dxa"/>
                        <w:gridSpan w:val="2"/>
                        <w:tcBorders>
                          <w:top w:val="single" w:sz="4" w:space="0" w:color="231F20"/>
                          <w:bottom w:val="single" w:sz="4" w:space="0" w:color="231F20"/>
                        </w:tcBorders>
                      </w:tcPr>
                      <w:p>
                        <w:pPr>
                          <w:pStyle w:val="TableParagraph"/>
                          <w:spacing w:before="52"/>
                          <w:ind w:right="38"/>
                          <w:rPr>
                            <w:sz w:val="18"/>
                          </w:rPr>
                        </w:pPr>
                        <w:r>
                          <w:rPr>
                            <w:color w:val="231F20"/>
                            <w:sz w:val="18"/>
                          </w:rPr>
                          <w:t>757</w:t>
                        </w:r>
                      </w:p>
                    </w:tc>
                    <w:tc>
                      <w:tcPr>
                        <w:tcW w:w="200" w:type="dxa"/>
                      </w:tcPr>
                      <w:p>
                        <w:pPr/>
                      </w:p>
                    </w:tc>
                    <w:tc>
                      <w:tcPr>
                        <w:tcW w:w="1000" w:type="dxa"/>
                        <w:gridSpan w:val="2"/>
                        <w:tcBorders>
                          <w:top w:val="single" w:sz="4" w:space="0" w:color="231F20"/>
                          <w:bottom w:val="single" w:sz="4" w:space="0" w:color="231F20"/>
                        </w:tcBorders>
                      </w:tcPr>
                      <w:p>
                        <w:pPr>
                          <w:pStyle w:val="TableParagraph"/>
                          <w:spacing w:before="52"/>
                          <w:ind w:right="38"/>
                          <w:rPr>
                            <w:sz w:val="18"/>
                          </w:rPr>
                        </w:pPr>
                        <w:r>
                          <w:rPr>
                            <w:color w:val="231F20"/>
                            <w:sz w:val="18"/>
                          </w:rPr>
                          <w:t>775</w:t>
                        </w:r>
                      </w:p>
                    </w:tc>
                    <w:tc>
                      <w:tcPr>
                        <w:tcW w:w="200" w:type="dxa"/>
                      </w:tcPr>
                      <w:p>
                        <w:pPr/>
                      </w:p>
                    </w:tc>
                    <w:tc>
                      <w:tcPr>
                        <w:tcW w:w="1010" w:type="dxa"/>
                        <w:gridSpan w:val="2"/>
                        <w:tcBorders>
                          <w:top w:val="single" w:sz="4" w:space="0" w:color="231F20"/>
                          <w:bottom w:val="single" w:sz="4" w:space="0" w:color="231F20"/>
                        </w:tcBorders>
                      </w:tcPr>
                      <w:p>
                        <w:pPr>
                          <w:pStyle w:val="TableParagraph"/>
                          <w:spacing w:before="52"/>
                          <w:ind w:right="48"/>
                          <w:rPr>
                            <w:sz w:val="18"/>
                          </w:rPr>
                        </w:pPr>
                        <w:r>
                          <w:rPr>
                            <w:color w:val="231F20"/>
                            <w:sz w:val="18"/>
                          </w:rPr>
                          <w:t>747</w:t>
                        </w:r>
                      </w:p>
                    </w:tc>
                  </w:tr>
                  <w:tr>
                    <w:trPr>
                      <w:trHeight w:val="300" w:hRule="exact"/>
                    </w:trPr>
                    <w:tc>
                      <w:tcPr>
                        <w:tcW w:w="4870" w:type="dxa"/>
                      </w:tcPr>
                      <w:p>
                        <w:pPr>
                          <w:pStyle w:val="TableParagraph"/>
                          <w:spacing w:before="57"/>
                          <w:jc w:val="left"/>
                          <w:rPr>
                            <w:b/>
                            <w:sz w:val="18"/>
                          </w:rPr>
                        </w:pPr>
                        <w:r>
                          <w:rPr>
                            <w:b/>
                            <w:color w:val="231F20"/>
                            <w:sz w:val="18"/>
                          </w:rPr>
                          <w:t>NET INCOME PER SHARE:</w:t>
                        </w:r>
                      </w:p>
                    </w:tc>
                    <w:tc>
                      <w:tcPr>
                        <w:tcW w:w="735" w:type="dxa"/>
                      </w:tcPr>
                      <w:p>
                        <w:pPr/>
                      </w:p>
                    </w:tc>
                    <w:tc>
                      <w:tcPr>
                        <w:tcW w:w="315" w:type="dxa"/>
                      </w:tcPr>
                      <w:p>
                        <w:pPr/>
                      </w:p>
                    </w:tc>
                    <w:tc>
                      <w:tcPr>
                        <w:tcW w:w="200" w:type="dxa"/>
                      </w:tcPr>
                      <w:p>
                        <w:pPr/>
                      </w:p>
                    </w:tc>
                    <w:tc>
                      <w:tcPr>
                        <w:tcW w:w="685" w:type="dxa"/>
                      </w:tcPr>
                      <w:p>
                        <w:pPr/>
                      </w:p>
                    </w:tc>
                    <w:tc>
                      <w:tcPr>
                        <w:tcW w:w="315" w:type="dxa"/>
                      </w:tcPr>
                      <w:p>
                        <w:pPr/>
                      </w:p>
                    </w:tc>
                    <w:tc>
                      <w:tcPr>
                        <w:tcW w:w="200" w:type="dxa"/>
                      </w:tcPr>
                      <w:p>
                        <w:pPr/>
                      </w:p>
                    </w:tc>
                    <w:tc>
                      <w:tcPr>
                        <w:tcW w:w="685" w:type="dxa"/>
                      </w:tcPr>
                      <w:p>
                        <w:pPr/>
                      </w:p>
                    </w:tc>
                    <w:tc>
                      <w:tcPr>
                        <w:tcW w:w="325" w:type="dxa"/>
                      </w:tcPr>
                      <w:p>
                        <w:pPr/>
                      </w:p>
                    </w:tc>
                  </w:tr>
                  <w:tr>
                    <w:trPr>
                      <w:trHeight w:val="340" w:hRule="exact"/>
                    </w:trPr>
                    <w:tc>
                      <w:tcPr>
                        <w:tcW w:w="4870" w:type="dxa"/>
                      </w:tcPr>
                      <w:p>
                        <w:pPr>
                          <w:pStyle w:val="TableParagraph"/>
                          <w:spacing w:before="57"/>
                          <w:ind w:right="104"/>
                          <w:rPr>
                            <w:sz w:val="18"/>
                          </w:rPr>
                        </w:pPr>
                        <w:r>
                          <w:rPr>
                            <w:color w:val="231F20"/>
                            <w:sz w:val="18"/>
                          </w:rPr>
                          <w:t>Basic . . . . . . . . . . . . . . . . . . . . . . . . . . . . . . . . . . . . . . . . . . . . . . </w:t>
                        </w:r>
                      </w:p>
                    </w:tc>
                    <w:tc>
                      <w:tcPr>
                        <w:tcW w:w="1050" w:type="dxa"/>
                        <w:gridSpan w:val="2"/>
                        <w:tcBorders>
                          <w:top w:val="single" w:sz="4" w:space="0" w:color="231F20"/>
                          <w:bottom w:val="single" w:sz="4" w:space="0" w:color="231F20"/>
                        </w:tcBorders>
                      </w:tcPr>
                      <w:p>
                        <w:pPr>
                          <w:pStyle w:val="TableParagraph"/>
                          <w:tabs>
                            <w:tab w:pos="784" w:val="left" w:leader="none"/>
                          </w:tabs>
                          <w:spacing w:before="52"/>
                          <w:ind w:left="50"/>
                          <w:jc w:val="left"/>
                          <w:rPr>
                            <w:sz w:val="18"/>
                          </w:rPr>
                        </w:pPr>
                        <w:r>
                          <w:rPr>
                            <w:color w:val="231F20"/>
                            <w:sz w:val="18"/>
                          </w:rPr>
                          <w:t>$</w:t>
                          <w:tab/>
                          <w:t>.56</w:t>
                        </w:r>
                      </w:p>
                    </w:tc>
                    <w:tc>
                      <w:tcPr>
                        <w:tcW w:w="200" w:type="dxa"/>
                      </w:tcPr>
                      <w:p>
                        <w:pPr/>
                      </w:p>
                    </w:tc>
                    <w:tc>
                      <w:tcPr>
                        <w:tcW w:w="100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.23</w:t>
                        </w:r>
                      </w:p>
                    </w:tc>
                    <w:tc>
                      <w:tcPr>
                        <w:tcW w:w="200" w:type="dxa"/>
                      </w:tcPr>
                      <w:p>
                        <w:pPr/>
                      </w:p>
                    </w:tc>
                    <w:tc>
                      <w:tcPr>
                        <w:tcW w:w="101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.62</w:t>
                        </w:r>
                      </w:p>
                    </w:tc>
                  </w:tr>
                  <w:tr>
                    <w:trPr>
                      <w:trHeight w:val="340" w:hRule="exact"/>
                    </w:trPr>
                    <w:tc>
                      <w:tcPr>
                        <w:tcW w:w="4870" w:type="dxa"/>
                      </w:tcPr>
                      <w:p>
                        <w:pPr>
                          <w:pStyle w:val="TableParagraph"/>
                          <w:spacing w:before="57"/>
                          <w:ind w:right="104"/>
                          <w:rPr>
                            <w:sz w:val="18"/>
                          </w:rPr>
                        </w:pPr>
                        <w:r>
                          <w:rPr>
                            <w:color w:val="231F20"/>
                            <w:sz w:val="18"/>
                          </w:rPr>
                          <w:t>Diluted  . . . . . . . . . . . . . . . . . . . . . . . . . . . . . . . . . . . . . . . . . . . . </w:t>
                        </w:r>
                      </w:p>
                    </w:tc>
                    <w:tc>
                      <w:tcPr>
                        <w:tcW w:w="1050" w:type="dxa"/>
                        <w:gridSpan w:val="2"/>
                        <w:tcBorders>
                          <w:top w:val="single" w:sz="4" w:space="0" w:color="231F20"/>
                          <w:bottom w:val="single" w:sz="4" w:space="0" w:color="231F20"/>
                        </w:tcBorders>
                      </w:tcPr>
                      <w:p>
                        <w:pPr>
                          <w:pStyle w:val="TableParagraph"/>
                          <w:tabs>
                            <w:tab w:pos="784" w:val="left" w:leader="none"/>
                          </w:tabs>
                          <w:spacing w:before="52"/>
                          <w:ind w:left="50"/>
                          <w:jc w:val="left"/>
                          <w:rPr>
                            <w:sz w:val="18"/>
                          </w:rPr>
                        </w:pPr>
                        <w:r>
                          <w:rPr>
                            <w:color w:val="231F20"/>
                            <w:sz w:val="18"/>
                          </w:rPr>
                          <w:t>$</w:t>
                          <w:tab/>
                          <w:t>.56</w:t>
                        </w:r>
                      </w:p>
                    </w:tc>
                    <w:tc>
                      <w:tcPr>
                        <w:tcW w:w="200" w:type="dxa"/>
                      </w:tcPr>
                      <w:p>
                        <w:pPr/>
                      </w:p>
                    </w:tc>
                    <w:tc>
                      <w:tcPr>
                        <w:tcW w:w="100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.23</w:t>
                        </w:r>
                      </w:p>
                    </w:tc>
                    <w:tc>
                      <w:tcPr>
                        <w:tcW w:w="200" w:type="dxa"/>
                      </w:tcPr>
                      <w:p>
                        <w:pPr/>
                      </w:p>
                    </w:tc>
                    <w:tc>
                      <w:tcPr>
                        <w:tcW w:w="101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.61</w:t>
                        </w:r>
                      </w:p>
                    </w:tc>
                  </w:tr>
                  <w:tr>
                    <w:trPr>
                      <w:trHeight w:val="495" w:hRule="exact"/>
                    </w:trPr>
                    <w:tc>
                      <w:tcPr>
                        <w:tcW w:w="4870" w:type="dxa"/>
                      </w:tcPr>
                      <w:p>
                        <w:pPr>
                          <w:pStyle w:val="TableParagraph"/>
                          <w:spacing w:before="57"/>
                          <w:jc w:val="left"/>
                          <w:rPr>
                            <w:sz w:val="18"/>
                          </w:rPr>
                        </w:pPr>
                        <w:r>
                          <w:rPr>
                            <w:color w:val="231F20"/>
                            <w:sz w:val="18"/>
                          </w:rPr>
                          <w:t>Potentially dilutive amounts excluded from calculations</w:t>
                        </w:r>
                      </w:p>
                      <w:p>
                        <w:pPr>
                          <w:pStyle w:val="TableParagraph"/>
                          <w:spacing w:before="13"/>
                          <w:ind w:left="180"/>
                          <w:jc w:val="left"/>
                          <w:rPr>
                            <w:sz w:val="18"/>
                          </w:rPr>
                        </w:pPr>
                        <w:r>
                          <w:rPr>
                            <w:color w:val="231F20"/>
                            <w:sz w:val="18"/>
                          </w:rPr>
                          <w:t>Stock options and restricted stock units . . . . . . . . . . . . . . . . . . . </w:t>
                        </w:r>
                      </w:p>
                    </w:tc>
                    <w:tc>
                      <w:tcPr>
                        <w:tcW w:w="2250" w:type="dxa"/>
                        <w:gridSpan w:val="5"/>
                      </w:tcPr>
                      <w:p>
                        <w:pPr>
                          <w:pStyle w:val="TableParagraph"/>
                          <w:jc w:val="left"/>
                          <w:rPr>
                            <w:sz w:val="24"/>
                          </w:rPr>
                        </w:pPr>
                      </w:p>
                      <w:p>
                        <w:pPr>
                          <w:pStyle w:val="TableParagraph"/>
                          <w:tabs>
                            <w:tab w:pos="2029" w:val="left" w:leader="none"/>
                          </w:tabs>
                          <w:spacing w:before="1"/>
                          <w:ind w:left="829"/>
                          <w:jc w:val="left"/>
                          <w:rPr>
                            <w:sz w:val="18"/>
                          </w:rPr>
                        </w:pPr>
                        <w:r>
                          <w:rPr>
                            <w:color w:val="231F20"/>
                            <w:sz w:val="18"/>
                          </w:rPr>
                          <w:t>35</w:t>
                          <w:tab/>
                          <w:t>48</w:t>
                        </w:r>
                      </w:p>
                    </w:tc>
                    <w:tc>
                      <w:tcPr>
                        <w:tcW w:w="1210" w:type="dxa"/>
                        <w:gridSpan w:val="3"/>
                      </w:tcPr>
                      <w:p>
                        <w:pPr>
                          <w:pStyle w:val="TableParagraph"/>
                          <w:jc w:val="left"/>
                          <w:rPr>
                            <w:sz w:val="24"/>
                          </w:rPr>
                        </w:pPr>
                      </w:p>
                      <w:p>
                        <w:pPr>
                          <w:pStyle w:val="TableParagraph"/>
                          <w:spacing w:before="1"/>
                          <w:ind w:right="48"/>
                          <w:rPr>
                            <w:sz w:val="18"/>
                          </w:rPr>
                        </w:pPr>
                        <w:r>
                          <w:rPr>
                            <w:color w:val="231F20"/>
                            <w:sz w:val="18"/>
                          </w:rPr>
                          <w:t>62</w:t>
                        </w:r>
                      </w:p>
                    </w:tc>
                  </w:tr>
                  <w:tr>
                    <w:trPr>
                      <w:trHeight w:val="208" w:hRule="exact"/>
                    </w:trPr>
                    <w:tc>
                      <w:tcPr>
                        <w:tcW w:w="4870" w:type="dxa"/>
                      </w:tcPr>
                      <w:p>
                        <w:pPr>
                          <w:pStyle w:val="TableParagraph"/>
                          <w:spacing w:before="1"/>
                          <w:ind w:right="104"/>
                          <w:rPr>
                            <w:sz w:val="18"/>
                          </w:rPr>
                        </w:pPr>
                        <w:r>
                          <w:rPr>
                            <w:color w:val="231F20"/>
                            <w:sz w:val="18"/>
                          </w:rPr>
                          <w:t>5.25% Convertible notes  . . . . . . . . . . . . . . . . . . . . . . . . . . . . . . </w:t>
                        </w:r>
                      </w:p>
                    </w:tc>
                    <w:tc>
                      <w:tcPr>
                        <w:tcW w:w="2250" w:type="dxa"/>
                        <w:gridSpan w:val="5"/>
                      </w:tcPr>
                      <w:p>
                        <w:pPr>
                          <w:pStyle w:val="TableParagraph"/>
                          <w:tabs>
                            <w:tab w:pos="2119" w:val="left" w:leader="none"/>
                          </w:tabs>
                          <w:spacing w:before="1"/>
                          <w:ind w:left="739"/>
                          <w:jc w:val="left"/>
                          <w:rPr>
                            <w:sz w:val="18"/>
                          </w:rPr>
                        </w:pPr>
                        <w:r>
                          <w:rPr>
                            <w:color w:val="231F20"/>
                            <w:sz w:val="18"/>
                          </w:rPr>
                          <w:t>—</w:t>
                          <w:tab/>
                          <w:t>6</w:t>
                        </w:r>
                      </w:p>
                    </w:tc>
                    <w:tc>
                      <w:tcPr>
                        <w:tcW w:w="1210" w:type="dxa"/>
                        <w:gridSpan w:val="3"/>
                      </w:tcPr>
                      <w:p>
                        <w:pPr>
                          <w:pStyle w:val="TableParagraph"/>
                          <w:spacing w:before="1"/>
                          <w:ind w:right="139"/>
                          <w:rPr>
                            <w:sz w:val="18"/>
                          </w:rPr>
                        </w:pPr>
                        <w:r>
                          <w:rPr>
                            <w:color w:val="231F20"/>
                            <w:sz w:val="18"/>
                          </w:rPr>
                          <w:t>—</w:t>
                        </w:r>
                      </w:p>
                    </w:tc>
                  </w:tr>
                </w:tbl>
                <w:p>
                  <w:pPr>
                    <w:pStyle w:val="BodyText"/>
                  </w:pPr>
                </w:p>
              </w:txbxContent>
            </v:textbox>
            <w10:wrap type="none"/>
          </v:shape>
        </w:pict>
      </w:r>
      <w:r>
        <w:rPr>
          <w:color w:val="231F20"/>
        </w:rPr>
        <w:t>The following table sets forth the computation of basic and diluted net income per share (in millions except per share amounts):</w:t>
      </w:r>
    </w:p>
    <w:p>
      <w:pPr>
        <w:pStyle w:val="BodyText"/>
        <w:rPr>
          <w:sz w:val="22"/>
        </w:rPr>
      </w:pPr>
    </w:p>
    <w:p>
      <w:pPr>
        <w:pStyle w:val="BodyText"/>
        <w:rPr>
          <w:sz w:val="22"/>
        </w:rPr>
      </w:pPr>
    </w:p>
    <w:p>
      <w:pPr>
        <w:pStyle w:val="BodyText"/>
        <w:rPr>
          <w:sz w:val="22"/>
        </w:rPr>
      </w:pPr>
    </w:p>
    <w:p>
      <w:pPr>
        <w:spacing w:before="160"/>
        <w:ind w:left="280" w:right="0" w:firstLine="0"/>
        <w:jc w:val="left"/>
        <w:rPr>
          <w:sz w:val="18"/>
        </w:rPr>
      </w:pPr>
      <w:r>
        <w:rPr>
          <w:color w:val="231F20"/>
          <w:sz w:val="18"/>
        </w:rPr>
        <w:t>Incremental income effect of interest on 5.25% convertible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line style="position:absolute;mso-position-horizontal-relative:page;mso-position-vertical-relative:paragraph;z-index:4888;mso-wrap-distance-left:0;mso-wrap-distance-right:0" from="315pt,13.810913pt" to="365pt,13.810913pt" stroked="true" strokeweight=".5pt" strokecolor="#231f20">
            <v:stroke dashstyle="solid"/>
            <w10:wrap type="topAndBottom"/>
          </v:line>
        </w:pict>
      </w:r>
      <w:r>
        <w:rPr/>
        <w:pict>
          <v:line style="position:absolute;mso-position-horizontal-relative:page;mso-position-vertical-relative:paragraph;z-index:4912;mso-wrap-distance-left:0;mso-wrap-distance-right:0" from="375pt,13.810913pt" to="425pt,13.810913pt" stroked="true" strokeweight=".5pt" strokecolor="#231f20">
            <v:stroke dashstyle="solid"/>
            <w10:wrap type="topAndBottom"/>
          </v:line>
        </w:pict>
      </w:r>
      <w:r>
        <w:rPr/>
        <w:pict>
          <v:line style="position:absolute;mso-position-horizontal-relative:page;mso-position-vertical-relative:paragraph;z-index:4936;mso-wrap-distance-left:0;mso-wrap-distance-right:0" from="435pt,13.810913pt" to="485pt,13.810913pt" stroked="true" strokeweight=".5pt" strokecolor="#231f20">
            <v:stroke dashstyle="solid"/>
            <w10:wrap type="topAndBottom"/>
          </v:line>
        </w:pict>
      </w:r>
    </w:p>
    <w:p>
      <w:pPr>
        <w:pStyle w:val="BodyText"/>
      </w:pPr>
    </w:p>
    <w:p>
      <w:pPr>
        <w:pStyle w:val="BodyText"/>
        <w:spacing w:before="10"/>
        <w:rPr>
          <w:sz w:val="28"/>
        </w:rPr>
      </w:pPr>
      <w:r>
        <w:rPr/>
        <w:pict>
          <v:line style="position:absolute;mso-position-horizontal-relative:page;mso-position-vertical-relative:paragraph;z-index:4960;mso-wrap-distance-left:0;mso-wrap-distance-right:0" from="315pt,18.800976pt" to="365pt,18.800976pt" stroked="true" strokeweight=".5pt" strokecolor="#231f20">
            <v:stroke dashstyle="solid"/>
            <w10:wrap type="topAndBottom"/>
          </v:line>
        </w:pict>
      </w:r>
      <w:r>
        <w:rPr/>
        <w:pict>
          <v:line style="position:absolute;mso-position-horizontal-relative:page;mso-position-vertical-relative:paragraph;z-index:4984;mso-wrap-distance-left:0;mso-wrap-distance-right:0" from="375pt,18.800976pt" to="425pt,18.800976pt" stroked="true" strokeweight=".5pt" strokecolor="#231f20">
            <v:stroke dashstyle="solid"/>
            <w10:wrap type="topAndBottom"/>
          </v:line>
        </w:pict>
      </w:r>
      <w:r>
        <w:rPr/>
        <w:pict>
          <v:line style="position:absolute;mso-position-horizontal-relative:page;mso-position-vertical-relative:paragraph;z-index:5008;mso-wrap-distance-left:0;mso-wrap-distance-right:0" from="435pt,18.800976pt" to="485pt,18.800976pt" stroked="true" strokeweight=".5pt" strokecolor="#231f20">
            <v:stroke dashstyle="solid"/>
            <w10:wrap type="topAndBottom"/>
          </v:line>
        </w:pict>
      </w:r>
      <w:r>
        <w:rPr/>
        <w:pict>
          <v:line style="position:absolute;mso-position-horizontal-relative:page;mso-position-vertical-relative:paragraph;z-index:5032;mso-wrap-distance-left:0;mso-wrap-distance-right:0" from="315pt,35.800976pt" to="365pt,35.800976pt" stroked="true" strokeweight=".5pt" strokecolor="#231f20">
            <v:stroke dashstyle="solid"/>
            <w10:wrap type="topAndBottom"/>
          </v:line>
        </w:pict>
      </w:r>
      <w:r>
        <w:rPr/>
        <w:pict>
          <v:line style="position:absolute;mso-position-horizontal-relative:page;mso-position-vertical-relative:paragraph;z-index:5056;mso-wrap-distance-left:0;mso-wrap-distance-right:0" from="375pt,35.800976pt" to="425pt,35.800976pt" stroked="true" strokeweight=".5pt" strokecolor="#231f20">
            <v:stroke dashstyle="solid"/>
            <w10:wrap type="topAndBottom"/>
          </v:line>
        </w:pict>
      </w:r>
      <w:r>
        <w:rPr/>
        <w:pict>
          <v:line style="position:absolute;mso-position-horizontal-relative:page;mso-position-vertical-relative:paragraph;z-index:5080;mso-wrap-distance-left:0;mso-wrap-distance-right:0" from="435pt,35.800976pt" to="485pt,35.800976pt" stroked="true" strokeweight=".5pt" strokecolor="#231f20">
            <v:stroke dashstyle="solid"/>
            <w10:wrap type="topAndBottom"/>
          </v:line>
        </w:pict>
      </w:r>
    </w:p>
    <w:p>
      <w:pPr>
        <w:pStyle w:val="BodyText"/>
        <w:spacing w:before="9"/>
        <w:rPr>
          <w:sz w:val="22"/>
        </w:rPr>
      </w:pPr>
    </w:p>
    <w:p>
      <w:pPr>
        <w:pStyle w:val="BodyText"/>
      </w:pPr>
    </w:p>
    <w:p>
      <w:pPr>
        <w:pStyle w:val="BodyText"/>
      </w:pPr>
    </w:p>
    <w:p>
      <w:pPr>
        <w:pStyle w:val="BodyText"/>
      </w:pPr>
    </w:p>
    <w:p>
      <w:pPr>
        <w:pStyle w:val="BodyText"/>
      </w:pPr>
    </w:p>
    <w:p>
      <w:pPr>
        <w:pStyle w:val="Heading3"/>
        <w:numPr>
          <w:ilvl w:val="0"/>
          <w:numId w:val="13"/>
        </w:numPr>
        <w:tabs>
          <w:tab w:pos="400" w:val="left" w:leader="none"/>
        </w:tabs>
        <w:spacing w:line="240" w:lineRule="auto" w:before="121" w:after="0"/>
        <w:ind w:left="400" w:right="0" w:hanging="300"/>
        <w:jc w:val="left"/>
      </w:pPr>
      <w:r>
        <w:rPr>
          <w:color w:val="231F20"/>
        </w:rPr>
        <w:t>FINANCIAL DERIVATIVE</w:t>
      </w:r>
      <w:r>
        <w:rPr>
          <w:color w:val="231F20"/>
          <w:spacing w:val="-7"/>
        </w:rPr>
        <w:t> </w:t>
      </w:r>
      <w:r>
        <w:rPr>
          <w:color w:val="231F20"/>
        </w:rPr>
        <w:t>INSTRUMENTS</w:t>
      </w:r>
    </w:p>
    <w:p>
      <w:pPr>
        <w:pStyle w:val="Heading4"/>
        <w:spacing w:before="114"/>
        <w:rPr>
          <w:i/>
        </w:rPr>
      </w:pPr>
      <w:r>
        <w:rPr>
          <w:i/>
          <w:color w:val="231F20"/>
        </w:rPr>
        <w:t>Fuel contracts</w:t>
      </w:r>
    </w:p>
    <w:p>
      <w:pPr>
        <w:pStyle w:val="BodyText"/>
        <w:spacing w:line="249" w:lineRule="auto" w:before="114"/>
        <w:ind w:left="100" w:right="174"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purposes.</w:t>
      </w:r>
    </w:p>
    <w:p>
      <w:pPr>
        <w:pStyle w:val="BodyText"/>
        <w:spacing w:before="4"/>
        <w:rPr>
          <w:sz w:val="18"/>
        </w:rPr>
      </w:pPr>
    </w:p>
    <w:p>
      <w:pPr>
        <w:pStyle w:val="BodyText"/>
        <w:spacing w:line="249" w:lineRule="auto" w:before="1"/>
        <w:ind w:left="10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w:t>
      </w:r>
      <w:r>
        <w:rPr>
          <w:color w:val="231F20"/>
          <w:spacing w:val="2"/>
        </w:rPr>
        <w:t> </w:t>
      </w:r>
      <w:r>
        <w:rPr>
          <w:color w:val="231F20"/>
        </w:rPr>
        <w:t>price.</w:t>
      </w:r>
    </w:p>
    <w:p>
      <w:pPr>
        <w:pStyle w:val="BodyText"/>
        <w:spacing w:before="5"/>
        <w:rPr>
          <w:sz w:val="18"/>
        </w:rPr>
      </w:pPr>
    </w:p>
    <w:p>
      <w:pPr>
        <w:pStyle w:val="BodyText"/>
        <w:spacing w:line="249" w:lineRule="auto"/>
        <w:ind w:left="100" w:right="126"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w:t>
      </w:r>
    </w:p>
    <w:p>
      <w:pPr>
        <w:spacing w:after="0" w:line="249" w:lineRule="auto"/>
        <w:sectPr>
          <w:pgSz w:w="11880" w:h="15480"/>
          <w:pgMar w:header="0" w:footer="1253" w:top="1240" w:bottom="1440" w:left="1280" w:right="1280"/>
        </w:sectPr>
      </w:pPr>
    </w:p>
    <w:p>
      <w:pPr>
        <w:pStyle w:val="BodyText"/>
        <w:spacing w:line="249" w:lineRule="auto" w:before="73"/>
        <w:ind w:left="160" w:right="131"/>
      </w:pPr>
      <w:r>
        <w:rPr>
          <w:color w:val="231F20"/>
        </w:rPr>
        <w:t>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spacing w:before="4"/>
        <w:rPr>
          <w:sz w:val="17"/>
        </w:rPr>
      </w:pPr>
    </w:p>
    <w:p>
      <w:pPr>
        <w:pStyle w:val="BodyText"/>
        <w:spacing w:line="249" w:lineRule="auto"/>
        <w:ind w:left="160" w:right="363" w:firstLine="490"/>
      </w:pPr>
      <w:r>
        <w:rPr>
          <w:color w:val="231F20"/>
        </w:rPr>
        <w:t>For 2012, the Company had fuel derivatives in place for a small portion of its fuel consumption. As of December 31, 2012, the Company also had fuel derivative instruments in place to provide coverage on a small portion of its 2013 estimated fuel consumption if prices were to rise from current price levels. The following table provides information about the Company’s potential volume of fuel hedging for the years 2013 through 2017 on an “economic” basis:</w:t>
      </w:r>
    </w:p>
    <w:p>
      <w:pPr>
        <w:spacing w:after="0" w:line="249" w:lineRule="auto"/>
        <w:sectPr>
          <w:pgSz w:w="11880" w:h="15480"/>
          <w:pgMar w:header="0" w:footer="1253" w:top="1240" w:bottom="1440" w:left="1220" w:right="1280"/>
        </w:sectPr>
      </w:pPr>
    </w:p>
    <w:p>
      <w:pPr>
        <w:pStyle w:val="Heading3"/>
        <w:spacing w:line="200" w:lineRule="exact" w:before="186"/>
        <w:ind w:left="3210" w:right="-18" w:firstLine="66"/>
      </w:pPr>
      <w:r>
        <w:rPr/>
        <w:pict>
          <v:shape style="position:absolute;margin-left:66.5pt;margin-top:28.409975pt;width:378.5pt;height:75.05pt;mso-position-horizontal-relative:page;mso-position-vertical-relative:paragraph;z-index:5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07"/>
                    <w:gridCol w:w="150"/>
                    <w:gridCol w:w="1905"/>
                    <w:gridCol w:w="200"/>
                    <w:gridCol w:w="2508"/>
                  </w:tblGrid>
                  <w:tr>
                    <w:trPr>
                      <w:trHeight w:val="248" w:hRule="exact"/>
                    </w:trPr>
                    <w:tc>
                      <w:tcPr>
                        <w:tcW w:w="2807" w:type="dxa"/>
                        <w:tcBorders>
                          <w:bottom w:val="single" w:sz="8" w:space="0" w:color="231F20"/>
                        </w:tcBorders>
                      </w:tcPr>
                      <w:p>
                        <w:pPr>
                          <w:pStyle w:val="TableParagraph"/>
                          <w:spacing w:line="221" w:lineRule="exact"/>
                          <w:ind w:left="50"/>
                          <w:jc w:val="left"/>
                          <w:rPr>
                            <w:b/>
                            <w:sz w:val="20"/>
                          </w:rPr>
                        </w:pPr>
                        <w:r>
                          <w:rPr>
                            <w:b/>
                            <w:color w:val="231F20"/>
                            <w:sz w:val="20"/>
                          </w:rPr>
                          <w:t>Period (by year)</w:t>
                        </w:r>
                      </w:p>
                    </w:tc>
                    <w:tc>
                      <w:tcPr>
                        <w:tcW w:w="150" w:type="dxa"/>
                      </w:tcPr>
                      <w:p>
                        <w:pPr/>
                      </w:p>
                    </w:tc>
                    <w:tc>
                      <w:tcPr>
                        <w:tcW w:w="1905" w:type="dxa"/>
                        <w:tcBorders>
                          <w:bottom w:val="single" w:sz="8" w:space="0" w:color="231F20"/>
                        </w:tcBorders>
                      </w:tcPr>
                      <w:p>
                        <w:pPr>
                          <w:pStyle w:val="TableParagraph"/>
                          <w:spacing w:line="221" w:lineRule="exact"/>
                          <w:ind w:right="1"/>
                          <w:rPr>
                            <w:sz w:val="20"/>
                          </w:rPr>
                        </w:pPr>
                        <w:r>
                          <w:rPr>
                            <w:b/>
                            <w:color w:val="231F20"/>
                            <w:sz w:val="20"/>
                          </w:rPr>
                          <w:t>(gallons in millions)</w:t>
                        </w:r>
                        <w:r>
                          <w:rPr>
                            <w:color w:val="231F20"/>
                            <w:sz w:val="20"/>
                          </w:rPr>
                          <w:t>(a)</w:t>
                        </w:r>
                      </w:p>
                    </w:tc>
                    <w:tc>
                      <w:tcPr>
                        <w:tcW w:w="200" w:type="dxa"/>
                      </w:tcPr>
                      <w:p>
                        <w:pPr/>
                      </w:p>
                    </w:tc>
                    <w:tc>
                      <w:tcPr>
                        <w:tcW w:w="2508" w:type="dxa"/>
                        <w:tcBorders>
                          <w:bottom w:val="single" w:sz="8" w:space="0" w:color="231F20"/>
                        </w:tcBorders>
                      </w:tcPr>
                      <w:p>
                        <w:pPr>
                          <w:pStyle w:val="TableParagraph"/>
                          <w:spacing w:line="221" w:lineRule="exact"/>
                          <w:ind w:left="3" w:right="3"/>
                          <w:jc w:val="center"/>
                          <w:rPr>
                            <w:b/>
                            <w:sz w:val="20"/>
                          </w:rPr>
                        </w:pPr>
                        <w:r>
                          <w:rPr>
                            <w:b/>
                            <w:color w:val="231F20"/>
                            <w:sz w:val="20"/>
                          </w:rPr>
                          <w:t>as of December 31, 2012</w:t>
                        </w:r>
                      </w:p>
                    </w:tc>
                  </w:tr>
                  <w:tr>
                    <w:trPr>
                      <w:trHeight w:val="304" w:hRule="exact"/>
                    </w:trPr>
                    <w:tc>
                      <w:tcPr>
                        <w:tcW w:w="2807" w:type="dxa"/>
                        <w:tcBorders>
                          <w:top w:val="single" w:sz="8" w:space="0" w:color="231F20"/>
                        </w:tcBorders>
                      </w:tcPr>
                      <w:p>
                        <w:pPr>
                          <w:pStyle w:val="TableParagraph"/>
                          <w:spacing w:before="53"/>
                          <w:ind w:left="50"/>
                          <w:jc w:val="left"/>
                          <w:rPr>
                            <w:sz w:val="20"/>
                          </w:rPr>
                        </w:pPr>
                        <w:r>
                          <w:rPr>
                            <w:color w:val="231F20"/>
                            <w:sz w:val="20"/>
                          </w:rPr>
                          <w:t>2013 . . . . . . . . . . . . . . . . . . . . . . . </w:t>
                        </w:r>
                      </w:p>
                    </w:tc>
                    <w:tc>
                      <w:tcPr>
                        <w:tcW w:w="150" w:type="dxa"/>
                      </w:tcPr>
                      <w:p>
                        <w:pPr/>
                      </w:p>
                    </w:tc>
                    <w:tc>
                      <w:tcPr>
                        <w:tcW w:w="1905" w:type="dxa"/>
                        <w:tcBorders>
                          <w:top w:val="single" w:sz="8" w:space="0" w:color="231F20"/>
                        </w:tcBorders>
                      </w:tcPr>
                      <w:p>
                        <w:pPr>
                          <w:pStyle w:val="TableParagraph"/>
                          <w:spacing w:before="53"/>
                          <w:rPr>
                            <w:sz w:val="20"/>
                          </w:rPr>
                        </w:pPr>
                        <w:r>
                          <w:rPr>
                            <w:color w:val="231F20"/>
                            <w:sz w:val="20"/>
                          </w:rPr>
                          <w:t>218</w:t>
                        </w:r>
                      </w:p>
                    </w:tc>
                    <w:tc>
                      <w:tcPr>
                        <w:tcW w:w="200" w:type="dxa"/>
                      </w:tcPr>
                      <w:p>
                        <w:pPr/>
                      </w:p>
                    </w:tc>
                    <w:tc>
                      <w:tcPr>
                        <w:tcW w:w="2508" w:type="dxa"/>
                        <w:tcBorders>
                          <w:top w:val="single" w:sz="8" w:space="0" w:color="231F20"/>
                        </w:tcBorders>
                      </w:tcPr>
                      <w:p>
                        <w:pPr>
                          <w:pStyle w:val="TableParagraph"/>
                          <w:spacing w:before="53"/>
                          <w:ind w:left="3" w:right="3"/>
                          <w:jc w:val="center"/>
                          <w:rPr>
                            <w:sz w:val="20"/>
                          </w:rPr>
                        </w:pPr>
                        <w:r>
                          <w:rPr>
                            <w:color w:val="231F20"/>
                            <w:sz w:val="20"/>
                          </w:rPr>
                          <w:t>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2014 . . . . . . . . . . . . . . . . . . . . . . . </w:t>
                        </w:r>
                      </w:p>
                    </w:tc>
                    <w:tc>
                      <w:tcPr>
                        <w:tcW w:w="150" w:type="dxa"/>
                      </w:tcPr>
                      <w:p>
                        <w:pPr/>
                      </w:p>
                    </w:tc>
                    <w:tc>
                      <w:tcPr>
                        <w:tcW w:w="1905" w:type="dxa"/>
                      </w:tcPr>
                      <w:p>
                        <w:pPr>
                          <w:pStyle w:val="TableParagraph"/>
                          <w:spacing w:line="229" w:lineRule="exact"/>
                          <w:rPr>
                            <w:sz w:val="20"/>
                          </w:rPr>
                        </w:pPr>
                        <w:r>
                          <w:rPr>
                            <w:color w:val="231F20"/>
                            <w:sz w:val="20"/>
                          </w:rPr>
                          <w:t>1,171</w:t>
                        </w:r>
                      </w:p>
                    </w:tc>
                    <w:tc>
                      <w:tcPr>
                        <w:tcW w:w="200" w:type="dxa"/>
                      </w:tcPr>
                      <w:p>
                        <w:pPr/>
                      </w:p>
                    </w:tc>
                    <w:tc>
                      <w:tcPr>
                        <w:tcW w:w="2508" w:type="dxa"/>
                      </w:tcPr>
                      <w:p>
                        <w:pPr>
                          <w:pStyle w:val="TableParagraph"/>
                          <w:spacing w:line="229" w:lineRule="exact"/>
                          <w:ind w:left="3" w:right="3"/>
                          <w:jc w:val="center"/>
                          <w:rPr>
                            <w:sz w:val="20"/>
                          </w:rPr>
                        </w:pPr>
                        <w:r>
                          <w:rPr>
                            <w:color w:val="231F20"/>
                            <w:sz w:val="20"/>
                          </w:rPr>
                          <w:t>WTI crude and 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2015 . . . . . . . . . . . . . . . . . . . . . . . </w:t>
                        </w:r>
                      </w:p>
                    </w:tc>
                    <w:tc>
                      <w:tcPr>
                        <w:tcW w:w="150" w:type="dxa"/>
                      </w:tcPr>
                      <w:p>
                        <w:pPr/>
                      </w:p>
                    </w:tc>
                    <w:tc>
                      <w:tcPr>
                        <w:tcW w:w="1905" w:type="dxa"/>
                      </w:tcPr>
                      <w:p>
                        <w:pPr>
                          <w:pStyle w:val="TableParagraph"/>
                          <w:spacing w:line="229" w:lineRule="exact"/>
                          <w:rPr>
                            <w:sz w:val="20"/>
                          </w:rPr>
                        </w:pPr>
                        <w:r>
                          <w:rPr>
                            <w:color w:val="231F20"/>
                            <w:sz w:val="20"/>
                          </w:rPr>
                          <w:t>735</w:t>
                        </w:r>
                      </w:p>
                    </w:tc>
                    <w:tc>
                      <w:tcPr>
                        <w:tcW w:w="200" w:type="dxa"/>
                      </w:tcPr>
                      <w:p>
                        <w:pPr/>
                      </w:p>
                    </w:tc>
                    <w:tc>
                      <w:tcPr>
                        <w:tcW w:w="2508" w:type="dxa"/>
                      </w:tcPr>
                      <w:p>
                        <w:pPr>
                          <w:pStyle w:val="TableParagraph"/>
                          <w:spacing w:line="229" w:lineRule="exact"/>
                          <w:ind w:left="3" w:right="3"/>
                          <w:jc w:val="center"/>
                          <w:rPr>
                            <w:sz w:val="20"/>
                          </w:rPr>
                        </w:pPr>
                        <w:r>
                          <w:rPr>
                            <w:color w:val="231F20"/>
                            <w:sz w:val="20"/>
                          </w:rPr>
                          <w:t>WTI crude and 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2016 . . . . . . . . . . . . . . . . . . . . . . . </w:t>
                        </w:r>
                      </w:p>
                    </w:tc>
                    <w:tc>
                      <w:tcPr>
                        <w:tcW w:w="150" w:type="dxa"/>
                      </w:tcPr>
                      <w:p>
                        <w:pPr/>
                      </w:p>
                    </w:tc>
                    <w:tc>
                      <w:tcPr>
                        <w:tcW w:w="1905" w:type="dxa"/>
                      </w:tcPr>
                      <w:p>
                        <w:pPr>
                          <w:pStyle w:val="TableParagraph"/>
                          <w:spacing w:line="229" w:lineRule="exact"/>
                          <w:rPr>
                            <w:sz w:val="20"/>
                          </w:rPr>
                        </w:pPr>
                        <w:r>
                          <w:rPr>
                            <w:color w:val="231F20"/>
                            <w:sz w:val="20"/>
                          </w:rPr>
                          <w:t>697</w:t>
                        </w:r>
                      </w:p>
                    </w:tc>
                    <w:tc>
                      <w:tcPr>
                        <w:tcW w:w="200" w:type="dxa"/>
                      </w:tcPr>
                      <w:p>
                        <w:pPr/>
                      </w:p>
                    </w:tc>
                    <w:tc>
                      <w:tcPr>
                        <w:tcW w:w="2508" w:type="dxa"/>
                      </w:tcPr>
                      <w:p>
                        <w:pPr>
                          <w:pStyle w:val="TableParagraph"/>
                          <w:spacing w:line="229" w:lineRule="exact"/>
                          <w:ind w:left="3" w:right="3"/>
                          <w:jc w:val="center"/>
                          <w:rPr>
                            <w:sz w:val="20"/>
                          </w:rPr>
                        </w:pPr>
                        <w:r>
                          <w:rPr>
                            <w:color w:val="231F20"/>
                            <w:sz w:val="20"/>
                          </w:rPr>
                          <w:t>Brent crude oil</w:t>
                        </w:r>
                      </w:p>
                    </w:tc>
                  </w:tr>
                  <w:tr>
                    <w:trPr>
                      <w:trHeight w:val="229" w:hRule="exact"/>
                    </w:trPr>
                    <w:tc>
                      <w:tcPr>
                        <w:tcW w:w="2807" w:type="dxa"/>
                      </w:tcPr>
                      <w:p>
                        <w:pPr>
                          <w:pStyle w:val="TableParagraph"/>
                          <w:spacing w:line="229" w:lineRule="exact"/>
                          <w:ind w:left="50"/>
                          <w:jc w:val="left"/>
                          <w:rPr>
                            <w:sz w:val="20"/>
                          </w:rPr>
                        </w:pPr>
                        <w:r>
                          <w:rPr>
                            <w:color w:val="231F20"/>
                            <w:sz w:val="20"/>
                          </w:rPr>
                          <w:t>2017 . . . . . . . . . . . . . . . . . . . . . . . </w:t>
                        </w:r>
                      </w:p>
                    </w:tc>
                    <w:tc>
                      <w:tcPr>
                        <w:tcW w:w="150" w:type="dxa"/>
                      </w:tcPr>
                      <w:p>
                        <w:pPr/>
                      </w:p>
                    </w:tc>
                    <w:tc>
                      <w:tcPr>
                        <w:tcW w:w="1905" w:type="dxa"/>
                      </w:tcPr>
                      <w:p>
                        <w:pPr>
                          <w:pStyle w:val="TableParagraph"/>
                          <w:spacing w:line="229" w:lineRule="exact"/>
                          <w:rPr>
                            <w:sz w:val="20"/>
                          </w:rPr>
                        </w:pPr>
                        <w:r>
                          <w:rPr>
                            <w:color w:val="231F20"/>
                            <w:sz w:val="20"/>
                          </w:rPr>
                          <w:t>184</w:t>
                        </w:r>
                      </w:p>
                    </w:tc>
                    <w:tc>
                      <w:tcPr>
                        <w:tcW w:w="200" w:type="dxa"/>
                      </w:tcPr>
                      <w:p>
                        <w:pPr/>
                      </w:p>
                    </w:tc>
                    <w:tc>
                      <w:tcPr>
                        <w:tcW w:w="2508" w:type="dxa"/>
                      </w:tcPr>
                      <w:p>
                        <w:pPr>
                          <w:pStyle w:val="TableParagraph"/>
                          <w:spacing w:line="229" w:lineRule="exact"/>
                          <w:ind w:left="2" w:right="3"/>
                          <w:jc w:val="center"/>
                          <w:rPr>
                            <w:sz w:val="20"/>
                          </w:rPr>
                        </w:pPr>
                        <w:r>
                          <w:rPr>
                            <w:color w:val="231F20"/>
                            <w:sz w:val="20"/>
                          </w:rPr>
                          <w:t>WTI crude oil</w:t>
                        </w:r>
                      </w:p>
                    </w:tc>
                  </w:tr>
                </w:tbl>
                <w:p>
                  <w:pPr>
                    <w:pStyle w:val="BodyText"/>
                  </w:pPr>
                </w:p>
              </w:txbxContent>
            </v:textbox>
            <w10:wrap type="none"/>
          </v:shape>
        </w:pict>
      </w:r>
      <w:r>
        <w:rPr>
          <w:color w:val="231F20"/>
        </w:rPr>
        <w:t>Fuel hedged as of December 31, 2012</w:t>
      </w:r>
    </w:p>
    <w:p>
      <w:pPr>
        <w:pStyle w:val="BodyText"/>
        <w:spacing w:before="3"/>
        <w:rPr>
          <w:b/>
          <w:sz w:val="31"/>
        </w:rPr>
      </w:pPr>
      <w:r>
        <w:rPr/>
        <w:br w:type="column"/>
      </w:r>
      <w:r>
        <w:rPr>
          <w:b/>
          <w:sz w:val="31"/>
        </w:rPr>
      </w:r>
    </w:p>
    <w:p>
      <w:pPr>
        <w:spacing w:before="0"/>
        <w:ind w:left="517" w:right="0" w:firstLine="0"/>
        <w:jc w:val="left"/>
        <w:rPr>
          <w:b/>
          <w:sz w:val="20"/>
        </w:rPr>
      </w:pPr>
      <w:r>
        <w:rPr>
          <w:b/>
          <w:color w:val="231F20"/>
          <w:sz w:val="20"/>
        </w:rPr>
        <w:t>Hedged commodity type</w:t>
      </w:r>
    </w:p>
    <w:p>
      <w:pPr>
        <w:spacing w:after="0"/>
        <w:jc w:val="left"/>
        <w:rPr>
          <w:sz w:val="20"/>
        </w:rPr>
        <w:sectPr>
          <w:type w:val="continuous"/>
          <w:pgSz w:w="11880" w:h="15480"/>
          <w:pgMar w:top="1200" w:bottom="280" w:left="1220" w:right="1280"/>
          <w:cols w:num="2" w:equalWidth="0">
            <w:col w:w="4829" w:space="40"/>
            <w:col w:w="451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pStyle w:val="BodyText"/>
        <w:spacing w:line="249" w:lineRule="auto" w:before="89"/>
        <w:ind w:left="559" w:right="279" w:hanging="400"/>
      </w:pPr>
      <w:r>
        <w:rPr>
          <w:color w:val="231F20"/>
        </w:rPr>
        <w:t>(a) The Company determines gallons hedged based on market prices and forward curves as of December 31, 2012. Due to the types of derivatives utilized by the Company, these volumes may vary significantly as market prices fluctuate.</w:t>
      </w:r>
    </w:p>
    <w:p>
      <w:pPr>
        <w:pStyle w:val="BodyText"/>
        <w:spacing w:before="4"/>
        <w:rPr>
          <w:sz w:val="17"/>
        </w:rPr>
      </w:pPr>
    </w:p>
    <w:p>
      <w:pPr>
        <w:pStyle w:val="BodyText"/>
        <w:spacing w:line="249" w:lineRule="auto"/>
        <w:ind w:left="159" w:right="130" w:firstLine="490"/>
      </w:pPr>
      <w:r>
        <w:rPr>
          <w:color w:val="231F20"/>
        </w:rPr>
        <w:t>Upon</w:t>
      </w:r>
      <w:r>
        <w:rPr>
          <w:color w:val="231F20"/>
          <w:spacing w:val="-13"/>
        </w:rPr>
        <w:t> </w:t>
      </w:r>
      <w:r>
        <w:rPr>
          <w:color w:val="231F20"/>
        </w:rPr>
        <w:t>proper</w:t>
      </w:r>
      <w:r>
        <w:rPr>
          <w:color w:val="231F20"/>
          <w:spacing w:val="-13"/>
        </w:rPr>
        <w:t> </w:t>
      </w:r>
      <w:r>
        <w:rPr>
          <w:color w:val="231F20"/>
        </w:rPr>
        <w:t>qualification,</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accounts</w:t>
      </w:r>
      <w:r>
        <w:rPr>
          <w:color w:val="231F20"/>
          <w:spacing w:val="-13"/>
        </w:rPr>
        <w:t> </w:t>
      </w:r>
      <w:r>
        <w:rPr>
          <w:color w:val="231F20"/>
        </w:rPr>
        <w:t>for</w:t>
      </w:r>
      <w:r>
        <w:rPr>
          <w:color w:val="231F20"/>
          <w:spacing w:val="-13"/>
        </w:rPr>
        <w:t> </w:t>
      </w:r>
      <w:r>
        <w:rPr>
          <w:color w:val="231F20"/>
        </w:rPr>
        <w:t>its</w:t>
      </w:r>
      <w:r>
        <w:rPr>
          <w:color w:val="231F20"/>
          <w:spacing w:val="-13"/>
        </w:rPr>
        <w:t> </w:t>
      </w:r>
      <w:r>
        <w:rPr>
          <w:color w:val="231F20"/>
        </w:rPr>
        <w:t>fuel</w:t>
      </w:r>
      <w:r>
        <w:rPr>
          <w:color w:val="231F20"/>
          <w:spacing w:val="-13"/>
        </w:rPr>
        <w:t> </w:t>
      </w:r>
      <w:r>
        <w:rPr>
          <w:color w:val="231F20"/>
        </w:rPr>
        <w:t>derivative</w:t>
      </w:r>
      <w:r>
        <w:rPr>
          <w:color w:val="231F20"/>
          <w:spacing w:val="-13"/>
        </w:rPr>
        <w:t> </w:t>
      </w:r>
      <w:r>
        <w:rPr>
          <w:color w:val="231F20"/>
        </w:rPr>
        <w:t>instruments</w:t>
      </w:r>
      <w:r>
        <w:rPr>
          <w:color w:val="231F20"/>
          <w:spacing w:val="-13"/>
        </w:rPr>
        <w:t> </w:t>
      </w:r>
      <w:r>
        <w:rPr>
          <w:color w:val="231F20"/>
        </w:rPr>
        <w:t>as</w:t>
      </w:r>
      <w:r>
        <w:rPr>
          <w:color w:val="231F20"/>
          <w:spacing w:val="-13"/>
        </w:rPr>
        <w:t> </w:t>
      </w:r>
      <w:r>
        <w:rPr>
          <w:color w:val="231F20"/>
        </w:rPr>
        <w:t>cash</w:t>
      </w:r>
      <w:r>
        <w:rPr>
          <w:color w:val="231F20"/>
          <w:spacing w:val="-13"/>
        </w:rPr>
        <w:t> </w:t>
      </w:r>
      <w:r>
        <w:rPr>
          <w:color w:val="231F20"/>
        </w:rPr>
        <w:t>flow</w:t>
      </w:r>
      <w:r>
        <w:rPr>
          <w:color w:val="231F20"/>
          <w:spacing w:val="-14"/>
        </w:rPr>
        <w:t> </w:t>
      </w:r>
      <w:r>
        <w:rPr>
          <w:color w:val="231F20"/>
        </w:rPr>
        <w:t>hedges.</w:t>
      </w:r>
      <w:r>
        <w:rPr>
          <w:color w:val="231F20"/>
          <w:spacing w:val="-13"/>
        </w:rPr>
        <w:t> </w:t>
      </w:r>
      <w:r>
        <w:rPr>
          <w:color w:val="231F20"/>
          <w:spacing w:val="-2"/>
        </w:rPr>
        <w:t>All </w:t>
      </w:r>
      <w:r>
        <w:rPr>
          <w:color w:val="231F20"/>
        </w:rPr>
        <w:t>derivatives</w:t>
      </w:r>
      <w:r>
        <w:rPr>
          <w:color w:val="231F20"/>
          <w:spacing w:val="-14"/>
        </w:rPr>
        <w:t> </w:t>
      </w:r>
      <w:r>
        <w:rPr>
          <w:color w:val="231F20"/>
        </w:rPr>
        <w:t>designated</w:t>
      </w:r>
      <w:r>
        <w:rPr>
          <w:color w:val="231F20"/>
          <w:spacing w:val="-14"/>
        </w:rPr>
        <w:t> </w:t>
      </w:r>
      <w:r>
        <w:rPr>
          <w:color w:val="231F20"/>
        </w:rPr>
        <w:t>as</w:t>
      </w:r>
      <w:r>
        <w:rPr>
          <w:color w:val="231F20"/>
          <w:spacing w:val="-14"/>
        </w:rPr>
        <w:t> </w:t>
      </w:r>
      <w:r>
        <w:rPr>
          <w:color w:val="231F20"/>
        </w:rPr>
        <w:t>hedges</w:t>
      </w:r>
      <w:r>
        <w:rPr>
          <w:color w:val="231F20"/>
          <w:spacing w:val="-14"/>
        </w:rPr>
        <w:t> </w:t>
      </w:r>
      <w:r>
        <w:rPr>
          <w:color w:val="231F20"/>
        </w:rPr>
        <w:t>that</w:t>
      </w:r>
      <w:r>
        <w:rPr>
          <w:color w:val="231F20"/>
          <w:spacing w:val="-14"/>
        </w:rPr>
        <w:t> </w:t>
      </w:r>
      <w:r>
        <w:rPr>
          <w:color w:val="231F20"/>
        </w:rPr>
        <w:t>meet</w:t>
      </w:r>
      <w:r>
        <w:rPr>
          <w:color w:val="231F20"/>
          <w:spacing w:val="-14"/>
        </w:rPr>
        <w:t> </w:t>
      </w:r>
      <w:r>
        <w:rPr>
          <w:color w:val="231F20"/>
        </w:rPr>
        <w:t>certain</w:t>
      </w:r>
      <w:r>
        <w:rPr>
          <w:color w:val="231F20"/>
          <w:spacing w:val="-14"/>
        </w:rPr>
        <w:t> </w:t>
      </w:r>
      <w:r>
        <w:rPr>
          <w:color w:val="231F20"/>
        </w:rPr>
        <w:t>requirements</w:t>
      </w:r>
      <w:r>
        <w:rPr>
          <w:color w:val="231F20"/>
          <w:spacing w:val="-14"/>
        </w:rPr>
        <w:t> </w:t>
      </w:r>
      <w:r>
        <w:rPr>
          <w:color w:val="231F20"/>
        </w:rPr>
        <w:t>are</w:t>
      </w:r>
      <w:r>
        <w:rPr>
          <w:color w:val="231F20"/>
          <w:spacing w:val="-14"/>
        </w:rPr>
        <w:t> </w:t>
      </w:r>
      <w:r>
        <w:rPr>
          <w:color w:val="231F20"/>
        </w:rPr>
        <w:t>granted</w:t>
      </w:r>
      <w:r>
        <w:rPr>
          <w:color w:val="231F20"/>
          <w:spacing w:val="-14"/>
        </w:rPr>
        <w:t> </w:t>
      </w:r>
      <w:r>
        <w:rPr>
          <w:color w:val="231F20"/>
        </w:rPr>
        <w:t>hedge</w:t>
      </w:r>
      <w:r>
        <w:rPr>
          <w:color w:val="231F20"/>
          <w:spacing w:val="-14"/>
        </w:rPr>
        <w:t> </w:t>
      </w:r>
      <w:r>
        <w:rPr>
          <w:color w:val="231F20"/>
        </w:rPr>
        <w:t>accounting</w:t>
      </w:r>
      <w:r>
        <w:rPr>
          <w:color w:val="231F20"/>
          <w:spacing w:val="-14"/>
        </w:rPr>
        <w:t> </w:t>
      </w:r>
      <w:r>
        <w:rPr>
          <w:color w:val="231F20"/>
        </w:rPr>
        <w:t>treatment.</w:t>
      </w:r>
      <w:r>
        <w:rPr>
          <w:color w:val="231F20"/>
          <w:spacing w:val="-14"/>
        </w:rPr>
        <w:t> </w:t>
      </w:r>
      <w:r>
        <w:rPr>
          <w:color w:val="231F20"/>
          <w:spacing w:val="-3"/>
        </w:rPr>
        <w:t>Generally, </w:t>
      </w:r>
      <w:r>
        <w:rPr>
          <w:color w:val="231F20"/>
        </w:rPr>
        <w:t>utilizing hedge accounting, all periodic changes in fair value of the derivatives designated as hedges that </w:t>
      </w:r>
      <w:r>
        <w:rPr>
          <w:color w:val="231F20"/>
          <w:spacing w:val="-2"/>
        </w:rPr>
        <w:t>are </w:t>
      </w:r>
      <w:r>
        <w:rPr>
          <w:color w:val="231F20"/>
        </w:rPr>
        <w:t>considered to be effective are recorded in AOCI until the underlying jet fuel is consumed. See Note 12. </w:t>
      </w:r>
      <w:r>
        <w:rPr>
          <w:color w:val="231F20"/>
          <w:spacing w:val="-2"/>
        </w:rPr>
        <w:t>The </w:t>
      </w:r>
      <w:r>
        <w:rPr>
          <w:color w:val="231F20"/>
        </w:rPr>
        <w:t>Company’s results are subject to the possibility that periodic changes will not be effective, as defined, or that </w:t>
      </w:r>
      <w:r>
        <w:rPr>
          <w:color w:val="231F20"/>
          <w:spacing w:val="-2"/>
        </w:rPr>
        <w:t>the </w:t>
      </w:r>
      <w:r>
        <w:rPr>
          <w:color w:val="231F20"/>
        </w:rPr>
        <w:t>derivatives</w:t>
      </w:r>
      <w:r>
        <w:rPr>
          <w:color w:val="231F20"/>
          <w:spacing w:val="-13"/>
        </w:rPr>
        <w:t> </w:t>
      </w:r>
      <w:r>
        <w:rPr>
          <w:color w:val="231F20"/>
        </w:rPr>
        <w:t>will</w:t>
      </w:r>
      <w:r>
        <w:rPr>
          <w:color w:val="231F20"/>
          <w:spacing w:val="-13"/>
        </w:rPr>
        <w:t> </w:t>
      </w:r>
      <w:r>
        <w:rPr>
          <w:color w:val="231F20"/>
        </w:rPr>
        <w:t>no</w:t>
      </w:r>
      <w:r>
        <w:rPr>
          <w:color w:val="231F20"/>
          <w:spacing w:val="-13"/>
        </w:rPr>
        <w:t> </w:t>
      </w:r>
      <w:r>
        <w:rPr>
          <w:color w:val="231F20"/>
        </w:rPr>
        <w:t>longer</w:t>
      </w:r>
      <w:r>
        <w:rPr>
          <w:color w:val="231F20"/>
          <w:spacing w:val="-13"/>
        </w:rPr>
        <w:t> </w:t>
      </w:r>
      <w:r>
        <w:rPr>
          <w:color w:val="231F20"/>
        </w:rPr>
        <w:t>qualify</w:t>
      </w:r>
      <w:r>
        <w:rPr>
          <w:color w:val="231F20"/>
          <w:spacing w:val="-13"/>
        </w:rPr>
        <w:t> </w:t>
      </w:r>
      <w:r>
        <w:rPr>
          <w:color w:val="231F20"/>
        </w:rPr>
        <w:t>for</w:t>
      </w:r>
      <w:r>
        <w:rPr>
          <w:color w:val="231F20"/>
          <w:spacing w:val="-13"/>
        </w:rPr>
        <w:t> </w:t>
      </w:r>
      <w:r>
        <w:rPr>
          <w:color w:val="231F20"/>
        </w:rPr>
        <w:t>hedge</w:t>
      </w:r>
      <w:r>
        <w:rPr>
          <w:color w:val="231F20"/>
          <w:spacing w:val="-13"/>
        </w:rPr>
        <w:t> </w:t>
      </w:r>
      <w:r>
        <w:rPr>
          <w:color w:val="231F20"/>
        </w:rPr>
        <w:t>accounting.</w:t>
      </w:r>
      <w:r>
        <w:rPr>
          <w:color w:val="231F20"/>
          <w:spacing w:val="-13"/>
        </w:rPr>
        <w:t> </w:t>
      </w:r>
      <w:r>
        <w:rPr>
          <w:color w:val="231F20"/>
        </w:rPr>
        <w:t>Ineffectiveness</w:t>
      </w:r>
      <w:r>
        <w:rPr>
          <w:color w:val="231F20"/>
          <w:spacing w:val="-13"/>
        </w:rPr>
        <w:t> </w:t>
      </w:r>
      <w:r>
        <w:rPr>
          <w:color w:val="231F20"/>
        </w:rPr>
        <w:t>results</w:t>
      </w:r>
      <w:r>
        <w:rPr>
          <w:color w:val="231F20"/>
          <w:spacing w:val="-13"/>
        </w:rPr>
        <w:t> </w:t>
      </w:r>
      <w:r>
        <w:rPr>
          <w:color w:val="231F20"/>
        </w:rPr>
        <w:t>when</w:t>
      </w:r>
      <w:r>
        <w:rPr>
          <w:color w:val="231F20"/>
          <w:spacing w:val="-13"/>
        </w:rPr>
        <w:t> </w:t>
      </w:r>
      <w:r>
        <w:rPr>
          <w:color w:val="231F20"/>
        </w:rPr>
        <w:t>the</w:t>
      </w:r>
      <w:r>
        <w:rPr>
          <w:color w:val="231F20"/>
          <w:spacing w:val="-13"/>
        </w:rPr>
        <w:t> </w:t>
      </w:r>
      <w:r>
        <w:rPr>
          <w:color w:val="231F20"/>
        </w:rPr>
        <w:t>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fair</w:t>
      </w:r>
      <w:r>
        <w:rPr>
          <w:color w:val="231F20"/>
          <w:spacing w:val="-13"/>
        </w:rPr>
        <w:t> </w:t>
      </w:r>
      <w:r>
        <w:rPr>
          <w:color w:val="231F20"/>
        </w:rPr>
        <w:t>value</w:t>
      </w:r>
      <w:r>
        <w:rPr>
          <w:color w:val="231F20"/>
          <w:spacing w:val="-13"/>
        </w:rPr>
        <w:t> </w:t>
      </w:r>
      <w:r>
        <w:rPr>
          <w:color w:val="231F20"/>
        </w:rPr>
        <w:t>of the</w:t>
      </w:r>
      <w:r>
        <w:rPr>
          <w:color w:val="231F20"/>
          <w:spacing w:val="-13"/>
        </w:rPr>
        <w:t> </w:t>
      </w:r>
      <w:r>
        <w:rPr>
          <w:color w:val="231F20"/>
        </w:rPr>
        <w:t>derivative</w:t>
      </w:r>
      <w:r>
        <w:rPr>
          <w:color w:val="231F20"/>
          <w:spacing w:val="-13"/>
        </w:rPr>
        <w:t> </w:t>
      </w:r>
      <w:r>
        <w:rPr>
          <w:color w:val="231F20"/>
        </w:rPr>
        <w:t>instrument</w:t>
      </w:r>
      <w:r>
        <w:rPr>
          <w:color w:val="231F20"/>
          <w:spacing w:val="-13"/>
        </w:rPr>
        <w:t> </w:t>
      </w:r>
      <w:r>
        <w:rPr>
          <w:color w:val="231F20"/>
        </w:rPr>
        <w:t>exceeds</w:t>
      </w:r>
      <w:r>
        <w:rPr>
          <w:color w:val="231F20"/>
          <w:spacing w:val="-13"/>
        </w:rPr>
        <w:t> </w:t>
      </w:r>
      <w:r>
        <w:rPr>
          <w:color w:val="231F20"/>
        </w:rPr>
        <w:t>the</w:t>
      </w:r>
      <w:r>
        <w:rPr>
          <w:color w:val="231F20"/>
          <w:spacing w:val="-13"/>
        </w:rPr>
        <w:t> </w:t>
      </w:r>
      <w:r>
        <w:rPr>
          <w:color w:val="231F20"/>
        </w:rPr>
        <w:t>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expected</w:t>
      </w:r>
      <w:r>
        <w:rPr>
          <w:color w:val="231F20"/>
          <w:spacing w:val="-13"/>
        </w:rPr>
        <w:t> </w:t>
      </w:r>
      <w:r>
        <w:rPr>
          <w:color w:val="231F20"/>
        </w:rPr>
        <w:t>future</w:t>
      </w:r>
      <w:r>
        <w:rPr>
          <w:color w:val="231F20"/>
          <w:spacing w:val="-13"/>
        </w:rPr>
        <w:t> </w:t>
      </w:r>
      <w:r>
        <w:rPr>
          <w:color w:val="231F20"/>
        </w:rPr>
        <w:t>cash</w:t>
      </w:r>
      <w:r>
        <w:rPr>
          <w:color w:val="231F20"/>
          <w:spacing w:val="-13"/>
        </w:rPr>
        <w:t> </w:t>
      </w:r>
      <w:r>
        <w:rPr>
          <w:color w:val="231F20"/>
        </w:rPr>
        <w:t>outlay</w:t>
      </w:r>
      <w:r>
        <w:rPr>
          <w:color w:val="231F20"/>
          <w:spacing w:val="-13"/>
        </w:rPr>
        <w:t> </w:t>
      </w:r>
      <w:r>
        <w:rPr>
          <w:color w:val="231F20"/>
        </w:rPr>
        <w:t>to</w:t>
      </w:r>
      <w:r>
        <w:rPr>
          <w:color w:val="231F20"/>
          <w:spacing w:val="-13"/>
        </w:rPr>
        <w:t> </w:t>
      </w:r>
      <w:r>
        <w:rPr>
          <w:color w:val="231F20"/>
        </w:rPr>
        <w:t>purchase and</w:t>
      </w:r>
      <w:r>
        <w:rPr>
          <w:color w:val="231F20"/>
          <w:spacing w:val="-11"/>
        </w:rPr>
        <w:t> </w:t>
      </w:r>
      <w:r>
        <w:rPr>
          <w:color w:val="231F20"/>
        </w:rPr>
        <w:t>consume</w:t>
      </w:r>
      <w:r>
        <w:rPr>
          <w:color w:val="231F20"/>
          <w:spacing w:val="-11"/>
        </w:rPr>
        <w:t> </w:t>
      </w:r>
      <w:r>
        <w:rPr>
          <w:color w:val="231F20"/>
        </w:rPr>
        <w:t>jet</w:t>
      </w:r>
      <w:r>
        <w:rPr>
          <w:color w:val="231F20"/>
          <w:spacing w:val="-11"/>
        </w:rPr>
        <w:t> </w:t>
      </w:r>
      <w:r>
        <w:rPr>
          <w:color w:val="231F20"/>
        </w:rPr>
        <w:t>fuel.</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extent</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periodic</w:t>
      </w:r>
      <w:r>
        <w:rPr>
          <w:color w:val="231F20"/>
          <w:spacing w:val="-11"/>
        </w:rPr>
        <w:t> </w:t>
      </w:r>
      <w:r>
        <w:rPr>
          <w:color w:val="231F20"/>
        </w:rPr>
        <w:t>changes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fair</w:t>
      </w:r>
      <w:r>
        <w:rPr>
          <w:color w:val="231F20"/>
          <w:spacing w:val="-11"/>
        </w:rPr>
        <w:t> </w:t>
      </w:r>
      <w:r>
        <w:rPr>
          <w:color w:val="231F20"/>
        </w:rPr>
        <w:t>value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derivatives</w:t>
      </w:r>
      <w:r>
        <w:rPr>
          <w:color w:val="231F20"/>
          <w:spacing w:val="-11"/>
        </w:rPr>
        <w:t> </w:t>
      </w:r>
      <w:r>
        <w:rPr>
          <w:color w:val="231F20"/>
        </w:rPr>
        <w:t>are</w:t>
      </w:r>
      <w:r>
        <w:rPr>
          <w:color w:val="231F20"/>
          <w:spacing w:val="-11"/>
        </w:rPr>
        <w:t> </w:t>
      </w:r>
      <w:r>
        <w:rPr>
          <w:color w:val="231F20"/>
        </w:rPr>
        <w:t>ineffective,</w:t>
      </w:r>
      <w:r>
        <w:rPr>
          <w:color w:val="231F20"/>
          <w:spacing w:val="-11"/>
        </w:rPr>
        <w:t> </w:t>
      </w:r>
      <w:r>
        <w:rPr>
          <w:color w:val="231F20"/>
          <w:spacing w:val="-2"/>
        </w:rPr>
        <w:t>the </w:t>
      </w:r>
      <w:r>
        <w:rPr>
          <w:color w:val="231F20"/>
        </w:rPr>
        <w:t>ineffective</w:t>
      </w:r>
      <w:r>
        <w:rPr>
          <w:color w:val="231F20"/>
          <w:spacing w:val="-12"/>
        </w:rPr>
        <w:t> </w:t>
      </w:r>
      <w:r>
        <w:rPr>
          <w:color w:val="231F20"/>
        </w:rPr>
        <w:t>portion</w:t>
      </w:r>
      <w:r>
        <w:rPr>
          <w:color w:val="231F20"/>
          <w:spacing w:val="-12"/>
        </w:rPr>
        <w:t> </w:t>
      </w:r>
      <w:r>
        <w:rPr>
          <w:color w:val="231F20"/>
        </w:rPr>
        <w:t>is</w:t>
      </w:r>
      <w:r>
        <w:rPr>
          <w:color w:val="231F20"/>
          <w:spacing w:val="-12"/>
        </w:rPr>
        <w:t> </w:t>
      </w:r>
      <w:r>
        <w:rPr>
          <w:color w:val="231F20"/>
        </w:rPr>
        <w:t>recorded</w:t>
      </w:r>
      <w:r>
        <w:rPr>
          <w:color w:val="231F20"/>
          <w:spacing w:val="-12"/>
        </w:rPr>
        <w:t> </w:t>
      </w:r>
      <w:r>
        <w:rPr>
          <w:color w:val="231F20"/>
        </w:rPr>
        <w:t>to</w:t>
      </w:r>
      <w:r>
        <w:rPr>
          <w:color w:val="231F20"/>
          <w:spacing w:val="-12"/>
        </w:rPr>
        <w:t> </w:t>
      </w:r>
      <w:r>
        <w:rPr>
          <w:color w:val="231F20"/>
        </w:rPr>
        <w:t>Other</w:t>
      </w:r>
      <w:r>
        <w:rPr>
          <w:color w:val="231F20"/>
          <w:spacing w:val="-12"/>
        </w:rPr>
        <w:t> </w:t>
      </w:r>
      <w:r>
        <w:rPr>
          <w:color w:val="231F20"/>
        </w:rPr>
        <w:t>(gains)</w:t>
      </w:r>
      <w:r>
        <w:rPr>
          <w:color w:val="231F20"/>
          <w:spacing w:val="-12"/>
        </w:rPr>
        <w:t> </w:t>
      </w:r>
      <w:r>
        <w:rPr>
          <w:color w:val="231F20"/>
        </w:rPr>
        <w:t>losses,</w:t>
      </w:r>
      <w:r>
        <w:rPr>
          <w:color w:val="231F20"/>
          <w:spacing w:val="-12"/>
        </w:rPr>
        <w:t> </w:t>
      </w:r>
      <w:r>
        <w:rPr>
          <w:color w:val="231F20"/>
        </w:rPr>
        <w:t>net</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Consolidated</w:t>
      </w:r>
      <w:r>
        <w:rPr>
          <w:color w:val="231F20"/>
          <w:spacing w:val="-12"/>
        </w:rPr>
        <w:t> </w:t>
      </w:r>
      <w:r>
        <w:rPr>
          <w:color w:val="231F20"/>
        </w:rPr>
        <w:t>Statement</w:t>
      </w:r>
      <w:r>
        <w:rPr>
          <w:color w:val="231F20"/>
          <w:spacing w:val="-12"/>
        </w:rPr>
        <w:t> </w:t>
      </w:r>
      <w:r>
        <w:rPr>
          <w:color w:val="231F20"/>
        </w:rPr>
        <w:t>of</w:t>
      </w:r>
      <w:r>
        <w:rPr>
          <w:color w:val="231F20"/>
          <w:spacing w:val="-12"/>
        </w:rPr>
        <w:t> </w:t>
      </w:r>
      <w:r>
        <w:rPr>
          <w:color w:val="231F20"/>
        </w:rPr>
        <w:t>Income.</w:t>
      </w:r>
      <w:r>
        <w:rPr>
          <w:color w:val="231F20"/>
          <w:spacing w:val="-12"/>
        </w:rPr>
        <w:t> </w:t>
      </w:r>
      <w:r>
        <w:rPr>
          <w:color w:val="231F20"/>
        </w:rPr>
        <w:t>Likewise,</w:t>
      </w:r>
      <w:r>
        <w:rPr>
          <w:color w:val="231F20"/>
          <w:spacing w:val="-12"/>
        </w:rPr>
        <w:t> </w:t>
      </w:r>
      <w:r>
        <w:rPr>
          <w:color w:val="231F20"/>
        </w:rPr>
        <w:t>if</w:t>
      </w:r>
      <w:r>
        <w:rPr>
          <w:color w:val="231F20"/>
          <w:spacing w:val="-12"/>
        </w:rPr>
        <w:t> </w:t>
      </w:r>
      <w:r>
        <w:rPr>
          <w:color w:val="231F20"/>
        </w:rPr>
        <w:t>a hedge ceases to qualify for hedge accounting, any change in the fair value of derivative instruments since the last reporting period is recorded to Other (gains) losses, net, in the Consolidated Statement of Income in the period of the</w:t>
      </w:r>
      <w:r>
        <w:rPr>
          <w:color w:val="231F20"/>
          <w:spacing w:val="-12"/>
        </w:rPr>
        <w:t> </w:t>
      </w:r>
      <w:r>
        <w:rPr>
          <w:color w:val="231F20"/>
        </w:rPr>
        <w:t>change;</w:t>
      </w:r>
      <w:r>
        <w:rPr>
          <w:color w:val="231F20"/>
          <w:spacing w:val="-12"/>
        </w:rPr>
        <w:t> </w:t>
      </w:r>
      <w:r>
        <w:rPr>
          <w:color w:val="231F20"/>
        </w:rPr>
        <w:t>however,</w:t>
      </w:r>
      <w:r>
        <w:rPr>
          <w:color w:val="231F20"/>
          <w:spacing w:val="-12"/>
        </w:rPr>
        <w:t> </w:t>
      </w:r>
      <w:r>
        <w:rPr>
          <w:color w:val="231F20"/>
        </w:rPr>
        <w:t>any</w:t>
      </w:r>
      <w:r>
        <w:rPr>
          <w:color w:val="231F20"/>
          <w:spacing w:val="-12"/>
        </w:rPr>
        <w:t> </w:t>
      </w:r>
      <w:r>
        <w:rPr>
          <w:color w:val="231F20"/>
        </w:rPr>
        <w:t>amounts</w:t>
      </w:r>
      <w:r>
        <w:rPr>
          <w:color w:val="231F20"/>
          <w:spacing w:val="-12"/>
        </w:rPr>
        <w:t> </w:t>
      </w:r>
      <w:r>
        <w:rPr>
          <w:color w:val="231F20"/>
        </w:rPr>
        <w:t>previously</w:t>
      </w:r>
      <w:r>
        <w:rPr>
          <w:color w:val="231F20"/>
          <w:spacing w:val="-12"/>
        </w:rPr>
        <w:t> </w:t>
      </w:r>
      <w:r>
        <w:rPr>
          <w:color w:val="231F20"/>
        </w:rPr>
        <w:t>recorded</w:t>
      </w:r>
      <w:r>
        <w:rPr>
          <w:color w:val="231F20"/>
          <w:spacing w:val="-12"/>
        </w:rPr>
        <w:t> </w:t>
      </w:r>
      <w:r>
        <w:rPr>
          <w:color w:val="231F20"/>
        </w:rPr>
        <w:t>to</w:t>
      </w:r>
      <w:r>
        <w:rPr>
          <w:color w:val="231F20"/>
          <w:spacing w:val="-12"/>
        </w:rPr>
        <w:t> </w:t>
      </w:r>
      <w:r>
        <w:rPr>
          <w:color w:val="231F20"/>
        </w:rPr>
        <w:t>AOCI</w:t>
      </w:r>
      <w:r>
        <w:rPr>
          <w:color w:val="231F20"/>
          <w:spacing w:val="-12"/>
        </w:rPr>
        <w:t> </w:t>
      </w:r>
      <w:r>
        <w:rPr>
          <w:color w:val="231F20"/>
        </w:rPr>
        <w:t>would</w:t>
      </w:r>
      <w:r>
        <w:rPr>
          <w:color w:val="231F20"/>
          <w:spacing w:val="-12"/>
        </w:rPr>
        <w:t> </w:t>
      </w:r>
      <w:r>
        <w:rPr>
          <w:color w:val="231F20"/>
        </w:rPr>
        <w:t>remain</w:t>
      </w:r>
      <w:r>
        <w:rPr>
          <w:color w:val="231F20"/>
          <w:spacing w:val="-12"/>
        </w:rPr>
        <w:t> </w:t>
      </w:r>
      <w:r>
        <w:rPr>
          <w:color w:val="231F20"/>
        </w:rPr>
        <w:t>there</w:t>
      </w:r>
      <w:r>
        <w:rPr>
          <w:color w:val="231F20"/>
          <w:spacing w:val="-12"/>
        </w:rPr>
        <w:t> </w:t>
      </w:r>
      <w:r>
        <w:rPr>
          <w:color w:val="231F20"/>
        </w:rPr>
        <w:t>until</w:t>
      </w:r>
      <w:r>
        <w:rPr>
          <w:color w:val="231F20"/>
          <w:spacing w:val="-12"/>
        </w:rPr>
        <w:t> </w:t>
      </w:r>
      <w:r>
        <w:rPr>
          <w:color w:val="231F20"/>
        </w:rPr>
        <w:t>such</w:t>
      </w:r>
      <w:r>
        <w:rPr>
          <w:color w:val="231F20"/>
          <w:spacing w:val="-12"/>
        </w:rPr>
        <w:t> </w:t>
      </w:r>
      <w:r>
        <w:rPr>
          <w:color w:val="231F20"/>
        </w:rPr>
        <w:t>time</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original forecasted</w:t>
      </w:r>
      <w:r>
        <w:rPr>
          <w:color w:val="231F20"/>
          <w:spacing w:val="-13"/>
        </w:rPr>
        <w:t> </w:t>
      </w:r>
      <w:r>
        <w:rPr>
          <w:color w:val="231F20"/>
        </w:rPr>
        <w:t>transaction</w:t>
      </w:r>
      <w:r>
        <w:rPr>
          <w:color w:val="231F20"/>
          <w:spacing w:val="-13"/>
        </w:rPr>
        <w:t> </w:t>
      </w:r>
      <w:r>
        <w:rPr>
          <w:color w:val="231F20"/>
        </w:rPr>
        <w:t>occurs,</w:t>
      </w:r>
      <w:r>
        <w:rPr>
          <w:color w:val="231F20"/>
          <w:spacing w:val="-13"/>
        </w:rPr>
        <w:t> </w:t>
      </w:r>
      <w:r>
        <w:rPr>
          <w:color w:val="231F20"/>
        </w:rPr>
        <w:t>at</w:t>
      </w:r>
      <w:r>
        <w:rPr>
          <w:color w:val="231F20"/>
          <w:spacing w:val="-13"/>
        </w:rPr>
        <w:t> </w:t>
      </w:r>
      <w:r>
        <w:rPr>
          <w:color w:val="231F20"/>
        </w:rPr>
        <w:t>which</w:t>
      </w:r>
      <w:r>
        <w:rPr>
          <w:color w:val="231F20"/>
          <w:spacing w:val="-13"/>
        </w:rPr>
        <w:t> </w:t>
      </w:r>
      <w:r>
        <w:rPr>
          <w:color w:val="231F20"/>
        </w:rPr>
        <w:t>time</w:t>
      </w:r>
      <w:r>
        <w:rPr>
          <w:color w:val="231F20"/>
          <w:spacing w:val="-13"/>
        </w:rPr>
        <w:t> </w:t>
      </w:r>
      <w:r>
        <w:rPr>
          <w:color w:val="231F20"/>
        </w:rPr>
        <w:t>these</w:t>
      </w:r>
      <w:r>
        <w:rPr>
          <w:color w:val="231F20"/>
          <w:spacing w:val="-13"/>
        </w:rPr>
        <w:t> </w:t>
      </w:r>
      <w:r>
        <w:rPr>
          <w:color w:val="231F20"/>
        </w:rPr>
        <w:t>amounts</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reclassified</w:t>
      </w:r>
      <w:r>
        <w:rPr>
          <w:color w:val="231F20"/>
          <w:spacing w:val="-13"/>
        </w:rPr>
        <w:t> </w:t>
      </w:r>
      <w:r>
        <w:rPr>
          <w:color w:val="231F20"/>
        </w:rPr>
        <w:t>to</w:t>
      </w:r>
      <w:r>
        <w:rPr>
          <w:color w:val="231F20"/>
          <w:spacing w:val="-13"/>
        </w:rPr>
        <w:t> </w:t>
      </w:r>
      <w:r>
        <w:rPr>
          <w:color w:val="231F20"/>
        </w:rPr>
        <w:t>Fuel</w:t>
      </w:r>
      <w:r>
        <w:rPr>
          <w:color w:val="231F20"/>
          <w:spacing w:val="-13"/>
        </w:rPr>
        <w:t> </w:t>
      </w:r>
      <w:r>
        <w:rPr>
          <w:color w:val="231F20"/>
        </w:rPr>
        <w:t>and</w:t>
      </w:r>
      <w:r>
        <w:rPr>
          <w:color w:val="231F20"/>
          <w:spacing w:val="-13"/>
        </w:rPr>
        <w:t> </w:t>
      </w:r>
      <w:r>
        <w:rPr>
          <w:color w:val="231F20"/>
        </w:rPr>
        <w:t>oil</w:t>
      </w:r>
      <w:r>
        <w:rPr>
          <w:color w:val="231F20"/>
          <w:spacing w:val="-13"/>
        </w:rPr>
        <w:t> </w:t>
      </w:r>
      <w:r>
        <w:rPr>
          <w:color w:val="231F20"/>
        </w:rPr>
        <w:t>expense.</w:t>
      </w:r>
      <w:r>
        <w:rPr>
          <w:color w:val="231F20"/>
          <w:spacing w:val="-13"/>
        </w:rPr>
        <w:t> </w:t>
      </w:r>
      <w:r>
        <w:rPr>
          <w:color w:val="231F20"/>
        </w:rPr>
        <w:t>When</w:t>
      </w:r>
      <w:r>
        <w:rPr>
          <w:color w:val="231F20"/>
          <w:spacing w:val="-13"/>
        </w:rPr>
        <w:t> </w:t>
      </w:r>
      <w:r>
        <w:rPr>
          <w:color w:val="231F20"/>
          <w:spacing w:val="-2"/>
        </w:rPr>
        <w:t>the </w:t>
      </w:r>
      <w:r>
        <w:rPr>
          <w:color w:val="231F20"/>
        </w:rPr>
        <w:t>Company</w:t>
      </w:r>
      <w:r>
        <w:rPr>
          <w:color w:val="231F20"/>
          <w:spacing w:val="-13"/>
        </w:rPr>
        <w:t> </w:t>
      </w:r>
      <w:r>
        <w:rPr>
          <w:color w:val="231F20"/>
        </w:rPr>
        <w:t>has</w:t>
      </w:r>
      <w:r>
        <w:rPr>
          <w:color w:val="231F20"/>
          <w:spacing w:val="-12"/>
        </w:rPr>
        <w:t> </w:t>
      </w:r>
      <w:r>
        <w:rPr>
          <w:color w:val="231F20"/>
        </w:rPr>
        <w:t>sold</w:t>
      </w:r>
      <w:r>
        <w:rPr>
          <w:color w:val="231F20"/>
          <w:spacing w:val="-12"/>
        </w:rPr>
        <w:t> </w:t>
      </w:r>
      <w:r>
        <w:rPr>
          <w:color w:val="231F20"/>
        </w:rPr>
        <w:t>derivative</w:t>
      </w:r>
      <w:r>
        <w:rPr>
          <w:color w:val="231F20"/>
          <w:spacing w:val="-12"/>
        </w:rPr>
        <w:t> </w:t>
      </w:r>
      <w:r>
        <w:rPr>
          <w:color w:val="231F20"/>
        </w:rPr>
        <w:t>positions</w:t>
      </w:r>
      <w:r>
        <w:rPr>
          <w:color w:val="231F20"/>
          <w:spacing w:val="-12"/>
        </w:rPr>
        <w:t> </w:t>
      </w:r>
      <w:r>
        <w:rPr>
          <w:color w:val="231F20"/>
        </w:rPr>
        <w:t>in</w:t>
      </w:r>
      <w:r>
        <w:rPr>
          <w:color w:val="231F20"/>
          <w:spacing w:val="-12"/>
        </w:rPr>
        <w:t> </w:t>
      </w:r>
      <w:r>
        <w:rPr>
          <w:color w:val="231F20"/>
        </w:rPr>
        <w:t>order</w:t>
      </w:r>
      <w:r>
        <w:rPr>
          <w:color w:val="231F20"/>
          <w:spacing w:val="-12"/>
        </w:rPr>
        <w:t> </w:t>
      </w:r>
      <w:r>
        <w:rPr>
          <w:color w:val="231F20"/>
        </w:rPr>
        <w:t>to</w:t>
      </w:r>
      <w:r>
        <w:rPr>
          <w:color w:val="231F20"/>
          <w:spacing w:val="-12"/>
        </w:rPr>
        <w:t> </w:t>
      </w:r>
      <w:r>
        <w:rPr>
          <w:color w:val="231F20"/>
        </w:rPr>
        <w:t>effectively</w:t>
      </w:r>
      <w:r>
        <w:rPr>
          <w:color w:val="231F20"/>
          <w:spacing w:val="-12"/>
        </w:rPr>
        <w:t> </w:t>
      </w:r>
      <w:r>
        <w:rPr>
          <w:color w:val="231F20"/>
        </w:rPr>
        <w:t>“close”</w:t>
      </w:r>
      <w:r>
        <w:rPr>
          <w:color w:val="231F20"/>
          <w:spacing w:val="-12"/>
        </w:rPr>
        <w:t> </w:t>
      </w:r>
      <w:r>
        <w:rPr>
          <w:color w:val="231F20"/>
        </w:rPr>
        <w:t>or</w:t>
      </w:r>
      <w:r>
        <w:rPr>
          <w:color w:val="231F20"/>
          <w:spacing w:val="-12"/>
        </w:rPr>
        <w:t> </w:t>
      </w:r>
      <w:r>
        <w:rPr>
          <w:color w:val="231F20"/>
        </w:rPr>
        <w:t>offset</w:t>
      </w:r>
      <w:r>
        <w:rPr>
          <w:color w:val="231F20"/>
          <w:spacing w:val="-12"/>
        </w:rPr>
        <w:t> </w:t>
      </w:r>
      <w:r>
        <w:rPr>
          <w:color w:val="231F20"/>
        </w:rPr>
        <w:t>a</w:t>
      </w:r>
      <w:r>
        <w:rPr>
          <w:color w:val="231F20"/>
          <w:spacing w:val="-12"/>
        </w:rPr>
        <w:t> </w:t>
      </w:r>
      <w:r>
        <w:rPr>
          <w:color w:val="231F20"/>
        </w:rPr>
        <w:t>derivative</w:t>
      </w:r>
      <w:r>
        <w:rPr>
          <w:color w:val="231F20"/>
          <w:spacing w:val="-12"/>
        </w:rPr>
        <w:t> </w:t>
      </w:r>
      <w:r>
        <w:rPr>
          <w:color w:val="231F20"/>
        </w:rPr>
        <w:t>already</w:t>
      </w:r>
      <w:r>
        <w:rPr>
          <w:color w:val="231F20"/>
          <w:spacing w:val="-12"/>
        </w:rPr>
        <w:t> </w:t>
      </w:r>
      <w:r>
        <w:rPr>
          <w:color w:val="231F20"/>
        </w:rPr>
        <w:t>held</w:t>
      </w:r>
      <w:r>
        <w:rPr>
          <w:color w:val="231F20"/>
          <w:spacing w:val="-12"/>
        </w:rPr>
        <w:t> </w:t>
      </w:r>
      <w:r>
        <w:rPr>
          <w:color w:val="231F20"/>
        </w:rPr>
        <w:t>as</w:t>
      </w:r>
      <w:r>
        <w:rPr>
          <w:color w:val="231F20"/>
          <w:spacing w:val="-12"/>
        </w:rPr>
        <w:t> </w:t>
      </w:r>
      <w:r>
        <w:rPr>
          <w:color w:val="231F20"/>
        </w:rPr>
        <w:t>part</w:t>
      </w:r>
      <w:r>
        <w:rPr>
          <w:color w:val="231F20"/>
          <w:spacing w:val="-12"/>
        </w:rPr>
        <w:t> </w:t>
      </w:r>
      <w:r>
        <w:rPr>
          <w:color w:val="231F20"/>
        </w:rPr>
        <w:t>of</w:t>
      </w:r>
      <w:r>
        <w:rPr>
          <w:color w:val="231F20"/>
          <w:spacing w:val="-12"/>
        </w:rPr>
        <w:t> </w:t>
      </w:r>
      <w:r>
        <w:rPr>
          <w:color w:val="231F20"/>
          <w:spacing w:val="-2"/>
        </w:rPr>
        <w:t>its </w:t>
      </w:r>
      <w:r>
        <w:rPr>
          <w:color w:val="231F20"/>
        </w:rPr>
        <w:t>fuel derivative instrument portfolio, any subsequent changes in fair value of those positions are marked to </w:t>
      </w:r>
      <w:r>
        <w:rPr>
          <w:color w:val="231F20"/>
          <w:spacing w:val="-2"/>
        </w:rPr>
        <w:t>market </w:t>
      </w:r>
      <w:r>
        <w:rPr>
          <w:color w:val="231F20"/>
        </w:rPr>
        <w:t>through earnings. Likewise, any changes in fair value of those positions that were offset by entering into the sold positions</w:t>
      </w:r>
      <w:r>
        <w:rPr>
          <w:color w:val="231F20"/>
          <w:spacing w:val="-14"/>
        </w:rPr>
        <w:t> </w:t>
      </w:r>
      <w:r>
        <w:rPr>
          <w:color w:val="231F20"/>
        </w:rPr>
        <w:t>are</w:t>
      </w:r>
      <w:r>
        <w:rPr>
          <w:color w:val="231F20"/>
          <w:spacing w:val="-14"/>
        </w:rPr>
        <w:t> </w:t>
      </w:r>
      <w:r>
        <w:rPr>
          <w:color w:val="231F20"/>
        </w:rPr>
        <w:t>concurrently</w:t>
      </w:r>
      <w:r>
        <w:rPr>
          <w:color w:val="231F20"/>
          <w:spacing w:val="-15"/>
        </w:rPr>
        <w:t> </w:t>
      </w:r>
      <w:r>
        <w:rPr>
          <w:color w:val="231F20"/>
        </w:rPr>
        <w:t>marked</w:t>
      </w:r>
      <w:r>
        <w:rPr>
          <w:color w:val="231F20"/>
          <w:spacing w:val="-15"/>
        </w:rPr>
        <w:t> </w:t>
      </w:r>
      <w:r>
        <w:rPr>
          <w:color w:val="231F20"/>
        </w:rPr>
        <w:t>to</w:t>
      </w:r>
      <w:r>
        <w:rPr>
          <w:color w:val="231F20"/>
          <w:spacing w:val="-15"/>
        </w:rPr>
        <w:t> </w:t>
      </w:r>
      <w:r>
        <w:rPr>
          <w:color w:val="231F20"/>
        </w:rPr>
        <w:t>market</w:t>
      </w:r>
      <w:r>
        <w:rPr>
          <w:color w:val="231F20"/>
          <w:spacing w:val="-14"/>
        </w:rPr>
        <w:t> </w:t>
      </w:r>
      <w:r>
        <w:rPr>
          <w:color w:val="231F20"/>
        </w:rPr>
        <w:t>through</w:t>
      </w:r>
      <w:r>
        <w:rPr>
          <w:color w:val="231F20"/>
          <w:spacing w:val="-14"/>
        </w:rPr>
        <w:t> </w:t>
      </w:r>
      <w:r>
        <w:rPr>
          <w:color w:val="231F20"/>
        </w:rPr>
        <w:t>earnings.</w:t>
      </w:r>
      <w:r>
        <w:rPr>
          <w:color w:val="231F20"/>
          <w:spacing w:val="-14"/>
        </w:rPr>
        <w:t> </w:t>
      </w:r>
      <w:r>
        <w:rPr>
          <w:color w:val="231F20"/>
        </w:rPr>
        <w:t>However,</w:t>
      </w:r>
      <w:r>
        <w:rPr>
          <w:color w:val="231F20"/>
          <w:spacing w:val="-14"/>
        </w:rPr>
        <w:t> </w:t>
      </w:r>
      <w:r>
        <w:rPr>
          <w:color w:val="231F20"/>
        </w:rPr>
        <w:t>any</w:t>
      </w:r>
      <w:r>
        <w:rPr>
          <w:color w:val="231F20"/>
          <w:spacing w:val="-14"/>
        </w:rPr>
        <w:t> </w:t>
      </w:r>
      <w:r>
        <w:rPr>
          <w:color w:val="231F20"/>
        </w:rPr>
        <w:t>changes</w:t>
      </w:r>
      <w:r>
        <w:rPr>
          <w:color w:val="231F20"/>
          <w:spacing w:val="-14"/>
        </w:rPr>
        <w:t> </w:t>
      </w:r>
      <w:r>
        <w:rPr>
          <w:color w:val="231F20"/>
        </w:rPr>
        <w:t>in</w:t>
      </w:r>
      <w:r>
        <w:rPr>
          <w:color w:val="231F20"/>
          <w:spacing w:val="-14"/>
        </w:rPr>
        <w:t> </w:t>
      </w:r>
      <w:r>
        <w:rPr>
          <w:color w:val="231F20"/>
        </w:rPr>
        <w:t>value</w:t>
      </w:r>
      <w:r>
        <w:rPr>
          <w:color w:val="231F20"/>
          <w:spacing w:val="-14"/>
        </w:rPr>
        <w:t> </w:t>
      </w:r>
      <w:r>
        <w:rPr>
          <w:color w:val="231F20"/>
        </w:rPr>
        <w:t>related</w:t>
      </w:r>
      <w:r>
        <w:rPr>
          <w:color w:val="231F20"/>
          <w:spacing w:val="-14"/>
        </w:rPr>
        <w:t> </w:t>
      </w:r>
      <w:r>
        <w:rPr>
          <w:color w:val="231F20"/>
        </w:rPr>
        <w:t>to</w:t>
      </w:r>
      <w:r>
        <w:rPr>
          <w:color w:val="231F20"/>
          <w:spacing w:val="-14"/>
        </w:rPr>
        <w:t> </w:t>
      </w:r>
      <w:r>
        <w:rPr>
          <w:color w:val="231F20"/>
        </w:rPr>
        <w:t>hedges</w:t>
      </w:r>
      <w:r>
        <w:rPr>
          <w:color w:val="231F20"/>
          <w:spacing w:val="-14"/>
        </w:rPr>
        <w:t> </w:t>
      </w:r>
      <w:r>
        <w:rPr>
          <w:color w:val="231F20"/>
        </w:rPr>
        <w:t>that were</w:t>
      </w:r>
      <w:r>
        <w:rPr>
          <w:color w:val="231F20"/>
          <w:spacing w:val="-13"/>
        </w:rPr>
        <w:t> </w:t>
      </w:r>
      <w:r>
        <w:rPr>
          <w:color w:val="231F20"/>
        </w:rPr>
        <w:t>deferred</w:t>
      </w:r>
      <w:r>
        <w:rPr>
          <w:color w:val="231F20"/>
          <w:spacing w:val="-14"/>
        </w:rPr>
        <w:t> </w:t>
      </w:r>
      <w:r>
        <w:rPr>
          <w:color w:val="231F20"/>
        </w:rPr>
        <w:t>as</w:t>
      </w:r>
      <w:r>
        <w:rPr>
          <w:color w:val="231F20"/>
          <w:spacing w:val="-13"/>
        </w:rPr>
        <w:t> </w:t>
      </w:r>
      <w:r>
        <w:rPr>
          <w:color w:val="231F20"/>
        </w:rPr>
        <w:t>part</w:t>
      </w:r>
      <w:r>
        <w:rPr>
          <w:color w:val="231F20"/>
          <w:spacing w:val="-13"/>
        </w:rPr>
        <w:t> </w:t>
      </w:r>
      <w:r>
        <w:rPr>
          <w:color w:val="231F20"/>
        </w:rPr>
        <w:t>of</w:t>
      </w:r>
      <w:r>
        <w:rPr>
          <w:color w:val="231F20"/>
          <w:spacing w:val="-13"/>
        </w:rPr>
        <w:t> </w:t>
      </w:r>
      <w:r>
        <w:rPr>
          <w:color w:val="231F20"/>
        </w:rPr>
        <w:t>AOCI</w:t>
      </w:r>
      <w:r>
        <w:rPr>
          <w:color w:val="231F20"/>
          <w:spacing w:val="-13"/>
        </w:rPr>
        <w:t> </w:t>
      </w:r>
      <w:r>
        <w:rPr>
          <w:color w:val="231F20"/>
        </w:rPr>
        <w:t>while</w:t>
      </w:r>
      <w:r>
        <w:rPr>
          <w:color w:val="231F20"/>
          <w:spacing w:val="-13"/>
        </w:rPr>
        <w:t> </w:t>
      </w:r>
      <w:r>
        <w:rPr>
          <w:color w:val="231F20"/>
        </w:rPr>
        <w:t>designated</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hedge</w:t>
      </w:r>
      <w:r>
        <w:rPr>
          <w:color w:val="231F20"/>
          <w:spacing w:val="-13"/>
        </w:rPr>
        <w:t> </w:t>
      </w:r>
      <w:r>
        <w:rPr>
          <w:color w:val="231F20"/>
        </w:rPr>
        <w:t>would</w:t>
      </w:r>
      <w:r>
        <w:rPr>
          <w:color w:val="231F20"/>
          <w:spacing w:val="-13"/>
        </w:rPr>
        <w:t> </w:t>
      </w:r>
      <w:r>
        <w:rPr>
          <w:color w:val="231F20"/>
        </w:rPr>
        <w:t>remain</w:t>
      </w:r>
      <w:r>
        <w:rPr>
          <w:color w:val="231F20"/>
          <w:spacing w:val="-13"/>
        </w:rPr>
        <w:t> </w:t>
      </w:r>
      <w:r>
        <w:rPr>
          <w:color w:val="231F20"/>
        </w:rPr>
        <w:t>until</w:t>
      </w:r>
      <w:r>
        <w:rPr>
          <w:color w:val="231F20"/>
          <w:spacing w:val="-13"/>
        </w:rPr>
        <w:t> </w:t>
      </w:r>
      <w:r>
        <w:rPr>
          <w:color w:val="231F20"/>
        </w:rPr>
        <w:t>the</w:t>
      </w:r>
      <w:r>
        <w:rPr>
          <w:color w:val="231F20"/>
          <w:spacing w:val="-13"/>
        </w:rPr>
        <w:t> </w:t>
      </w:r>
      <w:r>
        <w:rPr>
          <w:color w:val="231F20"/>
        </w:rPr>
        <w:t>originally</w:t>
      </w:r>
      <w:r>
        <w:rPr>
          <w:color w:val="231F20"/>
          <w:spacing w:val="-13"/>
        </w:rPr>
        <w:t> </w:t>
      </w:r>
      <w:r>
        <w:rPr>
          <w:color w:val="231F20"/>
        </w:rPr>
        <w:t>forecasted</w:t>
      </w:r>
      <w:r>
        <w:rPr>
          <w:color w:val="231F20"/>
          <w:spacing w:val="-13"/>
        </w:rPr>
        <w:t> </w:t>
      </w:r>
      <w:r>
        <w:rPr>
          <w:color w:val="231F20"/>
        </w:rPr>
        <w:t>transaction occurs.</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situation</w:t>
      </w:r>
      <w:r>
        <w:rPr>
          <w:color w:val="231F20"/>
          <w:spacing w:val="-13"/>
        </w:rPr>
        <w:t> </w:t>
      </w:r>
      <w:r>
        <w:rPr>
          <w:color w:val="231F20"/>
        </w:rPr>
        <w:t>where</w:t>
      </w:r>
      <w:r>
        <w:rPr>
          <w:color w:val="231F20"/>
          <w:spacing w:val="-12"/>
        </w:rPr>
        <w:t> </w:t>
      </w:r>
      <w:r>
        <w:rPr>
          <w:color w:val="231F20"/>
        </w:rPr>
        <w:t>it</w:t>
      </w:r>
      <w:r>
        <w:rPr>
          <w:color w:val="231F20"/>
          <w:spacing w:val="-12"/>
        </w:rPr>
        <w:t> </w:t>
      </w:r>
      <w:r>
        <w:rPr>
          <w:color w:val="231F20"/>
        </w:rPr>
        <w:t>becomes</w:t>
      </w:r>
      <w:r>
        <w:rPr>
          <w:color w:val="231F20"/>
          <w:spacing w:val="-12"/>
        </w:rPr>
        <w:t> </w:t>
      </w:r>
      <w:r>
        <w:rPr>
          <w:color w:val="231F20"/>
        </w:rPr>
        <w:t>probable</w:t>
      </w:r>
      <w:r>
        <w:rPr>
          <w:color w:val="231F20"/>
          <w:spacing w:val="-12"/>
        </w:rPr>
        <w:t> </w:t>
      </w:r>
      <w:r>
        <w:rPr>
          <w:color w:val="231F20"/>
        </w:rPr>
        <w:t>that</w:t>
      </w:r>
      <w:r>
        <w:rPr>
          <w:color w:val="231F20"/>
          <w:spacing w:val="-12"/>
        </w:rPr>
        <w:t> </w:t>
      </w:r>
      <w:r>
        <w:rPr>
          <w:color w:val="231F20"/>
        </w:rPr>
        <w:t>a</w:t>
      </w:r>
      <w:r>
        <w:rPr>
          <w:color w:val="231F20"/>
          <w:spacing w:val="-12"/>
        </w:rPr>
        <w:t> </w:t>
      </w:r>
      <w:r>
        <w:rPr>
          <w:color w:val="231F20"/>
        </w:rPr>
        <w:t>hedged</w:t>
      </w:r>
      <w:r>
        <w:rPr>
          <w:color w:val="231F20"/>
          <w:spacing w:val="-12"/>
        </w:rPr>
        <w:t> </w:t>
      </w:r>
      <w:r>
        <w:rPr>
          <w:color w:val="231F20"/>
        </w:rPr>
        <w:t>forecasted</w:t>
      </w:r>
      <w:r>
        <w:rPr>
          <w:color w:val="231F20"/>
          <w:spacing w:val="-12"/>
        </w:rPr>
        <w:t> </w:t>
      </w:r>
      <w:r>
        <w:rPr>
          <w:color w:val="231F20"/>
        </w:rPr>
        <w:t>transaction</w:t>
      </w:r>
      <w:r>
        <w:rPr>
          <w:color w:val="231F20"/>
          <w:spacing w:val="-12"/>
        </w:rPr>
        <w:t> </w:t>
      </w:r>
      <w:r>
        <w:rPr>
          <w:color w:val="231F20"/>
        </w:rPr>
        <w:t>will</w:t>
      </w:r>
      <w:r>
        <w:rPr>
          <w:color w:val="231F20"/>
          <w:spacing w:val="-12"/>
        </w:rPr>
        <w:t> </w:t>
      </w:r>
      <w:r>
        <w:rPr>
          <w:color w:val="231F20"/>
        </w:rPr>
        <w:t>not</w:t>
      </w:r>
      <w:r>
        <w:rPr>
          <w:color w:val="231F20"/>
          <w:spacing w:val="-12"/>
        </w:rPr>
        <w:t> </w:t>
      </w:r>
      <w:r>
        <w:rPr>
          <w:color w:val="231F20"/>
        </w:rPr>
        <w:t>occur,</w:t>
      </w:r>
      <w:r>
        <w:rPr>
          <w:color w:val="231F20"/>
          <w:spacing w:val="-12"/>
        </w:rPr>
        <w:t> </w:t>
      </w:r>
      <w:r>
        <w:rPr>
          <w:color w:val="231F20"/>
        </w:rPr>
        <w:t>any</w:t>
      </w:r>
      <w:r>
        <w:rPr>
          <w:color w:val="231F20"/>
          <w:spacing w:val="-12"/>
        </w:rPr>
        <w:t> </w:t>
      </w:r>
      <w:r>
        <w:rPr>
          <w:color w:val="231F20"/>
        </w:rPr>
        <w:t>gains</w:t>
      </w:r>
      <w:r>
        <w:rPr>
          <w:color w:val="231F20"/>
          <w:spacing w:val="-12"/>
        </w:rPr>
        <w:t> </w:t>
      </w:r>
      <w:r>
        <w:rPr>
          <w:color w:val="231F20"/>
        </w:rPr>
        <w:t>and/ or losses that have been recorded to AOCI would be required to be immediately reclassified into earnings. </w:t>
      </w:r>
      <w:r>
        <w:rPr>
          <w:color w:val="231F20"/>
          <w:spacing w:val="-3"/>
        </w:rPr>
        <w:t>The </w:t>
      </w:r>
      <w:r>
        <w:rPr>
          <w:color w:val="231F20"/>
        </w:rPr>
        <w:t>Company</w:t>
      </w:r>
      <w:r>
        <w:rPr>
          <w:color w:val="231F20"/>
          <w:spacing w:val="-13"/>
        </w:rPr>
        <w:t> </w:t>
      </w:r>
      <w:r>
        <w:rPr>
          <w:color w:val="231F20"/>
        </w:rPr>
        <w:t>did</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any</w:t>
      </w:r>
      <w:r>
        <w:rPr>
          <w:color w:val="231F20"/>
          <w:spacing w:val="-13"/>
        </w:rPr>
        <w:t> </w:t>
      </w:r>
      <w:r>
        <w:rPr>
          <w:color w:val="231F20"/>
        </w:rPr>
        <w:t>such</w:t>
      </w:r>
      <w:r>
        <w:rPr>
          <w:color w:val="231F20"/>
          <w:spacing w:val="-13"/>
        </w:rPr>
        <w:t> </w:t>
      </w:r>
      <w:r>
        <w:rPr>
          <w:color w:val="231F20"/>
        </w:rPr>
        <w:t>situations</w:t>
      </w:r>
      <w:r>
        <w:rPr>
          <w:color w:val="231F20"/>
          <w:spacing w:val="-13"/>
        </w:rPr>
        <w:t> </w:t>
      </w:r>
      <w:r>
        <w:rPr>
          <w:color w:val="231F20"/>
        </w:rPr>
        <w:t>occur</w:t>
      </w:r>
      <w:r>
        <w:rPr>
          <w:color w:val="231F20"/>
          <w:spacing w:val="-13"/>
        </w:rPr>
        <w:t> </w:t>
      </w:r>
      <w:r>
        <w:rPr>
          <w:color w:val="231F20"/>
        </w:rPr>
        <w:t>during</w:t>
      </w:r>
      <w:r>
        <w:rPr>
          <w:color w:val="231F20"/>
          <w:spacing w:val="-13"/>
        </w:rPr>
        <w:t> </w:t>
      </w:r>
      <w:r>
        <w:rPr>
          <w:color w:val="231F20"/>
        </w:rPr>
        <w:t>2010,</w:t>
      </w:r>
      <w:r>
        <w:rPr>
          <w:color w:val="231F20"/>
          <w:spacing w:val="-13"/>
        </w:rPr>
        <w:t> </w:t>
      </w:r>
      <w:r>
        <w:rPr>
          <w:color w:val="231F20"/>
        </w:rPr>
        <w:t>2011,</w:t>
      </w:r>
      <w:r>
        <w:rPr>
          <w:color w:val="231F20"/>
          <w:spacing w:val="-13"/>
        </w:rPr>
        <w:t> </w:t>
      </w:r>
      <w:r>
        <w:rPr>
          <w:color w:val="231F20"/>
        </w:rPr>
        <w:t>or</w:t>
      </w:r>
      <w:r>
        <w:rPr>
          <w:color w:val="231F20"/>
          <w:spacing w:val="-13"/>
        </w:rPr>
        <w:t> </w:t>
      </w:r>
      <w:r>
        <w:rPr>
          <w:color w:val="231F20"/>
        </w:rPr>
        <w:t>2012.</w:t>
      </w:r>
    </w:p>
    <w:p>
      <w:pPr>
        <w:pStyle w:val="BodyText"/>
        <w:spacing w:before="4"/>
        <w:rPr>
          <w:sz w:val="17"/>
        </w:rPr>
      </w:pPr>
    </w:p>
    <w:p>
      <w:pPr>
        <w:pStyle w:val="BodyText"/>
        <w:spacing w:line="249" w:lineRule="auto"/>
        <w:ind w:left="159" w:right="110"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w:t>
      </w:r>
    </w:p>
    <w:p>
      <w:pPr>
        <w:spacing w:after="0" w:line="249" w:lineRule="auto"/>
        <w:sectPr>
          <w:type w:val="continuous"/>
          <w:pgSz w:w="11880" w:h="15480"/>
          <w:pgMar w:top="1200" w:bottom="280" w:left="1220" w:right="1280"/>
        </w:sectPr>
      </w:pPr>
    </w:p>
    <w:p>
      <w:pPr>
        <w:pStyle w:val="BodyText"/>
        <w:spacing w:line="249" w:lineRule="auto" w:before="73"/>
        <w:ind w:left="160" w:right="248"/>
      </w:pPr>
      <w:r>
        <w:rPr>
          <w:color w:val="231F20"/>
        </w:rPr>
        <w:t>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 costs.</w:t>
      </w:r>
    </w:p>
    <w:p>
      <w:pPr>
        <w:pStyle w:val="BodyText"/>
        <w:spacing w:before="10"/>
      </w:pPr>
    </w:p>
    <w:p>
      <w:pPr>
        <w:pStyle w:val="BodyText"/>
        <w:spacing w:line="249" w:lineRule="auto" w:before="1"/>
        <w:ind w:left="160" w:right="158"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pStyle w:val="BodyText"/>
        <w:spacing w:before="11"/>
      </w:pPr>
    </w:p>
    <w:p>
      <w:pPr>
        <w:pStyle w:val="BodyText"/>
        <w:spacing w:line="249" w:lineRule="auto"/>
        <w:ind w:left="160" w:right="248"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Heading3"/>
        <w:tabs>
          <w:tab w:pos="7636" w:val="left" w:leader="none"/>
        </w:tabs>
        <w:spacing w:line="280" w:lineRule="atLeast" w:before="151"/>
        <w:ind w:left="5728" w:right="158" w:firstLine="182"/>
      </w:pPr>
      <w:r>
        <w:rPr/>
        <w:pict>
          <v:shape style="position:absolute;margin-left:344.399994pt;margin-top:22.886913pt;width:183.6pt;height:.1pt;mso-position-horizontal-relative:page;mso-position-vertical-relative:paragraph;z-index:-353440" coordorigin="6888,458" coordsize="3672,0" path="m6888,458l8694,458m8754,458l10560,458e" filled="false" stroked="true" strokeweight="1pt" strokecolor="#231f20">
            <v:path arrowok="t"/>
            <v:stroke dashstyle="solid"/>
            <w10:wrap type="none"/>
          </v:shape>
        </w:pict>
      </w:r>
      <w:r>
        <w:rPr>
          <w:color w:val="231F20"/>
        </w:rPr>
        <w:t>Asset derivatives</w:t>
        <w:tab/>
        <w:t>Liability</w:t>
      </w:r>
      <w:r>
        <w:rPr>
          <w:color w:val="231F20"/>
          <w:spacing w:val="1"/>
        </w:rPr>
        <w:t> </w:t>
      </w:r>
      <w:r>
        <w:rPr>
          <w:color w:val="231F20"/>
        </w:rPr>
        <w:t>derivatives</w:t>
      </w:r>
      <w:r>
        <w:rPr>
          <w:color w:val="231F20"/>
          <w:w w:val="100"/>
        </w:rPr>
        <w:t> </w:t>
      </w:r>
      <w:r>
        <w:rPr>
          <w:color w:val="231F20"/>
        </w:rPr>
        <w:t>Fair value Fair value Fair value Fair</w:t>
      </w:r>
      <w:r>
        <w:rPr>
          <w:color w:val="231F20"/>
          <w:spacing w:val="30"/>
        </w:rPr>
        <w:t> </w:t>
      </w:r>
      <w:r>
        <w:rPr>
          <w:color w:val="231F20"/>
        </w:rPr>
        <w:t>value</w:t>
      </w:r>
    </w:p>
    <w:p>
      <w:pPr>
        <w:spacing w:after="0" w:line="280" w:lineRule="atLeast"/>
        <w:sectPr>
          <w:pgSz w:w="11880" w:h="15480"/>
          <w:pgMar w:header="0" w:footer="1253" w:top="1240" w:bottom="1440" w:left="1160" w:right="1160"/>
        </w:sectPr>
      </w:pPr>
    </w:p>
    <w:p>
      <w:pPr>
        <w:spacing w:before="170"/>
        <w:ind w:left="160" w:right="0" w:firstLine="0"/>
        <w:jc w:val="left"/>
        <w:rPr>
          <w:b/>
          <w:sz w:val="20"/>
        </w:rPr>
      </w:pPr>
      <w:r>
        <w:rPr/>
        <w:pict>
          <v:shape style="position:absolute;margin-left:66pt;margin-top:21.335938pt;width:462pt;height:.1pt;mso-position-horizontal-relative:page;mso-position-vertical-relative:paragraph;z-index:5152" coordorigin="1320,427" coordsize="9240,0" path="m4508,427l6808,427m1320,427l4508,427m6888,427l7761,427m7821,427l8694,427m8754,427l9627,427m9687,427l10560,427e" filled="false" stroked="true" strokeweight="1pt" strokecolor="#231f20">
            <v:path arrowok="t"/>
            <v:stroke dashstyle="solid"/>
            <w10:wrap type="none"/>
          </v:shape>
        </w:pict>
      </w:r>
      <w:r>
        <w:rPr>
          <w:b/>
          <w:color w:val="231F20"/>
          <w:sz w:val="20"/>
        </w:rPr>
        <w:t>(in millions)</w:t>
      </w:r>
    </w:p>
    <w:p>
      <w:pPr>
        <w:spacing w:before="90"/>
        <w:ind w:left="160" w:right="0" w:firstLine="0"/>
        <w:jc w:val="left"/>
        <w:rPr>
          <w:b/>
          <w:sz w:val="20"/>
        </w:rPr>
      </w:pPr>
      <w:r>
        <w:rPr>
          <w:b/>
          <w:color w:val="231F20"/>
          <w:sz w:val="20"/>
        </w:rPr>
        <w:t>Derivatives designated as hedges*</w:t>
      </w:r>
    </w:p>
    <w:p>
      <w:pPr>
        <w:spacing w:line="208" w:lineRule="auto" w:before="0"/>
        <w:ind w:left="41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line="208" w:lineRule="auto" w:before="0"/>
        <w:ind w:left="160" w:right="-20" w:firstLine="223"/>
        <w:jc w:val="left"/>
        <w:rPr>
          <w:b/>
          <w:sz w:val="20"/>
        </w:rPr>
      </w:pPr>
      <w:r>
        <w:rPr/>
        <w:br w:type="column"/>
      </w:r>
      <w:r>
        <w:rPr>
          <w:b/>
          <w:color w:val="231F20"/>
          <w:sz w:val="20"/>
        </w:rPr>
        <w:t>at 2/31/12</w:t>
      </w:r>
    </w:p>
    <w:p>
      <w:pPr>
        <w:spacing w:line="208" w:lineRule="auto" w:before="0"/>
        <w:ind w:left="160" w:right="-20" w:firstLine="273"/>
        <w:jc w:val="left"/>
        <w:rPr>
          <w:b/>
          <w:sz w:val="20"/>
        </w:rPr>
      </w:pPr>
      <w:r>
        <w:rPr/>
        <w:br w:type="column"/>
      </w:r>
      <w:r>
        <w:rPr>
          <w:b/>
          <w:color w:val="231F20"/>
          <w:sz w:val="20"/>
        </w:rPr>
        <w:t>at 12/31/11</w:t>
      </w:r>
    </w:p>
    <w:p>
      <w:pPr>
        <w:spacing w:line="208" w:lineRule="auto" w:before="0"/>
        <w:ind w:left="160" w:right="-20" w:firstLine="273"/>
        <w:jc w:val="left"/>
        <w:rPr>
          <w:b/>
          <w:sz w:val="20"/>
        </w:rPr>
      </w:pPr>
      <w:r>
        <w:rPr/>
        <w:br w:type="column"/>
      </w:r>
      <w:r>
        <w:rPr>
          <w:b/>
          <w:color w:val="231F20"/>
          <w:sz w:val="20"/>
        </w:rPr>
        <w:t>at 12/31/12</w:t>
      </w:r>
    </w:p>
    <w:p>
      <w:pPr>
        <w:spacing w:line="208" w:lineRule="auto" w:before="0"/>
        <w:ind w:left="160" w:right="221" w:firstLine="273"/>
        <w:jc w:val="left"/>
        <w:rPr>
          <w:b/>
          <w:sz w:val="20"/>
        </w:rPr>
      </w:pPr>
      <w:r>
        <w:rPr/>
        <w:br w:type="column"/>
      </w:r>
      <w:r>
        <w:rPr>
          <w:b/>
          <w:color w:val="231F20"/>
          <w:sz w:val="20"/>
        </w:rPr>
        <w:t>at 12/31/11</w:t>
      </w:r>
    </w:p>
    <w:p>
      <w:pPr>
        <w:spacing w:after="0" w:line="208" w:lineRule="auto"/>
        <w:jc w:val="left"/>
        <w:rPr>
          <w:sz w:val="20"/>
        </w:rPr>
        <w:sectPr>
          <w:type w:val="continuous"/>
          <w:pgSz w:w="11880" w:h="15480"/>
          <w:pgMar w:top="1200" w:bottom="280" w:left="1160" w:right="1160"/>
          <w:cols w:num="6" w:equalWidth="0">
            <w:col w:w="3046" w:space="734"/>
            <w:col w:w="1355" w:space="563"/>
            <w:col w:w="772" w:space="111"/>
            <w:col w:w="872" w:space="61"/>
            <w:col w:w="872" w:space="61"/>
            <w:col w:w="1113"/>
          </w:cols>
        </w:sectPr>
      </w:pPr>
    </w:p>
    <w:p>
      <w:pPr>
        <w:pStyle w:val="BodyText"/>
        <w:tabs>
          <w:tab w:pos="5727" w:val="left" w:leader="none"/>
          <w:tab w:pos="6300" w:val="left" w:leader="none"/>
          <w:tab w:pos="7233" w:val="left" w:leader="none"/>
          <w:tab w:pos="7333" w:val="left" w:leader="none"/>
          <w:tab w:pos="8166" w:val="left" w:leader="none"/>
          <w:tab w:pos="8266" w:val="left" w:leader="none"/>
          <w:tab w:pos="9099" w:val="left" w:leader="none"/>
          <w:tab w:pos="9399" w:val="right" w:leader="none"/>
        </w:tabs>
        <w:spacing w:line="249" w:lineRule="auto" w:before="10"/>
        <w:ind w:left="160" w:right="159"/>
      </w:pPr>
      <w:r>
        <w:rPr>
          <w:color w:val="231F20"/>
        </w:rPr>
        <w:t>Fuel derivative contracts (gross)   . . . . .  Other</w:t>
      </w:r>
      <w:r>
        <w:rPr>
          <w:color w:val="231F20"/>
          <w:spacing w:val="-16"/>
        </w:rPr>
        <w:t> </w:t>
      </w:r>
      <w:r>
        <w:rPr>
          <w:color w:val="231F20"/>
        </w:rPr>
        <w:t>current</w:t>
      </w:r>
      <w:r>
        <w:rPr>
          <w:color w:val="231F20"/>
          <w:spacing w:val="1"/>
        </w:rPr>
        <w:t> </w:t>
      </w:r>
      <w:r>
        <w:rPr>
          <w:color w:val="231F20"/>
        </w:rPr>
        <w:t>assets</w:t>
        <w:tab/>
        <w:t>$</w:t>
        <w:tab/>
        <w:t>—  </w:t>
      </w:r>
      <w:r>
        <w:rPr>
          <w:color w:val="231F20"/>
          <w:spacing w:val="10"/>
        </w:rPr>
        <w:t> </w:t>
      </w:r>
      <w:r>
        <w:rPr>
          <w:color w:val="231F20"/>
        </w:rPr>
        <w:t>$</w:t>
        <w:tab/>
        <w:tab/>
        <w:t>17</w:t>
      </w:r>
      <w:r>
        <w:rPr>
          <w:color w:val="231F20"/>
          <w:spacing w:val="10"/>
        </w:rPr>
        <w:t> </w:t>
      </w:r>
      <w:r>
        <w:rPr>
          <w:color w:val="231F20"/>
        </w:rPr>
        <w:t>$</w:t>
        <w:tab/>
        <w:t>—  </w:t>
      </w:r>
      <w:r>
        <w:rPr>
          <w:color w:val="231F20"/>
          <w:spacing w:val="10"/>
        </w:rPr>
        <w:t> </w:t>
      </w:r>
      <w:r>
        <w:rPr>
          <w:color w:val="231F20"/>
        </w:rPr>
        <w:t>$</w:t>
        <w:tab/>
        <w:t>— Fuel derivative contracts (gross)   . . . . .</w:t>
      </w:r>
      <w:r>
        <w:rPr>
          <w:color w:val="231F20"/>
          <w:spacing w:val="34"/>
        </w:rPr>
        <w:t> </w:t>
      </w:r>
      <w:r>
        <w:rPr>
          <w:color w:val="231F20"/>
        </w:rPr>
        <w:t>Other assets</w:t>
        <w:tab/>
        <w:tab/>
        <w:t>355</w:t>
        <w:tab/>
        <w:t>542</w:t>
        <w:tab/>
        <w:tab/>
        <w:t>16</w:t>
        <w:tab/>
        <w:tab/>
        <w:t>107</w:t>
      </w:r>
    </w:p>
    <w:p>
      <w:pPr>
        <w:pStyle w:val="BodyText"/>
        <w:tabs>
          <w:tab w:pos="6300" w:val="left" w:leader="none"/>
          <w:tab w:pos="7333" w:val="left" w:leader="none"/>
          <w:tab w:pos="8166" w:val="left" w:leader="none"/>
          <w:tab w:pos="9399" w:val="right" w:leader="none"/>
        </w:tabs>
        <w:spacing w:before="1"/>
        <w:ind w:left="160"/>
      </w:pPr>
      <w:r>
        <w:rPr>
          <w:color w:val="231F20"/>
        </w:rPr>
        <w:t>Fuel derivative contracts (gross)   . . . . .</w:t>
      </w:r>
      <w:r>
        <w:rPr>
          <w:color w:val="231F20"/>
          <w:spacing w:val="34"/>
        </w:rPr>
        <w:t> </w:t>
      </w:r>
      <w:r>
        <w:rPr>
          <w:color w:val="231F20"/>
        </w:rPr>
        <w:t>Accrued liabilities</w:t>
        <w:tab/>
        <w:t>—</w:t>
        <w:tab/>
        <w:t>97</w:t>
        <w:tab/>
        <w:t>—</w:t>
        <w:tab/>
        <w:t>8</w:t>
      </w:r>
    </w:p>
    <w:p>
      <w:pPr>
        <w:pStyle w:val="BodyText"/>
        <w:tabs>
          <w:tab w:pos="6300" w:val="left" w:leader="none"/>
          <w:tab w:pos="7333" w:val="left" w:leader="none"/>
          <w:tab w:pos="8166" w:val="left" w:leader="none"/>
          <w:tab w:pos="9399" w:val="right" w:leader="none"/>
        </w:tabs>
        <w:spacing w:before="10"/>
        <w:ind w:left="160"/>
      </w:pPr>
      <w:r>
        <w:rPr>
          <w:color w:val="231F20"/>
        </w:rPr>
        <w:t>Fuel derivative contracts (gross)   . . . . .  Other</w:t>
      </w:r>
      <w:r>
        <w:rPr>
          <w:color w:val="231F20"/>
          <w:spacing w:val="-16"/>
        </w:rPr>
        <w:t> </w:t>
      </w:r>
      <w:r>
        <w:rPr>
          <w:color w:val="231F20"/>
        </w:rPr>
        <w:t>noncurrent</w:t>
      </w:r>
      <w:r>
        <w:rPr>
          <w:color w:val="231F20"/>
          <w:spacing w:val="1"/>
        </w:rPr>
        <w:t> </w:t>
      </w:r>
      <w:r>
        <w:rPr>
          <w:color w:val="231F20"/>
        </w:rPr>
        <w:t>liabilities</w:t>
        <w:tab/>
        <w:t>—</w:t>
        <w:tab/>
        <w:t>93</w:t>
        <w:tab/>
        <w:t>—</w:t>
        <w:tab/>
        <w:t>24</w:t>
      </w:r>
    </w:p>
    <w:p>
      <w:pPr>
        <w:pStyle w:val="BodyText"/>
        <w:tabs>
          <w:tab w:pos="6300" w:val="left" w:leader="none"/>
          <w:tab w:pos="6400" w:val="left" w:leader="none"/>
          <w:tab w:pos="7333" w:val="left" w:leader="none"/>
          <w:tab w:pos="7433" w:val="left" w:leader="none"/>
          <w:tab w:pos="8166" w:val="left" w:leader="none"/>
          <w:tab w:pos="9099" w:val="left" w:leader="none"/>
        </w:tabs>
        <w:spacing w:line="249" w:lineRule="auto" w:before="10" w:after="12"/>
        <w:ind w:left="160" w:right="259"/>
      </w:pPr>
      <w:r>
        <w:rPr>
          <w:color w:val="231F20"/>
        </w:rPr>
        <w:t>Interest rate derivative contracts . . . . . .</w:t>
      </w:r>
      <w:r>
        <w:rPr>
          <w:color w:val="231F20"/>
          <w:spacing w:val="45"/>
        </w:rPr>
        <w:t> </w:t>
      </w:r>
      <w:r>
        <w:rPr>
          <w:color w:val="231F20"/>
        </w:rPr>
        <w:t>Other assets</w:t>
        <w:tab/>
        <w:tab/>
        <w:t>31</w:t>
        <w:tab/>
        <w:t>64</w:t>
        <w:tab/>
        <w:t>—</w:t>
        <w:tab/>
        <w:t>— Interest rate derivative contracts . . . . . .</w:t>
      </w:r>
      <w:r>
        <w:rPr>
          <w:color w:val="231F20"/>
          <w:spacing w:val="45"/>
        </w:rPr>
        <w:t> </w:t>
      </w:r>
      <w:r>
        <w:rPr>
          <w:color w:val="231F20"/>
        </w:rPr>
        <w:t>Accrued liabilities</w:t>
        <w:tab/>
        <w:t>—</w:t>
        <w:tab/>
        <w:tab/>
        <w:t>2</w:t>
        <w:tab/>
        <w:t>—</w:t>
        <w:tab/>
        <w:t>—</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2905"/>
        <w:gridCol w:w="1195"/>
        <w:gridCol w:w="1008"/>
        <w:gridCol w:w="858"/>
        <w:gridCol w:w="662"/>
      </w:tblGrid>
      <w:tr>
        <w:trPr>
          <w:trHeight w:val="251" w:hRule="exact"/>
        </w:trPr>
        <w:tc>
          <w:tcPr>
            <w:tcW w:w="6813" w:type="dxa"/>
            <w:gridSpan w:val="3"/>
          </w:tcPr>
          <w:p>
            <w:pPr>
              <w:pStyle w:val="TableParagraph"/>
              <w:tabs>
                <w:tab w:pos="6190" w:val="left" w:leader="none"/>
              </w:tabs>
              <w:spacing w:line="219" w:lineRule="exact"/>
              <w:ind w:left="50"/>
              <w:jc w:val="left"/>
              <w:rPr>
                <w:sz w:val="20"/>
              </w:rPr>
            </w:pPr>
            <w:r>
              <w:rPr>
                <w:color w:val="231F20"/>
                <w:sz w:val="20"/>
              </w:rPr>
              <w:t>Interest rate derivative contracts . . . . . .  Other</w:t>
            </w:r>
            <w:r>
              <w:rPr>
                <w:color w:val="231F20"/>
                <w:spacing w:val="-5"/>
                <w:sz w:val="20"/>
              </w:rPr>
              <w:t> </w:t>
            </w:r>
            <w:r>
              <w:rPr>
                <w:color w:val="231F20"/>
                <w:sz w:val="20"/>
              </w:rPr>
              <w:t>noncurrent</w:t>
            </w:r>
            <w:r>
              <w:rPr>
                <w:color w:val="231F20"/>
                <w:spacing w:val="1"/>
                <w:sz w:val="20"/>
              </w:rPr>
              <w:t> </w:t>
            </w:r>
            <w:r>
              <w:rPr>
                <w:color w:val="231F20"/>
                <w:sz w:val="20"/>
              </w:rPr>
              <w:t>liabilities</w:t>
              <w:tab/>
              <w:t>—</w:t>
            </w:r>
          </w:p>
        </w:tc>
        <w:tc>
          <w:tcPr>
            <w:tcW w:w="1008" w:type="dxa"/>
            <w:tcBorders>
              <w:bottom w:val="single" w:sz="4" w:space="0" w:color="231F20"/>
            </w:tcBorders>
          </w:tcPr>
          <w:p>
            <w:pPr>
              <w:pStyle w:val="TableParagraph"/>
              <w:spacing w:line="219" w:lineRule="exact"/>
              <w:ind w:left="311"/>
              <w:jc w:val="left"/>
              <w:rPr>
                <w:sz w:val="20"/>
              </w:rPr>
            </w:pPr>
            <w:r>
              <w:rPr>
                <w:color w:val="231F20"/>
                <w:sz w:val="20"/>
              </w:rPr>
              <w:t>—</w:t>
            </w:r>
          </w:p>
        </w:tc>
        <w:tc>
          <w:tcPr>
            <w:tcW w:w="858" w:type="dxa"/>
            <w:tcBorders>
              <w:bottom w:val="single" w:sz="4" w:space="0" w:color="231F20"/>
            </w:tcBorders>
          </w:tcPr>
          <w:p>
            <w:pPr>
              <w:pStyle w:val="TableParagraph"/>
              <w:spacing w:line="219" w:lineRule="exact"/>
              <w:ind w:left="236"/>
              <w:jc w:val="left"/>
              <w:rPr>
                <w:sz w:val="20"/>
              </w:rPr>
            </w:pPr>
            <w:r>
              <w:rPr>
                <w:color w:val="231F20"/>
                <w:sz w:val="20"/>
              </w:rPr>
              <w:t>126</w:t>
            </w:r>
          </w:p>
        </w:tc>
        <w:tc>
          <w:tcPr>
            <w:tcW w:w="662" w:type="dxa"/>
            <w:tcBorders>
              <w:bottom w:val="single" w:sz="4" w:space="0" w:color="231F20"/>
            </w:tcBorders>
          </w:tcPr>
          <w:p>
            <w:pPr>
              <w:pStyle w:val="TableParagraph"/>
              <w:spacing w:line="219" w:lineRule="exact"/>
              <w:ind w:right="48"/>
              <w:rPr>
                <w:sz w:val="20"/>
              </w:rPr>
            </w:pPr>
            <w:r>
              <w:rPr>
                <w:color w:val="231F20"/>
                <w:sz w:val="20"/>
              </w:rPr>
              <w:t>132</w:t>
            </w:r>
          </w:p>
        </w:tc>
      </w:tr>
      <w:tr>
        <w:trPr>
          <w:trHeight w:val="560" w:hRule="exact"/>
        </w:trPr>
        <w:tc>
          <w:tcPr>
            <w:tcW w:w="6813" w:type="dxa"/>
            <w:gridSpan w:val="3"/>
          </w:tcPr>
          <w:p>
            <w:pPr>
              <w:pStyle w:val="TableParagraph"/>
              <w:spacing w:before="58"/>
              <w:ind w:left="50"/>
              <w:jc w:val="left"/>
              <w:rPr>
                <w:b/>
                <w:sz w:val="20"/>
              </w:rPr>
            </w:pPr>
            <w:r>
              <w:rPr>
                <w:b/>
                <w:color w:val="231F20"/>
                <w:sz w:val="20"/>
              </w:rPr>
              <w:t>Total derivatives designated as</w:t>
            </w:r>
          </w:p>
          <w:p>
            <w:pPr>
              <w:pStyle w:val="TableParagraph"/>
              <w:tabs>
                <w:tab w:pos="5617" w:val="left" w:leader="none"/>
                <w:tab w:pos="6190" w:val="left" w:leader="none"/>
              </w:tabs>
              <w:spacing w:before="9"/>
              <w:ind w:left="250"/>
              <w:jc w:val="left"/>
              <w:rPr>
                <w:sz w:val="20"/>
              </w:rPr>
            </w:pPr>
            <w:r>
              <w:rPr>
                <w:b/>
                <w:color w:val="231F20"/>
                <w:sz w:val="20"/>
              </w:rPr>
              <w:t>hedges </w:t>
            </w:r>
            <w:r>
              <w:rPr>
                <w:color w:val="231F20"/>
                <w:sz w:val="20"/>
              </w:rPr>
              <w:t>. . . . . . . . . . . . . . . . . . . . . .</w:t>
            </w:r>
            <w:r>
              <w:rPr>
                <w:color w:val="231F20"/>
                <w:spacing w:val="9"/>
                <w:sz w:val="20"/>
              </w:rPr>
              <w:t> </w:t>
            </w:r>
            <w:r>
              <w:rPr>
                <w:color w:val="231F20"/>
                <w:sz w:val="20"/>
              </w:rPr>
              <w:t>. .</w:t>
              <w:tab/>
              <w:t>$</w:t>
              <w:tab/>
              <w:t>386</w:t>
            </w:r>
            <w:r>
              <w:rPr>
                <w:color w:val="231F20"/>
                <w:spacing w:val="9"/>
                <w:sz w:val="20"/>
              </w:rPr>
              <w:t> </w:t>
            </w:r>
            <w:r>
              <w:rPr>
                <w:color w:val="231F20"/>
                <w:sz w:val="20"/>
              </w:rPr>
              <w:t>$</w:t>
            </w:r>
          </w:p>
        </w:tc>
        <w:tc>
          <w:tcPr>
            <w:tcW w:w="1008" w:type="dxa"/>
            <w:tcBorders>
              <w:top w:val="single" w:sz="4" w:space="0" w:color="231F20"/>
              <w:bottom w:val="single" w:sz="4" w:space="0" w:color="231F20"/>
            </w:tcBorders>
          </w:tcPr>
          <w:p>
            <w:pPr>
              <w:pStyle w:val="TableParagraph"/>
              <w:spacing w:before="5"/>
              <w:jc w:val="left"/>
              <w:rPr>
                <w:sz w:val="25"/>
              </w:rPr>
            </w:pPr>
          </w:p>
          <w:p>
            <w:pPr>
              <w:pStyle w:val="TableParagraph"/>
              <w:spacing w:before="1"/>
              <w:ind w:right="234"/>
              <w:rPr>
                <w:sz w:val="20"/>
              </w:rPr>
            </w:pPr>
            <w:r>
              <w:rPr>
                <w:color w:val="231F20"/>
                <w:sz w:val="20"/>
              </w:rPr>
              <w:t>815 $</w:t>
            </w:r>
          </w:p>
        </w:tc>
        <w:tc>
          <w:tcPr>
            <w:tcW w:w="858" w:type="dxa"/>
            <w:tcBorders>
              <w:top w:val="single" w:sz="4" w:space="0" w:color="231F20"/>
              <w:bottom w:val="single" w:sz="4" w:space="0" w:color="231F20"/>
            </w:tcBorders>
          </w:tcPr>
          <w:p>
            <w:pPr>
              <w:pStyle w:val="TableParagraph"/>
              <w:spacing w:before="5"/>
              <w:jc w:val="left"/>
              <w:rPr>
                <w:sz w:val="25"/>
              </w:rPr>
            </w:pPr>
          </w:p>
          <w:p>
            <w:pPr>
              <w:pStyle w:val="TableParagraph"/>
              <w:spacing w:before="1"/>
              <w:ind w:left="236"/>
              <w:jc w:val="left"/>
              <w:rPr>
                <w:sz w:val="20"/>
              </w:rPr>
            </w:pPr>
            <w:r>
              <w:rPr>
                <w:color w:val="231F20"/>
                <w:sz w:val="20"/>
              </w:rPr>
              <w:t>142 $</w:t>
            </w:r>
          </w:p>
        </w:tc>
        <w:tc>
          <w:tcPr>
            <w:tcW w:w="662" w:type="dxa"/>
            <w:tcBorders>
              <w:top w:val="single" w:sz="4" w:space="0" w:color="231F20"/>
              <w:bottom w:val="single" w:sz="4" w:space="0" w:color="231F20"/>
            </w:tcBorders>
          </w:tcPr>
          <w:p>
            <w:pPr>
              <w:pStyle w:val="TableParagraph"/>
              <w:spacing w:before="5"/>
              <w:jc w:val="left"/>
              <w:rPr>
                <w:sz w:val="25"/>
              </w:rPr>
            </w:pPr>
          </w:p>
          <w:p>
            <w:pPr>
              <w:pStyle w:val="TableParagraph"/>
              <w:spacing w:before="1"/>
              <w:ind w:right="48"/>
              <w:rPr>
                <w:sz w:val="20"/>
              </w:rPr>
            </w:pPr>
            <w:r>
              <w:rPr>
                <w:color w:val="231F20"/>
                <w:sz w:val="20"/>
              </w:rPr>
              <w:t>271</w:t>
            </w:r>
          </w:p>
        </w:tc>
      </w:tr>
      <w:tr>
        <w:trPr>
          <w:trHeight w:val="779" w:hRule="exact"/>
        </w:trPr>
        <w:tc>
          <w:tcPr>
            <w:tcW w:w="6813" w:type="dxa"/>
            <w:gridSpan w:val="3"/>
          </w:tcPr>
          <w:p>
            <w:pPr>
              <w:pStyle w:val="TableParagraph"/>
              <w:spacing w:line="249" w:lineRule="auto" w:before="58"/>
              <w:ind w:left="250" w:right="4259" w:hanging="200"/>
              <w:jc w:val="left"/>
              <w:rPr>
                <w:b/>
                <w:sz w:val="20"/>
              </w:rPr>
            </w:pPr>
            <w:r>
              <w:rPr>
                <w:b/>
                <w:color w:val="231F20"/>
                <w:sz w:val="20"/>
              </w:rPr>
              <w:t>Derivatives not designated as hedges*</w:t>
            </w:r>
          </w:p>
          <w:p>
            <w:pPr>
              <w:pStyle w:val="TableParagraph"/>
              <w:tabs>
                <w:tab w:pos="5617" w:val="left" w:leader="none"/>
                <w:tab w:pos="6190" w:val="left" w:leader="none"/>
              </w:tabs>
              <w:spacing w:before="1"/>
              <w:ind w:left="50"/>
              <w:jc w:val="left"/>
              <w:rPr>
                <w:sz w:val="20"/>
              </w:rPr>
            </w:pPr>
            <w:r>
              <w:rPr>
                <w:color w:val="231F20"/>
                <w:sz w:val="20"/>
              </w:rPr>
              <w:t>Fuel derivative contracts (gross)   . . . . .  Other</w:t>
            </w:r>
            <w:r>
              <w:rPr>
                <w:color w:val="231F20"/>
                <w:spacing w:val="-16"/>
                <w:sz w:val="20"/>
              </w:rPr>
              <w:t> </w:t>
            </w:r>
            <w:r>
              <w:rPr>
                <w:color w:val="231F20"/>
                <w:sz w:val="20"/>
              </w:rPr>
              <w:t>current</w:t>
            </w:r>
            <w:r>
              <w:rPr>
                <w:color w:val="231F20"/>
                <w:spacing w:val="1"/>
                <w:sz w:val="20"/>
              </w:rPr>
              <w:t> </w:t>
            </w:r>
            <w:r>
              <w:rPr>
                <w:color w:val="231F20"/>
                <w:sz w:val="20"/>
              </w:rPr>
              <w:t>assets</w:t>
              <w:tab/>
              <w:t>$</w:t>
              <w:tab/>
              <w:t>375</w:t>
            </w:r>
            <w:r>
              <w:rPr>
                <w:color w:val="231F20"/>
                <w:spacing w:val="10"/>
                <w:sz w:val="20"/>
              </w:rPr>
              <w:t> </w:t>
            </w:r>
            <w:r>
              <w:rPr>
                <w:color w:val="231F20"/>
                <w:sz w:val="20"/>
              </w:rPr>
              <w:t>$</w:t>
            </w:r>
          </w:p>
        </w:tc>
        <w:tc>
          <w:tcPr>
            <w:tcW w:w="1008"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right="234"/>
              <w:rPr>
                <w:sz w:val="20"/>
              </w:rPr>
            </w:pPr>
            <w:r>
              <w:rPr>
                <w:color w:val="231F20"/>
                <w:sz w:val="20"/>
              </w:rPr>
              <w:t>124 $</w:t>
            </w:r>
          </w:p>
        </w:tc>
        <w:tc>
          <w:tcPr>
            <w:tcW w:w="858"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left="236"/>
              <w:jc w:val="left"/>
              <w:rPr>
                <w:sz w:val="20"/>
              </w:rPr>
            </w:pPr>
            <w:r>
              <w:rPr>
                <w:color w:val="231F20"/>
                <w:sz w:val="20"/>
              </w:rPr>
              <w:t>327 $</w:t>
            </w:r>
          </w:p>
        </w:tc>
        <w:tc>
          <w:tcPr>
            <w:tcW w:w="662"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right="48"/>
              <w:rPr>
                <w:sz w:val="20"/>
              </w:rPr>
            </w:pPr>
            <w:r>
              <w:rPr>
                <w:color w:val="231F20"/>
                <w:sz w:val="20"/>
              </w:rPr>
              <w:t>58</w:t>
            </w:r>
          </w:p>
        </w:tc>
      </w:tr>
      <w:tr>
        <w:trPr>
          <w:trHeight w:val="240" w:hRule="exact"/>
        </w:trPr>
        <w:tc>
          <w:tcPr>
            <w:tcW w:w="2713" w:type="dxa"/>
          </w:tcPr>
          <w:p>
            <w:pPr>
              <w:pStyle w:val="TableParagraph"/>
              <w:spacing w:line="219" w:lineRule="exact"/>
              <w:ind w:left="33" w:right="56"/>
              <w:jc w:val="center"/>
              <w:rPr>
                <w:sz w:val="20"/>
              </w:rPr>
            </w:pPr>
            <w:r>
              <w:rPr>
                <w:color w:val="231F20"/>
                <w:sz w:val="20"/>
              </w:rPr>
              <w:t>Fuel derivative contracts (gross)</w:t>
            </w:r>
          </w:p>
        </w:tc>
        <w:tc>
          <w:tcPr>
            <w:tcW w:w="2905" w:type="dxa"/>
          </w:tcPr>
          <w:p>
            <w:pPr>
              <w:pStyle w:val="TableParagraph"/>
              <w:spacing w:line="219" w:lineRule="exact"/>
              <w:ind w:left="75"/>
              <w:jc w:val="left"/>
              <w:rPr>
                <w:sz w:val="20"/>
              </w:rPr>
            </w:pPr>
            <w:r>
              <w:rPr>
                <w:color w:val="231F20"/>
                <w:sz w:val="20"/>
              </w:rPr>
              <w:t>. . . . .  Other assets</w:t>
            </w:r>
          </w:p>
        </w:tc>
        <w:tc>
          <w:tcPr>
            <w:tcW w:w="1195" w:type="dxa"/>
          </w:tcPr>
          <w:p>
            <w:pPr>
              <w:pStyle w:val="TableParagraph"/>
              <w:spacing w:line="219" w:lineRule="exact"/>
              <w:ind w:left="573"/>
              <w:jc w:val="left"/>
              <w:rPr>
                <w:sz w:val="20"/>
              </w:rPr>
            </w:pPr>
            <w:r>
              <w:rPr>
                <w:color w:val="231F20"/>
                <w:sz w:val="20"/>
              </w:rPr>
              <w:t>233</w:t>
            </w:r>
          </w:p>
        </w:tc>
        <w:tc>
          <w:tcPr>
            <w:tcW w:w="1008" w:type="dxa"/>
          </w:tcPr>
          <w:p>
            <w:pPr>
              <w:pStyle w:val="TableParagraph"/>
              <w:spacing w:line="219" w:lineRule="exact"/>
              <w:ind w:left="391" w:right="377"/>
              <w:jc w:val="center"/>
              <w:rPr>
                <w:sz w:val="20"/>
              </w:rPr>
            </w:pPr>
            <w:r>
              <w:rPr>
                <w:color w:val="231F20"/>
                <w:sz w:val="20"/>
              </w:rPr>
              <w:t>26</w:t>
            </w:r>
          </w:p>
        </w:tc>
        <w:tc>
          <w:tcPr>
            <w:tcW w:w="858" w:type="dxa"/>
          </w:tcPr>
          <w:p>
            <w:pPr>
              <w:pStyle w:val="TableParagraph"/>
              <w:spacing w:line="219" w:lineRule="exact"/>
              <w:ind w:left="236"/>
              <w:jc w:val="left"/>
              <w:rPr>
                <w:sz w:val="20"/>
              </w:rPr>
            </w:pPr>
            <w:r>
              <w:rPr>
                <w:color w:val="231F20"/>
                <w:sz w:val="20"/>
              </w:rPr>
              <w:t>351</w:t>
            </w:r>
          </w:p>
        </w:tc>
        <w:tc>
          <w:tcPr>
            <w:tcW w:w="662" w:type="dxa"/>
          </w:tcPr>
          <w:p>
            <w:pPr>
              <w:pStyle w:val="TableParagraph"/>
              <w:spacing w:line="219" w:lineRule="exact"/>
              <w:ind w:right="48"/>
              <w:rPr>
                <w:sz w:val="20"/>
              </w:rPr>
            </w:pPr>
            <w:r>
              <w:rPr>
                <w:color w:val="231F20"/>
                <w:sz w:val="20"/>
              </w:rPr>
              <w:t>272</w:t>
            </w:r>
          </w:p>
        </w:tc>
      </w:tr>
      <w:tr>
        <w:trPr>
          <w:trHeight w:val="240" w:hRule="exact"/>
        </w:trPr>
        <w:tc>
          <w:tcPr>
            <w:tcW w:w="2713" w:type="dxa"/>
          </w:tcPr>
          <w:p>
            <w:pPr>
              <w:pStyle w:val="TableParagraph"/>
              <w:spacing w:line="229" w:lineRule="exact"/>
              <w:ind w:left="33" w:right="56"/>
              <w:jc w:val="center"/>
              <w:rPr>
                <w:sz w:val="20"/>
              </w:rPr>
            </w:pPr>
            <w:r>
              <w:rPr>
                <w:color w:val="231F20"/>
                <w:sz w:val="20"/>
              </w:rPr>
              <w:t>Fuel derivative contracts (gross)</w:t>
            </w:r>
          </w:p>
        </w:tc>
        <w:tc>
          <w:tcPr>
            <w:tcW w:w="2905" w:type="dxa"/>
          </w:tcPr>
          <w:p>
            <w:pPr>
              <w:pStyle w:val="TableParagraph"/>
              <w:spacing w:line="229" w:lineRule="exact"/>
              <w:ind w:left="75"/>
              <w:jc w:val="left"/>
              <w:rPr>
                <w:sz w:val="20"/>
              </w:rPr>
            </w:pPr>
            <w:r>
              <w:rPr>
                <w:color w:val="231F20"/>
                <w:sz w:val="20"/>
              </w:rPr>
              <w:t>. . . . .  Accrued liabilities</w:t>
            </w:r>
          </w:p>
        </w:tc>
        <w:tc>
          <w:tcPr>
            <w:tcW w:w="1195" w:type="dxa"/>
          </w:tcPr>
          <w:p>
            <w:pPr>
              <w:pStyle w:val="TableParagraph"/>
              <w:spacing w:line="229" w:lineRule="exact"/>
              <w:ind w:left="673"/>
              <w:jc w:val="left"/>
              <w:rPr>
                <w:sz w:val="20"/>
              </w:rPr>
            </w:pPr>
            <w:r>
              <w:rPr>
                <w:color w:val="231F20"/>
                <w:sz w:val="20"/>
              </w:rPr>
              <w:t>10</w:t>
            </w:r>
          </w:p>
        </w:tc>
        <w:tc>
          <w:tcPr>
            <w:tcW w:w="1008" w:type="dxa"/>
          </w:tcPr>
          <w:p>
            <w:pPr>
              <w:pStyle w:val="TableParagraph"/>
              <w:spacing w:line="229" w:lineRule="exact"/>
              <w:ind w:left="311"/>
              <w:jc w:val="left"/>
              <w:rPr>
                <w:sz w:val="20"/>
              </w:rPr>
            </w:pPr>
            <w:r>
              <w:rPr>
                <w:color w:val="231F20"/>
                <w:sz w:val="20"/>
              </w:rPr>
              <w:t>326</w:t>
            </w:r>
          </w:p>
        </w:tc>
        <w:tc>
          <w:tcPr>
            <w:tcW w:w="858" w:type="dxa"/>
          </w:tcPr>
          <w:p>
            <w:pPr>
              <w:pStyle w:val="TableParagraph"/>
              <w:spacing w:line="229" w:lineRule="exact"/>
              <w:ind w:left="316" w:right="301"/>
              <w:jc w:val="center"/>
              <w:rPr>
                <w:sz w:val="20"/>
              </w:rPr>
            </w:pPr>
            <w:r>
              <w:rPr>
                <w:color w:val="231F20"/>
                <w:sz w:val="20"/>
              </w:rPr>
              <w:t>60</w:t>
            </w:r>
          </w:p>
        </w:tc>
        <w:tc>
          <w:tcPr>
            <w:tcW w:w="662" w:type="dxa"/>
          </w:tcPr>
          <w:p>
            <w:pPr>
              <w:pStyle w:val="TableParagraph"/>
              <w:spacing w:line="229" w:lineRule="exact"/>
              <w:ind w:right="48"/>
              <w:rPr>
                <w:sz w:val="20"/>
              </w:rPr>
            </w:pPr>
            <w:r>
              <w:rPr>
                <w:color w:val="231F20"/>
                <w:sz w:val="20"/>
              </w:rPr>
              <w:t>687</w:t>
            </w:r>
          </w:p>
        </w:tc>
      </w:tr>
      <w:tr>
        <w:trPr>
          <w:trHeight w:val="261" w:hRule="exact"/>
        </w:trPr>
        <w:tc>
          <w:tcPr>
            <w:tcW w:w="2713" w:type="dxa"/>
          </w:tcPr>
          <w:p>
            <w:pPr>
              <w:pStyle w:val="TableParagraph"/>
              <w:spacing w:line="229" w:lineRule="exact"/>
              <w:ind w:left="33" w:right="56"/>
              <w:jc w:val="center"/>
              <w:rPr>
                <w:sz w:val="20"/>
              </w:rPr>
            </w:pPr>
            <w:r>
              <w:rPr>
                <w:color w:val="231F20"/>
                <w:sz w:val="20"/>
              </w:rPr>
              <w:t>Fuel derivative contracts (gross)</w:t>
            </w:r>
          </w:p>
        </w:tc>
        <w:tc>
          <w:tcPr>
            <w:tcW w:w="2905" w:type="dxa"/>
          </w:tcPr>
          <w:p>
            <w:pPr>
              <w:pStyle w:val="TableParagraph"/>
              <w:spacing w:line="229" w:lineRule="exact"/>
              <w:ind w:left="75"/>
              <w:jc w:val="left"/>
              <w:rPr>
                <w:sz w:val="20"/>
              </w:rPr>
            </w:pPr>
            <w:r>
              <w:rPr>
                <w:color w:val="231F20"/>
                <w:sz w:val="20"/>
              </w:rPr>
              <w:t>. . . . .  Other noncurrent liabilities</w:t>
            </w:r>
          </w:p>
        </w:tc>
        <w:tc>
          <w:tcPr>
            <w:tcW w:w="1195" w:type="dxa"/>
            <w:tcBorders>
              <w:bottom w:val="single" w:sz="4" w:space="0" w:color="231F20"/>
            </w:tcBorders>
          </w:tcPr>
          <w:p>
            <w:pPr>
              <w:pStyle w:val="TableParagraph"/>
              <w:spacing w:line="229" w:lineRule="exact"/>
              <w:ind w:left="151"/>
              <w:jc w:val="center"/>
              <w:rPr>
                <w:sz w:val="20"/>
              </w:rPr>
            </w:pPr>
            <w:r>
              <w:rPr>
                <w:color w:val="231F20"/>
                <w:sz w:val="20"/>
              </w:rPr>
              <w:t>—</w:t>
            </w:r>
          </w:p>
        </w:tc>
        <w:tc>
          <w:tcPr>
            <w:tcW w:w="1008" w:type="dxa"/>
            <w:tcBorders>
              <w:bottom w:val="single" w:sz="4" w:space="0" w:color="231F20"/>
            </w:tcBorders>
          </w:tcPr>
          <w:p>
            <w:pPr>
              <w:pStyle w:val="TableParagraph"/>
              <w:spacing w:line="229" w:lineRule="exact"/>
              <w:ind w:left="115"/>
              <w:jc w:val="center"/>
              <w:rPr>
                <w:sz w:val="20"/>
              </w:rPr>
            </w:pPr>
            <w:r>
              <w:rPr>
                <w:color w:val="231F20"/>
                <w:sz w:val="20"/>
              </w:rPr>
              <w:t>9</w:t>
            </w:r>
          </w:p>
        </w:tc>
        <w:tc>
          <w:tcPr>
            <w:tcW w:w="858" w:type="dxa"/>
            <w:tcBorders>
              <w:bottom w:val="single" w:sz="4" w:space="0" w:color="231F20"/>
            </w:tcBorders>
          </w:tcPr>
          <w:p>
            <w:pPr>
              <w:pStyle w:val="TableParagraph"/>
              <w:spacing w:line="229" w:lineRule="exact"/>
              <w:ind w:left="236"/>
              <w:jc w:val="left"/>
              <w:rPr>
                <w:sz w:val="20"/>
              </w:rPr>
            </w:pPr>
            <w:r>
              <w:rPr>
                <w:color w:val="231F20"/>
                <w:sz w:val="20"/>
              </w:rPr>
              <w:t>—</w:t>
            </w:r>
          </w:p>
        </w:tc>
        <w:tc>
          <w:tcPr>
            <w:tcW w:w="662" w:type="dxa"/>
            <w:tcBorders>
              <w:bottom w:val="single" w:sz="4" w:space="0" w:color="231F20"/>
            </w:tcBorders>
          </w:tcPr>
          <w:p>
            <w:pPr>
              <w:pStyle w:val="TableParagraph"/>
              <w:spacing w:line="229" w:lineRule="exact"/>
              <w:ind w:right="48"/>
              <w:rPr>
                <w:sz w:val="20"/>
              </w:rPr>
            </w:pPr>
            <w:r>
              <w:rPr>
                <w:color w:val="231F20"/>
                <w:sz w:val="20"/>
              </w:rPr>
              <w:t>122</w:t>
            </w:r>
          </w:p>
        </w:tc>
      </w:tr>
      <w:tr>
        <w:trPr>
          <w:trHeight w:val="290" w:hRule="exact"/>
        </w:trPr>
        <w:tc>
          <w:tcPr>
            <w:tcW w:w="9340" w:type="dxa"/>
            <w:gridSpan w:val="6"/>
          </w:tcPr>
          <w:p>
            <w:pPr>
              <w:pStyle w:val="TableParagraph"/>
              <w:spacing w:before="58"/>
              <w:ind w:left="50"/>
              <w:jc w:val="left"/>
              <w:rPr>
                <w:b/>
                <w:sz w:val="20"/>
              </w:rPr>
            </w:pPr>
            <w:r>
              <w:rPr>
                <w:b/>
                <w:color w:val="231F20"/>
                <w:sz w:val="20"/>
              </w:rPr>
              <w:t>Total derivatives not designated as</w:t>
            </w:r>
          </w:p>
        </w:tc>
      </w:tr>
      <w:tr>
        <w:trPr>
          <w:trHeight w:val="270" w:hRule="exact"/>
        </w:trPr>
        <w:tc>
          <w:tcPr>
            <w:tcW w:w="5618" w:type="dxa"/>
            <w:gridSpan w:val="2"/>
          </w:tcPr>
          <w:p>
            <w:pPr>
              <w:pStyle w:val="TableParagraph"/>
              <w:spacing w:line="221" w:lineRule="exact"/>
              <w:ind w:left="250"/>
              <w:jc w:val="left"/>
              <w:rPr>
                <w:sz w:val="20"/>
              </w:rPr>
            </w:pPr>
            <w:r>
              <w:rPr>
                <w:b/>
                <w:color w:val="231F20"/>
                <w:sz w:val="20"/>
              </w:rPr>
              <w:t>hedges </w:t>
            </w:r>
            <w:r>
              <w:rPr>
                <w:color w:val="231F20"/>
                <w:sz w:val="20"/>
              </w:rPr>
              <w:t>. . . . . . . . . . . . . . . . . . . . . . . . </w:t>
            </w:r>
          </w:p>
        </w:tc>
        <w:tc>
          <w:tcPr>
            <w:tcW w:w="1195" w:type="dxa"/>
            <w:tcBorders>
              <w:bottom w:val="single" w:sz="4" w:space="0" w:color="231F20"/>
            </w:tcBorders>
          </w:tcPr>
          <w:p>
            <w:pPr>
              <w:pStyle w:val="TableParagraph"/>
              <w:tabs>
                <w:tab w:pos="572" w:val="left" w:leader="none"/>
              </w:tabs>
              <w:spacing w:line="221" w:lineRule="exact"/>
              <w:jc w:val="left"/>
              <w:rPr>
                <w:sz w:val="20"/>
              </w:rPr>
            </w:pPr>
            <w:r>
              <w:rPr>
                <w:color w:val="231F20"/>
                <w:sz w:val="20"/>
              </w:rPr>
              <w:t>$</w:t>
              <w:tab/>
              <w:t>618</w:t>
            </w:r>
            <w:r>
              <w:rPr>
                <w:color w:val="231F20"/>
                <w:spacing w:val="10"/>
                <w:sz w:val="20"/>
              </w:rPr>
              <w:t> </w:t>
            </w:r>
            <w:r>
              <w:rPr>
                <w:color w:val="231F20"/>
                <w:sz w:val="20"/>
              </w:rPr>
              <w:t>$</w:t>
            </w:r>
          </w:p>
        </w:tc>
        <w:tc>
          <w:tcPr>
            <w:tcW w:w="1008" w:type="dxa"/>
            <w:tcBorders>
              <w:bottom w:val="single" w:sz="4" w:space="0" w:color="231F20"/>
            </w:tcBorders>
          </w:tcPr>
          <w:p>
            <w:pPr>
              <w:pStyle w:val="TableParagraph"/>
              <w:spacing w:line="221" w:lineRule="exact"/>
              <w:ind w:right="234"/>
              <w:rPr>
                <w:sz w:val="20"/>
              </w:rPr>
            </w:pPr>
            <w:r>
              <w:rPr>
                <w:color w:val="231F20"/>
                <w:sz w:val="20"/>
              </w:rPr>
              <w:t>485 $</w:t>
            </w:r>
          </w:p>
        </w:tc>
        <w:tc>
          <w:tcPr>
            <w:tcW w:w="858" w:type="dxa"/>
            <w:tcBorders>
              <w:bottom w:val="single" w:sz="4" w:space="0" w:color="231F20"/>
            </w:tcBorders>
          </w:tcPr>
          <w:p>
            <w:pPr>
              <w:pStyle w:val="TableParagraph"/>
              <w:spacing w:line="221" w:lineRule="exact"/>
              <w:ind w:left="236"/>
              <w:jc w:val="left"/>
              <w:rPr>
                <w:sz w:val="20"/>
              </w:rPr>
            </w:pPr>
            <w:r>
              <w:rPr>
                <w:color w:val="231F20"/>
                <w:sz w:val="20"/>
              </w:rPr>
              <w:t>738 $</w:t>
            </w:r>
          </w:p>
        </w:tc>
        <w:tc>
          <w:tcPr>
            <w:tcW w:w="662" w:type="dxa"/>
            <w:tcBorders>
              <w:bottom w:val="single" w:sz="4" w:space="0" w:color="231F20"/>
            </w:tcBorders>
          </w:tcPr>
          <w:p>
            <w:pPr>
              <w:pStyle w:val="TableParagraph"/>
              <w:spacing w:line="221" w:lineRule="exact"/>
              <w:ind w:right="48"/>
              <w:rPr>
                <w:sz w:val="20"/>
              </w:rPr>
            </w:pPr>
            <w:r>
              <w:rPr>
                <w:color w:val="231F20"/>
                <w:sz w:val="20"/>
              </w:rPr>
              <w:t>1,139</w:t>
            </w:r>
          </w:p>
        </w:tc>
      </w:tr>
      <w:tr>
        <w:trPr>
          <w:trHeight w:val="320" w:hRule="exact"/>
        </w:trPr>
        <w:tc>
          <w:tcPr>
            <w:tcW w:w="5618" w:type="dxa"/>
            <w:gridSpan w:val="2"/>
          </w:tcPr>
          <w:p>
            <w:pPr>
              <w:pStyle w:val="TableParagraph"/>
              <w:spacing w:before="58"/>
              <w:ind w:left="50"/>
              <w:jc w:val="left"/>
              <w:rPr>
                <w:sz w:val="20"/>
              </w:rPr>
            </w:pPr>
            <w:r>
              <w:rPr>
                <w:b/>
                <w:color w:val="231F20"/>
                <w:sz w:val="20"/>
              </w:rPr>
              <w:t>Total derivatives  </w:t>
            </w:r>
            <w:r>
              <w:rPr>
                <w:color w:val="231F20"/>
                <w:sz w:val="20"/>
              </w:rPr>
              <w:t>. . . . . . . . . . . . . . . . . </w:t>
            </w:r>
          </w:p>
        </w:tc>
        <w:tc>
          <w:tcPr>
            <w:tcW w:w="1195" w:type="dxa"/>
            <w:tcBorders>
              <w:top w:val="single" w:sz="4" w:space="0" w:color="231F20"/>
              <w:bottom w:val="double" w:sz="7" w:space="0" w:color="231F20"/>
            </w:tcBorders>
          </w:tcPr>
          <w:p>
            <w:pPr>
              <w:pStyle w:val="TableParagraph"/>
              <w:tabs>
                <w:tab w:pos="422" w:val="left" w:leader="none"/>
              </w:tabs>
              <w:spacing w:before="53"/>
              <w:jc w:val="left"/>
              <w:rPr>
                <w:sz w:val="20"/>
              </w:rPr>
            </w:pPr>
            <w:r>
              <w:rPr>
                <w:color w:val="231F20"/>
                <w:sz w:val="20"/>
              </w:rPr>
              <w:t>$</w:t>
              <w:tab/>
              <w:t>1,004</w:t>
            </w:r>
            <w:r>
              <w:rPr>
                <w:color w:val="231F20"/>
                <w:spacing w:val="10"/>
                <w:sz w:val="20"/>
              </w:rPr>
              <w:t> </w:t>
            </w:r>
            <w:r>
              <w:rPr>
                <w:color w:val="231F20"/>
                <w:sz w:val="20"/>
              </w:rPr>
              <w:t>$</w:t>
            </w:r>
          </w:p>
        </w:tc>
        <w:tc>
          <w:tcPr>
            <w:tcW w:w="1008" w:type="dxa"/>
            <w:tcBorders>
              <w:top w:val="single" w:sz="4" w:space="0" w:color="231F20"/>
              <w:bottom w:val="double" w:sz="7" w:space="0" w:color="231F20"/>
            </w:tcBorders>
          </w:tcPr>
          <w:p>
            <w:pPr>
              <w:pStyle w:val="TableParagraph"/>
              <w:spacing w:before="53"/>
              <w:ind w:right="234"/>
              <w:rPr>
                <w:sz w:val="20"/>
              </w:rPr>
            </w:pPr>
            <w:r>
              <w:rPr>
                <w:color w:val="231F20"/>
                <w:sz w:val="20"/>
              </w:rPr>
              <w:t>1,300 $</w:t>
            </w:r>
          </w:p>
        </w:tc>
        <w:tc>
          <w:tcPr>
            <w:tcW w:w="858" w:type="dxa"/>
            <w:tcBorders>
              <w:top w:val="single" w:sz="4" w:space="0" w:color="231F20"/>
              <w:bottom w:val="double" w:sz="7" w:space="0" w:color="231F20"/>
            </w:tcBorders>
          </w:tcPr>
          <w:p>
            <w:pPr>
              <w:pStyle w:val="TableParagraph"/>
              <w:spacing w:before="53"/>
              <w:ind w:left="236"/>
              <w:jc w:val="left"/>
              <w:rPr>
                <w:sz w:val="20"/>
              </w:rPr>
            </w:pPr>
            <w:r>
              <w:rPr>
                <w:color w:val="231F20"/>
                <w:sz w:val="20"/>
              </w:rPr>
              <w:t>880 $</w:t>
            </w:r>
          </w:p>
        </w:tc>
        <w:tc>
          <w:tcPr>
            <w:tcW w:w="662" w:type="dxa"/>
            <w:tcBorders>
              <w:top w:val="single" w:sz="4" w:space="0" w:color="231F20"/>
              <w:bottom w:val="double" w:sz="7" w:space="0" w:color="231F20"/>
            </w:tcBorders>
          </w:tcPr>
          <w:p>
            <w:pPr>
              <w:pStyle w:val="TableParagraph"/>
              <w:spacing w:before="53"/>
              <w:ind w:right="48"/>
              <w:rPr>
                <w:sz w:val="20"/>
              </w:rPr>
            </w:pPr>
            <w:r>
              <w:rPr>
                <w:color w:val="231F20"/>
                <w:sz w:val="20"/>
              </w:rPr>
              <w:t>1,410</w:t>
            </w:r>
          </w:p>
        </w:tc>
      </w:tr>
    </w:tbl>
    <w:p>
      <w:pPr>
        <w:pStyle w:val="BodyText"/>
        <w:rPr>
          <w:sz w:val="25"/>
        </w:rPr>
      </w:pPr>
    </w:p>
    <w:p>
      <w:pPr>
        <w:pStyle w:val="BodyText"/>
        <w:spacing w:line="249" w:lineRule="auto" w:before="1"/>
        <w:ind w:left="360" w:right="248" w:hanging="200"/>
      </w:pP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1880" w:h="15480"/>
          <w:pgMar w:top="1200" w:bottom="280" w:left="1160" w:right="1160"/>
        </w:sectPr>
      </w:pPr>
    </w:p>
    <w:p>
      <w:pPr>
        <w:pStyle w:val="BodyText"/>
        <w:spacing w:line="249" w:lineRule="auto" w:before="73"/>
        <w:ind w:left="120" w:right="315" w:firstLine="490"/>
      </w:pPr>
      <w:r>
        <w:rPr>
          <w:color w:val="231F20"/>
        </w:rPr>
        <w:t>In addition, the Company also had the following amounts associated with fuel derivative instruments and hedging activities in its Consolidated Balance Sheet:</w:t>
      </w:r>
    </w:p>
    <w:p>
      <w:pPr>
        <w:spacing w:after="0" w:line="249" w:lineRule="auto"/>
        <w:sectPr>
          <w:footerReference w:type="default" r:id="rId23"/>
          <w:pgSz w:w="11880" w:h="15480"/>
          <w:pgMar w:footer="1253" w:header="0" w:top="1240" w:bottom="1440" w:left="1260" w:right="1260"/>
        </w:sectPr>
      </w:pPr>
    </w:p>
    <w:p>
      <w:pPr>
        <w:pStyle w:val="BodyText"/>
        <w:spacing w:before="11"/>
        <w:rPr>
          <w:sz w:val="21"/>
        </w:rPr>
      </w:pPr>
    </w:p>
    <w:p>
      <w:pPr>
        <w:pStyle w:val="Heading3"/>
        <w:ind w:left="120"/>
      </w:pPr>
      <w:r>
        <w:rPr/>
        <w:pict>
          <v:line style="position:absolute;mso-position-horizontal-relative:page;mso-position-vertical-relative:paragraph;z-index:5416" from="69pt,12.835962pt" to="228.65pt,12.835962pt" stroked="true" strokeweight="1pt" strokecolor="#231f20">
            <v:stroke dashstyle="solid"/>
            <w10:wrap type="none"/>
          </v:line>
        </w:pict>
      </w:r>
      <w:r>
        <w:rPr>
          <w:color w:val="231F20"/>
        </w:rPr>
        <w:t>(in millions)</w:t>
      </w:r>
    </w:p>
    <w:p>
      <w:pPr>
        <w:pStyle w:val="BodyText"/>
        <w:spacing w:before="69"/>
        <w:ind w:left="120"/>
      </w:pPr>
      <w:r>
        <w:rPr>
          <w:color w:val="231F20"/>
        </w:rPr>
        <w:t>Cash collateral deposits provided</w:t>
      </w:r>
    </w:p>
    <w:p>
      <w:pPr>
        <w:pStyle w:val="Heading3"/>
        <w:spacing w:line="200" w:lineRule="exact" w:before="79"/>
        <w:ind w:left="123"/>
        <w:jc w:val="center"/>
      </w:pPr>
      <w:r>
        <w:rPr>
          <w:b w:val="0"/>
        </w:rPr>
        <w:br w:type="column"/>
      </w:r>
      <w:r>
        <w:rPr>
          <w:color w:val="231F20"/>
        </w:rPr>
        <w:t>Balance Sheet</w:t>
      </w:r>
      <w:r>
        <w:rPr>
          <w:color w:val="231F20"/>
          <w:w w:val="100"/>
        </w:rPr>
        <w:t> </w:t>
      </w:r>
      <w:r>
        <w:rPr>
          <w:color w:val="231F20"/>
        </w:rPr>
        <w:t>location</w:t>
      </w:r>
    </w:p>
    <w:p>
      <w:pPr>
        <w:pStyle w:val="BodyText"/>
        <w:spacing w:before="72"/>
        <w:ind w:left="120"/>
        <w:jc w:val="center"/>
      </w:pPr>
      <w:r>
        <w:rPr/>
        <w:pict>
          <v:line style="position:absolute;mso-position-horizontal-relative:page;mso-position-vertical-relative:paragraph;z-index:5440" from="238.649994pt,1.435962pt" to="388.299994pt,1.435962pt" stroked="true" strokeweight="1pt" strokecolor="#231f20">
            <v:stroke dashstyle="solid"/>
            <w10:wrap type="none"/>
          </v:line>
        </w:pict>
      </w:r>
      <w:r>
        <w:rPr>
          <w:color w:val="231F20"/>
        </w:rPr>
        <w:t>Offset against Other</w:t>
      </w:r>
    </w:p>
    <w:p>
      <w:pPr>
        <w:pStyle w:val="Heading3"/>
        <w:spacing w:line="215" w:lineRule="exact" w:before="53"/>
        <w:ind w:left="120"/>
        <w:jc w:val="center"/>
      </w:pPr>
      <w:r>
        <w:rPr>
          <w:b w:val="0"/>
        </w:rPr>
        <w:br w:type="column"/>
      </w:r>
      <w:r>
        <w:rPr>
          <w:color w:val="231F20"/>
        </w:rPr>
        <w:t>December 31,</w:t>
      </w:r>
    </w:p>
    <w:p>
      <w:pPr>
        <w:spacing w:line="215" w:lineRule="exact" w:before="0"/>
        <w:ind w:left="118" w:right="0" w:firstLine="0"/>
        <w:jc w:val="center"/>
        <w:rPr>
          <w:b/>
          <w:sz w:val="20"/>
        </w:rPr>
      </w:pPr>
      <w:r>
        <w:rPr/>
        <w:pict>
          <v:line style="position:absolute;mso-position-horizontal-relative:page;mso-position-vertical-relative:paragraph;z-index:5464" from="398.299988pt,12.086451pt" to="456.649988pt,12.086451pt" stroked="true" strokeweight="1pt" strokecolor="#231f20">
            <v:stroke dashstyle="solid"/>
            <w10:wrap type="none"/>
          </v:line>
        </w:pict>
      </w:r>
      <w:r>
        <w:rPr>
          <w:b/>
          <w:color w:val="231F20"/>
          <w:sz w:val="20"/>
        </w:rPr>
        <w:t>2012</w:t>
      </w:r>
    </w:p>
    <w:p>
      <w:pPr>
        <w:spacing w:line="215" w:lineRule="exact" w:before="53"/>
        <w:ind w:left="100" w:right="100" w:firstLine="0"/>
        <w:jc w:val="center"/>
        <w:rPr>
          <w:b/>
          <w:sz w:val="20"/>
        </w:rPr>
      </w:pPr>
      <w:r>
        <w:rPr/>
        <w:br w:type="column"/>
      </w:r>
      <w:r>
        <w:rPr>
          <w:b/>
          <w:color w:val="231F20"/>
          <w:sz w:val="20"/>
        </w:rPr>
        <w:t>December 31,</w:t>
      </w:r>
    </w:p>
    <w:p>
      <w:pPr>
        <w:spacing w:line="215" w:lineRule="exact" w:before="0"/>
        <w:ind w:left="100" w:right="100" w:firstLine="0"/>
        <w:jc w:val="center"/>
        <w:rPr>
          <w:b/>
          <w:sz w:val="20"/>
        </w:rPr>
      </w:pPr>
      <w:r>
        <w:rPr>
          <w:b/>
          <w:color w:val="231F20"/>
          <w:sz w:val="20"/>
        </w:rPr>
        <w:t>2011</w:t>
      </w:r>
    </w:p>
    <w:p>
      <w:pPr>
        <w:pStyle w:val="BodyText"/>
        <w:spacing w:line="20" w:lineRule="exact"/>
        <w:ind w:left="110"/>
        <w:rPr>
          <w:sz w:val="2"/>
        </w:rPr>
      </w:pPr>
      <w:r>
        <w:rPr>
          <w:sz w:val="2"/>
        </w:rPr>
        <w:pict>
          <v:group style="width:59.35pt;height:1pt;mso-position-horizontal-relative:char;mso-position-vertical-relative:line" coordorigin="0,0" coordsize="1187,20">
            <v:line style="position:absolute" from="10,10" to="1177,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4" w:equalWidth="0">
            <w:col w:w="2786" w:space="1291"/>
            <w:col w:w="1745" w:space="764"/>
            <w:col w:w="1288" w:space="79"/>
            <w:col w:w="1407"/>
          </w:cols>
        </w:sectPr>
      </w:pPr>
    </w:p>
    <w:p>
      <w:pPr>
        <w:pStyle w:val="BodyText"/>
        <w:spacing w:line="214" w:lineRule="exact"/>
        <w:ind w:left="320"/>
      </w:pPr>
      <w:r>
        <w:rPr>
          <w:color w:val="231F20"/>
        </w:rPr>
        <w:t>to counterparties—noncurrent   . . . . . </w:t>
      </w:r>
    </w:p>
    <w:p>
      <w:pPr>
        <w:pStyle w:val="BodyText"/>
        <w:spacing w:line="220" w:lineRule="exact"/>
        <w:ind w:left="120"/>
      </w:pPr>
      <w:r>
        <w:rPr>
          <w:color w:val="231F20"/>
        </w:rPr>
        <w:t>Cash collateral deposits provided</w:t>
      </w:r>
    </w:p>
    <w:p>
      <w:pPr>
        <w:pStyle w:val="BodyText"/>
        <w:spacing w:line="220" w:lineRule="exact"/>
        <w:ind w:left="320"/>
      </w:pPr>
      <w:r>
        <w:rPr>
          <w:color w:val="231F20"/>
        </w:rPr>
        <w:t>to counterparties—current   . . . . . . . . </w:t>
      </w:r>
    </w:p>
    <w:p>
      <w:pPr>
        <w:pStyle w:val="BodyText"/>
        <w:spacing w:line="225" w:lineRule="exact"/>
        <w:ind w:left="120"/>
      </w:pPr>
      <w:r>
        <w:rPr>
          <w:color w:val="231F20"/>
        </w:rPr>
        <w:t>Due to third parties for fuel</w:t>
      </w:r>
    </w:p>
    <w:p>
      <w:pPr>
        <w:pStyle w:val="BodyText"/>
        <w:tabs>
          <w:tab w:pos="2739" w:val="left" w:leader="none"/>
          <w:tab w:pos="3606" w:val="left" w:leader="none"/>
          <w:tab w:pos="4106" w:val="left" w:leader="none"/>
          <w:tab w:pos="5273" w:val="right" w:leader="none"/>
        </w:tabs>
        <w:spacing w:line="214" w:lineRule="exact"/>
        <w:ind w:left="210"/>
      </w:pPr>
      <w:r>
        <w:rPr/>
        <w:br w:type="column"/>
      </w:r>
      <w:r>
        <w:rPr>
          <w:color w:val="231F20"/>
        </w:rPr>
        <w:t>noncurrent</w:t>
      </w:r>
      <w:r>
        <w:rPr>
          <w:color w:val="231F20"/>
          <w:spacing w:val="1"/>
        </w:rPr>
        <w:t> </w:t>
      </w:r>
      <w:r>
        <w:rPr>
          <w:color w:val="231F20"/>
        </w:rPr>
        <w:t>liabilities</w:t>
        <w:tab/>
        <w:t>$</w:t>
        <w:tab/>
        <w:t>—</w:t>
        <w:tab/>
        <w:t>$</w:t>
        <w:tab/>
        <w:t>41</w:t>
      </w:r>
    </w:p>
    <w:p>
      <w:pPr>
        <w:pStyle w:val="BodyText"/>
        <w:spacing w:line="220" w:lineRule="exact"/>
        <w:ind w:left="120"/>
      </w:pPr>
      <w:r>
        <w:rPr>
          <w:color w:val="231F20"/>
        </w:rPr>
        <w:t>Offset against Accrued</w:t>
      </w:r>
    </w:p>
    <w:p>
      <w:pPr>
        <w:pStyle w:val="BodyText"/>
        <w:tabs>
          <w:tab w:pos="3606" w:val="left" w:leader="none"/>
          <w:tab w:pos="5273" w:val="right" w:leader="none"/>
        </w:tabs>
        <w:spacing w:line="225" w:lineRule="exact"/>
        <w:ind w:left="668"/>
      </w:pPr>
      <w:r>
        <w:rPr>
          <w:color w:val="231F20"/>
        </w:rPr>
        <w:t>liabilities</w:t>
        <w:tab/>
        <w:t>—</w:t>
        <w:tab/>
        <w:t>185</w:t>
      </w:r>
    </w:p>
    <w:p>
      <w:pPr>
        <w:spacing w:after="0" w:line="225" w:lineRule="exact"/>
        <w:sectPr>
          <w:type w:val="continuous"/>
          <w:pgSz w:w="11880" w:h="15480"/>
          <w:pgMar w:top="1200" w:bottom="280" w:left="1260" w:right="1260"/>
          <w:cols w:num="2" w:equalWidth="0">
            <w:col w:w="3364" w:space="602"/>
            <w:col w:w="5394"/>
          </w:cols>
        </w:sectPr>
      </w:pPr>
    </w:p>
    <w:p>
      <w:pPr>
        <w:pStyle w:val="BodyText"/>
        <w:tabs>
          <w:tab w:pos="4270" w:val="left" w:leader="none"/>
          <w:tab w:pos="7572" w:val="left" w:leader="none"/>
          <w:tab w:pos="9239" w:val="right" w:leader="none"/>
        </w:tabs>
        <w:spacing w:line="220" w:lineRule="exact"/>
        <w:ind w:left="320"/>
      </w:pPr>
      <w:r>
        <w:rPr>
          <w:color w:val="231F20"/>
        </w:rPr>
        <w:t>contracts  . . . . . . . . . . . . . . . . . . . .</w:t>
      </w:r>
      <w:r>
        <w:rPr>
          <w:color w:val="231F20"/>
          <w:spacing w:val="21"/>
        </w:rPr>
        <w:t> </w:t>
      </w:r>
      <w:r>
        <w:rPr>
          <w:color w:val="231F20"/>
        </w:rPr>
        <w:t>. .</w:t>
        <w:tab/>
        <w:t>Accrued liabilities</w:t>
        <w:tab/>
        <w:t>—</w:t>
        <w:tab/>
        <w:t>21</w:t>
      </w:r>
    </w:p>
    <w:p>
      <w:pPr>
        <w:spacing w:after="0" w:line="220" w:lineRule="exact"/>
        <w:sectPr>
          <w:type w:val="continuous"/>
          <w:pgSz w:w="11880" w:h="15480"/>
          <w:pgMar w:top="1200" w:bottom="280" w:left="1260" w:right="1260"/>
        </w:sectPr>
      </w:pPr>
    </w:p>
    <w:p>
      <w:pPr>
        <w:pStyle w:val="BodyText"/>
        <w:spacing w:line="215" w:lineRule="exact"/>
        <w:ind w:left="119"/>
      </w:pPr>
      <w:r>
        <w:rPr>
          <w:color w:val="231F20"/>
        </w:rPr>
        <w:t>Receivable from third parties for</w:t>
      </w:r>
    </w:p>
    <w:p>
      <w:pPr>
        <w:pStyle w:val="BodyText"/>
        <w:spacing w:line="220" w:lineRule="exact"/>
        <w:ind w:left="319"/>
      </w:pPr>
      <w:r>
        <w:rPr>
          <w:color w:val="231F20"/>
        </w:rPr>
        <w:t>fuel contracts—current  . . . . . . . . . . . </w:t>
      </w:r>
    </w:p>
    <w:p>
      <w:pPr>
        <w:pStyle w:val="BodyText"/>
        <w:spacing w:line="225" w:lineRule="exact"/>
        <w:ind w:left="119"/>
      </w:pPr>
      <w:r>
        <w:rPr>
          <w:color w:val="231F20"/>
        </w:rPr>
        <w:t>Receivable from third parties for</w:t>
      </w:r>
    </w:p>
    <w:p>
      <w:pPr>
        <w:pStyle w:val="BodyText"/>
        <w:spacing w:line="215" w:lineRule="exact"/>
        <w:ind w:left="120"/>
      </w:pPr>
      <w:r>
        <w:rPr/>
        <w:br w:type="column"/>
      </w:r>
      <w:r>
        <w:rPr>
          <w:color w:val="231F20"/>
        </w:rPr>
        <w:t>Accounts and other</w:t>
      </w:r>
    </w:p>
    <w:p>
      <w:pPr>
        <w:pStyle w:val="BodyText"/>
        <w:tabs>
          <w:tab w:pos="3461" w:val="left" w:leader="none"/>
          <w:tab w:pos="5128" w:val="right" w:leader="none"/>
        </w:tabs>
        <w:spacing w:line="225" w:lineRule="exact"/>
        <w:ind w:left="447"/>
      </w:pPr>
      <w:r>
        <w:rPr>
          <w:color w:val="231F20"/>
        </w:rPr>
        <w:t>receivables</w:t>
        <w:tab/>
        <w:t>—</w:t>
        <w:tab/>
        <w:t>3</w:t>
      </w:r>
    </w:p>
    <w:p>
      <w:pPr>
        <w:spacing w:after="0" w:line="225" w:lineRule="exact"/>
        <w:sectPr>
          <w:type w:val="continuous"/>
          <w:pgSz w:w="11880" w:h="15480"/>
          <w:pgMar w:top="1200" w:bottom="280" w:left="1260" w:right="1260"/>
          <w:cols w:num="2" w:equalWidth="0">
            <w:col w:w="3364" w:space="747"/>
            <w:col w:w="5249"/>
          </w:cols>
        </w:sectPr>
      </w:pPr>
    </w:p>
    <w:p>
      <w:pPr>
        <w:pStyle w:val="BodyText"/>
        <w:tabs>
          <w:tab w:pos="4521" w:val="left" w:leader="none"/>
          <w:tab w:pos="7672" w:val="left" w:leader="none"/>
          <w:tab w:pos="8939" w:val="left" w:leader="none"/>
        </w:tabs>
        <w:spacing w:line="215" w:lineRule="exact"/>
        <w:ind w:left="319"/>
      </w:pPr>
      <w:r>
        <w:rPr>
          <w:color w:val="231F20"/>
        </w:rPr>
        <w:t>fuel contracts—noncurrent  . . . . . .</w:t>
      </w:r>
      <w:r>
        <w:rPr>
          <w:color w:val="231F20"/>
          <w:spacing w:val="-7"/>
        </w:rPr>
        <w:t> </w:t>
      </w:r>
      <w:r>
        <w:rPr>
          <w:color w:val="231F20"/>
        </w:rPr>
        <w:t>. .</w:t>
        <w:tab/>
        <w:t>Other assets</w:t>
        <w:tab/>
        <w:t>54</w:t>
        <w:tab/>
        <w:t>—</w:t>
      </w:r>
    </w:p>
    <w:p>
      <w:pPr>
        <w:pStyle w:val="BodyText"/>
        <w:spacing w:line="220" w:lineRule="exact"/>
        <w:ind w:left="119"/>
      </w:pPr>
      <w:r>
        <w:rPr>
          <w:color w:val="231F20"/>
        </w:rPr>
        <w:t>Prepaid settlement for</w:t>
      </w:r>
    </w:p>
    <w:p>
      <w:pPr>
        <w:pStyle w:val="BodyText"/>
        <w:tabs>
          <w:tab w:pos="4316" w:val="left" w:leader="none"/>
          <w:tab w:pos="7672" w:val="left" w:leader="none"/>
          <w:tab w:pos="8939" w:val="left" w:leader="none"/>
        </w:tabs>
        <w:spacing w:line="225" w:lineRule="exact"/>
        <w:ind w:left="519" w:hanging="200"/>
      </w:pPr>
      <w:r>
        <w:rPr>
          <w:color w:val="231F20"/>
        </w:rPr>
        <w:t>fuel contracts—current  . . . . . . . . .</w:t>
      </w:r>
      <w:r>
        <w:rPr>
          <w:color w:val="231F20"/>
          <w:spacing w:val="-7"/>
        </w:rPr>
        <w:t> </w:t>
      </w:r>
      <w:r>
        <w:rPr>
          <w:color w:val="231F20"/>
        </w:rPr>
        <w:t>. .</w:t>
        <w:tab/>
        <w:t>Prepaid</w:t>
      </w:r>
      <w:r>
        <w:rPr>
          <w:color w:val="231F20"/>
          <w:spacing w:val="1"/>
        </w:rPr>
        <w:t> </w:t>
      </w:r>
      <w:r>
        <w:rPr>
          <w:color w:val="231F20"/>
        </w:rPr>
        <w:t>expenses</w:t>
        <w:tab/>
        <w:t>15</w:t>
        <w:tab/>
        <w:t>—</w:t>
      </w:r>
    </w:p>
    <w:p>
      <w:pPr>
        <w:pStyle w:val="BodyText"/>
        <w:spacing w:line="249" w:lineRule="auto" w:before="102"/>
        <w:ind w:left="119" w:firstLine="400"/>
      </w:pPr>
      <w:r>
        <w:rPr>
          <w:color w:val="231F20"/>
        </w:rPr>
        <w:t>The following tables present the impact of derivative instruments and their location within the Consolidated Statement of Income for the years ended December 31, 2012 and 2011:</w:t>
      </w:r>
    </w:p>
    <w:p>
      <w:pPr>
        <w:pStyle w:val="Heading3"/>
        <w:spacing w:before="53"/>
        <w:ind w:left="119"/>
      </w:pPr>
      <w:r>
        <w:rPr/>
        <w:pict>
          <v:line style="position:absolute;mso-position-horizontal-relative:page;mso-position-vertical-relative:paragraph;z-index:5488" from="69pt,15.48595pt" to="525pt,15.48595pt" stroked="true" strokeweight="1pt" strokecolor="#231f20">
            <v:stroke dashstyle="solid"/>
            <w10:wrap type="none"/>
          </v:line>
        </w:pict>
      </w:r>
      <w:r>
        <w:rPr>
          <w:color w:val="231F20"/>
        </w:rPr>
        <w:t>Derivatives in cash flow hedging relationships</w:t>
      </w:r>
    </w:p>
    <w:p>
      <w:pPr>
        <w:spacing w:after="0"/>
        <w:sectPr>
          <w:type w:val="continuous"/>
          <w:pgSz w:w="11880" w:h="15480"/>
          <w:pgMar w:top="1200" w:bottom="280" w:left="1260" w:right="1260"/>
        </w:sectPr>
      </w:pPr>
    </w:p>
    <w:p>
      <w:pPr>
        <w:pStyle w:val="BodyText"/>
        <w:rPr>
          <w:b/>
          <w:sz w:val="24"/>
        </w:rPr>
      </w:pPr>
    </w:p>
    <w:p>
      <w:pPr>
        <w:spacing w:line="200" w:lineRule="exact" w:before="0"/>
        <w:ind w:left="2846" w:right="-19" w:firstLine="526"/>
        <w:jc w:val="left"/>
        <w:rPr>
          <w:b/>
          <w:sz w:val="20"/>
        </w:rPr>
      </w:pPr>
      <w:r>
        <w:rPr>
          <w:b/>
          <w:color w:val="231F20"/>
          <w:sz w:val="20"/>
        </w:rPr>
        <w:t>(Gain) loss recognized in AOCI on</w:t>
      </w:r>
      <w:r>
        <w:rPr>
          <w:b/>
          <w:color w:val="231F20"/>
          <w:w w:val="99"/>
          <w:sz w:val="20"/>
        </w:rPr>
        <w:t> </w:t>
      </w:r>
      <w:r>
        <w:rPr>
          <w:b/>
          <w:color w:val="231F20"/>
          <w:sz w:val="20"/>
        </w:rPr>
        <w:t>derivatives (effective</w:t>
      </w:r>
    </w:p>
    <w:p>
      <w:pPr>
        <w:spacing w:line="203" w:lineRule="exact" w:before="0"/>
        <w:ind w:left="3244" w:right="402" w:firstLine="0"/>
        <w:jc w:val="center"/>
        <w:rPr>
          <w:b/>
          <w:sz w:val="20"/>
        </w:rPr>
      </w:pPr>
      <w:r>
        <w:rPr/>
        <w:pict>
          <v:line style="position:absolute;mso-position-horizontal-relative:page;mso-position-vertical-relative:paragraph;z-index:5512" from="205.300003pt,11.500012pt" to="303.900003pt,11.500012pt" stroked="true" strokeweight="1pt" strokecolor="#231f20">
            <v:stroke dashstyle="solid"/>
            <w10:wrap type="none"/>
          </v:line>
        </w:pict>
      </w:r>
      <w:r>
        <w:rPr>
          <w:b/>
          <w:color w:val="231F20"/>
          <w:sz w:val="20"/>
        </w:rPr>
        <w:t>portion)</w:t>
      </w:r>
    </w:p>
    <w:p>
      <w:pPr>
        <w:spacing w:line="200" w:lineRule="exact" w:before="77"/>
        <w:ind w:left="3248" w:right="402" w:firstLine="0"/>
        <w:jc w:val="center"/>
        <w:rPr>
          <w:b/>
          <w:sz w:val="20"/>
        </w:rPr>
      </w:pPr>
      <w:r>
        <w:rPr>
          <w:b/>
          <w:color w:val="231F20"/>
          <w:sz w:val="20"/>
        </w:rPr>
        <w:t>Year ended December 31,</w:t>
      </w:r>
    </w:p>
    <w:p>
      <w:pPr>
        <w:pStyle w:val="BodyText"/>
        <w:rPr>
          <w:b/>
          <w:sz w:val="24"/>
        </w:rPr>
      </w:pPr>
      <w:r>
        <w:rPr/>
        <w:br w:type="column"/>
      </w:r>
      <w:r>
        <w:rPr>
          <w:b/>
          <w:sz w:val="24"/>
        </w:rPr>
      </w:r>
    </w:p>
    <w:p>
      <w:pPr>
        <w:spacing w:line="200" w:lineRule="exact" w:before="0"/>
        <w:ind w:left="198" w:right="-15" w:firstLine="541"/>
        <w:jc w:val="left"/>
        <w:rPr>
          <w:b/>
          <w:sz w:val="20"/>
        </w:rPr>
      </w:pPr>
      <w:r>
        <w:rPr>
          <w:b/>
          <w:color w:val="231F20"/>
          <w:sz w:val="20"/>
        </w:rPr>
        <w:t>(Gain) loss reclassified from AOCI into income (effective</w:t>
      </w:r>
    </w:p>
    <w:p>
      <w:pPr>
        <w:spacing w:line="203" w:lineRule="exact" w:before="0"/>
        <w:ind w:left="707" w:right="0" w:firstLine="24"/>
        <w:jc w:val="left"/>
        <w:rPr>
          <w:b/>
          <w:sz w:val="20"/>
        </w:rPr>
      </w:pPr>
      <w:r>
        <w:rPr/>
        <w:pict>
          <v:line style="position:absolute;mso-position-horizontal-relative:page;mso-position-vertical-relative:paragraph;z-index:5536" from="315.899994pt,11.500012pt" to="415.999994pt,11.500012pt" stroked="true" strokeweight="1pt" strokecolor="#231f20">
            <v:stroke dashstyle="solid"/>
            <w10:wrap type="none"/>
          </v:line>
        </w:pict>
      </w:r>
      <w:r>
        <w:rPr>
          <w:b/>
          <w:color w:val="231F20"/>
          <w:sz w:val="20"/>
        </w:rPr>
        <w:t>portion)(a)</w:t>
      </w:r>
    </w:p>
    <w:p>
      <w:pPr>
        <w:spacing w:line="200" w:lineRule="exact" w:before="77"/>
        <w:ind w:left="615" w:right="401" w:firstLine="92"/>
        <w:jc w:val="left"/>
        <w:rPr>
          <w:b/>
          <w:sz w:val="20"/>
        </w:rPr>
      </w:pPr>
      <w:r>
        <w:rPr>
          <w:b/>
          <w:color w:val="231F20"/>
          <w:sz w:val="20"/>
        </w:rPr>
        <w:t>Year ended December 31,</w:t>
      </w:r>
    </w:p>
    <w:p>
      <w:pPr>
        <w:spacing w:line="200" w:lineRule="exact" w:before="76"/>
        <w:ind w:left="267" w:right="187" w:hanging="1"/>
        <w:jc w:val="center"/>
        <w:rPr>
          <w:b/>
          <w:sz w:val="20"/>
        </w:rPr>
      </w:pPr>
      <w:r>
        <w:rPr/>
        <w:br w:type="column"/>
      </w:r>
      <w:r>
        <w:rPr>
          <w:b/>
          <w:color w:val="231F20"/>
          <w:sz w:val="20"/>
        </w:rPr>
        <w:t>(Gain) loss recognized in income</w:t>
      </w:r>
      <w:r>
        <w:rPr>
          <w:b/>
          <w:color w:val="231F20"/>
          <w:w w:val="100"/>
          <w:sz w:val="20"/>
        </w:rPr>
        <w:t> </w:t>
      </w:r>
      <w:r>
        <w:rPr>
          <w:b/>
          <w:color w:val="231F20"/>
          <w:sz w:val="20"/>
        </w:rPr>
        <w:t>on derivatives (ineffective portion)(b)</w:t>
      </w:r>
    </w:p>
    <w:p>
      <w:pPr>
        <w:pStyle w:val="BodyText"/>
        <w:spacing w:line="20" w:lineRule="exact"/>
        <w:ind w:left="188"/>
        <w:rPr>
          <w:sz w:val="2"/>
        </w:rPr>
      </w:pPr>
      <w:r>
        <w:rPr>
          <w:sz w:val="2"/>
        </w:rPr>
        <w:pict>
          <v:group style="width:98pt;height:1pt;mso-position-horizontal-relative:char;mso-position-vertical-relative:line" coordorigin="0,0" coordsize="1960,20">
            <v:line style="position:absolute" from="10,10" to="1950,10" stroked="true" strokeweight="1pt" strokecolor="#231f20">
              <v:stroke dashstyle="solid"/>
            </v:line>
          </v:group>
        </w:pict>
      </w:r>
      <w:r>
        <w:rPr>
          <w:sz w:val="2"/>
        </w:rPr>
      </w:r>
    </w:p>
    <w:p>
      <w:pPr>
        <w:spacing w:line="200" w:lineRule="exact" w:before="59"/>
        <w:ind w:left="584" w:right="504" w:firstLine="0"/>
        <w:jc w:val="center"/>
        <w:rPr>
          <w:b/>
          <w:sz w:val="20"/>
        </w:rPr>
      </w:pPr>
      <w:r>
        <w:rPr>
          <w:b/>
          <w:color w:val="231F20"/>
          <w:sz w:val="20"/>
        </w:rPr>
        <w:t>Year ended December 31,</w:t>
      </w:r>
    </w:p>
    <w:p>
      <w:pPr>
        <w:spacing w:after="0" w:line="200" w:lineRule="exact"/>
        <w:jc w:val="center"/>
        <w:rPr>
          <w:sz w:val="20"/>
        </w:rPr>
        <w:sectPr>
          <w:type w:val="continuous"/>
          <w:pgSz w:w="11880" w:h="15480"/>
          <w:pgMar w:top="1200" w:bottom="280" w:left="1260" w:right="1260"/>
          <w:cols w:num="3" w:equalWidth="0">
            <w:col w:w="4820" w:space="40"/>
            <w:col w:w="2203" w:space="40"/>
            <w:col w:w="2257"/>
          </w:cols>
        </w:sectPr>
      </w:pPr>
    </w:p>
    <w:p>
      <w:pPr>
        <w:tabs>
          <w:tab w:pos="3078" w:val="left" w:leader="none"/>
          <w:tab w:pos="4184" w:val="left" w:leader="none"/>
          <w:tab w:pos="5297" w:val="left" w:leader="none"/>
          <w:tab w:pos="6418" w:val="left" w:leader="none"/>
          <w:tab w:pos="7524" w:val="left" w:leader="none"/>
          <w:tab w:pos="8614" w:val="left" w:leader="none"/>
        </w:tabs>
        <w:spacing w:line="203" w:lineRule="exact" w:before="0"/>
        <w:ind w:left="120" w:right="0" w:firstLine="0"/>
        <w:jc w:val="left"/>
        <w:rPr>
          <w:b/>
          <w:sz w:val="20"/>
        </w:rPr>
      </w:pPr>
      <w:r>
        <w:rPr/>
        <w:pict>
          <v:shape style="position:absolute;margin-left:69pt;margin-top:11.481982pt;width:179.6pt;height:.1pt;mso-position-horizontal-relative:page;mso-position-vertical-relative:paragraph;z-index:5560" coordorigin="1380,230" coordsize="3592,0" path="m1380,230l3906,230m3906,230l4972,230e" filled="false" stroked="true" strokeweight="1pt" strokecolor="#231f20">
            <v:path arrowok="t"/>
            <v:stroke dashstyle="solid"/>
            <w10:wrap type="none"/>
          </v:shape>
        </w:pict>
      </w:r>
      <w:r>
        <w:rPr/>
        <w:pict>
          <v:line style="position:absolute;mso-position-horizontal-relative:page;mso-position-vertical-relative:paragraph;z-index:5584" from="260.600006pt,11.481982pt" to="303.900006pt,11.481982pt" stroked="true" strokeweight="1pt" strokecolor="#231f20">
            <v:stroke dashstyle="solid"/>
            <w10:wrap type="none"/>
          </v:line>
        </w:pict>
      </w:r>
      <w:r>
        <w:rPr/>
        <w:pict>
          <v:line style="position:absolute;mso-position-horizontal-relative:page;mso-position-vertical-relative:paragraph;z-index:5608" from="315.899994pt,11.481982pt" to="359.949994pt,11.481982pt" stroked="true" strokeweight="1pt" strokecolor="#231f20">
            <v:stroke dashstyle="solid"/>
            <w10:wrap type="none"/>
          </v:line>
        </w:pict>
      </w:r>
      <w:r>
        <w:rPr/>
        <w:pict>
          <v:line style="position:absolute;mso-position-horizontal-relative:page;mso-position-vertical-relative:paragraph;z-index:5632" from="371.950012pt,11.481982pt" to="416.000012pt,11.481982pt" stroked="true" strokeweight="1pt" strokecolor="#231f20">
            <v:stroke dashstyle="solid"/>
            <w10:wrap type="none"/>
          </v:line>
        </w:pict>
      </w:r>
      <w:r>
        <w:rPr/>
        <w:pict>
          <v:line style="position:absolute;mso-position-horizontal-relative:page;mso-position-vertical-relative:paragraph;z-index:5656" from="428pt,11.481982pt" to="470.5pt,11.481982pt" stroked="true" strokeweight="1pt" strokecolor="#231f20">
            <v:stroke dashstyle="solid"/>
            <w10:wrap type="none"/>
          </v:line>
        </w:pict>
      </w:r>
      <w:r>
        <w:rPr/>
        <w:pict>
          <v:line style="position:absolute;mso-position-horizontal-relative:page;mso-position-vertical-relative:paragraph;z-index:5680" from="482.5pt,11.481982pt" to="525pt,11.481982pt" stroked="true" strokeweight="1pt" strokecolor="#231f20">
            <v:stroke dashstyle="solid"/>
            <w10:wrap type="none"/>
          </v:line>
        </w:pict>
      </w:r>
      <w:r>
        <w:rPr>
          <w:b/>
          <w:color w:val="231F20"/>
          <w:sz w:val="20"/>
        </w:rPr>
        <w:t>(in millions)</w:t>
        <w:tab/>
        <w:t>2012</w:t>
        <w:tab/>
        <w:t>2011</w:t>
        <w:tab/>
        <w:t>2012</w:t>
        <w:tab/>
        <w:t>2011</w:t>
        <w:tab/>
        <w:t>2012</w:t>
        <w:tab/>
        <w:t>2011</w:t>
      </w:r>
    </w:p>
    <w:p>
      <w:pPr>
        <w:pStyle w:val="BodyText"/>
        <w:tabs>
          <w:tab w:pos="3384" w:val="left" w:leader="none"/>
          <w:tab w:pos="4557" w:val="left" w:leader="none"/>
          <w:tab w:pos="5578" w:val="left" w:leader="none"/>
          <w:tab w:pos="6699" w:val="left" w:leader="none"/>
          <w:tab w:pos="7889" w:val="left" w:leader="none"/>
          <w:tab w:pos="8389" w:val="left" w:leader="none"/>
          <w:tab w:pos="9179" w:val="right" w:leader="none"/>
        </w:tabs>
        <w:spacing w:line="225" w:lineRule="exact" w:before="70"/>
        <w:ind w:left="120"/>
      </w:pPr>
      <w:r>
        <w:rPr>
          <w:color w:val="231F20"/>
        </w:rPr>
        <w:t>Fuel derivative contracts  . . . .</w:t>
      </w:r>
      <w:r>
        <w:rPr>
          <w:color w:val="231F20"/>
          <w:spacing w:val="-3"/>
        </w:rPr>
        <w:t> </w:t>
      </w:r>
      <w:r>
        <w:rPr>
          <w:color w:val="231F20"/>
        </w:rPr>
        <w:t>.    $</w:t>
        <w:tab/>
        <w:t>(19)* </w:t>
      </w:r>
      <w:r>
        <w:rPr>
          <w:color w:val="231F20"/>
          <w:spacing w:val="33"/>
        </w:rPr>
        <w:t> </w:t>
      </w:r>
      <w:r>
        <w:rPr>
          <w:color w:val="231F20"/>
        </w:rPr>
        <w:t>$</w:t>
        <w:tab/>
        <w:t>44*    $</w:t>
        <w:tab/>
        <w:t>101*    $</w:t>
        <w:tab/>
        <w:t>111*    $</w:t>
        <w:tab/>
        <w:t>43</w:t>
        <w:tab/>
        <w:t>$</w:t>
        <w:tab/>
        <w:t>35</w:t>
      </w:r>
    </w:p>
    <w:p>
      <w:pPr>
        <w:pStyle w:val="BodyText"/>
        <w:tabs>
          <w:tab w:pos="3384" w:val="left" w:leader="none"/>
          <w:tab w:pos="3551" w:val="left" w:leader="none"/>
          <w:tab w:pos="3951" w:val="left" w:leader="none"/>
          <w:tab w:pos="4557" w:val="left" w:leader="none"/>
          <w:tab w:pos="5057" w:val="left" w:leader="none"/>
          <w:tab w:pos="5578" w:val="left" w:leader="none"/>
          <w:tab w:pos="6178" w:val="left" w:leader="none"/>
          <w:tab w:pos="6699" w:val="left" w:leader="none"/>
          <w:tab w:pos="7299" w:val="left" w:leader="none"/>
          <w:tab w:pos="7789" w:val="left" w:leader="none"/>
          <w:tab w:pos="7889" w:val="left" w:leader="none"/>
          <w:tab w:pos="8389" w:val="left" w:leader="none"/>
          <w:tab w:pos="8879" w:val="left" w:leader="none"/>
          <w:tab w:pos="9179" w:val="right" w:leader="none"/>
        </w:tabs>
        <w:spacing w:line="312" w:lineRule="auto"/>
        <w:ind w:left="120" w:right="179"/>
      </w:pPr>
      <w:r>
        <w:rPr/>
        <w:pict>
          <v:line style="position:absolute;mso-position-horizontal-relative:page;mso-position-vertical-relative:paragraph;z-index:-352912" from="205.300003pt,13.08595pt" to="248.600003pt,13.08595pt" stroked="true" strokeweight=".5pt" strokecolor="#231f20">
            <v:stroke dashstyle="solid"/>
            <w10:wrap type="none"/>
          </v:line>
        </w:pict>
      </w:r>
      <w:r>
        <w:rPr/>
        <w:pict>
          <v:line style="position:absolute;mso-position-horizontal-relative:page;mso-position-vertical-relative:paragraph;z-index:-352888" from="260.600006pt,13.08595pt" to="303.900006pt,13.08595pt" stroked="true" strokeweight=".5pt" strokecolor="#231f20">
            <v:stroke dashstyle="solid"/>
            <w10:wrap type="none"/>
          </v:line>
        </w:pict>
      </w:r>
      <w:r>
        <w:rPr/>
        <w:pict>
          <v:line style="position:absolute;mso-position-horizontal-relative:page;mso-position-vertical-relative:paragraph;z-index:-352864" from="315.899994pt,13.08595pt" to="359.949994pt,13.08595pt" stroked="true" strokeweight=".5pt" strokecolor="#231f20">
            <v:stroke dashstyle="solid"/>
            <w10:wrap type="none"/>
          </v:line>
        </w:pict>
      </w:r>
      <w:r>
        <w:rPr/>
        <w:pict>
          <v:line style="position:absolute;mso-position-horizontal-relative:page;mso-position-vertical-relative:paragraph;z-index:-352840" from="371.950012pt,13.08595pt" to="416.000012pt,13.08595pt" stroked="true" strokeweight=".5pt" strokecolor="#231f20">
            <v:stroke dashstyle="solid"/>
            <w10:wrap type="none"/>
          </v:line>
        </w:pict>
      </w:r>
      <w:r>
        <w:rPr/>
        <w:pict>
          <v:line style="position:absolute;mso-position-horizontal-relative:page;mso-position-vertical-relative:paragraph;z-index:-352816" from="428pt,13.08595pt" to="470.5pt,13.08595pt" stroked="true" strokeweight=".5pt" strokecolor="#231f20">
            <v:stroke dashstyle="solid"/>
            <w10:wrap type="none"/>
          </v:line>
        </w:pict>
      </w:r>
      <w:r>
        <w:rPr/>
        <w:pict>
          <v:line style="position:absolute;mso-position-horizontal-relative:page;mso-position-vertical-relative:paragraph;z-index:-352792" from="482.5pt,13.08595pt" to="525pt,13.08595pt" stroked="true" strokeweight=".5pt" strokecolor="#231f20">
            <v:stroke dashstyle="solid"/>
            <w10:wrap type="none"/>
          </v:line>
        </w:pict>
      </w:r>
      <w:r>
        <w:rPr/>
        <w:pict>
          <v:shape style="position:absolute;margin-left:205.300003pt;margin-top:28.085949pt;width:43.3pt;height:2pt;mso-position-horizontal-relative:page;mso-position-vertical-relative:paragraph;z-index:-352768" coordorigin="4106,562" coordsize="866,40" path="m4106,562l4972,562m4106,602l4972,602e" filled="false" stroked="true" strokeweight=".5pt" strokecolor="#231f20">
            <v:path arrowok="t"/>
            <v:stroke dashstyle="solid"/>
            <w10:wrap type="none"/>
          </v:shape>
        </w:pict>
      </w:r>
      <w:r>
        <w:rPr/>
        <w:pict>
          <v:shape style="position:absolute;margin-left:260.600006pt;margin-top:28.085949pt;width:43.3pt;height:2pt;mso-position-horizontal-relative:page;mso-position-vertical-relative:paragraph;z-index:-352744" coordorigin="5212,562" coordsize="866,40" path="m5212,562l6078,562m5212,602l6078,602e" filled="false" stroked="true" strokeweight=".5pt" strokecolor="#231f20">
            <v:path arrowok="t"/>
            <v:stroke dashstyle="solid"/>
            <w10:wrap type="none"/>
          </v:shape>
        </w:pict>
      </w:r>
      <w:r>
        <w:rPr/>
        <w:pict>
          <v:shape style="position:absolute;margin-left:315.899994pt;margin-top:28.085949pt;width:44.05pt;height:2pt;mso-position-horizontal-relative:page;mso-position-vertical-relative:paragraph;z-index:-352720" coordorigin="6318,562" coordsize="881,40" path="m6318,562l7199,562m6318,602l7199,602e" filled="false" stroked="true" strokeweight=".5pt" strokecolor="#231f20">
            <v:path arrowok="t"/>
            <v:stroke dashstyle="solid"/>
            <w10:wrap type="none"/>
          </v:shape>
        </w:pict>
      </w:r>
      <w:r>
        <w:rPr/>
        <w:pict>
          <v:shape style="position:absolute;margin-left:371.950012pt;margin-top:28.085949pt;width:44.05pt;height:2pt;mso-position-horizontal-relative:page;mso-position-vertical-relative:paragraph;z-index:-352696" coordorigin="7439,562" coordsize="881,40" path="m7439,562l8320,562m7439,602l8320,602e" filled="false" stroked="true" strokeweight=".5pt" strokecolor="#231f20">
            <v:path arrowok="t"/>
            <v:stroke dashstyle="solid"/>
            <w10:wrap type="none"/>
          </v:shape>
        </w:pict>
      </w:r>
      <w:r>
        <w:rPr/>
        <w:pict>
          <v:shape style="position:absolute;margin-left:428pt;margin-top:28.085949pt;width:42.5pt;height:2pt;mso-position-horizontal-relative:page;mso-position-vertical-relative:paragraph;z-index:-352672" coordorigin="8560,562" coordsize="850,40" path="m8560,562l9410,562m8560,602l9410,602e" filled="false" stroked="true" strokeweight=".5pt" strokecolor="#231f20">
            <v:path arrowok="t"/>
            <v:stroke dashstyle="solid"/>
            <w10:wrap type="none"/>
          </v:shape>
        </w:pict>
      </w:r>
      <w:r>
        <w:rPr/>
        <w:pict>
          <v:shape style="position:absolute;margin-left:482.5pt;margin-top:28.085949pt;width:42.5pt;height:2pt;mso-position-horizontal-relative:page;mso-position-vertical-relative:paragraph;z-index:-352648" coordorigin="9650,562" coordsize="850,40" path="m9650,562l10500,562m9650,602l10500,602e" filled="false" stroked="true" strokeweight=".5pt" strokecolor="#231f20">
            <v:path arrowok="t"/>
            <v:stroke dashstyle="solid"/>
            <w10:wrap type="none"/>
          </v:shape>
        </w:pict>
      </w:r>
      <w:r>
        <w:rPr>
          <w:color w:val="231F20"/>
        </w:rPr>
        <w:t>Interest rate derivatives  . . . .</w:t>
      </w:r>
      <w:r>
        <w:rPr>
          <w:color w:val="231F20"/>
          <w:spacing w:val="-2"/>
        </w:rPr>
        <w:t> </w:t>
      </w:r>
      <w:r>
        <w:rPr>
          <w:color w:val="231F20"/>
        </w:rPr>
        <w:t>. .</w:t>
        <w:tab/>
        <w:tab/>
        <w:t>1*</w:t>
        <w:tab/>
        <w:tab/>
        <w:t>32*</w:t>
        <w:tab/>
        <w:tab/>
        <w:t>—</w:t>
        <w:tab/>
        <w:tab/>
        <w:t>—</w:t>
        <w:tab/>
        <w:tab/>
        <w:t>—</w:t>
        <w:tab/>
        <w:tab/>
        <w:t>— Total . . . . . . . . . . . . . . . . . . . .</w:t>
      </w:r>
      <w:r>
        <w:rPr>
          <w:color w:val="231F20"/>
          <w:spacing w:val="3"/>
        </w:rPr>
        <w:t> </w:t>
      </w:r>
      <w:r>
        <w:rPr>
          <w:color w:val="231F20"/>
        </w:rPr>
        <w:t>.    $</w:t>
        <w:tab/>
        <w:t>(18)</w:t>
        <w:tab/>
        <w:t>$</w:t>
        <w:tab/>
        <w:t>76</w:t>
        <w:tab/>
        <w:t>$</w:t>
        <w:tab/>
        <w:t>101</w:t>
        <w:tab/>
        <w:t>$</w:t>
        <w:tab/>
        <w:t>111</w:t>
        <w:tab/>
        <w:t>$</w:t>
        <w:tab/>
        <w:tab/>
        <w:t>43</w:t>
        <w:tab/>
        <w:t>$</w:t>
        <w:tab/>
        <w:tab/>
        <w:t>35</w:t>
      </w:r>
    </w:p>
    <w:p>
      <w:pPr>
        <w:pStyle w:val="BodyText"/>
        <w:tabs>
          <w:tab w:pos="519" w:val="left" w:leader="none"/>
        </w:tabs>
        <w:spacing w:before="114"/>
        <w:ind w:left="120"/>
      </w:pPr>
      <w:r>
        <w:rPr>
          <w:color w:val="231F20"/>
        </w:rPr>
        <w:t>*</w:t>
        <w:tab/>
        <w:t>Net of tax</w:t>
      </w:r>
    </w:p>
    <w:p>
      <w:pPr>
        <w:pStyle w:val="ListParagraph"/>
        <w:numPr>
          <w:ilvl w:val="0"/>
          <w:numId w:val="14"/>
        </w:numPr>
        <w:tabs>
          <w:tab w:pos="520" w:val="left" w:leader="none"/>
        </w:tabs>
        <w:spacing w:line="249" w:lineRule="auto" w:before="9" w:after="0"/>
        <w:ind w:left="520" w:right="46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4"/>
        </w:numPr>
        <w:tabs>
          <w:tab w:pos="520" w:val="left" w:leader="none"/>
        </w:tabs>
        <w:spacing w:line="240" w:lineRule="auto" w:before="0" w:after="0"/>
        <w:ind w:left="52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Heading3"/>
        <w:spacing w:before="61" w:after="16"/>
        <w:ind w:left="120"/>
      </w:pPr>
      <w:r>
        <w:rPr>
          <w:color w:val="231F20"/>
        </w:rPr>
        <w:t>Derivatives not in cash flow hedging relationships</w:t>
      </w:r>
    </w:p>
    <w:p>
      <w:pPr>
        <w:pStyle w:val="BodyText"/>
        <w:spacing w:line="20" w:lineRule="exact"/>
        <w:ind w:left="110"/>
        <w:rPr>
          <w:sz w:val="2"/>
        </w:rPr>
      </w:pPr>
      <w:r>
        <w:rPr>
          <w:sz w:val="2"/>
        </w:rPr>
        <w:pict>
          <v:group style="width:397pt;height:1pt;mso-position-horizontal-relative:char;mso-position-vertical-relative:line" coordorigin="0,0" coordsize="7940,20">
            <v:line style="position:absolute" from="10,10" to="7930,10" stroked="true" strokeweight="1pt" strokecolor="#231f20">
              <v:stroke dashstyle="solid"/>
            </v:line>
          </v:group>
        </w:pict>
      </w:r>
      <w:r>
        <w:rPr>
          <w:sz w:val="2"/>
        </w:rPr>
      </w:r>
    </w:p>
    <w:p>
      <w:pPr>
        <w:pStyle w:val="BodyText"/>
        <w:spacing w:before="7"/>
        <w:rPr>
          <w:b/>
          <w:sz w:val="10"/>
        </w:rPr>
      </w:pPr>
    </w:p>
    <w:p>
      <w:pPr>
        <w:spacing w:after="0"/>
        <w:rPr>
          <w:sz w:val="10"/>
        </w:rPr>
        <w:sectPr>
          <w:type w:val="continuous"/>
          <w:pgSz w:w="11880" w:h="15480"/>
          <w:pgMar w:top="1200" w:bottom="280" w:left="1260" w:right="1260"/>
        </w:sectPr>
      </w:pPr>
    </w:p>
    <w:p>
      <w:pPr>
        <w:spacing w:line="200" w:lineRule="exact" w:before="118"/>
        <w:ind w:left="3797" w:right="-16" w:firstLine="572"/>
        <w:jc w:val="left"/>
        <w:rPr>
          <w:b/>
          <w:sz w:val="20"/>
        </w:rPr>
      </w:pPr>
      <w:r>
        <w:rPr>
          <w:b/>
          <w:color w:val="231F20"/>
          <w:sz w:val="20"/>
        </w:rPr>
        <w:t>(Gain) loss recognized in income on</w:t>
      </w:r>
    </w:p>
    <w:p>
      <w:pPr>
        <w:spacing w:line="203" w:lineRule="exact" w:before="0"/>
        <w:ind w:left="0" w:right="538" w:firstLine="0"/>
        <w:jc w:val="right"/>
        <w:rPr>
          <w:b/>
          <w:sz w:val="20"/>
        </w:rPr>
      </w:pPr>
      <w:r>
        <w:rPr/>
        <w:pict>
          <v:line style="position:absolute;mso-position-horizontal-relative:page;mso-position-vertical-relative:paragraph;z-index:5992" from="250.850006pt,11.499988pt" to="358.150006pt,11.499988pt" stroked="true" strokeweight="1pt" strokecolor="#231f20">
            <v:stroke dashstyle="solid"/>
            <w10:wrap type="none"/>
          </v:line>
        </w:pict>
      </w:r>
      <w:r>
        <w:rPr>
          <w:b/>
          <w:color w:val="231F20"/>
          <w:sz w:val="20"/>
        </w:rPr>
        <w:t>derivatives</w:t>
      </w:r>
    </w:p>
    <w:p>
      <w:pPr>
        <w:spacing w:line="200" w:lineRule="exact" w:before="76"/>
        <w:ind w:left="4245" w:right="430" w:firstLine="92"/>
        <w:jc w:val="left"/>
        <w:rPr>
          <w:b/>
          <w:sz w:val="20"/>
        </w:rPr>
      </w:pPr>
      <w:r>
        <w:rPr/>
        <w:pict>
          <v:line style="position:absolute;mso-position-horizontal-relative:page;mso-position-vertical-relative:paragraph;z-index:6016" from="250.850006pt,25.300003pt" to="358.150006pt,25.300003pt" stroked="true" strokeweight="1pt" strokecolor="#231f20">
            <v:stroke dashstyle="solid"/>
            <w10:wrap type="none"/>
          </v:line>
        </w:pict>
      </w:r>
      <w:r>
        <w:rPr>
          <w:b/>
          <w:color w:val="231F20"/>
          <w:sz w:val="20"/>
        </w:rPr>
        <w:t>Year ended December 31,</w:t>
      </w:r>
    </w:p>
    <w:p>
      <w:pPr>
        <w:tabs>
          <w:tab w:pos="4042" w:val="left" w:leader="none"/>
          <w:tab w:pos="5215" w:val="left" w:leader="none"/>
        </w:tabs>
        <w:spacing w:before="52"/>
        <w:ind w:left="120" w:right="0" w:firstLine="0"/>
        <w:jc w:val="left"/>
        <w:rPr>
          <w:b/>
          <w:sz w:val="20"/>
        </w:rPr>
      </w:pPr>
      <w:r>
        <w:rPr>
          <w:b/>
          <w:color w:val="231F20"/>
          <w:sz w:val="20"/>
        </w:rPr>
        <w:t>(in millions)</w:t>
        <w:tab/>
        <w:t>2012</w:t>
        <w:tab/>
        <w:t>2011</w:t>
      </w:r>
    </w:p>
    <w:p>
      <w:pPr>
        <w:pStyle w:val="BodyText"/>
        <w:rPr>
          <w:b/>
          <w:sz w:val="22"/>
        </w:rPr>
      </w:pPr>
      <w:r>
        <w:rPr/>
        <w:br w:type="column"/>
      </w:r>
      <w:r>
        <w:rPr>
          <w:b/>
          <w:sz w:val="22"/>
        </w:rPr>
      </w:r>
    </w:p>
    <w:p>
      <w:pPr>
        <w:pStyle w:val="BodyText"/>
        <w:rPr>
          <w:b/>
          <w:sz w:val="22"/>
        </w:rPr>
      </w:pPr>
    </w:p>
    <w:p>
      <w:pPr>
        <w:pStyle w:val="BodyText"/>
        <w:spacing w:before="4"/>
        <w:rPr>
          <w:b/>
          <w:sz w:val="32"/>
        </w:rPr>
      </w:pPr>
    </w:p>
    <w:p>
      <w:pPr>
        <w:spacing w:line="200" w:lineRule="exact" w:before="0"/>
        <w:ind w:left="120" w:right="1344" w:firstLine="0"/>
        <w:jc w:val="center"/>
        <w:rPr>
          <w:b/>
          <w:sz w:val="20"/>
        </w:rPr>
      </w:pPr>
      <w:r>
        <w:rPr>
          <w:b/>
          <w:color w:val="231F20"/>
          <w:sz w:val="20"/>
        </w:rPr>
        <w:t>Location of (gain) loss</w:t>
      </w:r>
      <w:r>
        <w:rPr>
          <w:b/>
          <w:color w:val="231F20"/>
          <w:w w:val="99"/>
          <w:sz w:val="20"/>
        </w:rPr>
        <w:t> </w:t>
      </w:r>
      <w:r>
        <w:rPr>
          <w:b/>
          <w:color w:val="231F20"/>
          <w:sz w:val="20"/>
        </w:rPr>
        <w:t>recognized in income on derivatives</w:t>
      </w:r>
    </w:p>
    <w:p>
      <w:pPr>
        <w:spacing w:after="0" w:line="200" w:lineRule="exact"/>
        <w:jc w:val="center"/>
        <w:rPr>
          <w:sz w:val="20"/>
        </w:rPr>
        <w:sectPr>
          <w:type w:val="continuous"/>
          <w:pgSz w:w="11880" w:h="15480"/>
          <w:pgMar w:top="1200" w:bottom="280" w:left="1260" w:right="1260"/>
          <w:cols w:num="2" w:equalWidth="0">
            <w:col w:w="5862" w:space="146"/>
            <w:col w:w="3352"/>
          </w:cols>
        </w:sectPr>
      </w:pPr>
    </w:p>
    <w:p>
      <w:pPr>
        <w:spacing w:line="20" w:lineRule="exact"/>
        <w:ind w:left="110" w:right="0" w:firstLine="0"/>
        <w:rPr>
          <w:sz w:val="2"/>
        </w:rPr>
      </w:pPr>
      <w:r>
        <w:rPr>
          <w:sz w:val="2"/>
        </w:rPr>
        <w:pict>
          <v:group style="width:172.85pt;height:1pt;mso-position-horizontal-relative:char;mso-position-vertical-relative:line" coordorigin="0,0" coordsize="3457,20">
            <v:line style="position:absolute" from="10,10" to="3447,10" stroked="true" strokeweight="1pt" strokecolor="#231f20">
              <v:stroke dashstyle="solid"/>
            </v:line>
          </v:group>
        </w:pict>
      </w:r>
      <w:r>
        <w:rPr>
          <w:sz w:val="2"/>
        </w:rPr>
      </w:r>
      <w:r>
        <w:rPr>
          <w:spacing w:val="167"/>
          <w:sz w:val="2"/>
        </w:rPr>
        <w:t> </w:t>
      </w:r>
      <w:r>
        <w:rPr>
          <w:spacing w:val="167"/>
          <w:sz w:val="2"/>
        </w:rPr>
        <w:pict>
          <v:group style="width:49.65pt;height:1pt;mso-position-horizontal-relative:char;mso-position-vertical-relative:line" coordorigin="0,0" coordsize="993,20">
            <v:line style="position:absolute" from="10,10" to="983,10" stroked="true" strokeweight="1pt" strokecolor="#231f20">
              <v:stroke dashstyle="solid"/>
            </v:line>
          </v:group>
        </w:pict>
      </w:r>
      <w:r>
        <w:rPr>
          <w:spacing w:val="167"/>
          <w:sz w:val="2"/>
        </w:rPr>
      </w:r>
      <w:r>
        <w:rPr>
          <w:spacing w:val="163"/>
          <w:sz w:val="2"/>
        </w:rPr>
        <w:t> </w:t>
      </w:r>
      <w:r>
        <w:rPr>
          <w:spacing w:val="163"/>
          <w:sz w:val="2"/>
        </w:rPr>
        <w:pict>
          <v:group style="width:49.65pt;height:1pt;mso-position-horizontal-relative:char;mso-position-vertical-relative:line" coordorigin="0,0" coordsize="993,20">
            <v:line style="position:absolute" from="10,10" to="983,10" stroked="true" strokeweight="1pt" strokecolor="#231f20">
              <v:stroke dashstyle="solid"/>
            </v:line>
          </v:group>
        </w:pict>
      </w:r>
      <w:r>
        <w:rPr>
          <w:spacing w:val="163"/>
          <w:sz w:val="2"/>
        </w:rPr>
      </w:r>
      <w:r>
        <w:rPr>
          <w:spacing w:val="163"/>
          <w:sz w:val="2"/>
        </w:rPr>
        <w:t> </w:t>
      </w:r>
      <w:r>
        <w:rPr>
          <w:spacing w:val="163"/>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63"/>
          <w:sz w:val="2"/>
        </w:rPr>
      </w:r>
    </w:p>
    <w:p>
      <w:pPr>
        <w:pStyle w:val="BodyText"/>
        <w:tabs>
          <w:tab w:pos="4362" w:val="left" w:leader="none"/>
          <w:tab w:pos="5702" w:val="left" w:leader="none"/>
        </w:tabs>
        <w:spacing w:before="49"/>
        <w:ind w:left="120"/>
      </w:pPr>
      <w:r>
        <w:rPr/>
        <w:pict>
          <v:group style="position:absolute;margin-left:250.600006pt;margin-top:15.28594pt;width:49.15pt;height:2.5pt;mso-position-horizontal-relative:page;mso-position-vertical-relative:paragraph;z-index:5368;mso-wrap-distance-left:0;mso-wrap-distance-right:0" coordorigin="5012,306" coordsize="983,50">
            <v:line style="position:absolute" from="5017,311" to="5990,311" stroked="true" strokeweight=".5pt" strokecolor="#231f20">
              <v:stroke dashstyle="solid"/>
            </v:line>
            <v:line style="position:absolute" from="5017,351" to="5990,351" stroked="true" strokeweight=".5pt" strokecolor="#231f20">
              <v:stroke dashstyle="solid"/>
            </v:line>
            <w10:wrap type="topAndBottom"/>
          </v:group>
        </w:pict>
      </w:r>
      <w:r>
        <w:rPr/>
        <w:pict>
          <v:group style="position:absolute;margin-left:309.25pt;margin-top:15.28594pt;width:49.15pt;height:2.5pt;mso-position-horizontal-relative:page;mso-position-vertical-relative:paragraph;z-index:5392;mso-wrap-distance-left:0;mso-wrap-distance-right:0" coordorigin="6185,306" coordsize="983,50">
            <v:line style="position:absolute" from="6190,311" to="7163,311" stroked="true" strokeweight=".5pt" strokecolor="#231f20">
              <v:stroke dashstyle="solid"/>
            </v:line>
            <v:line style="position:absolute" from="6190,351" to="7163,351" stroked="true" strokeweight=".5pt" strokecolor="#231f20">
              <v:stroke dashstyle="solid"/>
            </v:line>
            <w10:wrap type="topAndBottom"/>
          </v:group>
        </w:pict>
      </w:r>
      <w:r>
        <w:rPr>
          <w:color w:val="231F20"/>
        </w:rPr>
        <w:t>Fuel derivative contracts  . . . . . . . . . . . . .</w:t>
      </w:r>
      <w:r>
        <w:rPr>
          <w:color w:val="231F20"/>
          <w:spacing w:val="8"/>
        </w:rPr>
        <w:t> </w:t>
      </w:r>
      <w:r>
        <w:rPr>
          <w:color w:val="231F20"/>
        </w:rPr>
        <w:t>.    $</w:t>
        <w:tab/>
        <w:t>(264) </w:t>
      </w:r>
      <w:r>
        <w:rPr>
          <w:color w:val="231F20"/>
          <w:spacing w:val="33"/>
        </w:rPr>
        <w:t> </w:t>
      </w:r>
      <w:r>
        <w:rPr>
          <w:color w:val="231F20"/>
        </w:rPr>
        <w:t>$</w:t>
        <w:tab/>
        <w:t>53    Other (gains) losses,</w:t>
      </w:r>
      <w:r>
        <w:rPr>
          <w:color w:val="231F20"/>
          <w:spacing w:val="2"/>
        </w:rPr>
        <w:t> </w:t>
      </w:r>
      <w:r>
        <w:rPr>
          <w:color w:val="231F20"/>
        </w:rPr>
        <w:t>net</w:t>
      </w:r>
    </w:p>
    <w:p>
      <w:pPr>
        <w:pStyle w:val="BodyText"/>
        <w:spacing w:line="249" w:lineRule="auto" w:before="116"/>
        <w:ind w:left="120" w:firstLine="400"/>
      </w:pPr>
      <w:r>
        <w:rPr>
          <w:color w:val="231F20"/>
        </w:rPr>
        <w:t>The Company also recorded expense associated with premiums paid for fuel derivative contracts that settled/expired during 2012, 2011, and 2010 of $36 million, $107 million, and $134 million, respectively. These amounts are excluded from the Company’s measurement of effectiveness for related hedges and are included as a component of Other (gains) losses, net, in the Consolidated Statement of Income.</w:t>
      </w:r>
    </w:p>
    <w:p>
      <w:pPr>
        <w:pStyle w:val="BodyText"/>
        <w:spacing w:line="249" w:lineRule="auto" w:before="93"/>
        <w:ind w:left="120" w:right="301" w:firstLine="400"/>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w:t>
      </w:r>
    </w:p>
    <w:p>
      <w:pPr>
        <w:spacing w:after="0" w:line="249" w:lineRule="auto"/>
        <w:jc w:val="both"/>
        <w:sectPr>
          <w:type w:val="continuous"/>
          <w:pgSz w:w="11880" w:h="15480"/>
          <w:pgMar w:top="1200" w:bottom="280" w:left="1260" w:right="1260"/>
        </w:sectPr>
      </w:pPr>
    </w:p>
    <w:p>
      <w:pPr>
        <w:pStyle w:val="BodyText"/>
        <w:spacing w:line="249" w:lineRule="auto" w:before="73"/>
        <w:ind w:left="100" w:right="241"/>
      </w:pPr>
      <w:r>
        <w:rPr>
          <w:color w:val="231F20"/>
        </w:rPr>
        <w:t>unrealized losses from fuel hedges as of December 31, 2012, were approximately $92 million in unrealized losses, net of taxes, which are expected to be realized in earnings during the twelve months subsequent to December 31, 2012. In addition, as of December 31, 2012, the Company had already recognized cumulative net gains due to ineffectiveness and derivatives that do not qualify for hedge accounting treatment totaling</w:t>
      </w:r>
    </w:p>
    <w:p>
      <w:pPr>
        <w:pStyle w:val="BodyText"/>
        <w:spacing w:line="249" w:lineRule="auto" w:before="1"/>
        <w:ind w:left="100" w:right="175"/>
      </w:pPr>
      <w:r>
        <w:rPr>
          <w:color w:val="231F20"/>
        </w:rPr>
        <w:t>$52 million, net of taxes, related to unsettled derivatives at December 31, 2012. These net gains were recognized in 2012 and prior periods, and are reflected in Retained earnings as of December 31, 2012, but the underlying derivative instruments will not expire/settle until 2013 or future periods.</w:t>
      </w:r>
    </w:p>
    <w:p>
      <w:pPr>
        <w:pStyle w:val="BodyText"/>
        <w:spacing w:before="5"/>
        <w:rPr>
          <w:sz w:val="22"/>
        </w:rPr>
      </w:pPr>
    </w:p>
    <w:p>
      <w:pPr>
        <w:pStyle w:val="Heading4"/>
        <w:ind w:left="300"/>
        <w:rPr>
          <w:i/>
        </w:rPr>
      </w:pPr>
      <w:r>
        <w:rPr>
          <w:i/>
          <w:color w:val="231F20"/>
        </w:rPr>
        <w:t>Interest rate swaps</w:t>
      </w:r>
    </w:p>
    <w:p>
      <w:pPr>
        <w:pStyle w:val="BodyText"/>
        <w:spacing w:line="249" w:lineRule="auto" w:before="94"/>
        <w:ind w:left="100" w:right="208" w:firstLine="40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all of the Company’s interest rate cash flow hedges for all periods presented was not material.</w:t>
      </w:r>
    </w:p>
    <w:p>
      <w:pPr>
        <w:pStyle w:val="BodyText"/>
        <w:spacing w:line="249" w:lineRule="auto" w:before="171"/>
        <w:ind w:left="100" w:right="101" w:firstLine="400"/>
      </w:pPr>
      <w:r>
        <w:rPr>
          <w:color w:val="231F20"/>
          <w:spacing w:val="-3"/>
        </w:rPr>
        <w:t>The </w:t>
      </w:r>
      <w:r>
        <w:rPr>
          <w:color w:val="231F20"/>
          <w:spacing w:val="-4"/>
        </w:rPr>
        <w:t>Company </w:t>
      </w:r>
      <w:r>
        <w:rPr>
          <w:color w:val="231F20"/>
          <w:spacing w:val="-3"/>
        </w:rPr>
        <w:t>has </w:t>
      </w:r>
      <w:r>
        <w:rPr>
          <w:color w:val="231F20"/>
          <w:spacing w:val="-4"/>
        </w:rPr>
        <w:t>floating-to-fixed interest </w:t>
      </w:r>
      <w:r>
        <w:rPr>
          <w:color w:val="231F20"/>
          <w:spacing w:val="-3"/>
        </w:rPr>
        <w:t>rate swap </w:t>
      </w:r>
      <w:r>
        <w:rPr>
          <w:color w:val="231F20"/>
          <w:spacing w:val="-4"/>
        </w:rPr>
        <w:t>agreements associated </w:t>
      </w:r>
      <w:r>
        <w:rPr>
          <w:color w:val="231F20"/>
          <w:spacing w:val="-3"/>
        </w:rPr>
        <w:t>with its $600 </w:t>
      </w:r>
      <w:r>
        <w:rPr>
          <w:color w:val="231F20"/>
          <w:spacing w:val="-4"/>
        </w:rPr>
        <w:t>million floating-rate </w:t>
      </w:r>
      <w:r>
        <w:rPr>
          <w:color w:val="231F20"/>
          <w:spacing w:val="-3"/>
        </w:rPr>
        <w:t>term loan </w:t>
      </w:r>
      <w:r>
        <w:rPr>
          <w:color w:val="231F20"/>
          <w:spacing w:val="-4"/>
        </w:rPr>
        <w:t>agreement </w:t>
      </w:r>
      <w:r>
        <w:rPr>
          <w:color w:val="231F20"/>
          <w:spacing w:val="-3"/>
        </w:rPr>
        <w:t>due 2020 and its $332 </w:t>
      </w:r>
      <w:r>
        <w:rPr>
          <w:color w:val="231F20"/>
          <w:spacing w:val="-4"/>
        </w:rPr>
        <w:t>million </w:t>
      </w:r>
      <w:r>
        <w:rPr>
          <w:color w:val="231F20"/>
          <w:spacing w:val="-3"/>
        </w:rPr>
        <w:t>term loan </w:t>
      </w:r>
      <w:r>
        <w:rPr>
          <w:color w:val="231F20"/>
          <w:spacing w:val="-4"/>
        </w:rPr>
        <w:t>agreement </w:t>
      </w:r>
      <w:r>
        <w:rPr>
          <w:color w:val="231F20"/>
          <w:spacing w:val="-3"/>
        </w:rPr>
        <w:t>due 2019 that are </w:t>
      </w:r>
      <w:r>
        <w:rPr>
          <w:color w:val="231F20"/>
          <w:spacing w:val="-4"/>
        </w:rPr>
        <w:t>accounted </w:t>
      </w:r>
      <w:r>
        <w:rPr>
          <w:color w:val="231F20"/>
          <w:spacing w:val="-3"/>
        </w:rPr>
        <w:t>for </w:t>
      </w:r>
      <w:r>
        <w:rPr>
          <w:color w:val="231F20"/>
        </w:rPr>
        <w:t>as </w:t>
      </w:r>
      <w:r>
        <w:rPr>
          <w:color w:val="231F20"/>
          <w:spacing w:val="-3"/>
        </w:rPr>
        <w:t>cash </w:t>
      </w:r>
      <w:r>
        <w:rPr>
          <w:color w:val="231F20"/>
          <w:spacing w:val="-4"/>
        </w:rPr>
        <w:t>flow hedges. These interest </w:t>
      </w:r>
      <w:r>
        <w:rPr>
          <w:color w:val="231F20"/>
          <w:spacing w:val="-3"/>
        </w:rPr>
        <w:t>rate </w:t>
      </w:r>
      <w:r>
        <w:rPr>
          <w:color w:val="231F20"/>
          <w:spacing w:val="-4"/>
        </w:rPr>
        <w:t>hedges </w:t>
      </w:r>
      <w:r>
        <w:rPr>
          <w:color w:val="231F20"/>
          <w:spacing w:val="-3"/>
        </w:rPr>
        <w:t>have </w:t>
      </w:r>
      <w:r>
        <w:rPr>
          <w:color w:val="231F20"/>
          <w:spacing w:val="-4"/>
        </w:rPr>
        <w:t>fixed </w:t>
      </w:r>
      <w:r>
        <w:rPr>
          <w:color w:val="231F20"/>
          <w:spacing w:val="-3"/>
        </w:rPr>
        <w:t>the </w:t>
      </w:r>
      <w:r>
        <w:rPr>
          <w:color w:val="231F20"/>
          <w:spacing w:val="-4"/>
        </w:rPr>
        <w:t>interest </w:t>
      </w:r>
      <w:r>
        <w:rPr>
          <w:color w:val="231F20"/>
          <w:spacing w:val="-3"/>
        </w:rPr>
        <w:t>rate </w:t>
      </w:r>
      <w:r>
        <w:rPr>
          <w:color w:val="231F20"/>
        </w:rPr>
        <w:t>on </w:t>
      </w:r>
      <w:r>
        <w:rPr>
          <w:color w:val="231F20"/>
          <w:spacing w:val="-3"/>
        </w:rPr>
        <w:t>the $600 </w:t>
      </w:r>
      <w:r>
        <w:rPr>
          <w:color w:val="231F20"/>
          <w:spacing w:val="-4"/>
        </w:rPr>
        <w:t>million floating-rate </w:t>
      </w:r>
      <w:r>
        <w:rPr>
          <w:color w:val="231F20"/>
          <w:spacing w:val="-3"/>
        </w:rPr>
        <w:t>term loan </w:t>
      </w:r>
      <w:r>
        <w:rPr>
          <w:color w:val="231F20"/>
          <w:spacing w:val="-4"/>
        </w:rPr>
        <w:t>agreement </w:t>
      </w:r>
      <w:r>
        <w:rPr>
          <w:color w:val="231F20"/>
        </w:rPr>
        <w:t>at</w:t>
      </w:r>
    </w:p>
    <w:p>
      <w:pPr>
        <w:pStyle w:val="BodyText"/>
        <w:ind w:left="100"/>
      </w:pPr>
      <w:r>
        <w:rPr>
          <w:color w:val="231F20"/>
        </w:rPr>
        <w:t>5.223 percent until maturity, and for the $332 million term loan agreement at 6.315 percent until maturity.</w:t>
      </w:r>
    </w:p>
    <w:p>
      <w:pPr>
        <w:pStyle w:val="BodyText"/>
        <w:spacing w:line="249" w:lineRule="auto" w:before="180"/>
        <w:ind w:left="100" w:right="101" w:firstLine="400"/>
      </w:pPr>
      <w:r>
        <w:rPr>
          <w:color w:val="231F20"/>
        </w:rPr>
        <w:t>The fair values of the interest rate swap agreements, which are adjusted regularly, have been aggregated by counterparty for classification in the Consolidated Balance Sheet. Agreements totaling an asset of $31 million are fair value hedges and are classified as a component of Other assets. The corresponding adjustment related to the net asset associated with the Company’s fair value hedges is to the carrying value of the long-term debt.</w:t>
      </w:r>
    </w:p>
    <w:p>
      <w:pPr>
        <w:pStyle w:val="BodyText"/>
        <w:spacing w:line="249" w:lineRule="auto" w:before="1"/>
        <w:ind w:left="100" w:right="101"/>
      </w:pPr>
      <w:r>
        <w:rPr>
          <w:color w:val="231F20"/>
        </w:rPr>
        <w:t>Agreements totaling a net liability of $126 million are cash flow hedges and are classified as a component of Other noncurrent liabilities. The corresponding adjustment related to the net liability associated with the Company’s cash flow hedges is to AOCI. See Note 12.</w:t>
      </w:r>
    </w:p>
    <w:p>
      <w:pPr>
        <w:pStyle w:val="BodyText"/>
        <w:spacing w:line="249" w:lineRule="auto" w:before="172"/>
        <w:ind w:left="100" w:right="107" w:firstLine="40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 month LIBOR on the notional values. The notional amount of outstanding debt related to interest rate swaps as of December 31, 2012, was $305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line="249" w:lineRule="auto" w:before="172"/>
        <w:ind w:left="100" w:right="102" w:firstLine="400"/>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2012 and is not expected to have a material effect on the Company’s future results of operations.</w:t>
      </w:r>
    </w:p>
    <w:p>
      <w:pPr>
        <w:pStyle w:val="BodyText"/>
        <w:spacing w:before="172"/>
        <w:ind w:left="590"/>
      </w:pPr>
      <w:r>
        <w:rPr>
          <w:color w:val="231F20"/>
        </w:rPr>
        <w:t>In December 2012, the Company terminated the fixed-to-floating interest rate swap agreement related to its</w:t>
      </w:r>
    </w:p>
    <w:p>
      <w:pPr>
        <w:pStyle w:val="BodyText"/>
        <w:spacing w:line="249" w:lineRule="auto" w:before="9"/>
        <w:ind w:left="100" w:right="185"/>
      </w:pPr>
      <w:r>
        <w:rPr>
          <w:color w:val="231F20"/>
        </w:rPr>
        <w:t>$100 million 7.375% debentures due 2027. The effect of this termination is such that the interest associated with the debt prospectively reverts back to its original fixed rate. As a result of the 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spacing w:after="0" w:line="249" w:lineRule="auto"/>
        <w:sectPr>
          <w:footerReference w:type="default" r:id="rId24"/>
          <w:pgSz w:w="11880" w:h="15480"/>
          <w:pgMar w:footer="1253" w:header="0" w:top="1240" w:bottom="1440" w:left="1280" w:right="1280"/>
          <w:pgNumType w:start="101"/>
        </w:sectPr>
      </w:pPr>
    </w:p>
    <w:p>
      <w:pPr>
        <w:pStyle w:val="BodyText"/>
        <w:spacing w:line="249" w:lineRule="auto" w:before="73"/>
        <w:ind w:left="120" w:right="119" w:firstLine="490"/>
      </w:pPr>
      <w:r>
        <w:rPr>
          <w:color w:val="231F20"/>
        </w:rPr>
        <w:t>As a result of the fixed-to-floating interest rate swap agreement in place, the average floating rate recognized during 2012 for the Company’s $300 million 5.75% Notes due 2016 was approximately 2.78 percent, based on actual and forward rates as of December 31, 2012.</w:t>
      </w:r>
    </w:p>
    <w:p>
      <w:pPr>
        <w:pStyle w:val="BodyText"/>
        <w:rPr>
          <w:sz w:val="22"/>
        </w:rPr>
      </w:pPr>
    </w:p>
    <w:p>
      <w:pPr>
        <w:pStyle w:val="Heading4"/>
        <w:spacing w:before="177"/>
        <w:ind w:left="370"/>
        <w:rPr>
          <w:i/>
        </w:rPr>
      </w:pPr>
      <w:r>
        <w:rPr>
          <w:i/>
          <w:color w:val="231F20"/>
        </w:rPr>
        <w:t>Credit risk and collateral</w:t>
      </w:r>
    </w:p>
    <w:p>
      <w:pPr>
        <w:pStyle w:val="BodyText"/>
        <w:spacing w:line="249" w:lineRule="auto" w:before="153"/>
        <w:ind w:left="120" w:right="119" w:firstLine="490"/>
      </w:pPr>
      <w:r>
        <w:rPr>
          <w:color w:val="231F20"/>
        </w:rPr>
        <w:t>Credit exposure related to fuel derivative instruments is represented by the fair value of contracts that are an asset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to a single counterparty, and monitors the market position of the fuel hedging program and its relative market position with each counterparty. At December 31, 2012,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2012, at which such postings are triggered:</w:t>
      </w:r>
    </w:p>
    <w:p>
      <w:pPr>
        <w:pStyle w:val="BodyText"/>
        <w:spacing w:before="2"/>
        <w:rPr>
          <w:sz w:val="13"/>
        </w:rPr>
      </w:pPr>
    </w:p>
    <w:p>
      <w:pPr>
        <w:spacing w:after="0"/>
        <w:rPr>
          <w:sz w:val="13"/>
        </w:rPr>
        <w:sectPr>
          <w:pgSz w:w="11880" w:h="15480"/>
          <w:pgMar w:header="0" w:footer="1253" w:top="1240" w:bottom="1440" w:left="1200" w:right="1200"/>
        </w:sectPr>
      </w:pPr>
    </w:p>
    <w:p>
      <w:pPr>
        <w:pStyle w:val="BodyText"/>
        <w:rPr>
          <w:sz w:val="18"/>
        </w:rPr>
      </w:pPr>
    </w:p>
    <w:p>
      <w:pPr>
        <w:pStyle w:val="BodyText"/>
        <w:rPr>
          <w:sz w:val="18"/>
        </w:rPr>
      </w:pPr>
    </w:p>
    <w:p>
      <w:pPr>
        <w:spacing w:before="159"/>
        <w:ind w:left="120" w:right="0" w:firstLine="0"/>
        <w:jc w:val="left"/>
        <w:rPr>
          <w:sz w:val="16"/>
        </w:rPr>
      </w:pPr>
      <w:r>
        <w:rPr>
          <w:color w:val="231F20"/>
          <w:sz w:val="16"/>
        </w:rPr>
        <w:t>(in</w:t>
      </w:r>
      <w:r>
        <w:rPr>
          <w:color w:val="231F20"/>
          <w:spacing w:val="-1"/>
          <w:sz w:val="16"/>
        </w:rPr>
        <w:t> </w:t>
      </w:r>
      <w:r>
        <w:rPr>
          <w:color w:val="231F20"/>
          <w:sz w:val="16"/>
        </w:rPr>
        <w:t>millions)</w:t>
      </w:r>
    </w:p>
    <w:p>
      <w:pPr>
        <w:spacing w:before="93"/>
        <w:ind w:left="1293" w:right="0" w:firstLine="0"/>
        <w:jc w:val="left"/>
        <w:rPr>
          <w:b/>
          <w:sz w:val="16"/>
        </w:rPr>
      </w:pPr>
      <w:r>
        <w:rPr/>
        <w:br w:type="column"/>
      </w:r>
      <w:r>
        <w:rPr>
          <w:b/>
          <w:color w:val="231F20"/>
          <w:sz w:val="16"/>
        </w:rPr>
        <w:t>Counterparty (CP)</w:t>
      </w:r>
    </w:p>
    <w:p>
      <w:pPr>
        <w:tabs>
          <w:tab w:pos="1208" w:val="left" w:leader="none"/>
          <w:tab w:pos="2107" w:val="left" w:leader="none"/>
          <w:tab w:pos="2994" w:val="left" w:leader="none"/>
          <w:tab w:pos="3831" w:val="left" w:leader="none"/>
          <w:tab w:pos="4363" w:val="left" w:leader="none"/>
        </w:tabs>
        <w:spacing w:before="56"/>
        <w:ind w:left="120" w:right="0" w:firstLine="0"/>
        <w:jc w:val="left"/>
        <w:rPr>
          <w:b/>
          <w:sz w:val="16"/>
        </w:rPr>
      </w:pPr>
      <w:r>
        <w:rPr/>
        <w:pict>
          <v:shape style="position:absolute;margin-left:221.350006pt;margin-top:1.768756pt;width:271.650pt;height:.1pt;mso-position-horizontal-relative:page;mso-position-vertical-relative:paragraph;z-index:6064" coordorigin="4427,35" coordsize="5433,0" path="m4427,35l9160,35m9240,35l9860,35e" filled="false" stroked="true" strokeweight="1pt" strokecolor="#231f20">
            <v:path arrowok="t"/>
            <v:stroke dashstyle="solid"/>
            <w10:wrap type="none"/>
          </v:shape>
        </w:pict>
      </w:r>
      <w:r>
        <w:rPr/>
        <w:pict>
          <v:shape style="position:absolute;margin-left:221.350006pt;margin-top:13.768756pt;width:306.650pt;height:.1pt;mso-position-horizontal-relative:page;mso-position-vertical-relative:paragraph;z-index:6088" coordorigin="4427,275" coordsize="6133,0" path="m9940,275l10560,275m4427,275l5627,275m5627,275l6597,275m6597,275l7434,275m7434,275l8310,275m8310,275l9160,275m9240,275l9860,275e" filled="false" stroked="true" strokeweight="1pt" strokecolor="#231f20">
            <v:path arrowok="t"/>
            <v:stroke dashstyle="solid"/>
            <w10:wrap type="none"/>
          </v:shape>
        </w:pict>
      </w:r>
      <w:r>
        <w:rPr>
          <w:b/>
          <w:color w:val="231F20"/>
          <w:sz w:val="16"/>
        </w:rPr>
        <w:t>A</w:t>
        <w:tab/>
        <w:t>B</w:t>
        <w:tab/>
        <w:t>C</w:t>
        <w:tab/>
        <w:t>D</w:t>
        <w:tab/>
        <w:t>E</w:t>
        <w:tab/>
        <w:t>Other(a)</w:t>
      </w:r>
    </w:p>
    <w:p>
      <w:pPr>
        <w:pStyle w:val="BodyText"/>
        <w:rPr>
          <w:b/>
          <w:sz w:val="18"/>
        </w:rPr>
      </w:pPr>
      <w:r>
        <w:rPr/>
        <w:br w:type="column"/>
      </w:r>
      <w:r>
        <w:rPr>
          <w:b/>
          <w:sz w:val="18"/>
        </w:rPr>
      </w:r>
    </w:p>
    <w:p>
      <w:pPr>
        <w:spacing w:before="126"/>
        <w:ind w:left="120" w:right="0" w:firstLine="0"/>
        <w:jc w:val="left"/>
        <w:rPr>
          <w:b/>
          <w:sz w:val="16"/>
        </w:rPr>
      </w:pPr>
      <w:r>
        <w:rPr>
          <w:b/>
          <w:color w:val="231F20"/>
          <w:sz w:val="16"/>
        </w:rPr>
        <w:t>Total</w:t>
      </w:r>
    </w:p>
    <w:p>
      <w:pPr>
        <w:spacing w:after="0"/>
        <w:jc w:val="left"/>
        <w:rPr>
          <w:sz w:val="16"/>
        </w:rPr>
        <w:sectPr>
          <w:type w:val="continuous"/>
          <w:pgSz w:w="11880" w:h="15480"/>
          <w:pgMar w:top="1200" w:bottom="280" w:left="1200" w:right="1200"/>
          <w:cols w:num="3" w:equalWidth="0">
            <w:col w:w="915" w:space="2774"/>
            <w:col w:w="4960" w:space="99"/>
            <w:col w:w="732"/>
          </w:cols>
        </w:sectPr>
      </w:pPr>
    </w:p>
    <w:p>
      <w:pPr>
        <w:pStyle w:val="BodyText"/>
        <w:spacing w:line="20" w:lineRule="exact"/>
        <w:ind w:left="115"/>
        <w:rPr>
          <w:sz w:val="2"/>
        </w:rPr>
      </w:pPr>
      <w:r>
        <w:rPr>
          <w:sz w:val="2"/>
        </w:rPr>
        <w:pict>
          <v:group style="width:40.1pt;height:.5pt;mso-position-horizontal-relative:char;mso-position-vertical-relative:line" coordorigin="0,0" coordsize="802,10">
            <v:line style="position:absolute" from="5,5" to="5,5" stroked="true" strokeweight=".5pt" strokecolor="#231f20">
              <v:stroke dashstyle="solid"/>
            </v:line>
            <v:line style="position:absolute" from="797,5" to="5,5" stroked="true" strokeweight=".5pt" strokecolor="#231f20">
              <v:stroke dashstyle="solid"/>
            </v:line>
            <v:line style="position:absolute" from="797,5" to="5,5" stroked="true" strokeweight=".5pt" strokecolor="#231f20">
              <v:stroke dashstyle="solid"/>
            </v:line>
          </v:group>
        </w:pict>
      </w:r>
      <w:r>
        <w:rPr>
          <w:sz w:val="2"/>
        </w:rPr>
      </w:r>
    </w:p>
    <w:p>
      <w:pPr>
        <w:pStyle w:val="BodyText"/>
        <w:tabs>
          <w:tab w:pos="4126" w:val="left" w:leader="none"/>
          <w:tab w:pos="4226" w:val="left" w:leader="none"/>
          <w:tab w:pos="5096" w:val="left" w:leader="none"/>
          <w:tab w:pos="5196" w:val="left" w:leader="none"/>
          <w:tab w:pos="5966" w:val="left" w:leader="none"/>
          <w:tab w:pos="6909" w:val="left" w:leader="none"/>
          <w:tab w:pos="7659" w:val="left" w:leader="none"/>
          <w:tab w:pos="8459" w:val="left" w:leader="none"/>
          <w:tab w:pos="9059" w:val="left" w:leader="none"/>
        </w:tabs>
        <w:spacing w:line="220" w:lineRule="exact" w:before="69"/>
        <w:ind w:left="120" w:right="119"/>
      </w:pPr>
      <w:r>
        <w:rPr/>
        <w:pict>
          <v:shape style="position:absolute;margin-left:352.001007pt;margin-top:14.470006pt;width:173.5pt;height:54.95pt;mso-position-horizontal-relative:page;mso-position-vertical-relative:paragraph;z-index:6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
                    <w:gridCol w:w="863"/>
                    <w:gridCol w:w="797"/>
                    <w:gridCol w:w="1150"/>
                  </w:tblGrid>
                  <w:tr>
                    <w:trPr>
                      <w:trHeight w:val="219" w:hRule="exact"/>
                    </w:trPr>
                    <w:tc>
                      <w:tcPr>
                        <w:tcW w:w="660" w:type="dxa"/>
                      </w:tcPr>
                      <w:p>
                        <w:pPr>
                          <w:pStyle w:val="TableParagraph"/>
                          <w:spacing w:line="219" w:lineRule="exact"/>
                          <w:ind w:left="93"/>
                          <w:jc w:val="left"/>
                          <w:rPr>
                            <w:sz w:val="20"/>
                          </w:rPr>
                        </w:pPr>
                        <w:r>
                          <w:rPr>
                            <w:color w:val="231F20"/>
                            <w:sz w:val="20"/>
                          </w:rPr>
                          <w:t>—</w:t>
                        </w:r>
                      </w:p>
                    </w:tc>
                    <w:tc>
                      <w:tcPr>
                        <w:tcW w:w="863" w:type="dxa"/>
                      </w:tcPr>
                      <w:p>
                        <w:pPr>
                          <w:pStyle w:val="TableParagraph"/>
                          <w:spacing w:line="219" w:lineRule="exact"/>
                          <w:ind w:left="309"/>
                          <w:jc w:val="left"/>
                          <w:rPr>
                            <w:sz w:val="20"/>
                          </w:rPr>
                        </w:pPr>
                        <w:r>
                          <w:rPr>
                            <w:color w:val="231F20"/>
                            <w:sz w:val="20"/>
                          </w:rPr>
                          <w:t>—</w:t>
                        </w:r>
                      </w:p>
                    </w:tc>
                    <w:tc>
                      <w:tcPr>
                        <w:tcW w:w="797" w:type="dxa"/>
                      </w:tcPr>
                      <w:p>
                        <w:pPr>
                          <w:pStyle w:val="TableParagraph"/>
                          <w:spacing w:line="219" w:lineRule="exact"/>
                          <w:ind w:left="296"/>
                          <w:jc w:val="left"/>
                          <w:rPr>
                            <w:sz w:val="20"/>
                          </w:rPr>
                        </w:pPr>
                        <w:r>
                          <w:rPr>
                            <w:color w:val="231F20"/>
                            <w:sz w:val="20"/>
                          </w:rPr>
                          <w:t>—</w:t>
                        </w:r>
                      </w:p>
                    </w:tc>
                    <w:tc>
                      <w:tcPr>
                        <w:tcW w:w="1150" w:type="dxa"/>
                      </w:tcPr>
                      <w:p>
                        <w:pPr>
                          <w:pStyle w:val="TableParagraph"/>
                          <w:tabs>
                            <w:tab w:pos="699" w:val="left" w:leader="none"/>
                          </w:tabs>
                          <w:spacing w:line="219" w:lineRule="exact"/>
                          <w:ind w:right="48"/>
                          <w:rPr>
                            <w:sz w:val="20"/>
                          </w:rPr>
                        </w:pPr>
                        <w:r>
                          <w:rPr>
                            <w:color w:val="231F20"/>
                            <w:sz w:val="20"/>
                          </w:rPr>
                          <w:t>—</w:t>
                          <w:tab/>
                          <w:t>—</w:t>
                        </w:r>
                      </w:p>
                    </w:tc>
                  </w:tr>
                  <w:tr>
                    <w:trPr>
                      <w:trHeight w:val="220" w:hRule="exact"/>
                    </w:trPr>
                    <w:tc>
                      <w:tcPr>
                        <w:tcW w:w="660" w:type="dxa"/>
                      </w:tcPr>
                      <w:p>
                        <w:pPr>
                          <w:pStyle w:val="TableParagraph"/>
                          <w:spacing w:line="219" w:lineRule="exact"/>
                          <w:ind w:left="93"/>
                          <w:jc w:val="left"/>
                          <w:rPr>
                            <w:sz w:val="20"/>
                          </w:rPr>
                        </w:pPr>
                        <w:r>
                          <w:rPr>
                            <w:color w:val="231F20"/>
                            <w:sz w:val="20"/>
                          </w:rPr>
                          <w:t>—</w:t>
                        </w:r>
                      </w:p>
                    </w:tc>
                    <w:tc>
                      <w:tcPr>
                        <w:tcW w:w="863" w:type="dxa"/>
                      </w:tcPr>
                      <w:p>
                        <w:pPr>
                          <w:pStyle w:val="TableParagraph"/>
                          <w:spacing w:line="219" w:lineRule="exact"/>
                          <w:ind w:left="309"/>
                          <w:jc w:val="left"/>
                          <w:rPr>
                            <w:sz w:val="20"/>
                          </w:rPr>
                        </w:pPr>
                        <w:r>
                          <w:rPr>
                            <w:color w:val="231F20"/>
                            <w:sz w:val="20"/>
                          </w:rPr>
                          <w:t>—</w:t>
                        </w:r>
                      </w:p>
                    </w:tc>
                    <w:tc>
                      <w:tcPr>
                        <w:tcW w:w="797" w:type="dxa"/>
                      </w:tcPr>
                      <w:p>
                        <w:pPr>
                          <w:pStyle w:val="TableParagraph"/>
                          <w:spacing w:line="219" w:lineRule="exact"/>
                          <w:ind w:left="296"/>
                          <w:jc w:val="left"/>
                          <w:rPr>
                            <w:sz w:val="20"/>
                          </w:rPr>
                        </w:pPr>
                        <w:r>
                          <w:rPr>
                            <w:color w:val="231F20"/>
                            <w:sz w:val="20"/>
                          </w:rPr>
                          <w:t>—</w:t>
                        </w:r>
                      </w:p>
                    </w:tc>
                    <w:tc>
                      <w:tcPr>
                        <w:tcW w:w="1150" w:type="dxa"/>
                      </w:tcPr>
                      <w:p>
                        <w:pPr>
                          <w:pStyle w:val="TableParagraph"/>
                          <w:tabs>
                            <w:tab w:pos="699" w:val="left" w:leader="none"/>
                          </w:tabs>
                          <w:spacing w:line="219" w:lineRule="exact"/>
                          <w:ind w:right="48"/>
                          <w:rPr>
                            <w:sz w:val="20"/>
                          </w:rPr>
                        </w:pPr>
                        <w:r>
                          <w:rPr>
                            <w:color w:val="231F20"/>
                            <w:sz w:val="20"/>
                          </w:rPr>
                          <w:t>—</w:t>
                          <w:tab/>
                          <w:t>—</w:t>
                        </w:r>
                      </w:p>
                    </w:tc>
                  </w:tr>
                  <w:tr>
                    <w:trPr>
                      <w:trHeight w:val="659" w:hRule="exact"/>
                    </w:trPr>
                    <w:tc>
                      <w:tcPr>
                        <w:tcW w:w="660" w:type="dxa"/>
                      </w:tcPr>
                      <w:p>
                        <w:pPr>
                          <w:pStyle w:val="TableParagraph"/>
                          <w:spacing w:line="219" w:lineRule="exact"/>
                          <w:ind w:left="93"/>
                          <w:jc w:val="left"/>
                          <w:rPr>
                            <w:sz w:val="20"/>
                          </w:rPr>
                        </w:pPr>
                        <w:r>
                          <w:rPr>
                            <w:color w:val="231F20"/>
                            <w:sz w:val="20"/>
                          </w:rPr>
                          <w:t>—</w:t>
                        </w:r>
                      </w:p>
                      <w:p>
                        <w:pPr>
                          <w:pStyle w:val="TableParagraph"/>
                          <w:spacing w:before="3"/>
                          <w:jc w:val="left"/>
                          <w:rPr>
                            <w:sz w:val="18"/>
                          </w:rPr>
                        </w:pPr>
                      </w:p>
                      <w:p>
                        <w:pPr>
                          <w:pStyle w:val="TableParagraph"/>
                          <w:ind w:left="50"/>
                          <w:jc w:val="left"/>
                          <w:rPr>
                            <w:sz w:val="20"/>
                          </w:rPr>
                        </w:pPr>
                        <w:r>
                          <w:rPr>
                            <w:color w:val="231F20"/>
                            <w:sz w:val="20"/>
                          </w:rPr>
                          <w:t>N/A</w:t>
                        </w:r>
                      </w:p>
                    </w:tc>
                    <w:tc>
                      <w:tcPr>
                        <w:tcW w:w="863" w:type="dxa"/>
                      </w:tcPr>
                      <w:p>
                        <w:pPr>
                          <w:pStyle w:val="TableParagraph"/>
                          <w:spacing w:line="219" w:lineRule="exact"/>
                          <w:ind w:right="41"/>
                          <w:jc w:val="center"/>
                          <w:rPr>
                            <w:sz w:val="20"/>
                          </w:rPr>
                        </w:pPr>
                        <w:r>
                          <w:rPr>
                            <w:color w:val="231F20"/>
                            <w:sz w:val="20"/>
                          </w:rPr>
                          <w:t>—</w:t>
                        </w:r>
                      </w:p>
                      <w:p>
                        <w:pPr>
                          <w:pStyle w:val="TableParagraph"/>
                          <w:spacing w:before="3"/>
                          <w:jc w:val="left"/>
                          <w:rPr>
                            <w:sz w:val="18"/>
                          </w:rPr>
                        </w:pPr>
                      </w:p>
                      <w:p>
                        <w:pPr>
                          <w:pStyle w:val="TableParagraph"/>
                          <w:ind w:left="245" w:right="233"/>
                          <w:jc w:val="center"/>
                          <w:rPr>
                            <w:sz w:val="20"/>
                          </w:rPr>
                        </w:pPr>
                        <w:r>
                          <w:rPr>
                            <w:color w:val="231F20"/>
                            <w:sz w:val="20"/>
                          </w:rPr>
                          <w:t>N/A</w:t>
                        </w:r>
                      </w:p>
                    </w:tc>
                    <w:tc>
                      <w:tcPr>
                        <w:tcW w:w="797" w:type="dxa"/>
                      </w:tcPr>
                      <w:p>
                        <w:pPr>
                          <w:pStyle w:val="TableParagraph"/>
                          <w:spacing w:line="219" w:lineRule="exact"/>
                          <w:ind w:right="1"/>
                          <w:jc w:val="center"/>
                          <w:rPr>
                            <w:sz w:val="20"/>
                          </w:rPr>
                        </w:pPr>
                        <w:r>
                          <w:rPr>
                            <w:color w:val="231F20"/>
                            <w:sz w:val="20"/>
                          </w:rPr>
                          <w:t>—</w:t>
                        </w:r>
                      </w:p>
                      <w:p>
                        <w:pPr>
                          <w:pStyle w:val="TableParagraph"/>
                          <w:spacing w:before="3"/>
                          <w:jc w:val="left"/>
                          <w:rPr>
                            <w:sz w:val="18"/>
                          </w:rPr>
                        </w:pPr>
                      </w:p>
                      <w:p>
                        <w:pPr>
                          <w:pStyle w:val="TableParagraph"/>
                          <w:ind w:left="232" w:right="179"/>
                          <w:jc w:val="center"/>
                          <w:rPr>
                            <w:sz w:val="20"/>
                          </w:rPr>
                        </w:pPr>
                        <w:r>
                          <w:rPr>
                            <w:color w:val="231F20"/>
                            <w:sz w:val="20"/>
                          </w:rPr>
                          <w:t>N/A</w:t>
                        </w:r>
                      </w:p>
                    </w:tc>
                    <w:tc>
                      <w:tcPr>
                        <w:tcW w:w="1150" w:type="dxa"/>
                      </w:tcPr>
                      <w:p>
                        <w:pPr>
                          <w:pStyle w:val="TableParagraph"/>
                          <w:tabs>
                            <w:tab w:pos="699" w:val="left" w:leader="none"/>
                          </w:tabs>
                          <w:spacing w:line="219" w:lineRule="exact"/>
                          <w:ind w:right="48"/>
                          <w:rPr>
                            <w:sz w:val="20"/>
                          </w:rPr>
                        </w:pPr>
                        <w:r>
                          <w:rPr>
                            <w:color w:val="231F20"/>
                            <w:sz w:val="20"/>
                          </w:rPr>
                          <w:t>—</w:t>
                          <w:tab/>
                          <w:t>—</w:t>
                        </w:r>
                      </w:p>
                    </w:tc>
                  </w:tr>
                </w:tbl>
                <w:p>
                  <w:pPr>
                    <w:pStyle w:val="BodyText"/>
                  </w:pPr>
                </w:p>
              </w:txbxContent>
            </v:textbox>
            <w10:wrap type="none"/>
          </v:shape>
        </w:pict>
      </w:r>
      <w:r>
        <w:rPr>
          <w:color w:val="231F20"/>
        </w:rPr>
        <w:t>Fair value of fuel derivatives   . . . . . .</w:t>
      </w:r>
      <w:r>
        <w:rPr>
          <w:color w:val="231F20"/>
          <w:spacing w:val="-6"/>
        </w:rPr>
        <w:t> </w:t>
      </w:r>
      <w:r>
        <w:rPr>
          <w:color w:val="231F20"/>
        </w:rPr>
        <w:t>.</w:t>
      </w:r>
      <w:r>
        <w:rPr>
          <w:color w:val="231F20"/>
          <w:spacing w:val="30"/>
        </w:rPr>
        <w:t> </w:t>
      </w:r>
      <w:r>
        <w:rPr>
          <w:color w:val="231F20"/>
        </w:rPr>
        <w:t>$</w:t>
        <w:tab/>
        <w:tab/>
        <w:t>16</w:t>
      </w:r>
      <w:r>
        <w:rPr>
          <w:color w:val="231F20"/>
          <w:spacing w:val="30"/>
        </w:rPr>
        <w:t> </w:t>
      </w:r>
      <w:r>
        <w:rPr>
          <w:color w:val="231F20"/>
        </w:rPr>
        <w:t>$</w:t>
        <w:tab/>
        <w:tab/>
        <w:t>42</w:t>
      </w:r>
      <w:r>
        <w:rPr>
          <w:color w:val="231F20"/>
          <w:spacing w:val="30"/>
        </w:rPr>
        <w:t> </w:t>
      </w:r>
      <w:r>
        <w:rPr>
          <w:color w:val="231F20"/>
        </w:rPr>
        <w:t>$</w:t>
        <w:tab/>
        <w:t>(11)</w:t>
      </w:r>
      <w:r>
        <w:rPr>
          <w:color w:val="231F20"/>
          <w:spacing w:val="23"/>
        </w:rPr>
        <w:t> </w:t>
      </w:r>
      <w:r>
        <w:rPr>
          <w:color w:val="231F20"/>
        </w:rPr>
        <w:t>$</w:t>
        <w:tab/>
        <w:t>18</w:t>
      </w:r>
      <w:r>
        <w:rPr>
          <w:color w:val="231F20"/>
          <w:spacing w:val="30"/>
        </w:rPr>
        <w:t> </w:t>
      </w:r>
      <w:r>
        <w:rPr>
          <w:color w:val="231F20"/>
        </w:rPr>
        <w:t>$</w:t>
        <w:tab/>
        <w:t>115</w:t>
      </w:r>
      <w:r>
        <w:rPr>
          <w:color w:val="231F20"/>
          <w:spacing w:val="30"/>
        </w:rPr>
        <w:t> </w:t>
      </w:r>
      <w:r>
        <w:rPr>
          <w:color w:val="231F20"/>
        </w:rPr>
        <w:t>$</w:t>
        <w:tab/>
        <w:t>39</w:t>
      </w:r>
      <w:r>
        <w:rPr>
          <w:color w:val="231F20"/>
          <w:spacing w:val="30"/>
        </w:rPr>
        <w:t> </w:t>
      </w:r>
      <w:r>
        <w:rPr>
          <w:color w:val="231F20"/>
        </w:rPr>
        <w:t>$</w:t>
        <w:tab/>
        <w:t>219 Cash collateral held (by) CP  . . . . . .</w:t>
      </w:r>
      <w:r>
        <w:rPr>
          <w:color w:val="231F20"/>
          <w:spacing w:val="-12"/>
        </w:rPr>
        <w:t> </w:t>
      </w:r>
      <w:r>
        <w:rPr>
          <w:color w:val="231F20"/>
        </w:rPr>
        <w:t>. .</w:t>
        <w:tab/>
        <w:t>—</w:t>
        <w:tab/>
        <w:t>—</w:t>
      </w:r>
    </w:p>
    <w:p>
      <w:pPr>
        <w:pStyle w:val="BodyText"/>
        <w:tabs>
          <w:tab w:pos="4126" w:val="left" w:leader="none"/>
          <w:tab w:pos="5096" w:val="left" w:leader="none"/>
        </w:tabs>
        <w:spacing w:line="220" w:lineRule="exact"/>
        <w:ind w:left="120" w:right="4182"/>
      </w:pPr>
      <w:r>
        <w:rPr>
          <w:color w:val="231F20"/>
        </w:rPr>
        <w:t>Aircraft collateral pledged to CP   . .</w:t>
      </w:r>
      <w:r>
        <w:rPr>
          <w:color w:val="231F20"/>
          <w:spacing w:val="-6"/>
        </w:rPr>
        <w:t> </w:t>
      </w:r>
      <w:r>
        <w:rPr>
          <w:color w:val="231F20"/>
        </w:rPr>
        <w:t>. .</w:t>
        <w:tab/>
        <w:t>—</w:t>
        <w:tab/>
        <w:t>— Letters of credit (LC)   . . . . . . . . . . .</w:t>
      </w:r>
      <w:r>
        <w:rPr>
          <w:color w:val="231F20"/>
          <w:spacing w:val="-11"/>
        </w:rPr>
        <w:t> </w:t>
      </w:r>
      <w:r>
        <w:rPr>
          <w:color w:val="231F20"/>
        </w:rPr>
        <w:t>. .</w:t>
        <w:tab/>
        <w:t>—</w:t>
        <w:tab/>
        <w:t>—</w:t>
      </w:r>
    </w:p>
    <w:p>
      <w:pPr>
        <w:pStyle w:val="BodyText"/>
        <w:spacing w:line="214" w:lineRule="exact"/>
        <w:ind w:left="320"/>
      </w:pPr>
      <w:r>
        <w:rPr>
          <w:color w:val="231F20"/>
        </w:rPr>
        <w:t>Option to substitute LC for</w:t>
      </w:r>
    </w:p>
    <w:p>
      <w:pPr>
        <w:pStyle w:val="BodyText"/>
        <w:tabs>
          <w:tab w:pos="3786" w:val="left" w:leader="none"/>
        </w:tabs>
        <w:spacing w:line="220" w:lineRule="exact"/>
        <w:ind w:left="520"/>
      </w:pPr>
      <w:r>
        <w:rPr>
          <w:color w:val="231F20"/>
        </w:rPr>
        <w:t>aircraft  . . . . . . . . . . . . . . . . . . .</w:t>
      </w:r>
      <w:r>
        <w:rPr>
          <w:color w:val="231F20"/>
          <w:spacing w:val="-21"/>
        </w:rPr>
        <w:t> </w:t>
      </w:r>
      <w:r>
        <w:rPr>
          <w:color w:val="231F20"/>
        </w:rPr>
        <w:t>. .</w:t>
        <w:tab/>
        <w:t>(340) to  </w:t>
      </w:r>
      <w:r>
        <w:rPr>
          <w:color w:val="231F20"/>
          <w:spacing w:val="39"/>
        </w:rPr>
        <w:t> </w:t>
      </w:r>
      <w:r>
        <w:rPr>
          <w:color w:val="231F20"/>
        </w:rPr>
        <w:t>&gt;(125)(d)</w:t>
      </w:r>
    </w:p>
    <w:p>
      <w:pPr>
        <w:pStyle w:val="BodyText"/>
        <w:spacing w:line="220" w:lineRule="exact"/>
        <w:ind w:right="1293"/>
        <w:jc w:val="center"/>
      </w:pPr>
      <w:r>
        <w:rPr>
          <w:color w:val="231F20"/>
        </w:rPr>
        <w:t>(740)(d)</w:t>
      </w:r>
    </w:p>
    <w:p>
      <w:pPr>
        <w:pStyle w:val="BodyText"/>
        <w:tabs>
          <w:tab w:pos="3762" w:val="left" w:leader="none"/>
          <w:tab w:pos="4732" w:val="left" w:leader="none"/>
          <w:tab w:pos="6445" w:val="left" w:leader="none"/>
        </w:tabs>
        <w:spacing w:line="220" w:lineRule="exact"/>
        <w:ind w:right="1199"/>
        <w:jc w:val="center"/>
      </w:pPr>
      <w:r>
        <w:rPr>
          <w:color w:val="231F20"/>
        </w:rPr>
        <w:t>Option to substitute LC for cash  .</w:t>
      </w:r>
      <w:r>
        <w:rPr>
          <w:color w:val="231F20"/>
          <w:spacing w:val="-18"/>
        </w:rPr>
        <w:t> </w:t>
      </w:r>
      <w:r>
        <w:rPr>
          <w:color w:val="231F20"/>
        </w:rPr>
        <w:t>. .</w:t>
        <w:tab/>
        <w:t>N/A</w:t>
        <w:tab/>
        <w:t>N/A  </w:t>
      </w:r>
      <w:r>
        <w:rPr>
          <w:color w:val="231F20"/>
          <w:spacing w:val="46"/>
        </w:rPr>
        <w:t> </w:t>
      </w:r>
      <w:r>
        <w:rPr>
          <w:color w:val="231F20"/>
        </w:rPr>
        <w:t>(100) to</w:t>
        <w:tab/>
        <w:t>N/A  </w:t>
      </w:r>
      <w:r>
        <w:rPr>
          <w:color w:val="231F20"/>
          <w:spacing w:val="29"/>
        </w:rPr>
        <w:t> </w:t>
      </w:r>
      <w:r>
        <w:rPr>
          <w:color w:val="231F20"/>
        </w:rPr>
        <w:t>&gt;(50)(e)</w:t>
      </w:r>
    </w:p>
    <w:p>
      <w:pPr>
        <w:pStyle w:val="BodyText"/>
        <w:spacing w:line="224" w:lineRule="exact"/>
        <w:ind w:left="5556" w:right="3227"/>
        <w:jc w:val="center"/>
      </w:pPr>
      <w:r>
        <w:rPr>
          <w:color w:val="231F20"/>
        </w:rPr>
        <w:t>(150)(e)</w:t>
      </w:r>
    </w:p>
    <w:p>
      <w:pPr>
        <w:spacing w:line="221" w:lineRule="exact" w:before="0"/>
        <w:ind w:left="120" w:right="0" w:firstLine="0"/>
        <w:jc w:val="left"/>
        <w:rPr>
          <w:b/>
          <w:sz w:val="20"/>
        </w:rPr>
      </w:pPr>
      <w:r>
        <w:rPr>
          <w:b/>
          <w:color w:val="231F20"/>
          <w:sz w:val="20"/>
        </w:rPr>
        <w:t>If credit rating is investment grade,</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20"/>
        <w:gridCol w:w="1177"/>
        <w:gridCol w:w="980"/>
        <w:gridCol w:w="857"/>
        <w:gridCol w:w="958"/>
        <w:gridCol w:w="699"/>
      </w:tblGrid>
      <w:tr>
        <w:trPr>
          <w:trHeight w:val="443" w:hRule="exact"/>
        </w:trPr>
        <w:tc>
          <w:tcPr>
            <w:tcW w:w="3220" w:type="dxa"/>
          </w:tcPr>
          <w:p>
            <w:pPr>
              <w:pStyle w:val="TableParagraph"/>
              <w:spacing w:line="220" w:lineRule="exact" w:before="1"/>
              <w:ind w:left="200" w:right="250"/>
              <w:jc w:val="left"/>
              <w:rPr>
                <w:b/>
                <w:sz w:val="20"/>
              </w:rPr>
            </w:pPr>
            <w:r>
              <w:rPr>
                <w:b/>
                <w:color w:val="231F20"/>
                <w:sz w:val="20"/>
              </w:rPr>
              <w:t>fair value of fuel derivative level at which:</w:t>
            </w:r>
          </w:p>
        </w:tc>
        <w:tc>
          <w:tcPr>
            <w:tcW w:w="4670" w:type="dxa"/>
            <w:gridSpan w:val="5"/>
          </w:tcPr>
          <w:p>
            <w:pPr/>
          </w:p>
        </w:tc>
      </w:tr>
      <w:tr>
        <w:trPr>
          <w:trHeight w:val="219" w:hRule="exact"/>
        </w:trPr>
        <w:tc>
          <w:tcPr>
            <w:tcW w:w="3220" w:type="dxa"/>
          </w:tcPr>
          <w:p>
            <w:pPr>
              <w:pStyle w:val="TableParagraph"/>
              <w:spacing w:line="219" w:lineRule="exact"/>
              <w:ind w:right="62"/>
              <w:rPr>
                <w:sz w:val="20"/>
              </w:rPr>
            </w:pPr>
            <w:r>
              <w:rPr>
                <w:color w:val="231F20"/>
                <w:sz w:val="20"/>
              </w:rPr>
              <w:t>Cash is provided to CP  . . . . . . . . . . </w:t>
            </w:r>
          </w:p>
        </w:tc>
        <w:tc>
          <w:tcPr>
            <w:tcW w:w="1177" w:type="dxa"/>
          </w:tcPr>
          <w:p>
            <w:pPr>
              <w:pStyle w:val="TableParagraph"/>
              <w:spacing w:line="219" w:lineRule="exact"/>
              <w:ind w:right="88"/>
              <w:rPr>
                <w:sz w:val="20"/>
              </w:rPr>
            </w:pPr>
            <w:r>
              <w:rPr>
                <w:color w:val="231F20"/>
                <w:sz w:val="20"/>
              </w:rPr>
              <w:t>(40) to (340)</w:t>
            </w:r>
          </w:p>
        </w:tc>
        <w:tc>
          <w:tcPr>
            <w:tcW w:w="980" w:type="dxa"/>
          </w:tcPr>
          <w:p>
            <w:pPr>
              <w:pStyle w:val="TableParagraph"/>
              <w:spacing w:line="219" w:lineRule="exact"/>
              <w:ind w:right="99"/>
              <w:rPr>
                <w:sz w:val="20"/>
              </w:rPr>
            </w:pPr>
            <w:r>
              <w:rPr>
                <w:color w:val="231F20"/>
                <w:sz w:val="20"/>
              </w:rPr>
              <w:t>0 to (125)</w:t>
            </w:r>
          </w:p>
        </w:tc>
        <w:tc>
          <w:tcPr>
            <w:tcW w:w="857" w:type="dxa"/>
          </w:tcPr>
          <w:p>
            <w:pPr>
              <w:pStyle w:val="TableParagraph"/>
              <w:spacing w:line="219" w:lineRule="exact"/>
              <w:ind w:right="119"/>
              <w:rPr>
                <w:sz w:val="20"/>
              </w:rPr>
            </w:pPr>
            <w:r>
              <w:rPr>
                <w:color w:val="231F20"/>
                <w:sz w:val="20"/>
              </w:rPr>
              <w:t>&gt;(50)</w:t>
            </w:r>
          </w:p>
        </w:tc>
        <w:tc>
          <w:tcPr>
            <w:tcW w:w="958" w:type="dxa"/>
          </w:tcPr>
          <w:p>
            <w:pPr>
              <w:pStyle w:val="TableParagraph"/>
              <w:spacing w:line="219" w:lineRule="exact"/>
              <w:ind w:right="200"/>
              <w:rPr>
                <w:sz w:val="20"/>
              </w:rPr>
            </w:pPr>
            <w:r>
              <w:rPr>
                <w:color w:val="231F20"/>
                <w:sz w:val="20"/>
              </w:rPr>
              <w:t>&gt;(75)</w:t>
            </w:r>
          </w:p>
        </w:tc>
        <w:tc>
          <w:tcPr>
            <w:tcW w:w="699" w:type="dxa"/>
          </w:tcPr>
          <w:p>
            <w:pPr>
              <w:pStyle w:val="TableParagraph"/>
              <w:spacing w:line="219" w:lineRule="exact"/>
              <w:ind w:right="49"/>
              <w:rPr>
                <w:sz w:val="20"/>
              </w:rPr>
            </w:pPr>
            <w:r>
              <w:rPr>
                <w:color w:val="231F20"/>
                <w:sz w:val="20"/>
              </w:rPr>
              <w:t>&gt;(50)</w:t>
            </w:r>
          </w:p>
        </w:tc>
      </w:tr>
      <w:tr>
        <w:trPr>
          <w:trHeight w:val="220" w:hRule="exact"/>
        </w:trPr>
        <w:tc>
          <w:tcPr>
            <w:tcW w:w="3220" w:type="dxa"/>
          </w:tcPr>
          <w:p>
            <w:pPr/>
          </w:p>
        </w:tc>
        <w:tc>
          <w:tcPr>
            <w:tcW w:w="1177" w:type="dxa"/>
          </w:tcPr>
          <w:p>
            <w:pPr>
              <w:pStyle w:val="TableParagraph"/>
              <w:spacing w:line="219" w:lineRule="exact"/>
              <w:ind w:right="88"/>
              <w:rPr>
                <w:sz w:val="20"/>
              </w:rPr>
            </w:pPr>
            <w:r>
              <w:rPr>
                <w:color w:val="231F20"/>
                <w:sz w:val="20"/>
              </w:rPr>
              <w:t>or &gt;(740)</w:t>
            </w:r>
          </w:p>
        </w:tc>
        <w:tc>
          <w:tcPr>
            <w:tcW w:w="980" w:type="dxa"/>
          </w:tcPr>
          <w:p>
            <w:pPr>
              <w:pStyle w:val="TableParagraph"/>
              <w:spacing w:line="219" w:lineRule="exact"/>
              <w:ind w:right="99"/>
              <w:rPr>
                <w:sz w:val="20"/>
              </w:rPr>
            </w:pPr>
            <w:r>
              <w:rPr>
                <w:color w:val="231F20"/>
                <w:sz w:val="20"/>
              </w:rPr>
              <w:t>or &gt;(625)</w:t>
            </w: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1"/>
              <w:rPr>
                <w:sz w:val="20"/>
              </w:rPr>
            </w:pPr>
            <w:r>
              <w:rPr>
                <w:color w:val="231F20"/>
                <w:sz w:val="20"/>
              </w:rPr>
              <w:t>Cash is received from CP  . . . . . . . . </w:t>
            </w:r>
          </w:p>
        </w:tc>
        <w:tc>
          <w:tcPr>
            <w:tcW w:w="1177" w:type="dxa"/>
          </w:tcPr>
          <w:p>
            <w:pPr>
              <w:pStyle w:val="TableParagraph"/>
              <w:spacing w:line="219" w:lineRule="exact"/>
              <w:ind w:right="88"/>
              <w:rPr>
                <w:sz w:val="20"/>
              </w:rPr>
            </w:pPr>
            <w:r>
              <w:rPr>
                <w:color w:val="231F20"/>
                <w:sz w:val="20"/>
              </w:rPr>
              <w:t>&gt;75</w:t>
            </w:r>
          </w:p>
        </w:tc>
        <w:tc>
          <w:tcPr>
            <w:tcW w:w="980" w:type="dxa"/>
          </w:tcPr>
          <w:p>
            <w:pPr>
              <w:pStyle w:val="TableParagraph"/>
              <w:spacing w:line="219" w:lineRule="exact"/>
              <w:ind w:right="98"/>
              <w:rPr>
                <w:sz w:val="20"/>
              </w:rPr>
            </w:pPr>
            <w:r>
              <w:rPr>
                <w:color w:val="231F20"/>
                <w:sz w:val="20"/>
              </w:rPr>
              <w:t>&gt;150</w:t>
            </w:r>
          </w:p>
        </w:tc>
        <w:tc>
          <w:tcPr>
            <w:tcW w:w="857" w:type="dxa"/>
          </w:tcPr>
          <w:p>
            <w:pPr>
              <w:pStyle w:val="TableParagraph"/>
              <w:spacing w:line="219" w:lineRule="exact"/>
              <w:ind w:right="119"/>
              <w:rPr>
                <w:sz w:val="20"/>
              </w:rPr>
            </w:pPr>
            <w:r>
              <w:rPr>
                <w:color w:val="231F20"/>
                <w:sz w:val="20"/>
              </w:rPr>
              <w:t>&gt;175(c)</w:t>
            </w:r>
          </w:p>
        </w:tc>
        <w:tc>
          <w:tcPr>
            <w:tcW w:w="958" w:type="dxa"/>
          </w:tcPr>
          <w:p>
            <w:pPr>
              <w:pStyle w:val="TableParagraph"/>
              <w:spacing w:line="219" w:lineRule="exact"/>
              <w:ind w:right="200"/>
              <w:rPr>
                <w:sz w:val="20"/>
              </w:rPr>
            </w:pPr>
            <w:r>
              <w:rPr>
                <w:color w:val="231F20"/>
                <w:sz w:val="20"/>
              </w:rPr>
              <w:t>&gt;125(c)</w:t>
            </w:r>
          </w:p>
        </w:tc>
        <w:tc>
          <w:tcPr>
            <w:tcW w:w="699" w:type="dxa"/>
          </w:tcPr>
          <w:p>
            <w:pPr>
              <w:pStyle w:val="TableParagraph"/>
              <w:spacing w:line="219" w:lineRule="exact"/>
              <w:ind w:right="48"/>
              <w:rPr>
                <w:sz w:val="20"/>
              </w:rPr>
            </w:pPr>
            <w:r>
              <w:rPr>
                <w:color w:val="231F20"/>
                <w:sz w:val="20"/>
              </w:rPr>
              <w:t>&gt;200</w:t>
            </w:r>
          </w:p>
        </w:tc>
      </w:tr>
      <w:tr>
        <w:trPr>
          <w:trHeight w:val="220" w:hRule="exact"/>
        </w:trPr>
        <w:tc>
          <w:tcPr>
            <w:tcW w:w="3220" w:type="dxa"/>
          </w:tcPr>
          <w:p>
            <w:pPr>
              <w:pStyle w:val="TableParagraph"/>
              <w:spacing w:line="219" w:lineRule="exact"/>
              <w:ind w:left="200"/>
              <w:jc w:val="left"/>
              <w:rPr>
                <w:sz w:val="20"/>
              </w:rPr>
            </w:pPr>
            <w:r>
              <w:rPr>
                <w:color w:val="231F20"/>
                <w:sz w:val="20"/>
              </w:rPr>
              <w:t>Aircraft or cash can be pledged to</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2"/>
              <w:rPr>
                <w:sz w:val="20"/>
              </w:rPr>
            </w:pPr>
            <w:r>
              <w:rPr>
                <w:color w:val="231F20"/>
                <w:sz w:val="20"/>
              </w:rPr>
              <w:t>CP as collateral  . . . . . . . . . . . . . . </w:t>
            </w:r>
          </w:p>
        </w:tc>
        <w:tc>
          <w:tcPr>
            <w:tcW w:w="1177" w:type="dxa"/>
          </w:tcPr>
          <w:p>
            <w:pPr>
              <w:pStyle w:val="TableParagraph"/>
              <w:spacing w:line="219" w:lineRule="exact"/>
              <w:ind w:right="88"/>
              <w:rPr>
                <w:sz w:val="20"/>
              </w:rPr>
            </w:pPr>
            <w:r>
              <w:rPr>
                <w:color w:val="231F20"/>
                <w:sz w:val="20"/>
              </w:rPr>
              <w:t>(340) to</w:t>
            </w:r>
          </w:p>
        </w:tc>
        <w:tc>
          <w:tcPr>
            <w:tcW w:w="980" w:type="dxa"/>
          </w:tcPr>
          <w:p>
            <w:pPr>
              <w:pStyle w:val="TableParagraph"/>
              <w:spacing w:line="219" w:lineRule="exact"/>
              <w:ind w:right="98"/>
              <w:rPr>
                <w:sz w:val="20"/>
              </w:rPr>
            </w:pPr>
            <w:r>
              <w:rPr>
                <w:color w:val="231F20"/>
                <w:sz w:val="20"/>
              </w:rPr>
              <w:t>(125) to</w:t>
            </w:r>
          </w:p>
        </w:tc>
        <w:tc>
          <w:tcPr>
            <w:tcW w:w="857" w:type="dxa"/>
          </w:tcPr>
          <w:p>
            <w:pPr>
              <w:pStyle w:val="TableParagraph"/>
              <w:spacing w:line="219" w:lineRule="exact"/>
              <w:ind w:right="117"/>
              <w:rPr>
                <w:sz w:val="20"/>
              </w:rPr>
            </w:pPr>
            <w:r>
              <w:rPr>
                <w:color w:val="231F20"/>
                <w:w w:val="95"/>
                <w:sz w:val="20"/>
              </w:rPr>
              <w:t>N/A</w:t>
            </w:r>
          </w:p>
        </w:tc>
        <w:tc>
          <w:tcPr>
            <w:tcW w:w="958" w:type="dxa"/>
          </w:tcPr>
          <w:p>
            <w:pPr>
              <w:pStyle w:val="TableParagraph"/>
              <w:spacing w:line="219" w:lineRule="exact"/>
              <w:ind w:right="199"/>
              <w:rPr>
                <w:sz w:val="20"/>
              </w:rPr>
            </w:pPr>
            <w:r>
              <w:rPr>
                <w:color w:val="231F20"/>
                <w:w w:val="95"/>
                <w:sz w:val="20"/>
              </w:rPr>
              <w:t>N/A</w:t>
            </w:r>
          </w:p>
        </w:tc>
        <w:tc>
          <w:tcPr>
            <w:tcW w:w="699" w:type="dxa"/>
          </w:tcPr>
          <w:p>
            <w:pPr>
              <w:pStyle w:val="TableParagraph"/>
              <w:spacing w:line="219" w:lineRule="exact"/>
              <w:ind w:right="48"/>
              <w:rPr>
                <w:sz w:val="20"/>
              </w:rPr>
            </w:pPr>
            <w:r>
              <w:rPr>
                <w:color w:val="231F20"/>
                <w:w w:val="95"/>
                <w:sz w:val="20"/>
              </w:rPr>
              <w:t>N/A</w:t>
            </w:r>
          </w:p>
        </w:tc>
      </w:tr>
      <w:tr>
        <w:trPr>
          <w:trHeight w:val="219" w:hRule="exact"/>
        </w:trPr>
        <w:tc>
          <w:tcPr>
            <w:tcW w:w="3220" w:type="dxa"/>
          </w:tcPr>
          <w:p>
            <w:pPr/>
          </w:p>
        </w:tc>
        <w:tc>
          <w:tcPr>
            <w:tcW w:w="1177" w:type="dxa"/>
          </w:tcPr>
          <w:p>
            <w:pPr>
              <w:pStyle w:val="TableParagraph"/>
              <w:spacing w:line="219" w:lineRule="exact"/>
              <w:ind w:right="89"/>
              <w:rPr>
                <w:sz w:val="20"/>
              </w:rPr>
            </w:pPr>
            <w:r>
              <w:rPr>
                <w:color w:val="231F20"/>
                <w:sz w:val="20"/>
              </w:rPr>
              <w:t>(740)(d)</w:t>
            </w:r>
          </w:p>
        </w:tc>
        <w:tc>
          <w:tcPr>
            <w:tcW w:w="980" w:type="dxa"/>
          </w:tcPr>
          <w:p>
            <w:pPr>
              <w:pStyle w:val="TableParagraph"/>
              <w:spacing w:line="219" w:lineRule="exact"/>
              <w:ind w:right="101"/>
              <w:rPr>
                <w:sz w:val="20"/>
              </w:rPr>
            </w:pPr>
            <w:r>
              <w:rPr>
                <w:color w:val="231F20"/>
                <w:sz w:val="20"/>
              </w:rPr>
              <w:t>(625)(d)</w:t>
            </w:r>
          </w:p>
        </w:tc>
        <w:tc>
          <w:tcPr>
            <w:tcW w:w="857" w:type="dxa"/>
          </w:tcPr>
          <w:p>
            <w:pPr/>
          </w:p>
        </w:tc>
        <w:tc>
          <w:tcPr>
            <w:tcW w:w="958" w:type="dxa"/>
          </w:tcPr>
          <w:p>
            <w:pPr/>
          </w:p>
        </w:tc>
        <w:tc>
          <w:tcPr>
            <w:tcW w:w="699" w:type="dxa"/>
          </w:tcPr>
          <w:p>
            <w:pPr/>
          </w:p>
        </w:tc>
      </w:tr>
      <w:tr>
        <w:trPr>
          <w:trHeight w:val="222" w:hRule="exact"/>
        </w:trPr>
        <w:tc>
          <w:tcPr>
            <w:tcW w:w="3220" w:type="dxa"/>
          </w:tcPr>
          <w:p>
            <w:pPr>
              <w:pStyle w:val="TableParagraph"/>
              <w:spacing w:line="220" w:lineRule="exact"/>
              <w:jc w:val="left"/>
              <w:rPr>
                <w:b/>
                <w:sz w:val="20"/>
              </w:rPr>
            </w:pPr>
            <w:r>
              <w:rPr>
                <w:b/>
                <w:color w:val="231F20"/>
                <w:sz w:val="20"/>
              </w:rPr>
              <w:t>If credit rating is non-investment</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19" w:hRule="exact"/>
        </w:trPr>
        <w:tc>
          <w:tcPr>
            <w:tcW w:w="3220" w:type="dxa"/>
          </w:tcPr>
          <w:p>
            <w:pPr>
              <w:pStyle w:val="TableParagraph"/>
              <w:spacing w:line="221" w:lineRule="exact"/>
              <w:ind w:right="115"/>
              <w:rPr>
                <w:b/>
                <w:sz w:val="20"/>
              </w:rPr>
            </w:pPr>
            <w:r>
              <w:rPr>
                <w:b/>
                <w:color w:val="231F20"/>
                <w:sz w:val="20"/>
              </w:rPr>
              <w:t>grade, fair value of fuel derivative</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1" w:hRule="exact"/>
        </w:trPr>
        <w:tc>
          <w:tcPr>
            <w:tcW w:w="3220" w:type="dxa"/>
          </w:tcPr>
          <w:p>
            <w:pPr>
              <w:pStyle w:val="TableParagraph"/>
              <w:spacing w:line="220" w:lineRule="exact"/>
              <w:ind w:left="200"/>
              <w:jc w:val="left"/>
              <w:rPr>
                <w:b/>
                <w:sz w:val="20"/>
              </w:rPr>
            </w:pPr>
            <w:r>
              <w:rPr>
                <w:b/>
                <w:color w:val="231F20"/>
                <w:sz w:val="20"/>
              </w:rPr>
              <w:t>level at which:</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19" w:hRule="exact"/>
        </w:trPr>
        <w:tc>
          <w:tcPr>
            <w:tcW w:w="3220" w:type="dxa"/>
          </w:tcPr>
          <w:p>
            <w:pPr>
              <w:pStyle w:val="TableParagraph"/>
              <w:spacing w:line="219" w:lineRule="exact"/>
              <w:ind w:right="62"/>
              <w:rPr>
                <w:sz w:val="20"/>
              </w:rPr>
            </w:pPr>
            <w:r>
              <w:rPr>
                <w:color w:val="231F20"/>
                <w:sz w:val="20"/>
              </w:rPr>
              <w:t>Cash is provided to CP  . . . . . . . . . . </w:t>
            </w:r>
          </w:p>
        </w:tc>
        <w:tc>
          <w:tcPr>
            <w:tcW w:w="1177" w:type="dxa"/>
          </w:tcPr>
          <w:p>
            <w:pPr>
              <w:pStyle w:val="TableParagraph"/>
              <w:spacing w:line="219" w:lineRule="exact"/>
              <w:ind w:right="88"/>
              <w:rPr>
                <w:sz w:val="20"/>
              </w:rPr>
            </w:pPr>
            <w:r>
              <w:rPr>
                <w:color w:val="231F20"/>
                <w:sz w:val="20"/>
              </w:rPr>
              <w:t>(40) to (340)</w:t>
            </w:r>
          </w:p>
        </w:tc>
        <w:tc>
          <w:tcPr>
            <w:tcW w:w="980" w:type="dxa"/>
          </w:tcPr>
          <w:p>
            <w:pPr>
              <w:pStyle w:val="TableParagraph"/>
              <w:spacing w:line="219" w:lineRule="exact"/>
              <w:ind w:right="99"/>
              <w:rPr>
                <w:sz w:val="20"/>
              </w:rPr>
            </w:pPr>
            <w:r>
              <w:rPr>
                <w:color w:val="231F20"/>
                <w:sz w:val="20"/>
              </w:rPr>
              <w:t>0 to (125)</w:t>
            </w:r>
          </w:p>
        </w:tc>
        <w:tc>
          <w:tcPr>
            <w:tcW w:w="857" w:type="dxa"/>
          </w:tcPr>
          <w:p>
            <w:pPr>
              <w:pStyle w:val="TableParagraph"/>
              <w:spacing w:line="219" w:lineRule="exact"/>
              <w:ind w:right="120"/>
              <w:rPr>
                <w:sz w:val="20"/>
              </w:rPr>
            </w:pPr>
            <w:r>
              <w:rPr>
                <w:color w:val="231F20"/>
                <w:sz w:val="20"/>
              </w:rPr>
              <w:t>(b)</w:t>
            </w:r>
          </w:p>
        </w:tc>
        <w:tc>
          <w:tcPr>
            <w:tcW w:w="958" w:type="dxa"/>
          </w:tcPr>
          <w:p>
            <w:pPr>
              <w:pStyle w:val="TableParagraph"/>
              <w:spacing w:line="219" w:lineRule="exact"/>
              <w:ind w:right="200"/>
              <w:rPr>
                <w:sz w:val="20"/>
              </w:rPr>
            </w:pPr>
            <w:r>
              <w:rPr>
                <w:color w:val="231F20"/>
                <w:sz w:val="20"/>
              </w:rPr>
              <w:t>(b)</w:t>
            </w:r>
          </w:p>
        </w:tc>
        <w:tc>
          <w:tcPr>
            <w:tcW w:w="699" w:type="dxa"/>
          </w:tcPr>
          <w:p>
            <w:pPr>
              <w:pStyle w:val="TableParagraph"/>
              <w:spacing w:line="219" w:lineRule="exact"/>
              <w:ind w:right="49"/>
              <w:rPr>
                <w:sz w:val="20"/>
              </w:rPr>
            </w:pPr>
            <w:r>
              <w:rPr>
                <w:color w:val="231F20"/>
                <w:sz w:val="20"/>
              </w:rPr>
              <w:t>(b)</w:t>
            </w:r>
          </w:p>
        </w:tc>
      </w:tr>
      <w:tr>
        <w:trPr>
          <w:trHeight w:val="220" w:hRule="exact"/>
        </w:trPr>
        <w:tc>
          <w:tcPr>
            <w:tcW w:w="3220" w:type="dxa"/>
          </w:tcPr>
          <w:p>
            <w:pPr/>
          </w:p>
        </w:tc>
        <w:tc>
          <w:tcPr>
            <w:tcW w:w="1177" w:type="dxa"/>
          </w:tcPr>
          <w:p>
            <w:pPr>
              <w:pStyle w:val="TableParagraph"/>
              <w:spacing w:line="219" w:lineRule="exact"/>
              <w:ind w:right="88"/>
              <w:rPr>
                <w:sz w:val="20"/>
              </w:rPr>
            </w:pPr>
            <w:r>
              <w:rPr>
                <w:color w:val="231F20"/>
                <w:sz w:val="20"/>
              </w:rPr>
              <w:t>or &gt;(740)</w:t>
            </w:r>
          </w:p>
        </w:tc>
        <w:tc>
          <w:tcPr>
            <w:tcW w:w="980" w:type="dxa"/>
          </w:tcPr>
          <w:p>
            <w:pPr>
              <w:pStyle w:val="TableParagraph"/>
              <w:spacing w:line="219" w:lineRule="exact"/>
              <w:ind w:right="99"/>
              <w:rPr>
                <w:sz w:val="20"/>
              </w:rPr>
            </w:pPr>
            <w:r>
              <w:rPr>
                <w:color w:val="231F20"/>
                <w:sz w:val="20"/>
              </w:rPr>
              <w:t>or &gt;(625)</w:t>
            </w: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1"/>
              <w:rPr>
                <w:sz w:val="20"/>
              </w:rPr>
            </w:pPr>
            <w:r>
              <w:rPr>
                <w:color w:val="231F20"/>
                <w:sz w:val="20"/>
              </w:rPr>
              <w:t>Cash is received from CP  . . . . . . . . </w:t>
            </w:r>
          </w:p>
        </w:tc>
        <w:tc>
          <w:tcPr>
            <w:tcW w:w="1177" w:type="dxa"/>
          </w:tcPr>
          <w:p>
            <w:pPr>
              <w:pStyle w:val="TableParagraph"/>
              <w:spacing w:line="219" w:lineRule="exact"/>
              <w:ind w:right="88"/>
              <w:rPr>
                <w:sz w:val="20"/>
              </w:rPr>
            </w:pPr>
            <w:r>
              <w:rPr>
                <w:color w:val="231F20"/>
                <w:sz w:val="20"/>
              </w:rPr>
              <w:t>(b)</w:t>
            </w:r>
          </w:p>
        </w:tc>
        <w:tc>
          <w:tcPr>
            <w:tcW w:w="980" w:type="dxa"/>
          </w:tcPr>
          <w:p>
            <w:pPr>
              <w:pStyle w:val="TableParagraph"/>
              <w:spacing w:line="219" w:lineRule="exact"/>
              <w:ind w:right="99"/>
              <w:rPr>
                <w:sz w:val="20"/>
              </w:rPr>
            </w:pPr>
            <w:r>
              <w:rPr>
                <w:color w:val="231F20"/>
                <w:sz w:val="20"/>
              </w:rPr>
              <w:t>(b)</w:t>
            </w:r>
          </w:p>
        </w:tc>
        <w:tc>
          <w:tcPr>
            <w:tcW w:w="857" w:type="dxa"/>
          </w:tcPr>
          <w:p>
            <w:pPr>
              <w:pStyle w:val="TableParagraph"/>
              <w:spacing w:line="219" w:lineRule="exact"/>
              <w:ind w:right="119"/>
              <w:rPr>
                <w:sz w:val="20"/>
              </w:rPr>
            </w:pPr>
            <w:r>
              <w:rPr>
                <w:color w:val="231F20"/>
                <w:sz w:val="20"/>
              </w:rPr>
              <w:t>(b)</w:t>
            </w:r>
          </w:p>
        </w:tc>
        <w:tc>
          <w:tcPr>
            <w:tcW w:w="958" w:type="dxa"/>
          </w:tcPr>
          <w:p>
            <w:pPr>
              <w:pStyle w:val="TableParagraph"/>
              <w:spacing w:line="219" w:lineRule="exact"/>
              <w:ind w:right="200"/>
              <w:rPr>
                <w:sz w:val="20"/>
              </w:rPr>
            </w:pPr>
            <w:r>
              <w:rPr>
                <w:color w:val="231F20"/>
                <w:sz w:val="20"/>
              </w:rPr>
              <w:t>(b)</w:t>
            </w:r>
          </w:p>
        </w:tc>
        <w:tc>
          <w:tcPr>
            <w:tcW w:w="699" w:type="dxa"/>
          </w:tcPr>
          <w:p>
            <w:pPr>
              <w:pStyle w:val="TableParagraph"/>
              <w:spacing w:line="219" w:lineRule="exact"/>
              <w:ind w:right="49"/>
              <w:rPr>
                <w:sz w:val="20"/>
              </w:rPr>
            </w:pPr>
            <w:r>
              <w:rPr>
                <w:color w:val="231F20"/>
                <w:sz w:val="20"/>
              </w:rPr>
              <w:t>(b)</w:t>
            </w:r>
          </w:p>
        </w:tc>
      </w:tr>
      <w:tr>
        <w:trPr>
          <w:trHeight w:val="220" w:hRule="exact"/>
        </w:trPr>
        <w:tc>
          <w:tcPr>
            <w:tcW w:w="3220" w:type="dxa"/>
          </w:tcPr>
          <w:p>
            <w:pPr>
              <w:pStyle w:val="TableParagraph"/>
              <w:spacing w:line="219" w:lineRule="exact"/>
              <w:ind w:left="200"/>
              <w:jc w:val="left"/>
              <w:rPr>
                <w:sz w:val="20"/>
              </w:rPr>
            </w:pPr>
            <w:r>
              <w:rPr>
                <w:color w:val="231F20"/>
                <w:sz w:val="20"/>
              </w:rPr>
              <w:t>Aircraft can be pledged to CP as</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2"/>
              <w:rPr>
                <w:sz w:val="20"/>
              </w:rPr>
            </w:pPr>
            <w:r>
              <w:rPr>
                <w:color w:val="231F20"/>
                <w:sz w:val="20"/>
              </w:rPr>
              <w:t>collateral  . . . . . . . . . . . . . . . . . . . </w:t>
            </w:r>
          </w:p>
        </w:tc>
        <w:tc>
          <w:tcPr>
            <w:tcW w:w="1177" w:type="dxa"/>
          </w:tcPr>
          <w:p>
            <w:pPr>
              <w:pStyle w:val="TableParagraph"/>
              <w:spacing w:line="219" w:lineRule="exact"/>
              <w:ind w:right="88"/>
              <w:rPr>
                <w:sz w:val="20"/>
              </w:rPr>
            </w:pPr>
            <w:r>
              <w:rPr>
                <w:color w:val="231F20"/>
                <w:sz w:val="20"/>
              </w:rPr>
              <w:t>(340) to</w:t>
            </w:r>
          </w:p>
        </w:tc>
        <w:tc>
          <w:tcPr>
            <w:tcW w:w="980" w:type="dxa"/>
          </w:tcPr>
          <w:p>
            <w:pPr>
              <w:pStyle w:val="TableParagraph"/>
              <w:spacing w:line="219" w:lineRule="exact"/>
              <w:ind w:right="98"/>
              <w:rPr>
                <w:sz w:val="20"/>
              </w:rPr>
            </w:pPr>
            <w:r>
              <w:rPr>
                <w:color w:val="231F20"/>
                <w:sz w:val="20"/>
              </w:rPr>
              <w:t>(125) to</w:t>
            </w:r>
          </w:p>
        </w:tc>
        <w:tc>
          <w:tcPr>
            <w:tcW w:w="857" w:type="dxa"/>
          </w:tcPr>
          <w:p>
            <w:pPr>
              <w:pStyle w:val="TableParagraph"/>
              <w:spacing w:line="219" w:lineRule="exact"/>
              <w:ind w:right="117"/>
              <w:rPr>
                <w:sz w:val="20"/>
              </w:rPr>
            </w:pPr>
            <w:r>
              <w:rPr>
                <w:color w:val="231F20"/>
                <w:w w:val="95"/>
                <w:sz w:val="20"/>
              </w:rPr>
              <w:t>N/A</w:t>
            </w:r>
          </w:p>
        </w:tc>
        <w:tc>
          <w:tcPr>
            <w:tcW w:w="958" w:type="dxa"/>
          </w:tcPr>
          <w:p>
            <w:pPr>
              <w:pStyle w:val="TableParagraph"/>
              <w:spacing w:line="219" w:lineRule="exact"/>
              <w:ind w:right="199"/>
              <w:rPr>
                <w:sz w:val="20"/>
              </w:rPr>
            </w:pPr>
            <w:r>
              <w:rPr>
                <w:color w:val="231F20"/>
                <w:w w:val="95"/>
                <w:sz w:val="20"/>
              </w:rPr>
              <w:t>N/A</w:t>
            </w:r>
          </w:p>
        </w:tc>
        <w:tc>
          <w:tcPr>
            <w:tcW w:w="699" w:type="dxa"/>
          </w:tcPr>
          <w:p>
            <w:pPr>
              <w:pStyle w:val="TableParagraph"/>
              <w:spacing w:line="219" w:lineRule="exact"/>
              <w:ind w:right="48"/>
              <w:rPr>
                <w:sz w:val="20"/>
              </w:rPr>
            </w:pPr>
            <w:r>
              <w:rPr>
                <w:color w:val="231F20"/>
                <w:w w:val="95"/>
                <w:sz w:val="20"/>
              </w:rPr>
              <w:t>N/A</w:t>
            </w:r>
          </w:p>
        </w:tc>
      </w:tr>
      <w:tr>
        <w:trPr>
          <w:trHeight w:val="331" w:hRule="exact"/>
        </w:trPr>
        <w:tc>
          <w:tcPr>
            <w:tcW w:w="3220" w:type="dxa"/>
            <w:tcBorders>
              <w:bottom w:val="single" w:sz="4" w:space="0" w:color="231F20"/>
            </w:tcBorders>
          </w:tcPr>
          <w:p>
            <w:pPr/>
          </w:p>
        </w:tc>
        <w:tc>
          <w:tcPr>
            <w:tcW w:w="1177" w:type="dxa"/>
          </w:tcPr>
          <w:p>
            <w:pPr>
              <w:pStyle w:val="TableParagraph"/>
              <w:spacing w:line="219" w:lineRule="exact"/>
              <w:ind w:right="88"/>
              <w:rPr>
                <w:sz w:val="20"/>
              </w:rPr>
            </w:pPr>
            <w:r>
              <w:rPr>
                <w:color w:val="231F20"/>
                <w:sz w:val="20"/>
              </w:rPr>
              <w:t>(740)</w:t>
            </w:r>
          </w:p>
        </w:tc>
        <w:tc>
          <w:tcPr>
            <w:tcW w:w="980" w:type="dxa"/>
          </w:tcPr>
          <w:p>
            <w:pPr>
              <w:pStyle w:val="TableParagraph"/>
              <w:spacing w:line="219" w:lineRule="exact"/>
              <w:ind w:right="99"/>
              <w:rPr>
                <w:sz w:val="20"/>
              </w:rPr>
            </w:pPr>
            <w:r>
              <w:rPr>
                <w:color w:val="231F20"/>
                <w:sz w:val="20"/>
              </w:rPr>
              <w:t>(625)</w:t>
            </w:r>
          </w:p>
        </w:tc>
        <w:tc>
          <w:tcPr>
            <w:tcW w:w="857" w:type="dxa"/>
          </w:tcPr>
          <w:p>
            <w:pPr/>
          </w:p>
        </w:tc>
        <w:tc>
          <w:tcPr>
            <w:tcW w:w="958" w:type="dxa"/>
          </w:tcPr>
          <w:p>
            <w:pPr/>
          </w:p>
        </w:tc>
        <w:tc>
          <w:tcPr>
            <w:tcW w:w="699" w:type="dxa"/>
          </w:tcPr>
          <w:p>
            <w:pPr/>
          </w:p>
        </w:tc>
      </w:tr>
    </w:tbl>
    <w:p>
      <w:pPr>
        <w:pStyle w:val="ListParagraph"/>
        <w:numPr>
          <w:ilvl w:val="0"/>
          <w:numId w:val="15"/>
        </w:numPr>
        <w:tabs>
          <w:tab w:pos="520" w:val="left" w:leader="none"/>
        </w:tabs>
        <w:spacing w:line="240" w:lineRule="auto" w:before="47" w:after="0"/>
        <w:ind w:left="500" w:right="0" w:hanging="380"/>
        <w:jc w:val="left"/>
        <w:rPr>
          <w:sz w:val="20"/>
        </w:rPr>
      </w:pPr>
      <w:r>
        <w:rPr>
          <w:color w:val="231F20"/>
          <w:sz w:val="20"/>
        </w:rPr>
        <w:t>Individual counterparties with fair value of fuel derivatives &lt;$20</w:t>
      </w:r>
      <w:r>
        <w:rPr>
          <w:color w:val="231F20"/>
          <w:spacing w:val="8"/>
          <w:sz w:val="20"/>
        </w:rPr>
        <w:t> </w:t>
      </w:r>
      <w:r>
        <w:rPr>
          <w:color w:val="231F20"/>
          <w:sz w:val="20"/>
        </w:rPr>
        <w:t>million.</w:t>
      </w:r>
    </w:p>
    <w:p>
      <w:pPr>
        <w:pStyle w:val="ListParagraph"/>
        <w:numPr>
          <w:ilvl w:val="0"/>
          <w:numId w:val="15"/>
        </w:numPr>
        <w:tabs>
          <w:tab w:pos="520" w:val="left" w:leader="none"/>
        </w:tabs>
        <w:spacing w:line="240" w:lineRule="auto" w:before="10"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5"/>
        </w:numPr>
        <w:tabs>
          <w:tab w:pos="520" w:val="left" w:leader="none"/>
        </w:tabs>
        <w:spacing w:line="240" w:lineRule="auto" w:before="10"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spacing w:after="0" w:line="240" w:lineRule="auto"/>
        <w:jc w:val="left"/>
        <w:rPr>
          <w:sz w:val="20"/>
        </w:rPr>
        <w:sectPr>
          <w:type w:val="continuous"/>
          <w:pgSz w:w="11880" w:h="15480"/>
          <w:pgMar w:top="1200" w:bottom="280" w:left="1200" w:right="1200"/>
        </w:sectPr>
      </w:pPr>
    </w:p>
    <w:p>
      <w:pPr>
        <w:pStyle w:val="ListParagraph"/>
        <w:numPr>
          <w:ilvl w:val="0"/>
          <w:numId w:val="15"/>
        </w:numPr>
        <w:tabs>
          <w:tab w:pos="500" w:val="left" w:leader="none"/>
        </w:tabs>
        <w:spacing w:line="249" w:lineRule="auto" w:before="73" w:after="0"/>
        <w:ind w:left="500" w:right="256" w:hanging="400"/>
        <w:jc w:val="left"/>
        <w:rPr>
          <w:sz w:val="20"/>
        </w:rPr>
      </w:pPr>
      <w:r>
        <w:rPr>
          <w:color w:val="231F20"/>
          <w:sz w:val="20"/>
        </w:rPr>
        <w:t>The Company has the option of providing cash, letters of credit, or pledging aircraft as collateral. No cash, letters of credit, or aircraft were pledged as collateral with such counterparties as of December 31,</w:t>
      </w:r>
      <w:r>
        <w:rPr>
          <w:color w:val="231F20"/>
          <w:spacing w:val="12"/>
          <w:sz w:val="20"/>
        </w:rPr>
        <w:t> </w:t>
      </w:r>
      <w:r>
        <w:rPr>
          <w:color w:val="231F20"/>
          <w:sz w:val="20"/>
        </w:rPr>
        <w:t>2012.</w:t>
      </w:r>
    </w:p>
    <w:p>
      <w:pPr>
        <w:pStyle w:val="ListParagraph"/>
        <w:numPr>
          <w:ilvl w:val="0"/>
          <w:numId w:val="15"/>
        </w:numPr>
        <w:tabs>
          <w:tab w:pos="500" w:val="left" w:leader="none"/>
        </w:tabs>
        <w:spacing w:line="249" w:lineRule="auto" w:before="1" w:after="0"/>
        <w:ind w:left="500" w:right="306" w:hanging="400"/>
        <w:jc w:val="left"/>
        <w:rPr>
          <w:sz w:val="20"/>
        </w:rPr>
      </w:pPr>
      <w:r>
        <w:rPr>
          <w:color w:val="231F20"/>
          <w:sz w:val="20"/>
        </w:rPr>
        <w:t>The Company has the option of providing cash or letters of credit as collateral. No cash or letters of credit were pledged as collateral with such counterparties as of December 31,</w:t>
      </w:r>
      <w:r>
        <w:rPr>
          <w:color w:val="231F20"/>
          <w:spacing w:val="6"/>
          <w:sz w:val="20"/>
        </w:rPr>
        <w:t> </w:t>
      </w:r>
      <w:r>
        <w:rPr>
          <w:color w:val="231F20"/>
          <w:sz w:val="20"/>
        </w:rPr>
        <w:t>2012.</w:t>
      </w:r>
    </w:p>
    <w:p>
      <w:pPr>
        <w:pStyle w:val="BodyText"/>
        <w:spacing w:before="11"/>
      </w:pPr>
    </w:p>
    <w:p>
      <w:pPr>
        <w:pStyle w:val="BodyText"/>
        <w:spacing w:line="249" w:lineRule="auto"/>
        <w:ind w:left="100" w:right="257" w:firstLine="490"/>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2012,</w:t>
      </w:r>
    </w:p>
    <w:p>
      <w:pPr>
        <w:pStyle w:val="BodyText"/>
        <w:spacing w:line="249" w:lineRule="auto" w:before="1"/>
        <w:ind w:left="100" w:right="232"/>
      </w:pPr>
      <w:r>
        <w:rPr>
          <w:color w:val="231F20"/>
        </w:rPr>
        <w:t>$66 million had been provided to one counterparty associated with interest rate derivatives based on the Company’s outstanding net liability derivative position with that counterparty. In addition, in connection with interest rate swaps entered into by AirTran, $23 million had been provided to one counterparty at December 31, 2012, as a result of net liability derivative position with that counterparty. The outstanding interest rate net derivative positions with all other counterparties at December 31, 2012, were assets to the Company.</w:t>
      </w:r>
    </w:p>
    <w:p>
      <w:pPr>
        <w:pStyle w:val="BodyText"/>
        <w:spacing w:before="11"/>
      </w:pPr>
    </w:p>
    <w:p>
      <w:pPr>
        <w:pStyle w:val="BodyText"/>
        <w:spacing w:line="249" w:lineRule="auto"/>
        <w:ind w:left="100" w:right="106" w:firstLine="490"/>
      </w:pPr>
      <w:r>
        <w:rPr>
          <w:color w:val="231F20"/>
        </w:rPr>
        <w:t>Applicable accounting provisions require an entity to select a policy for how it records the offset rights to reclaim cash collateral associated with the related derivative fair value of the assets or liabilities of such derivative instruments. In the accompanying Consolidated Balance Sheet, the Company has elected to present its cash collateral utilizing a net presentation, in which cash collateral amounts held or provided have been netted against the fair value of outstanding derivative instruments. The Company’s application of this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is applied against the fair value of noncurrent outstanding derivative instruments (those that will settle beyond one year following the balance sheet date). If the Company’s fuel derivative instruments are in a net liability position with the counterparty, cash collateral amounts provided are first netted against noncurrent derivative amounts associated with that counterparty until that balance is zero, and then any remainder is applied against the fair value of current outstanding derivative instruments. At December 31, 2012, no cash collateral deposits, letters of credit, and/or aircraft collateral were provided by or held by the Company associated with its outstanding fuel derivative instruments. At December 31, 2011, of the entire $226 million in cash collateral deposits posted with counterparties under the Company’s bilateral collateral provisions, $41 million was netted against noncurrent fuel derivative instruments within Other noncurrent liabilities and $185 million was netted against current fuel derivative instruments within Accrued liabilities in the Consolidated Balance</w:t>
      </w:r>
      <w:r>
        <w:rPr>
          <w:color w:val="231F20"/>
          <w:spacing w:val="9"/>
        </w:rPr>
        <w:t> </w:t>
      </w:r>
      <w:r>
        <w:rPr>
          <w:color w:val="231F20"/>
        </w:rPr>
        <w:t>Sheet.</w:t>
      </w:r>
    </w:p>
    <w:p>
      <w:pPr>
        <w:pStyle w:val="BodyText"/>
        <w:spacing w:before="4"/>
        <w:rPr>
          <w:sz w:val="31"/>
        </w:rPr>
      </w:pPr>
    </w:p>
    <w:p>
      <w:pPr>
        <w:pStyle w:val="Heading3"/>
        <w:numPr>
          <w:ilvl w:val="0"/>
          <w:numId w:val="13"/>
        </w:numPr>
        <w:tabs>
          <w:tab w:pos="400" w:val="left" w:leader="none"/>
        </w:tabs>
        <w:spacing w:line="240" w:lineRule="auto" w:before="0" w:after="0"/>
        <w:ind w:left="400" w:right="0" w:hanging="300"/>
        <w:jc w:val="left"/>
      </w:pPr>
      <w:r>
        <w:rPr>
          <w:color w:val="231F20"/>
        </w:rPr>
        <w:t>FAIR VALUE</w:t>
      </w:r>
      <w:r>
        <w:rPr>
          <w:color w:val="231F20"/>
          <w:spacing w:val="-4"/>
        </w:rPr>
        <w:t> </w:t>
      </w:r>
      <w:r>
        <w:rPr>
          <w:color w:val="231F20"/>
        </w:rPr>
        <w:t>MEASUREMENTS</w:t>
      </w:r>
    </w:p>
    <w:p>
      <w:pPr>
        <w:pStyle w:val="BodyText"/>
        <w:spacing w:line="249" w:lineRule="auto" w:before="129"/>
        <w:ind w:left="100" w:right="292"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ind w:left="100" w:right="111" w:firstLine="490"/>
      </w:pPr>
      <w:r>
        <w:rPr>
          <w:color w:val="231F20"/>
        </w:rPr>
        <w:t>As of December 31, 2012,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2"/>
        </w:rPr>
        <w:t> </w:t>
      </w:r>
      <w:r>
        <w:rPr>
          <w:color w:val="231F20"/>
        </w:rPr>
        <w:t>plan.</w:t>
      </w:r>
    </w:p>
    <w:p>
      <w:pPr>
        <w:spacing w:after="0" w:line="249" w:lineRule="auto"/>
        <w:sectPr>
          <w:pgSz w:w="11880" w:h="15480"/>
          <w:pgMar w:header="0" w:footer="1253" w:top="1240" w:bottom="1440" w:left="1280" w:right="1300"/>
        </w:sectPr>
      </w:pPr>
    </w:p>
    <w:p>
      <w:pPr>
        <w:pStyle w:val="BodyText"/>
        <w:spacing w:line="249" w:lineRule="auto" w:before="73"/>
        <w:ind w:left="100" w:right="108" w:firstLine="49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4"/>
        </w:rPr>
        <w:t> </w:t>
      </w:r>
      <w:r>
        <w:rPr>
          <w:color w:val="231F20"/>
        </w:rPr>
        <w:t>holds.</w:t>
      </w:r>
    </w:p>
    <w:p>
      <w:pPr>
        <w:pStyle w:val="BodyText"/>
        <w:spacing w:before="10"/>
      </w:pPr>
    </w:p>
    <w:p>
      <w:pPr>
        <w:pStyle w:val="BodyText"/>
        <w:spacing w:line="249" w:lineRule="auto" w:before="1"/>
        <w:ind w:left="100" w:right="157" w:firstLine="490"/>
      </w:pPr>
      <w:r>
        <w:rPr>
          <w:color w:val="231F20"/>
        </w:rPr>
        <w:t>The Company’s investments associated with its excess benefit plan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w:t>
      </w:r>
    </w:p>
    <w:p>
      <w:pPr>
        <w:pStyle w:val="BodyText"/>
        <w:spacing w:before="1"/>
        <w:ind w:left="100"/>
      </w:pPr>
      <w:r>
        <w:rPr>
          <w:color w:val="231F20"/>
        </w:rPr>
        <w:t>The Company records changes in the fair value of the liability and the asset in the Company’s earnings.</w:t>
      </w:r>
    </w:p>
    <w:p>
      <w:pPr>
        <w:pStyle w:val="BodyText"/>
        <w:spacing w:before="8"/>
        <w:rPr>
          <w:sz w:val="21"/>
        </w:rPr>
      </w:pPr>
    </w:p>
    <w:p>
      <w:pPr>
        <w:pStyle w:val="BodyText"/>
        <w:spacing w:line="249" w:lineRule="auto"/>
        <w:ind w:left="100" w:right="170" w:firstLine="490"/>
      </w:pPr>
      <w:r>
        <w:rPr>
          <w:color w:val="231F20"/>
        </w:rPr>
        <w:t>All of the Company’s auction rate security instruments, totaling $36 million (net) at December 31, 2012, are classified as available-for-sale securities and are reflected at estimated fair value in the Consolidated Balance Sheet. In periods when an auction process successfully took place every 30-35 days, quoted market prices would be readily available, which would qualify the securities as Level 1. However, due to events in credit markets beginning during first quarter 2008, the auction events for these remaining instruments failed, and have continued to fail through the current period. Therefore, the Company’s Treasury Group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LIBOR or the issuer’s net loan rate, and a counterparty credit spread. To validate the reasonableness of the Company’s discounted cash flow analyses, the Company compares its valuations to third party valuations on a quarterly basis.</w:t>
      </w:r>
    </w:p>
    <w:p>
      <w:pPr>
        <w:pStyle w:val="BodyText"/>
        <w:spacing w:before="10"/>
      </w:pPr>
    </w:p>
    <w:p>
      <w:pPr>
        <w:pStyle w:val="BodyText"/>
        <w:spacing w:line="249" w:lineRule="auto" w:before="1"/>
        <w:ind w:left="100" w:right="102" w:firstLine="490"/>
      </w:pPr>
      <w:r>
        <w:rPr>
          <w:color w:val="231F20"/>
        </w:rPr>
        <w:t>In association with its estimate of fair value related to auction rate security instruments as of December 31, 2012, the Company has recorded a temporary unrealized decline in fair value of $14 million, with an offsetting entry to AOCI. The Company continues to believe that this decline in fair value is due entirely to market liquidity issues, because the underlying assets for the majority of these auction rate securities held by the Company are currently rated investment grade by Moody’s, Standard and Poor’s, and Fitch and are almost entirely backed by</w:t>
      </w:r>
    </w:p>
    <w:p>
      <w:pPr>
        <w:spacing w:after="0" w:line="249" w:lineRule="auto"/>
        <w:sectPr>
          <w:pgSz w:w="11880" w:h="15480"/>
          <w:pgMar w:header="0" w:footer="1253" w:top="1240" w:bottom="1440" w:left="1280" w:right="1280"/>
        </w:sectPr>
      </w:pPr>
    </w:p>
    <w:p>
      <w:pPr>
        <w:pStyle w:val="BodyText"/>
        <w:spacing w:before="73"/>
        <w:ind w:left="100"/>
      </w:pPr>
      <w:r>
        <w:rPr>
          <w:color w:val="231F20"/>
        </w:rPr>
        <w:t>the U.S. Government. The range of maturities for the Company’s auction rate securities are from 6 years to</w:t>
      </w:r>
    </w:p>
    <w:p>
      <w:pPr>
        <w:pStyle w:val="BodyText"/>
        <w:spacing w:line="249" w:lineRule="auto" w:before="9"/>
        <w:ind w:left="100" w:right="101"/>
      </w:pPr>
      <w:r>
        <w:rPr>
          <w:color w:val="231F20"/>
        </w:rPr>
        <w:t>35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$413 million of these instruments at par value.</w:t>
      </w:r>
    </w:p>
    <w:p>
      <w:pPr>
        <w:pStyle w:val="BodyText"/>
        <w:spacing w:before="10"/>
      </w:pPr>
    </w:p>
    <w:p>
      <w:pPr>
        <w:pStyle w:val="BodyText"/>
        <w:spacing w:line="249" w:lineRule="auto"/>
        <w:ind w:left="100" w:right="68" w:firstLine="490"/>
      </w:pPr>
      <w:r>
        <w:rPr>
          <w:color w:val="231F20"/>
        </w:rPr>
        <w:t>The Company remains in discussions with its remaining counterparties to determine whether mutually agreeable decisions can be reached regarding the effective repurchase of its remaining auction rate securities. The Company continues to earn interest on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is other than temporary, it will record a charge to earnings as appropriate.</w:t>
      </w:r>
    </w:p>
    <w:p>
      <w:pPr>
        <w:spacing w:after="0" w:line="249" w:lineRule="auto"/>
        <w:sectPr>
          <w:pgSz w:w="11880" w:h="15480"/>
          <w:pgMar w:header="0" w:footer="1253" w:top="1240" w:bottom="1440" w:left="1280" w:right="1280"/>
        </w:sectPr>
      </w:pPr>
    </w:p>
    <w:p>
      <w:pPr>
        <w:pStyle w:val="BodyText"/>
        <w:spacing w:line="249" w:lineRule="auto" w:before="73"/>
        <w:ind w:left="160" w:right="676" w:firstLine="490"/>
      </w:pPr>
      <w:r>
        <w:rPr>
          <w:color w:val="231F20"/>
        </w:rPr>
        <w:t>The following tables present the Company’s assets and liabilities that are measured at fair value on a recurring basis at December 31, 2012 and December 31, 2011:</w:t>
      </w:r>
    </w:p>
    <w:p>
      <w:pPr>
        <w:pStyle w:val="BodyText"/>
        <w:spacing w:before="1"/>
        <w:rPr>
          <w:sz w:val="9"/>
        </w:rPr>
      </w:pPr>
    </w:p>
    <w:p>
      <w:pPr>
        <w:spacing w:before="93"/>
        <w:ind w:left="5736" w:right="0" w:firstLine="0"/>
        <w:jc w:val="left"/>
        <w:rPr>
          <w:b/>
          <w:sz w:val="16"/>
        </w:rPr>
      </w:pPr>
      <w:r>
        <w:rPr/>
        <w:pict>
          <v:line style="position:absolute;mso-position-horizontal-relative:page;mso-position-vertical-relative:paragraph;z-index:6136" from="339.25pt,15.61875pt" to="525pt,15.61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40" w:bottom="1440" w:left="1220" w:right="1260"/>
        </w:sectPr>
      </w:pPr>
    </w:p>
    <w:p>
      <w:pPr>
        <w:spacing w:line="160" w:lineRule="exact" w:before="76"/>
        <w:ind w:left="5695" w:right="46" w:hanging="64"/>
        <w:jc w:val="left"/>
        <w:rPr>
          <w:b/>
          <w:sz w:val="16"/>
        </w:rPr>
      </w:pPr>
      <w:r>
        <w:rPr>
          <w:b/>
          <w:color w:val="231F20"/>
          <w:sz w:val="16"/>
        </w:rPr>
        <w:t>Quoted prices in active markets</w:t>
      </w:r>
    </w:p>
    <w:p>
      <w:pPr>
        <w:spacing w:line="163" w:lineRule="exact" w:before="0"/>
        <w:ind w:left="0" w:right="0" w:firstLine="0"/>
        <w:jc w:val="right"/>
        <w:rPr>
          <w:b/>
          <w:sz w:val="16"/>
        </w:rPr>
      </w:pPr>
      <w:r>
        <w:rPr>
          <w:b/>
          <w:color w:val="231F20"/>
          <w:sz w:val="16"/>
        </w:rPr>
        <w:t>for identical assets</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0" w:lineRule="exact" w:before="76"/>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after="0" w:line="160" w:lineRule="exact"/>
        <w:jc w:val="center"/>
        <w:rPr>
          <w:sz w:val="16"/>
        </w:rPr>
        <w:sectPr>
          <w:type w:val="continuous"/>
          <w:pgSz w:w="11880" w:h="15480"/>
          <w:pgMar w:top="1200" w:bottom="280" w:left="1220" w:right="1260"/>
          <w:cols w:num="3" w:equalWidth="0">
            <w:col w:w="6826" w:space="40"/>
            <w:col w:w="1301" w:space="40"/>
            <w:col w:w="119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02"/>
        <w:gridCol w:w="160"/>
        <w:gridCol w:w="200"/>
        <w:gridCol w:w="1293"/>
        <w:gridCol w:w="200"/>
        <w:gridCol w:w="1750"/>
        <w:gridCol w:w="850"/>
        <w:gridCol w:w="200"/>
        <w:gridCol w:w="915"/>
      </w:tblGrid>
      <w:tr>
        <w:trPr>
          <w:trHeight w:val="212" w:hRule="exact"/>
        </w:trPr>
        <w:tc>
          <w:tcPr>
            <w:tcW w:w="3602" w:type="dxa"/>
          </w:tcPr>
          <w:p>
            <w:pPr>
              <w:pStyle w:val="TableParagraph"/>
              <w:spacing w:line="161" w:lineRule="exact"/>
              <w:ind w:left="50"/>
              <w:jc w:val="left"/>
              <w:rPr>
                <w:b/>
                <w:sz w:val="16"/>
              </w:rPr>
            </w:pPr>
            <w:r>
              <w:rPr>
                <w:b/>
                <w:color w:val="231F20"/>
                <w:sz w:val="16"/>
              </w:rPr>
              <w:t>Description</w:t>
            </w:r>
          </w:p>
        </w:tc>
        <w:tc>
          <w:tcPr>
            <w:tcW w:w="160" w:type="dxa"/>
          </w:tcPr>
          <w:p>
            <w:pPr/>
          </w:p>
        </w:tc>
        <w:tc>
          <w:tcPr>
            <w:tcW w:w="200" w:type="dxa"/>
          </w:tcPr>
          <w:p>
            <w:pPr/>
          </w:p>
        </w:tc>
        <w:tc>
          <w:tcPr>
            <w:tcW w:w="1293" w:type="dxa"/>
          </w:tcPr>
          <w:p>
            <w:pPr>
              <w:pStyle w:val="TableParagraph"/>
              <w:spacing w:line="161" w:lineRule="exact"/>
              <w:ind w:right="-1"/>
              <w:rPr>
                <w:b/>
                <w:sz w:val="16"/>
              </w:rPr>
            </w:pPr>
            <w:r>
              <w:rPr>
                <w:b/>
                <w:color w:val="231F20"/>
                <w:sz w:val="16"/>
              </w:rPr>
              <w:t>December 31, 2012</w:t>
            </w:r>
          </w:p>
        </w:tc>
        <w:tc>
          <w:tcPr>
            <w:tcW w:w="200" w:type="dxa"/>
          </w:tcPr>
          <w:p>
            <w:pPr/>
          </w:p>
        </w:tc>
        <w:tc>
          <w:tcPr>
            <w:tcW w:w="1750" w:type="dxa"/>
          </w:tcPr>
          <w:p>
            <w:pPr>
              <w:pStyle w:val="TableParagraph"/>
              <w:spacing w:line="161" w:lineRule="exact"/>
              <w:ind w:left="330"/>
              <w:jc w:val="left"/>
              <w:rPr>
                <w:b/>
                <w:sz w:val="16"/>
              </w:rPr>
            </w:pPr>
            <w:r>
              <w:rPr>
                <w:b/>
                <w:color w:val="231F20"/>
                <w:sz w:val="16"/>
              </w:rPr>
              <w:t>(Level 1)</w:t>
            </w:r>
          </w:p>
        </w:tc>
        <w:tc>
          <w:tcPr>
            <w:tcW w:w="850" w:type="dxa"/>
          </w:tcPr>
          <w:p>
            <w:pPr>
              <w:pStyle w:val="TableParagraph"/>
              <w:spacing w:line="161" w:lineRule="exact"/>
              <w:ind w:left="-20"/>
              <w:jc w:val="left"/>
              <w:rPr>
                <w:b/>
                <w:sz w:val="16"/>
              </w:rPr>
            </w:pPr>
            <w:r>
              <w:rPr>
                <w:b/>
                <w:color w:val="231F20"/>
                <w:sz w:val="16"/>
              </w:rPr>
              <w:t>(Level 2)</w:t>
            </w:r>
          </w:p>
        </w:tc>
        <w:tc>
          <w:tcPr>
            <w:tcW w:w="200" w:type="dxa"/>
          </w:tcPr>
          <w:p>
            <w:pPr/>
          </w:p>
        </w:tc>
        <w:tc>
          <w:tcPr>
            <w:tcW w:w="915" w:type="dxa"/>
          </w:tcPr>
          <w:p>
            <w:pPr>
              <w:pStyle w:val="TableParagraph"/>
              <w:spacing w:line="161" w:lineRule="exact"/>
              <w:ind w:left="157"/>
              <w:jc w:val="left"/>
              <w:rPr>
                <w:b/>
                <w:sz w:val="16"/>
              </w:rPr>
            </w:pPr>
            <w:r>
              <w:rPr>
                <w:b/>
                <w:color w:val="231F20"/>
                <w:sz w:val="16"/>
              </w:rPr>
              <w:t>(Level 3)</w:t>
            </w:r>
          </w:p>
        </w:tc>
      </w:tr>
      <w:tr>
        <w:trPr>
          <w:trHeight w:val="216" w:hRule="exact"/>
        </w:trPr>
        <w:tc>
          <w:tcPr>
            <w:tcW w:w="3602" w:type="dxa"/>
            <w:tcBorders>
              <w:top w:val="single" w:sz="8" w:space="0" w:color="231F20"/>
            </w:tcBorders>
          </w:tcPr>
          <w:p>
            <w:pPr/>
          </w:p>
        </w:tc>
        <w:tc>
          <w:tcPr>
            <w:tcW w:w="160" w:type="dxa"/>
          </w:tcPr>
          <w:p>
            <w:pPr/>
          </w:p>
        </w:tc>
        <w:tc>
          <w:tcPr>
            <w:tcW w:w="1493" w:type="dxa"/>
            <w:gridSpan w:val="2"/>
            <w:tcBorders>
              <w:top w:val="single" w:sz="8" w:space="0" w:color="231F20"/>
            </w:tcBorders>
          </w:tcPr>
          <w:p>
            <w:pPr/>
          </w:p>
        </w:tc>
        <w:tc>
          <w:tcPr>
            <w:tcW w:w="2800" w:type="dxa"/>
            <w:gridSpan w:val="3"/>
            <w:tcBorders>
              <w:top w:val="single" w:sz="8" w:space="0" w:color="231F20"/>
            </w:tcBorders>
          </w:tcPr>
          <w:p>
            <w:pPr>
              <w:pStyle w:val="TableParagraph"/>
              <w:spacing w:line="178" w:lineRule="exact"/>
              <w:ind w:left="915"/>
              <w:jc w:val="left"/>
              <w:rPr>
                <w:sz w:val="16"/>
              </w:rPr>
            </w:pPr>
            <w:r>
              <w:rPr>
                <w:color w:val="231F20"/>
                <w:sz w:val="16"/>
              </w:rPr>
              <w:t>(in millions)</w:t>
            </w:r>
          </w:p>
        </w:tc>
        <w:tc>
          <w:tcPr>
            <w:tcW w:w="1115" w:type="dxa"/>
            <w:gridSpan w:val="2"/>
            <w:tcBorders>
              <w:top w:val="single" w:sz="8" w:space="0" w:color="231F20"/>
            </w:tcBorders>
          </w:tcPr>
          <w:p>
            <w:pPr/>
          </w:p>
        </w:tc>
      </w:tr>
      <w:tr>
        <w:trPr>
          <w:trHeight w:val="202" w:hRule="exact"/>
        </w:trPr>
        <w:tc>
          <w:tcPr>
            <w:tcW w:w="3602" w:type="dxa"/>
          </w:tcPr>
          <w:p>
            <w:pPr>
              <w:pStyle w:val="TableParagraph"/>
              <w:spacing w:line="172" w:lineRule="exact"/>
              <w:ind w:left="50"/>
              <w:jc w:val="left"/>
              <w:rPr>
                <w:b/>
                <w:sz w:val="16"/>
              </w:rPr>
            </w:pPr>
            <w:r>
              <w:rPr>
                <w:b/>
                <w:color w:val="231F20"/>
                <w:sz w:val="16"/>
              </w:rPr>
              <w:t>Assets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199" w:hRule="exact"/>
        </w:trPr>
        <w:tc>
          <w:tcPr>
            <w:tcW w:w="3602" w:type="dxa"/>
          </w:tcPr>
          <w:p>
            <w:pPr>
              <w:pStyle w:val="TableParagraph"/>
              <w:spacing w:line="171" w:lineRule="exact"/>
              <w:ind w:left="50"/>
              <w:jc w:val="left"/>
              <w:rPr>
                <w:sz w:val="16"/>
              </w:rPr>
            </w:pPr>
            <w:r>
              <w:rPr>
                <w:color w:val="231F20"/>
                <w:sz w:val="16"/>
              </w:rPr>
              <w:t>Cash equivalents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200" w:hRule="exact"/>
        </w:trPr>
        <w:tc>
          <w:tcPr>
            <w:tcW w:w="3602" w:type="dxa"/>
          </w:tcPr>
          <w:p>
            <w:pPr>
              <w:pStyle w:val="TableParagraph"/>
              <w:spacing w:line="171" w:lineRule="exact"/>
              <w:rPr>
                <w:sz w:val="16"/>
              </w:rPr>
            </w:pPr>
            <w:r>
              <w:rPr>
                <w:color w:val="231F20"/>
                <w:sz w:val="16"/>
              </w:rPr>
              <w:t>Cash equivalents (a)  . . . . . . . . . . . . . . . . . . . . . . . . . </w:t>
            </w:r>
          </w:p>
        </w:tc>
        <w:tc>
          <w:tcPr>
            <w:tcW w:w="160" w:type="dxa"/>
          </w:tcPr>
          <w:p>
            <w:pPr/>
          </w:p>
        </w:tc>
        <w:tc>
          <w:tcPr>
            <w:tcW w:w="1493" w:type="dxa"/>
            <w:gridSpan w:val="2"/>
          </w:tcPr>
          <w:p>
            <w:pPr>
              <w:pStyle w:val="TableParagraph"/>
              <w:tabs>
                <w:tab w:pos="1192" w:val="left" w:leader="none"/>
              </w:tabs>
              <w:spacing w:line="171" w:lineRule="exact"/>
              <w:ind w:left="200"/>
              <w:jc w:val="left"/>
              <w:rPr>
                <w:sz w:val="16"/>
              </w:rPr>
            </w:pPr>
            <w:r>
              <w:rPr>
                <w:color w:val="231F20"/>
                <w:sz w:val="16"/>
              </w:rPr>
              <w:t>$</w:t>
              <w:tab/>
              <w:t>829</w:t>
            </w:r>
          </w:p>
        </w:tc>
        <w:tc>
          <w:tcPr>
            <w:tcW w:w="2800" w:type="dxa"/>
            <w:gridSpan w:val="3"/>
          </w:tcPr>
          <w:p>
            <w:pPr>
              <w:pStyle w:val="TableParagraph"/>
              <w:tabs>
                <w:tab w:pos="1158" w:val="left" w:leader="none"/>
                <w:tab w:pos="1658" w:val="left" w:leader="none"/>
                <w:tab w:pos="2499" w:val="left" w:leader="none"/>
              </w:tabs>
              <w:spacing w:line="171" w:lineRule="exact"/>
              <w:ind w:left="199"/>
              <w:jc w:val="left"/>
              <w:rPr>
                <w:sz w:val="16"/>
              </w:rPr>
            </w:pPr>
            <w:r>
              <w:rPr>
                <w:color w:val="231F20"/>
                <w:sz w:val="16"/>
              </w:rPr>
              <w:t>$</w:t>
              <w:tab/>
              <w:t>829</w:t>
              <w:tab/>
              <w:t>$</w:t>
              <w:tab/>
              <w:t>—</w:t>
            </w:r>
          </w:p>
        </w:tc>
        <w:tc>
          <w:tcPr>
            <w:tcW w:w="1115" w:type="dxa"/>
            <w:gridSpan w:val="2"/>
          </w:tcPr>
          <w:p>
            <w:pPr>
              <w:pStyle w:val="TableParagraph"/>
              <w:tabs>
                <w:tab w:pos="814" w:val="left" w:leader="none"/>
              </w:tabs>
              <w:spacing w:line="171" w:lineRule="exact"/>
              <w:ind w:left="199"/>
              <w:jc w:val="left"/>
              <w:rPr>
                <w:sz w:val="16"/>
              </w:rPr>
            </w:pPr>
            <w:r>
              <w:rPr>
                <w:color w:val="231F20"/>
                <w:sz w:val="16"/>
              </w:rPr>
              <w:t>$</w:t>
              <w:tab/>
              <w:t>—</w:t>
            </w:r>
          </w:p>
        </w:tc>
      </w:tr>
      <w:tr>
        <w:trPr>
          <w:trHeight w:val="200" w:hRule="exact"/>
        </w:trPr>
        <w:tc>
          <w:tcPr>
            <w:tcW w:w="3602" w:type="dxa"/>
          </w:tcPr>
          <w:p>
            <w:pPr>
              <w:pStyle w:val="TableParagraph"/>
              <w:spacing w:line="171" w:lineRule="exact"/>
              <w:rPr>
                <w:sz w:val="16"/>
              </w:rPr>
            </w:pPr>
            <w:r>
              <w:rPr>
                <w:color w:val="231F20"/>
                <w:sz w:val="16"/>
              </w:rPr>
              <w:t>Commercial paper . . . . . .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170</w:t>
            </w:r>
          </w:p>
        </w:tc>
        <w:tc>
          <w:tcPr>
            <w:tcW w:w="2800" w:type="dxa"/>
            <w:gridSpan w:val="3"/>
          </w:tcPr>
          <w:p>
            <w:pPr>
              <w:pStyle w:val="TableParagraph"/>
              <w:tabs>
                <w:tab w:pos="2499" w:val="left" w:leader="none"/>
              </w:tabs>
              <w:spacing w:line="171" w:lineRule="exact"/>
              <w:ind w:left="1159"/>
              <w:jc w:val="left"/>
              <w:rPr>
                <w:sz w:val="16"/>
              </w:rPr>
            </w:pPr>
            <w:r>
              <w:rPr>
                <w:color w:val="231F20"/>
                <w:sz w:val="16"/>
              </w:rPr>
              <w:t>—</w:t>
              <w:tab/>
              <w:t>170</w:t>
            </w:r>
          </w:p>
        </w:tc>
        <w:tc>
          <w:tcPr>
            <w:tcW w:w="1115" w:type="dxa"/>
            <w:gridSpan w:val="2"/>
          </w:tcPr>
          <w:p>
            <w:pPr>
              <w:pStyle w:val="TableParagraph"/>
              <w:spacing w:line="171" w:lineRule="exact"/>
              <w:ind w:right="139"/>
              <w:rPr>
                <w:sz w:val="16"/>
              </w:rPr>
            </w:pPr>
            <w:r>
              <w:rPr>
                <w:color w:val="231F20"/>
                <w:sz w:val="16"/>
              </w:rPr>
              <w:t>—</w:t>
            </w:r>
          </w:p>
        </w:tc>
      </w:tr>
      <w:tr>
        <w:trPr>
          <w:trHeight w:val="200" w:hRule="exact"/>
        </w:trPr>
        <w:tc>
          <w:tcPr>
            <w:tcW w:w="3602" w:type="dxa"/>
          </w:tcPr>
          <w:p>
            <w:pPr>
              <w:pStyle w:val="TableParagraph"/>
              <w:spacing w:line="171" w:lineRule="exact"/>
              <w:rPr>
                <w:sz w:val="16"/>
              </w:rPr>
            </w:pPr>
            <w:r>
              <w:rPr>
                <w:color w:val="231F20"/>
                <w:sz w:val="16"/>
              </w:rPr>
              <w:t>Certificates of deposit  . . .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34</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34</w:t>
            </w:r>
          </w:p>
        </w:tc>
        <w:tc>
          <w:tcPr>
            <w:tcW w:w="1115" w:type="dxa"/>
            <w:gridSpan w:val="2"/>
          </w:tcPr>
          <w:p>
            <w:pPr>
              <w:pStyle w:val="TableParagraph"/>
              <w:spacing w:line="171" w:lineRule="exact"/>
              <w:ind w:right="139"/>
              <w:rPr>
                <w:sz w:val="16"/>
              </w:rPr>
            </w:pPr>
            <w:r>
              <w:rPr>
                <w:color w:val="231F20"/>
                <w:sz w:val="16"/>
              </w:rPr>
              <w:t>—</w:t>
            </w:r>
          </w:p>
        </w:tc>
      </w:tr>
      <w:tr>
        <w:trPr>
          <w:trHeight w:val="188" w:hRule="exact"/>
        </w:trPr>
        <w:tc>
          <w:tcPr>
            <w:tcW w:w="3602" w:type="dxa"/>
          </w:tcPr>
          <w:p>
            <w:pPr>
              <w:pStyle w:val="TableParagraph"/>
              <w:spacing w:line="171" w:lineRule="exact"/>
              <w:rPr>
                <w:sz w:val="16"/>
              </w:rPr>
            </w:pPr>
            <w:r>
              <w:rPr>
                <w:color w:val="231F20"/>
                <w:sz w:val="16"/>
              </w:rPr>
              <w:t>Eurodollar Time Deposits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80</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80</w:t>
            </w:r>
          </w:p>
        </w:tc>
        <w:tc>
          <w:tcPr>
            <w:tcW w:w="1115" w:type="dxa"/>
            <w:gridSpan w:val="2"/>
          </w:tcPr>
          <w:p>
            <w:pPr>
              <w:pStyle w:val="TableParagraph"/>
              <w:spacing w:line="171" w:lineRule="exact"/>
              <w:ind w:right="139"/>
              <w:rPr>
                <w:sz w:val="16"/>
              </w:rPr>
            </w:pPr>
            <w:r>
              <w:rPr>
                <w:color w:val="231F20"/>
                <w:sz w:val="16"/>
              </w:rPr>
              <w:t>—</w:t>
            </w:r>
          </w:p>
        </w:tc>
      </w:tr>
      <w:tr>
        <w:trPr>
          <w:trHeight w:val="212" w:hRule="exact"/>
        </w:trPr>
        <w:tc>
          <w:tcPr>
            <w:tcW w:w="3602" w:type="dxa"/>
          </w:tcPr>
          <w:p>
            <w:pPr>
              <w:pStyle w:val="TableParagraph"/>
              <w:ind w:left="50"/>
              <w:jc w:val="left"/>
              <w:rPr>
                <w:sz w:val="16"/>
              </w:rPr>
            </w:pPr>
            <w:r>
              <w:rPr>
                <w:color w:val="231F20"/>
                <w:sz w:val="16"/>
              </w:rPr>
              <w:t>Short-term investments: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200" w:hRule="exact"/>
        </w:trPr>
        <w:tc>
          <w:tcPr>
            <w:tcW w:w="3602" w:type="dxa"/>
          </w:tcPr>
          <w:p>
            <w:pPr>
              <w:pStyle w:val="TableParagraph"/>
              <w:spacing w:line="159" w:lineRule="exact"/>
              <w:ind w:right="-1"/>
              <w:rPr>
                <w:sz w:val="16"/>
              </w:rPr>
            </w:pPr>
            <w:r>
              <w:rPr>
                <w:color w:val="231F20"/>
                <w:sz w:val="16"/>
              </w:rPr>
              <w:t>Treasury bills   . . . . . . . . . . . . . . . . . . . . . . . . . . . . . . </w:t>
            </w:r>
          </w:p>
        </w:tc>
        <w:tc>
          <w:tcPr>
            <w:tcW w:w="1653" w:type="dxa"/>
            <w:gridSpan w:val="3"/>
          </w:tcPr>
          <w:p>
            <w:pPr>
              <w:pStyle w:val="TableParagraph"/>
              <w:spacing w:line="159" w:lineRule="exact"/>
              <w:ind w:right="59"/>
              <w:rPr>
                <w:sz w:val="16"/>
              </w:rPr>
            </w:pPr>
            <w:r>
              <w:rPr>
                <w:color w:val="231F20"/>
                <w:sz w:val="16"/>
              </w:rPr>
              <w:t>1,624</w:t>
            </w:r>
          </w:p>
        </w:tc>
        <w:tc>
          <w:tcPr>
            <w:tcW w:w="1950" w:type="dxa"/>
            <w:gridSpan w:val="2"/>
          </w:tcPr>
          <w:p>
            <w:pPr>
              <w:pStyle w:val="TableParagraph"/>
              <w:spacing w:line="159" w:lineRule="exact"/>
              <w:ind w:left="1039"/>
              <w:jc w:val="left"/>
              <w:rPr>
                <w:sz w:val="16"/>
              </w:rPr>
            </w:pPr>
            <w:r>
              <w:rPr>
                <w:color w:val="231F20"/>
                <w:sz w:val="16"/>
              </w:rPr>
              <w:t>1,624</w:t>
            </w:r>
          </w:p>
        </w:tc>
        <w:tc>
          <w:tcPr>
            <w:tcW w:w="850" w:type="dxa"/>
          </w:tcPr>
          <w:p>
            <w:pPr>
              <w:pStyle w:val="TableParagraph"/>
              <w:spacing w:line="159" w:lineRule="exact"/>
              <w:ind w:right="137"/>
              <w:rPr>
                <w:sz w:val="16"/>
              </w:rPr>
            </w:pPr>
            <w:r>
              <w:rPr>
                <w:color w:val="231F20"/>
                <w:sz w:val="16"/>
              </w:rPr>
              <w:t>—</w:t>
            </w:r>
          </w:p>
        </w:tc>
        <w:tc>
          <w:tcPr>
            <w:tcW w:w="1115" w:type="dxa"/>
            <w:gridSpan w:val="2"/>
          </w:tcPr>
          <w:p>
            <w:pPr>
              <w:pStyle w:val="TableParagraph"/>
              <w:spacing w:line="159" w:lineRule="exact"/>
              <w:ind w:right="137"/>
              <w:rPr>
                <w:sz w:val="16"/>
              </w:rPr>
            </w:pPr>
            <w:r>
              <w:rPr>
                <w:color w:val="231F20"/>
                <w:sz w:val="16"/>
              </w:rPr>
              <w:t>—</w:t>
            </w:r>
          </w:p>
        </w:tc>
      </w:tr>
      <w:tr>
        <w:trPr>
          <w:trHeight w:val="188" w:hRule="exact"/>
        </w:trPr>
        <w:tc>
          <w:tcPr>
            <w:tcW w:w="3602" w:type="dxa"/>
          </w:tcPr>
          <w:p>
            <w:pPr>
              <w:pStyle w:val="TableParagraph"/>
              <w:spacing w:line="171" w:lineRule="exact"/>
              <w:rPr>
                <w:sz w:val="16"/>
              </w:rPr>
            </w:pPr>
            <w:r>
              <w:rPr>
                <w:color w:val="231F20"/>
                <w:sz w:val="16"/>
              </w:rPr>
              <w:t>Certificates of deposit  . . . . . . . . . . . . . . . . . . . . . . . . </w:t>
            </w:r>
          </w:p>
        </w:tc>
        <w:tc>
          <w:tcPr>
            <w:tcW w:w="1653" w:type="dxa"/>
            <w:gridSpan w:val="3"/>
          </w:tcPr>
          <w:p>
            <w:pPr>
              <w:pStyle w:val="TableParagraph"/>
              <w:spacing w:line="171" w:lineRule="exact"/>
              <w:ind w:right="58"/>
              <w:rPr>
                <w:sz w:val="16"/>
              </w:rPr>
            </w:pPr>
            <w:r>
              <w:rPr>
                <w:color w:val="231F20"/>
                <w:sz w:val="16"/>
              </w:rPr>
              <w:t>233</w:t>
            </w:r>
          </w:p>
        </w:tc>
        <w:tc>
          <w:tcPr>
            <w:tcW w:w="1950" w:type="dxa"/>
            <w:gridSpan w:val="2"/>
          </w:tcPr>
          <w:p>
            <w:pPr>
              <w:pStyle w:val="TableParagraph"/>
              <w:spacing w:line="171" w:lineRule="exact"/>
              <w:ind w:left="1159"/>
              <w:jc w:val="left"/>
              <w:rPr>
                <w:sz w:val="16"/>
              </w:rPr>
            </w:pPr>
            <w:r>
              <w:rPr>
                <w:color w:val="231F20"/>
                <w:sz w:val="16"/>
              </w:rPr>
              <w:t>—</w:t>
            </w:r>
          </w:p>
        </w:tc>
        <w:tc>
          <w:tcPr>
            <w:tcW w:w="850" w:type="dxa"/>
          </w:tcPr>
          <w:p>
            <w:pPr>
              <w:pStyle w:val="TableParagraph"/>
              <w:spacing w:line="171" w:lineRule="exact"/>
              <w:ind w:right="58"/>
              <w:rPr>
                <w:sz w:val="16"/>
              </w:rPr>
            </w:pPr>
            <w:r>
              <w:rPr>
                <w:color w:val="231F20"/>
                <w:sz w:val="16"/>
              </w:rPr>
              <w:t>233</w:t>
            </w:r>
          </w:p>
        </w:tc>
        <w:tc>
          <w:tcPr>
            <w:tcW w:w="1115" w:type="dxa"/>
            <w:gridSpan w:val="2"/>
          </w:tcPr>
          <w:p>
            <w:pPr>
              <w:pStyle w:val="TableParagraph"/>
              <w:spacing w:line="171" w:lineRule="exact"/>
              <w:ind w:right="139"/>
              <w:rPr>
                <w:sz w:val="16"/>
              </w:rPr>
            </w:pPr>
            <w:r>
              <w:rPr>
                <w:color w:val="231F20"/>
                <w:sz w:val="16"/>
              </w:rPr>
              <w:t>—</w:t>
            </w:r>
          </w:p>
        </w:tc>
      </w:tr>
      <w:tr>
        <w:trPr>
          <w:trHeight w:val="212" w:hRule="exact"/>
        </w:trPr>
        <w:tc>
          <w:tcPr>
            <w:tcW w:w="3602" w:type="dxa"/>
          </w:tcPr>
          <w:p>
            <w:pPr>
              <w:pStyle w:val="TableParagraph"/>
              <w:ind w:left="50"/>
              <w:jc w:val="left"/>
              <w:rPr>
                <w:sz w:val="16"/>
              </w:rPr>
            </w:pPr>
            <w:r>
              <w:rPr>
                <w:color w:val="231F20"/>
                <w:sz w:val="16"/>
              </w:rPr>
              <w:t>Noncurrent investments (b)</w:t>
            </w:r>
          </w:p>
        </w:tc>
        <w:tc>
          <w:tcPr>
            <w:tcW w:w="160" w:type="dxa"/>
          </w:tcPr>
          <w:p>
            <w:pPr/>
          </w:p>
        </w:tc>
        <w:tc>
          <w:tcPr>
            <w:tcW w:w="1493" w:type="dxa"/>
            <w:gridSpan w:val="2"/>
          </w:tcPr>
          <w:p>
            <w:pPr/>
          </w:p>
        </w:tc>
        <w:tc>
          <w:tcPr>
            <w:tcW w:w="1950" w:type="dxa"/>
            <w:gridSpan w:val="2"/>
          </w:tcPr>
          <w:p>
            <w:pPr/>
          </w:p>
        </w:tc>
        <w:tc>
          <w:tcPr>
            <w:tcW w:w="850" w:type="dxa"/>
          </w:tcPr>
          <w:p>
            <w:pPr/>
          </w:p>
        </w:tc>
        <w:tc>
          <w:tcPr>
            <w:tcW w:w="1115" w:type="dxa"/>
            <w:gridSpan w:val="2"/>
          </w:tcPr>
          <w:p>
            <w:pPr/>
          </w:p>
        </w:tc>
      </w:tr>
      <w:tr>
        <w:trPr>
          <w:trHeight w:val="200" w:hRule="exact"/>
        </w:trPr>
        <w:tc>
          <w:tcPr>
            <w:tcW w:w="3602" w:type="dxa"/>
          </w:tcPr>
          <w:p>
            <w:pPr>
              <w:pStyle w:val="TableParagraph"/>
              <w:spacing w:line="159" w:lineRule="exact"/>
              <w:rPr>
                <w:sz w:val="16"/>
              </w:rPr>
            </w:pPr>
            <w:r>
              <w:rPr>
                <w:color w:val="231F20"/>
                <w:sz w:val="16"/>
              </w:rPr>
              <w:t>Auction rate securities   . . . . . . . . . . . . . . . . . . . . . . . </w:t>
            </w:r>
          </w:p>
        </w:tc>
        <w:tc>
          <w:tcPr>
            <w:tcW w:w="1653" w:type="dxa"/>
            <w:gridSpan w:val="3"/>
          </w:tcPr>
          <w:p>
            <w:pPr>
              <w:pStyle w:val="TableParagraph"/>
              <w:spacing w:line="159" w:lineRule="exact"/>
              <w:ind w:right="58"/>
              <w:rPr>
                <w:sz w:val="16"/>
              </w:rPr>
            </w:pPr>
            <w:r>
              <w:rPr>
                <w:color w:val="231F20"/>
                <w:sz w:val="16"/>
              </w:rPr>
              <w:t>36</w:t>
            </w:r>
          </w:p>
        </w:tc>
        <w:tc>
          <w:tcPr>
            <w:tcW w:w="2800" w:type="dxa"/>
            <w:gridSpan w:val="3"/>
          </w:tcPr>
          <w:p>
            <w:pPr>
              <w:pStyle w:val="TableParagraph"/>
              <w:tabs>
                <w:tab w:pos="2499" w:val="left" w:leader="none"/>
              </w:tabs>
              <w:spacing w:line="159" w:lineRule="exact"/>
              <w:ind w:left="1159"/>
              <w:jc w:val="left"/>
              <w:rPr>
                <w:sz w:val="16"/>
              </w:rPr>
            </w:pPr>
            <w:r>
              <w:rPr>
                <w:color w:val="231F20"/>
                <w:sz w:val="16"/>
              </w:rPr>
              <w:t>—</w:t>
              <w:tab/>
              <w:t>—</w:t>
            </w:r>
          </w:p>
        </w:tc>
        <w:tc>
          <w:tcPr>
            <w:tcW w:w="1115" w:type="dxa"/>
            <w:gridSpan w:val="2"/>
          </w:tcPr>
          <w:p>
            <w:pPr>
              <w:pStyle w:val="TableParagraph"/>
              <w:spacing w:line="159" w:lineRule="exact"/>
              <w:ind w:right="59"/>
              <w:rPr>
                <w:sz w:val="16"/>
              </w:rPr>
            </w:pPr>
            <w:r>
              <w:rPr>
                <w:color w:val="231F20"/>
                <w:sz w:val="16"/>
              </w:rPr>
              <w:t>36</w:t>
            </w:r>
          </w:p>
        </w:tc>
      </w:tr>
      <w:tr>
        <w:trPr>
          <w:trHeight w:val="200" w:hRule="exact"/>
        </w:trPr>
        <w:tc>
          <w:tcPr>
            <w:tcW w:w="3602" w:type="dxa"/>
          </w:tcPr>
          <w:p>
            <w:pPr>
              <w:pStyle w:val="TableParagraph"/>
              <w:spacing w:line="171" w:lineRule="exact"/>
              <w:rPr>
                <w:sz w:val="16"/>
              </w:rPr>
            </w:pPr>
            <w:r>
              <w:rPr>
                <w:color w:val="231F20"/>
                <w:sz w:val="16"/>
              </w:rPr>
              <w:t>Interest rate derivatives (see Note 10)   . . . . . . . . . . . . . </w:t>
            </w:r>
          </w:p>
        </w:tc>
        <w:tc>
          <w:tcPr>
            <w:tcW w:w="1653" w:type="dxa"/>
            <w:gridSpan w:val="3"/>
          </w:tcPr>
          <w:p>
            <w:pPr>
              <w:pStyle w:val="TableParagraph"/>
              <w:spacing w:line="171" w:lineRule="exact"/>
              <w:ind w:right="58"/>
              <w:rPr>
                <w:sz w:val="16"/>
              </w:rPr>
            </w:pPr>
            <w:r>
              <w:rPr>
                <w:color w:val="231F20"/>
                <w:sz w:val="16"/>
              </w:rPr>
              <w:t>31</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31</w:t>
            </w:r>
          </w:p>
        </w:tc>
        <w:tc>
          <w:tcPr>
            <w:tcW w:w="1115" w:type="dxa"/>
            <w:gridSpan w:val="2"/>
          </w:tcPr>
          <w:p>
            <w:pPr>
              <w:pStyle w:val="TableParagraph"/>
              <w:spacing w:line="171" w:lineRule="exact"/>
              <w:ind w:right="139"/>
              <w:rPr>
                <w:sz w:val="16"/>
              </w:rPr>
            </w:pPr>
            <w:r>
              <w:rPr>
                <w:color w:val="231F20"/>
                <w:sz w:val="16"/>
              </w:rPr>
              <w:t>—</w:t>
            </w:r>
          </w:p>
        </w:tc>
      </w:tr>
      <w:tr>
        <w:trPr>
          <w:trHeight w:val="188" w:hRule="exact"/>
        </w:trPr>
        <w:tc>
          <w:tcPr>
            <w:tcW w:w="3602" w:type="dxa"/>
          </w:tcPr>
          <w:p>
            <w:pPr>
              <w:pStyle w:val="TableParagraph"/>
              <w:spacing w:line="171" w:lineRule="exact"/>
              <w:ind w:left="50"/>
              <w:jc w:val="left"/>
              <w:rPr>
                <w:sz w:val="16"/>
              </w:rPr>
            </w:pPr>
            <w:r>
              <w:rPr>
                <w:color w:val="231F20"/>
                <w:sz w:val="16"/>
              </w:rPr>
              <w:t>Fuel derivatives:</w:t>
            </w:r>
          </w:p>
        </w:tc>
        <w:tc>
          <w:tcPr>
            <w:tcW w:w="1653" w:type="dxa"/>
            <w:gridSpan w:val="3"/>
          </w:tcPr>
          <w:p>
            <w:pPr/>
          </w:p>
        </w:tc>
        <w:tc>
          <w:tcPr>
            <w:tcW w:w="2800" w:type="dxa"/>
            <w:gridSpan w:val="3"/>
          </w:tcPr>
          <w:p>
            <w:pPr/>
          </w:p>
        </w:tc>
        <w:tc>
          <w:tcPr>
            <w:tcW w:w="1115" w:type="dxa"/>
            <w:gridSpan w:val="2"/>
          </w:tcPr>
          <w:p>
            <w:pPr/>
          </w:p>
        </w:tc>
      </w:tr>
      <w:tr>
        <w:trPr>
          <w:trHeight w:val="212" w:hRule="exact"/>
        </w:trPr>
        <w:tc>
          <w:tcPr>
            <w:tcW w:w="3602" w:type="dxa"/>
          </w:tcPr>
          <w:p>
            <w:pPr>
              <w:pStyle w:val="TableParagraph"/>
              <w:rPr>
                <w:sz w:val="16"/>
              </w:rPr>
            </w:pPr>
            <w:r>
              <w:rPr>
                <w:color w:val="231F20"/>
                <w:sz w:val="16"/>
              </w:rPr>
              <w:t>Swap contracts (c) . . . . . . . . . . . . . . . . . . . . . . . . . . . </w:t>
            </w:r>
          </w:p>
        </w:tc>
        <w:tc>
          <w:tcPr>
            <w:tcW w:w="160" w:type="dxa"/>
          </w:tcPr>
          <w:p>
            <w:pPr/>
          </w:p>
        </w:tc>
        <w:tc>
          <w:tcPr>
            <w:tcW w:w="1493" w:type="dxa"/>
            <w:gridSpan w:val="2"/>
          </w:tcPr>
          <w:p>
            <w:pPr>
              <w:pStyle w:val="TableParagraph"/>
              <w:ind w:right="58"/>
              <w:rPr>
                <w:sz w:val="16"/>
              </w:rPr>
            </w:pPr>
            <w:r>
              <w:rPr>
                <w:color w:val="231F20"/>
                <w:sz w:val="16"/>
              </w:rPr>
              <w:t>113</w:t>
            </w:r>
          </w:p>
        </w:tc>
        <w:tc>
          <w:tcPr>
            <w:tcW w:w="1950" w:type="dxa"/>
            <w:gridSpan w:val="2"/>
          </w:tcPr>
          <w:p>
            <w:pPr>
              <w:pStyle w:val="TableParagraph"/>
              <w:ind w:left="1159"/>
              <w:jc w:val="left"/>
              <w:rPr>
                <w:sz w:val="16"/>
              </w:rPr>
            </w:pPr>
            <w:r>
              <w:rPr>
                <w:color w:val="231F20"/>
                <w:sz w:val="16"/>
              </w:rPr>
              <w:t>—</w:t>
            </w:r>
          </w:p>
        </w:tc>
        <w:tc>
          <w:tcPr>
            <w:tcW w:w="850" w:type="dxa"/>
          </w:tcPr>
          <w:p>
            <w:pPr>
              <w:pStyle w:val="TableParagraph"/>
              <w:ind w:right="58"/>
              <w:rPr>
                <w:sz w:val="16"/>
              </w:rPr>
            </w:pPr>
            <w:r>
              <w:rPr>
                <w:color w:val="231F20"/>
                <w:sz w:val="16"/>
              </w:rPr>
              <w:t>113</w:t>
            </w:r>
          </w:p>
        </w:tc>
        <w:tc>
          <w:tcPr>
            <w:tcW w:w="1115" w:type="dxa"/>
            <w:gridSpan w:val="2"/>
          </w:tcPr>
          <w:p>
            <w:pPr>
              <w:pStyle w:val="TableParagraph"/>
              <w:ind w:right="139"/>
              <w:rPr>
                <w:sz w:val="16"/>
              </w:rPr>
            </w:pPr>
            <w:r>
              <w:rPr>
                <w:color w:val="231F20"/>
                <w:sz w:val="16"/>
              </w:rPr>
              <w:t>—</w:t>
            </w:r>
          </w:p>
        </w:tc>
      </w:tr>
      <w:tr>
        <w:trPr>
          <w:trHeight w:val="200" w:hRule="exact"/>
        </w:trPr>
        <w:tc>
          <w:tcPr>
            <w:tcW w:w="3962" w:type="dxa"/>
            <w:gridSpan w:val="3"/>
          </w:tcPr>
          <w:p>
            <w:pPr>
              <w:pStyle w:val="TableParagraph"/>
              <w:spacing w:line="159" w:lineRule="exact"/>
              <w:ind w:left="210"/>
              <w:jc w:val="left"/>
              <w:rPr>
                <w:sz w:val="16"/>
              </w:rPr>
            </w:pPr>
            <w:r>
              <w:rPr>
                <w:color w:val="231F20"/>
                <w:sz w:val="16"/>
              </w:rPr>
              <w:t>Option contracts (c)   . . . . . . . . . . . . . . . . . . . . . . . . . </w:t>
            </w:r>
          </w:p>
        </w:tc>
        <w:tc>
          <w:tcPr>
            <w:tcW w:w="1293" w:type="dxa"/>
          </w:tcPr>
          <w:p>
            <w:pPr>
              <w:pStyle w:val="TableParagraph"/>
              <w:spacing w:line="159" w:lineRule="exact"/>
              <w:ind w:right="58"/>
              <w:rPr>
                <w:sz w:val="16"/>
              </w:rPr>
            </w:pPr>
            <w:r>
              <w:rPr>
                <w:color w:val="231F20"/>
                <w:sz w:val="16"/>
              </w:rPr>
              <w:t>850</w:t>
            </w:r>
          </w:p>
        </w:tc>
        <w:tc>
          <w:tcPr>
            <w:tcW w:w="200" w:type="dxa"/>
          </w:tcPr>
          <w:p>
            <w:pPr/>
          </w:p>
        </w:tc>
        <w:tc>
          <w:tcPr>
            <w:tcW w:w="2600" w:type="dxa"/>
            <w:gridSpan w:val="2"/>
          </w:tcPr>
          <w:p>
            <w:pPr>
              <w:pStyle w:val="TableParagraph"/>
              <w:tabs>
                <w:tab w:pos="2299" w:val="left" w:leader="none"/>
              </w:tabs>
              <w:spacing w:line="159" w:lineRule="exact"/>
              <w:ind w:left="959"/>
              <w:jc w:val="left"/>
              <w:rPr>
                <w:sz w:val="16"/>
              </w:rPr>
            </w:pPr>
            <w:r>
              <w:rPr>
                <w:color w:val="231F20"/>
                <w:sz w:val="16"/>
              </w:rPr>
              <w:t>—</w:t>
              <w:tab/>
              <w:t>—</w:t>
            </w:r>
          </w:p>
        </w:tc>
        <w:tc>
          <w:tcPr>
            <w:tcW w:w="200" w:type="dxa"/>
          </w:tcPr>
          <w:p>
            <w:pPr/>
          </w:p>
        </w:tc>
        <w:tc>
          <w:tcPr>
            <w:tcW w:w="915" w:type="dxa"/>
          </w:tcPr>
          <w:p>
            <w:pPr>
              <w:pStyle w:val="TableParagraph"/>
              <w:spacing w:line="159" w:lineRule="exact"/>
              <w:ind w:right="59"/>
              <w:rPr>
                <w:sz w:val="16"/>
              </w:rPr>
            </w:pPr>
            <w:r>
              <w:rPr>
                <w:color w:val="231F20"/>
                <w:sz w:val="16"/>
              </w:rPr>
              <w:t>850</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(d)   . . . . . . . . . . . . . . . . . . . . . . . . . </w:t>
            </w:r>
          </w:p>
        </w:tc>
        <w:tc>
          <w:tcPr>
            <w:tcW w:w="1293" w:type="dxa"/>
          </w:tcPr>
          <w:p>
            <w:pPr>
              <w:pStyle w:val="TableParagraph"/>
              <w:spacing w:line="171" w:lineRule="exact"/>
              <w:ind w:right="58"/>
              <w:rPr>
                <w:sz w:val="16"/>
              </w:rPr>
            </w:pPr>
            <w:r>
              <w:rPr>
                <w:color w:val="231F20"/>
                <w:sz w:val="16"/>
              </w:rPr>
              <w:t>10</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59"/>
              <w:rPr>
                <w:sz w:val="16"/>
              </w:rPr>
            </w:pPr>
            <w:r>
              <w:rPr>
                <w:color w:val="231F20"/>
                <w:sz w:val="16"/>
              </w:rPr>
              <w:t>10</w:t>
            </w:r>
          </w:p>
        </w:tc>
      </w:tr>
      <w:tr>
        <w:trPr>
          <w:trHeight w:val="228" w:hRule="exact"/>
        </w:trPr>
        <w:tc>
          <w:tcPr>
            <w:tcW w:w="3962" w:type="dxa"/>
            <w:gridSpan w:val="3"/>
          </w:tcPr>
          <w:p>
            <w:pPr>
              <w:pStyle w:val="TableParagraph"/>
              <w:spacing w:line="171" w:lineRule="exact"/>
              <w:ind w:left="50"/>
              <w:jc w:val="left"/>
              <w:rPr>
                <w:sz w:val="16"/>
              </w:rPr>
            </w:pPr>
            <w:r>
              <w:rPr>
                <w:color w:val="231F20"/>
                <w:sz w:val="16"/>
              </w:rPr>
              <w:t>Other available-for-sale securities   . . . . . . . . . . . . . . . . </w:t>
            </w:r>
          </w:p>
        </w:tc>
        <w:tc>
          <w:tcPr>
            <w:tcW w:w="1293" w:type="dxa"/>
            <w:tcBorders>
              <w:bottom w:val="single" w:sz="4" w:space="0" w:color="231F20"/>
            </w:tcBorders>
          </w:tcPr>
          <w:p>
            <w:pPr>
              <w:pStyle w:val="TableParagraph"/>
              <w:spacing w:line="171" w:lineRule="exact"/>
              <w:ind w:right="58"/>
              <w:rPr>
                <w:sz w:val="16"/>
              </w:rPr>
            </w:pPr>
            <w:r>
              <w:rPr>
                <w:color w:val="231F20"/>
                <w:sz w:val="16"/>
              </w:rPr>
              <w:t>49</w:t>
            </w:r>
          </w:p>
        </w:tc>
        <w:tc>
          <w:tcPr>
            <w:tcW w:w="200" w:type="dxa"/>
          </w:tcPr>
          <w:p>
            <w:pPr/>
          </w:p>
        </w:tc>
        <w:tc>
          <w:tcPr>
            <w:tcW w:w="2600" w:type="dxa"/>
            <w:gridSpan w:val="2"/>
          </w:tcPr>
          <w:p>
            <w:pPr>
              <w:pStyle w:val="TableParagraph"/>
              <w:tabs>
                <w:tab w:pos="2299" w:val="left" w:leader="none"/>
              </w:tabs>
              <w:spacing w:line="171" w:lineRule="exact"/>
              <w:ind w:left="1039"/>
              <w:jc w:val="left"/>
              <w:rPr>
                <w:sz w:val="16"/>
              </w:rPr>
            </w:pPr>
            <w:r>
              <w:rPr>
                <w:color w:val="231F20"/>
                <w:sz w:val="16"/>
              </w:rPr>
              <w:t>44</w:t>
              <w:tab/>
              <w:t>—</w:t>
            </w:r>
          </w:p>
        </w:tc>
        <w:tc>
          <w:tcPr>
            <w:tcW w:w="200" w:type="dxa"/>
          </w:tcPr>
          <w:p>
            <w:pPr/>
          </w:p>
        </w:tc>
        <w:tc>
          <w:tcPr>
            <w:tcW w:w="915" w:type="dxa"/>
            <w:tcBorders>
              <w:bottom w:val="single" w:sz="4" w:space="0" w:color="231F20"/>
            </w:tcBorders>
          </w:tcPr>
          <w:p>
            <w:pPr>
              <w:pStyle w:val="TableParagraph"/>
              <w:spacing w:line="171" w:lineRule="exact"/>
              <w:ind w:right="59"/>
              <w:rPr>
                <w:sz w:val="16"/>
              </w:rPr>
            </w:pPr>
            <w:r>
              <w:rPr>
                <w:color w:val="231F20"/>
                <w:sz w:val="16"/>
              </w:rPr>
              <w:t>5</w:t>
            </w:r>
          </w:p>
        </w:tc>
      </w:tr>
      <w:tr>
        <w:trPr>
          <w:trHeight w:val="320" w:hRule="exact"/>
        </w:trPr>
        <w:tc>
          <w:tcPr>
            <w:tcW w:w="3962" w:type="dxa"/>
            <w:gridSpan w:val="3"/>
          </w:tcPr>
          <w:p>
            <w:pPr>
              <w:pStyle w:val="TableParagraph"/>
              <w:spacing w:before="39"/>
              <w:ind w:left="50"/>
              <w:jc w:val="left"/>
              <w:rPr>
                <w:sz w:val="16"/>
              </w:rPr>
            </w:pPr>
            <w:r>
              <w:rPr>
                <w:color w:val="231F20"/>
                <w:sz w:val="16"/>
              </w:rPr>
              <w:t>Total assets  . . . . . . . . . . . . . . . . . . . . . . . . . . . . . . . . . . </w:t>
            </w:r>
          </w:p>
        </w:tc>
        <w:tc>
          <w:tcPr>
            <w:tcW w:w="1293" w:type="dxa"/>
            <w:tcBorders>
              <w:top w:val="single" w:sz="4" w:space="0" w:color="231F20"/>
              <w:bottom w:val="single" w:sz="4" w:space="0" w:color="231F20"/>
            </w:tcBorders>
          </w:tcPr>
          <w:p>
            <w:pPr>
              <w:pStyle w:val="TableParagraph"/>
              <w:tabs>
                <w:tab w:pos="872" w:val="left" w:leader="none"/>
              </w:tabs>
              <w:spacing w:before="34"/>
              <w:ind w:right="59"/>
              <w:rPr>
                <w:sz w:val="16"/>
              </w:rPr>
            </w:pPr>
            <w:r>
              <w:rPr>
                <w:color w:val="231F20"/>
                <w:sz w:val="16"/>
              </w:rPr>
              <w:t>$</w:t>
              <w:tab/>
              <w:t>4,059</w:t>
            </w:r>
          </w:p>
        </w:tc>
        <w:tc>
          <w:tcPr>
            <w:tcW w:w="200" w:type="dxa"/>
          </w:tcPr>
          <w:p>
            <w:pPr/>
          </w:p>
        </w:tc>
        <w:tc>
          <w:tcPr>
            <w:tcW w:w="2600" w:type="dxa"/>
            <w:gridSpan w:val="2"/>
          </w:tcPr>
          <w:p>
            <w:pPr>
              <w:pStyle w:val="TableParagraph"/>
              <w:tabs>
                <w:tab w:pos="838" w:val="left" w:leader="none"/>
                <w:tab w:pos="1458" w:val="left" w:leader="none"/>
                <w:tab w:pos="2299" w:val="left" w:leader="none"/>
              </w:tabs>
              <w:spacing w:before="39"/>
              <w:jc w:val="left"/>
              <w:rPr>
                <w:sz w:val="16"/>
              </w:rPr>
            </w:pPr>
            <w:r>
              <w:rPr>
                <w:color w:val="231F20"/>
                <w:sz w:val="16"/>
              </w:rPr>
              <w:t>$</w:t>
              <w:tab/>
              <w:t>2,497</w:t>
              <w:tab/>
              <w:t>$</w:t>
              <w:tab/>
              <w:t>661</w:t>
            </w:r>
          </w:p>
        </w:tc>
        <w:tc>
          <w:tcPr>
            <w:tcW w:w="200" w:type="dxa"/>
          </w:tcPr>
          <w:p>
            <w:pPr/>
          </w:p>
        </w:tc>
        <w:tc>
          <w:tcPr>
            <w:tcW w:w="915" w:type="dxa"/>
            <w:tcBorders>
              <w:top w:val="single" w:sz="4" w:space="0" w:color="231F20"/>
              <w:bottom w:val="single" w:sz="4" w:space="0" w:color="231F20"/>
            </w:tcBorders>
          </w:tcPr>
          <w:p>
            <w:pPr>
              <w:pStyle w:val="TableParagraph"/>
              <w:tabs>
                <w:tab w:pos="614" w:val="left" w:leader="none"/>
              </w:tabs>
              <w:spacing w:before="34"/>
              <w:jc w:val="left"/>
              <w:rPr>
                <w:sz w:val="16"/>
              </w:rPr>
            </w:pPr>
            <w:r>
              <w:rPr>
                <w:color w:val="231F20"/>
                <w:sz w:val="16"/>
              </w:rPr>
              <w:t>$</w:t>
              <w:tab/>
              <w:t>901</w:t>
            </w:r>
          </w:p>
        </w:tc>
      </w:tr>
      <w:tr>
        <w:trPr>
          <w:trHeight w:val="253" w:hRule="exact"/>
        </w:trPr>
        <w:tc>
          <w:tcPr>
            <w:tcW w:w="3962" w:type="dxa"/>
            <w:gridSpan w:val="3"/>
          </w:tcPr>
          <w:p>
            <w:pPr>
              <w:pStyle w:val="TableParagraph"/>
              <w:spacing w:before="39"/>
              <w:ind w:left="50"/>
              <w:jc w:val="left"/>
              <w:rPr>
                <w:b/>
                <w:sz w:val="16"/>
              </w:rPr>
            </w:pPr>
            <w:r>
              <w:rPr>
                <w:b/>
                <w:color w:val="231F20"/>
                <w:sz w:val="16"/>
              </w:rPr>
              <w:t>Liabilities</w:t>
            </w:r>
          </w:p>
        </w:tc>
        <w:tc>
          <w:tcPr>
            <w:tcW w:w="1293" w:type="dxa"/>
            <w:tcBorders>
              <w:top w:val="single" w:sz="4" w:space="0" w:color="231F20"/>
            </w:tcBorders>
          </w:tcPr>
          <w:p>
            <w:pPr/>
          </w:p>
        </w:tc>
        <w:tc>
          <w:tcPr>
            <w:tcW w:w="200" w:type="dxa"/>
          </w:tcPr>
          <w:p>
            <w:pPr/>
          </w:p>
        </w:tc>
        <w:tc>
          <w:tcPr>
            <w:tcW w:w="2600" w:type="dxa"/>
            <w:gridSpan w:val="2"/>
          </w:tcPr>
          <w:p>
            <w:pPr/>
          </w:p>
        </w:tc>
        <w:tc>
          <w:tcPr>
            <w:tcW w:w="200" w:type="dxa"/>
          </w:tcPr>
          <w:p>
            <w:pPr/>
          </w:p>
        </w:tc>
        <w:tc>
          <w:tcPr>
            <w:tcW w:w="915" w:type="dxa"/>
            <w:tcBorders>
              <w:top w:val="single" w:sz="4" w:space="0" w:color="231F20"/>
            </w:tcBorders>
          </w:tcPr>
          <w:p>
            <w:pPr/>
          </w:p>
        </w:tc>
      </w:tr>
      <w:tr>
        <w:trPr>
          <w:trHeight w:val="199" w:hRule="exact"/>
        </w:trPr>
        <w:tc>
          <w:tcPr>
            <w:tcW w:w="3962" w:type="dxa"/>
            <w:gridSpan w:val="3"/>
          </w:tcPr>
          <w:p>
            <w:pPr>
              <w:pStyle w:val="TableParagraph"/>
              <w:spacing w:line="171" w:lineRule="exact"/>
              <w:ind w:left="50"/>
              <w:jc w:val="left"/>
              <w:rPr>
                <w:sz w:val="16"/>
              </w:rPr>
            </w:pPr>
            <w:r>
              <w:rPr>
                <w:color w:val="231F20"/>
                <w:sz w:val="16"/>
              </w:rPr>
              <w:t>Fuel derivatives:</w:t>
            </w:r>
          </w:p>
        </w:tc>
        <w:tc>
          <w:tcPr>
            <w:tcW w:w="1293" w:type="dxa"/>
          </w:tcPr>
          <w:p>
            <w:pPr/>
          </w:p>
        </w:tc>
        <w:tc>
          <w:tcPr>
            <w:tcW w:w="200" w:type="dxa"/>
          </w:tcPr>
          <w:p>
            <w:pPr/>
          </w:p>
        </w:tc>
        <w:tc>
          <w:tcPr>
            <w:tcW w:w="2600" w:type="dxa"/>
            <w:gridSpan w:val="2"/>
          </w:tcPr>
          <w:p>
            <w:pPr/>
          </w:p>
        </w:tc>
        <w:tc>
          <w:tcPr>
            <w:tcW w:w="200" w:type="dxa"/>
          </w:tcPr>
          <w:p>
            <w:pPr/>
          </w:p>
        </w:tc>
        <w:tc>
          <w:tcPr>
            <w:tcW w:w="915" w:type="dxa"/>
          </w:tcPr>
          <w:p>
            <w:pPr/>
          </w:p>
        </w:tc>
      </w:tr>
      <w:tr>
        <w:trPr>
          <w:trHeight w:val="200" w:hRule="exact"/>
        </w:trPr>
        <w:tc>
          <w:tcPr>
            <w:tcW w:w="3962" w:type="dxa"/>
            <w:gridSpan w:val="3"/>
          </w:tcPr>
          <w:p>
            <w:pPr>
              <w:pStyle w:val="TableParagraph"/>
              <w:spacing w:line="171" w:lineRule="exact"/>
              <w:ind w:left="210"/>
              <w:jc w:val="left"/>
              <w:rPr>
                <w:sz w:val="16"/>
              </w:rPr>
            </w:pPr>
            <w:r>
              <w:rPr>
                <w:color w:val="231F20"/>
                <w:sz w:val="16"/>
              </w:rPr>
              <w:t>Swap contracts (c) . . . . . . . . . . . . . . . . . . . . . . . . . . . </w:t>
            </w:r>
          </w:p>
        </w:tc>
        <w:tc>
          <w:tcPr>
            <w:tcW w:w="1293" w:type="dxa"/>
          </w:tcPr>
          <w:p>
            <w:pPr>
              <w:pStyle w:val="TableParagraph"/>
              <w:tabs>
                <w:tab w:pos="1019" w:val="left" w:leader="none"/>
              </w:tabs>
              <w:spacing w:line="171" w:lineRule="exact"/>
              <w:ind w:right="4"/>
              <w:rPr>
                <w:sz w:val="16"/>
              </w:rPr>
            </w:pPr>
            <w:r>
              <w:rPr>
                <w:color w:val="231F20"/>
                <w:sz w:val="16"/>
              </w:rPr>
              <w:t>$</w:t>
              <w:tab/>
              <w:t>(57)</w:t>
            </w:r>
          </w:p>
        </w:tc>
        <w:tc>
          <w:tcPr>
            <w:tcW w:w="200" w:type="dxa"/>
          </w:tcPr>
          <w:p>
            <w:pPr/>
          </w:p>
        </w:tc>
        <w:tc>
          <w:tcPr>
            <w:tcW w:w="2600" w:type="dxa"/>
            <w:gridSpan w:val="2"/>
          </w:tcPr>
          <w:p>
            <w:pPr>
              <w:pStyle w:val="TableParagraph"/>
              <w:tabs>
                <w:tab w:pos="958" w:val="left" w:leader="none"/>
                <w:tab w:pos="1458" w:val="left" w:leader="none"/>
                <w:tab w:pos="2326" w:val="left" w:leader="none"/>
              </w:tabs>
              <w:spacing w:line="171" w:lineRule="exact"/>
              <w:jc w:val="left"/>
              <w:rPr>
                <w:sz w:val="16"/>
              </w:rPr>
            </w:pPr>
            <w:r>
              <w:rPr>
                <w:color w:val="231F20"/>
                <w:sz w:val="16"/>
              </w:rPr>
              <w:t>$</w:t>
              <w:tab/>
              <w:t>—</w:t>
              <w:tab/>
              <w:t>$</w:t>
              <w:tab/>
              <w:t>(57)</w:t>
            </w:r>
          </w:p>
        </w:tc>
        <w:tc>
          <w:tcPr>
            <w:tcW w:w="200" w:type="dxa"/>
          </w:tcPr>
          <w:p>
            <w:pPr/>
          </w:p>
        </w:tc>
        <w:tc>
          <w:tcPr>
            <w:tcW w:w="915" w:type="dxa"/>
          </w:tcPr>
          <w:p>
            <w:pPr>
              <w:pStyle w:val="TableParagraph"/>
              <w:tabs>
                <w:tab w:pos="614" w:val="left" w:leader="none"/>
              </w:tabs>
              <w:spacing w:line="171" w:lineRule="exact"/>
              <w:jc w:val="left"/>
              <w:rPr>
                <w:sz w:val="16"/>
              </w:rPr>
            </w:pPr>
            <w:r>
              <w:rPr>
                <w:color w:val="231F20"/>
                <w:sz w:val="16"/>
              </w:rPr>
              <w:t>$</w:t>
              <w:tab/>
              <w:t>—</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(c)   . . . . . . . . . . . . . . . . . . . . . . . . . </w:t>
            </w:r>
          </w:p>
        </w:tc>
        <w:tc>
          <w:tcPr>
            <w:tcW w:w="1293" w:type="dxa"/>
          </w:tcPr>
          <w:p>
            <w:pPr>
              <w:pStyle w:val="TableParagraph"/>
              <w:spacing w:line="171" w:lineRule="exact"/>
              <w:ind w:right="4"/>
              <w:rPr>
                <w:sz w:val="16"/>
              </w:rPr>
            </w:pPr>
            <w:r>
              <w:rPr>
                <w:color w:val="231F20"/>
                <w:sz w:val="16"/>
              </w:rPr>
              <w:t>(637)</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4"/>
              <w:rPr>
                <w:sz w:val="16"/>
              </w:rPr>
            </w:pPr>
            <w:r>
              <w:rPr>
                <w:color w:val="231F20"/>
                <w:sz w:val="16"/>
              </w:rPr>
              <w:t>(637)</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Swap contracts (d)   . . . . . . . . . . . . . . . . . . . . . . . . . . </w:t>
            </w:r>
          </w:p>
        </w:tc>
        <w:tc>
          <w:tcPr>
            <w:tcW w:w="1293" w:type="dxa"/>
          </w:tcPr>
          <w:p>
            <w:pPr>
              <w:pStyle w:val="TableParagraph"/>
              <w:spacing w:line="171" w:lineRule="exact"/>
              <w:ind w:right="4"/>
              <w:rPr>
                <w:sz w:val="16"/>
              </w:rPr>
            </w:pPr>
            <w:r>
              <w:rPr>
                <w:color w:val="231F20"/>
                <w:sz w:val="16"/>
              </w:rPr>
              <w:t>(56)</w:t>
            </w:r>
          </w:p>
        </w:tc>
        <w:tc>
          <w:tcPr>
            <w:tcW w:w="200" w:type="dxa"/>
          </w:tcPr>
          <w:p>
            <w:pPr/>
          </w:p>
        </w:tc>
        <w:tc>
          <w:tcPr>
            <w:tcW w:w="2600" w:type="dxa"/>
            <w:gridSpan w:val="2"/>
          </w:tcPr>
          <w:p>
            <w:pPr>
              <w:pStyle w:val="TableParagraph"/>
              <w:tabs>
                <w:tab w:pos="2326" w:val="left" w:leader="none"/>
              </w:tabs>
              <w:spacing w:line="171" w:lineRule="exact"/>
              <w:ind w:left="959"/>
              <w:jc w:val="left"/>
              <w:rPr>
                <w:sz w:val="16"/>
              </w:rPr>
            </w:pPr>
            <w:r>
              <w:rPr>
                <w:color w:val="231F20"/>
                <w:sz w:val="16"/>
              </w:rPr>
              <w:t>—</w:t>
              <w:tab/>
              <w:t>(56)</w:t>
            </w:r>
          </w:p>
        </w:tc>
        <w:tc>
          <w:tcPr>
            <w:tcW w:w="200" w:type="dxa"/>
          </w:tcPr>
          <w:p>
            <w:pPr/>
          </w:p>
        </w:tc>
        <w:tc>
          <w:tcPr>
            <w:tcW w:w="915" w:type="dxa"/>
          </w:tcPr>
          <w:p>
            <w:pPr>
              <w:pStyle w:val="TableParagraph"/>
              <w:spacing w:line="171" w:lineRule="exact"/>
              <w:ind w:right="139"/>
              <w:rPr>
                <w:sz w:val="16"/>
              </w:rPr>
            </w:pPr>
            <w:r>
              <w:rPr>
                <w:color w:val="231F20"/>
                <w:sz w:val="16"/>
              </w:rPr>
              <w:t>—</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(d)   . . . . . . . . . . . . . . . . . . . . . . . . . </w:t>
            </w:r>
          </w:p>
        </w:tc>
        <w:tc>
          <w:tcPr>
            <w:tcW w:w="1293" w:type="dxa"/>
          </w:tcPr>
          <w:p>
            <w:pPr>
              <w:pStyle w:val="TableParagraph"/>
              <w:spacing w:line="171" w:lineRule="exact"/>
              <w:ind w:right="4"/>
              <w:rPr>
                <w:sz w:val="16"/>
              </w:rPr>
            </w:pPr>
            <w:r>
              <w:rPr>
                <w:color w:val="231F20"/>
                <w:sz w:val="16"/>
              </w:rPr>
              <w:t>(4)</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4"/>
              <w:rPr>
                <w:sz w:val="16"/>
              </w:rPr>
            </w:pPr>
            <w:r>
              <w:rPr>
                <w:color w:val="231F20"/>
                <w:sz w:val="16"/>
              </w:rPr>
              <w:t>(4)</w:t>
            </w:r>
          </w:p>
        </w:tc>
      </w:tr>
      <w:tr>
        <w:trPr>
          <w:trHeight w:val="200" w:hRule="exact"/>
        </w:trPr>
        <w:tc>
          <w:tcPr>
            <w:tcW w:w="3962" w:type="dxa"/>
            <w:gridSpan w:val="3"/>
          </w:tcPr>
          <w:p>
            <w:pPr>
              <w:pStyle w:val="TableParagraph"/>
              <w:spacing w:line="171" w:lineRule="exact"/>
              <w:ind w:left="50"/>
              <w:jc w:val="left"/>
              <w:rPr>
                <w:sz w:val="16"/>
              </w:rPr>
            </w:pPr>
            <w:r>
              <w:rPr>
                <w:color w:val="231F20"/>
                <w:sz w:val="16"/>
              </w:rPr>
              <w:t>Interest rate derivatives (see Note 10)   . . . . . . . . . . . . . </w:t>
            </w:r>
          </w:p>
        </w:tc>
        <w:tc>
          <w:tcPr>
            <w:tcW w:w="1293" w:type="dxa"/>
          </w:tcPr>
          <w:p>
            <w:pPr>
              <w:pStyle w:val="TableParagraph"/>
              <w:spacing w:line="171" w:lineRule="exact"/>
              <w:ind w:right="4"/>
              <w:rPr>
                <w:sz w:val="16"/>
              </w:rPr>
            </w:pPr>
            <w:r>
              <w:rPr>
                <w:color w:val="231F20"/>
                <w:sz w:val="16"/>
              </w:rPr>
              <w:t>(126)</w:t>
            </w:r>
          </w:p>
        </w:tc>
        <w:tc>
          <w:tcPr>
            <w:tcW w:w="200" w:type="dxa"/>
          </w:tcPr>
          <w:p>
            <w:pPr/>
          </w:p>
        </w:tc>
        <w:tc>
          <w:tcPr>
            <w:tcW w:w="2600" w:type="dxa"/>
            <w:gridSpan w:val="2"/>
          </w:tcPr>
          <w:p>
            <w:pPr>
              <w:pStyle w:val="TableParagraph"/>
              <w:tabs>
                <w:tab w:pos="2246" w:val="left" w:leader="none"/>
              </w:tabs>
              <w:spacing w:line="171" w:lineRule="exact"/>
              <w:ind w:left="959"/>
              <w:jc w:val="left"/>
              <w:rPr>
                <w:sz w:val="16"/>
              </w:rPr>
            </w:pPr>
            <w:r>
              <w:rPr>
                <w:color w:val="231F20"/>
                <w:sz w:val="16"/>
              </w:rPr>
              <w:t>—</w:t>
              <w:tab/>
              <w:t>(126)</w:t>
            </w:r>
          </w:p>
        </w:tc>
        <w:tc>
          <w:tcPr>
            <w:tcW w:w="200" w:type="dxa"/>
          </w:tcPr>
          <w:p>
            <w:pPr/>
          </w:p>
        </w:tc>
        <w:tc>
          <w:tcPr>
            <w:tcW w:w="915" w:type="dxa"/>
          </w:tcPr>
          <w:p>
            <w:pPr>
              <w:pStyle w:val="TableParagraph"/>
              <w:spacing w:line="171" w:lineRule="exact"/>
              <w:ind w:right="139"/>
              <w:rPr>
                <w:sz w:val="16"/>
              </w:rPr>
            </w:pPr>
            <w:r>
              <w:rPr>
                <w:color w:val="231F20"/>
                <w:sz w:val="16"/>
              </w:rPr>
              <w:t>—</w:t>
            </w:r>
          </w:p>
        </w:tc>
      </w:tr>
      <w:tr>
        <w:trPr>
          <w:trHeight w:val="228" w:hRule="exact"/>
        </w:trPr>
        <w:tc>
          <w:tcPr>
            <w:tcW w:w="3962" w:type="dxa"/>
            <w:gridSpan w:val="3"/>
          </w:tcPr>
          <w:p>
            <w:pPr>
              <w:pStyle w:val="TableParagraph"/>
              <w:spacing w:line="171" w:lineRule="exact"/>
              <w:ind w:left="50"/>
              <w:jc w:val="left"/>
              <w:rPr>
                <w:sz w:val="16"/>
              </w:rPr>
            </w:pPr>
            <w:r>
              <w:rPr>
                <w:color w:val="231F20"/>
                <w:sz w:val="16"/>
              </w:rPr>
              <w:t>Deferred compensation . . . . . . . . . . . . . . . . . . . . . . . . . </w:t>
            </w:r>
          </w:p>
        </w:tc>
        <w:tc>
          <w:tcPr>
            <w:tcW w:w="1293" w:type="dxa"/>
            <w:tcBorders>
              <w:bottom w:val="single" w:sz="4" w:space="0" w:color="231F20"/>
            </w:tcBorders>
          </w:tcPr>
          <w:p>
            <w:pPr>
              <w:pStyle w:val="TableParagraph"/>
              <w:spacing w:line="171" w:lineRule="exact"/>
              <w:ind w:right="4"/>
              <w:rPr>
                <w:sz w:val="16"/>
              </w:rPr>
            </w:pPr>
            <w:r>
              <w:rPr>
                <w:color w:val="231F20"/>
                <w:sz w:val="16"/>
              </w:rPr>
              <w:t>(137)</w:t>
            </w:r>
          </w:p>
        </w:tc>
        <w:tc>
          <w:tcPr>
            <w:tcW w:w="200" w:type="dxa"/>
          </w:tcPr>
          <w:p>
            <w:pPr/>
          </w:p>
        </w:tc>
        <w:tc>
          <w:tcPr>
            <w:tcW w:w="2600" w:type="dxa"/>
            <w:gridSpan w:val="2"/>
          </w:tcPr>
          <w:p>
            <w:pPr>
              <w:pStyle w:val="TableParagraph"/>
              <w:tabs>
                <w:tab w:pos="2299" w:val="left" w:leader="none"/>
              </w:tabs>
              <w:spacing w:line="171" w:lineRule="exact"/>
              <w:ind w:left="906"/>
              <w:jc w:val="left"/>
              <w:rPr>
                <w:sz w:val="16"/>
              </w:rPr>
            </w:pPr>
            <w:r>
              <w:rPr>
                <w:color w:val="231F20"/>
                <w:sz w:val="16"/>
              </w:rPr>
              <w:t>(137)</w:t>
              <w:tab/>
              <w:t>—</w:t>
            </w:r>
          </w:p>
        </w:tc>
        <w:tc>
          <w:tcPr>
            <w:tcW w:w="200" w:type="dxa"/>
          </w:tcPr>
          <w:p>
            <w:pPr/>
          </w:p>
        </w:tc>
        <w:tc>
          <w:tcPr>
            <w:tcW w:w="915" w:type="dxa"/>
            <w:tcBorders>
              <w:bottom w:val="single" w:sz="4" w:space="0" w:color="231F20"/>
            </w:tcBorders>
          </w:tcPr>
          <w:p>
            <w:pPr>
              <w:pStyle w:val="TableParagraph"/>
              <w:spacing w:line="171" w:lineRule="exact"/>
              <w:ind w:right="139"/>
              <w:rPr>
                <w:sz w:val="16"/>
              </w:rPr>
            </w:pPr>
            <w:r>
              <w:rPr>
                <w:color w:val="231F20"/>
                <w:sz w:val="16"/>
              </w:rPr>
              <w:t>—</w:t>
            </w:r>
          </w:p>
        </w:tc>
      </w:tr>
      <w:tr>
        <w:trPr>
          <w:trHeight w:val="300" w:hRule="exact"/>
        </w:trPr>
        <w:tc>
          <w:tcPr>
            <w:tcW w:w="3962" w:type="dxa"/>
            <w:gridSpan w:val="3"/>
          </w:tcPr>
          <w:p>
            <w:pPr>
              <w:pStyle w:val="TableParagraph"/>
              <w:spacing w:before="39"/>
              <w:ind w:left="50"/>
              <w:jc w:val="left"/>
              <w:rPr>
                <w:sz w:val="16"/>
              </w:rPr>
            </w:pPr>
            <w:r>
              <w:rPr>
                <w:b/>
                <w:color w:val="231F20"/>
                <w:sz w:val="16"/>
              </w:rPr>
              <w:t>Total liabilities </w:t>
            </w:r>
            <w:r>
              <w:rPr>
                <w:color w:val="231F20"/>
                <w:sz w:val="16"/>
              </w:rPr>
              <w:t>. . . . . . . . . . . . . . . . . . . . . . . . . . . . . . . </w:t>
            </w:r>
          </w:p>
        </w:tc>
        <w:tc>
          <w:tcPr>
            <w:tcW w:w="1293" w:type="dxa"/>
            <w:tcBorders>
              <w:top w:val="single" w:sz="4" w:space="0" w:color="231F20"/>
            </w:tcBorders>
          </w:tcPr>
          <w:p>
            <w:pPr>
              <w:pStyle w:val="TableParagraph"/>
              <w:tabs>
                <w:tab w:pos="819" w:val="left" w:leader="none"/>
              </w:tabs>
              <w:spacing w:before="34"/>
              <w:ind w:right="4"/>
              <w:rPr>
                <w:sz w:val="16"/>
              </w:rPr>
            </w:pPr>
            <w:r>
              <w:rPr>
                <w:color w:val="231F20"/>
                <w:sz w:val="16"/>
              </w:rPr>
              <w:t>$</w:t>
              <w:tab/>
              <w:t>(1,017)</w:t>
            </w:r>
          </w:p>
        </w:tc>
        <w:tc>
          <w:tcPr>
            <w:tcW w:w="200" w:type="dxa"/>
          </w:tcPr>
          <w:p>
            <w:pPr/>
          </w:p>
        </w:tc>
        <w:tc>
          <w:tcPr>
            <w:tcW w:w="2600" w:type="dxa"/>
            <w:gridSpan w:val="2"/>
          </w:tcPr>
          <w:p>
            <w:pPr>
              <w:pStyle w:val="TableParagraph"/>
              <w:tabs>
                <w:tab w:pos="905" w:val="left" w:leader="none"/>
                <w:tab w:pos="1458" w:val="left" w:leader="none"/>
                <w:tab w:pos="2246" w:val="left" w:leader="none"/>
              </w:tabs>
              <w:spacing w:before="39"/>
              <w:jc w:val="left"/>
              <w:rPr>
                <w:sz w:val="16"/>
              </w:rPr>
            </w:pPr>
            <w:r>
              <w:rPr>
                <w:color w:val="231F20"/>
                <w:sz w:val="16"/>
              </w:rPr>
              <w:t>$</w:t>
              <w:tab/>
              <w:t>(137)</w:t>
              <w:tab/>
              <w:t>$</w:t>
              <w:tab/>
              <w:t>(239)</w:t>
            </w:r>
          </w:p>
        </w:tc>
        <w:tc>
          <w:tcPr>
            <w:tcW w:w="200" w:type="dxa"/>
          </w:tcPr>
          <w:p>
            <w:pPr/>
          </w:p>
        </w:tc>
        <w:tc>
          <w:tcPr>
            <w:tcW w:w="915" w:type="dxa"/>
            <w:tcBorders>
              <w:top w:val="single" w:sz="4" w:space="0" w:color="231F20"/>
            </w:tcBorders>
          </w:tcPr>
          <w:p>
            <w:pPr>
              <w:pStyle w:val="TableParagraph"/>
              <w:tabs>
                <w:tab w:pos="561" w:val="left" w:leader="none"/>
              </w:tabs>
              <w:spacing w:before="34"/>
              <w:jc w:val="left"/>
              <w:rPr>
                <w:sz w:val="16"/>
              </w:rPr>
            </w:pPr>
            <w:r>
              <w:rPr>
                <w:color w:val="231F20"/>
                <w:sz w:val="16"/>
              </w:rPr>
              <w:t>$</w:t>
              <w:tab/>
              <w:t>(641)</w:t>
            </w:r>
          </w:p>
        </w:tc>
      </w:tr>
      <w:tr>
        <w:trPr>
          <w:trHeight w:val="180" w:hRule="exact"/>
        </w:trPr>
        <w:tc>
          <w:tcPr>
            <w:tcW w:w="3962" w:type="dxa"/>
            <w:gridSpan w:val="3"/>
          </w:tcPr>
          <w:p>
            <w:pPr/>
          </w:p>
        </w:tc>
        <w:tc>
          <w:tcPr>
            <w:tcW w:w="1293" w:type="dxa"/>
            <w:tcBorders>
              <w:bottom w:val="single" w:sz="4" w:space="0" w:color="231F20"/>
            </w:tcBorders>
          </w:tcPr>
          <w:p>
            <w:pPr/>
          </w:p>
        </w:tc>
        <w:tc>
          <w:tcPr>
            <w:tcW w:w="200" w:type="dxa"/>
          </w:tcPr>
          <w:p>
            <w:pPr/>
          </w:p>
        </w:tc>
        <w:tc>
          <w:tcPr>
            <w:tcW w:w="2600" w:type="dxa"/>
            <w:gridSpan w:val="2"/>
          </w:tcPr>
          <w:p>
            <w:pPr/>
          </w:p>
        </w:tc>
        <w:tc>
          <w:tcPr>
            <w:tcW w:w="200" w:type="dxa"/>
          </w:tcPr>
          <w:p>
            <w:pPr/>
          </w:p>
        </w:tc>
        <w:tc>
          <w:tcPr>
            <w:tcW w:w="915" w:type="dxa"/>
            <w:tcBorders>
              <w:bottom w:val="single" w:sz="4" w:space="0" w:color="231F20"/>
            </w:tcBorders>
          </w:tcPr>
          <w:p>
            <w:pPr/>
          </w:p>
        </w:tc>
      </w:tr>
    </w:tbl>
    <w:p>
      <w:pPr>
        <w:pStyle w:val="ListParagraph"/>
        <w:numPr>
          <w:ilvl w:val="0"/>
          <w:numId w:val="16"/>
        </w:numPr>
        <w:tabs>
          <w:tab w:pos="480" w:val="left" w:leader="none"/>
        </w:tabs>
        <w:spacing w:line="240" w:lineRule="auto" w:before="29" w:after="0"/>
        <w:ind w:left="480" w:right="0" w:hanging="320"/>
        <w:jc w:val="left"/>
        <w:rPr>
          <w:sz w:val="16"/>
        </w:rPr>
      </w:pPr>
      <w:r>
        <w:rPr/>
        <w:pict>
          <v:line style="position:absolute;mso-position-horizontal-relative:page;mso-position-vertical-relative:page;z-index:-352456" from="339.25pt,328.75pt" to="402.2pt,328.75pt" stroked="true" strokeweight=".5pt" strokecolor="#231f20">
            <v:stroke dashstyle="solid"/>
            <w10:wrap type="none"/>
          </v:line>
        </w:pict>
      </w:r>
      <w:r>
        <w:rPr/>
        <w:pict>
          <v:line style="position:absolute;mso-position-horizontal-relative:page;mso-position-vertical-relative:page;z-index:-352432" from="264.600006pt,342.75pt" to="329.250006pt,342.75pt" stroked="true" strokeweight=".5pt" strokecolor="#231f20">
            <v:stroke dashstyle="solid"/>
            <w10:wrap type="none"/>
          </v:line>
        </w:pict>
      </w:r>
      <w:r>
        <w:rPr/>
        <w:pict>
          <v:shape style="position:absolute;margin-left:339.25pt;margin-top:342.75pt;width:62.95pt;height:2pt;mso-position-horizontal-relative:page;mso-position-vertical-relative:page;z-index:-352408" coordorigin="6785,6855" coordsize="1259,40" path="m6785,6855l8044,6855m6785,6895l8044,6895e" filled="false" stroked="true" strokeweight=".5pt" strokecolor="#231f20">
            <v:path arrowok="t"/>
            <v:stroke dashstyle="solid"/>
            <w10:wrap type="none"/>
          </v:shape>
        </w:pict>
      </w:r>
      <w:r>
        <w:rPr/>
        <w:pict>
          <v:line style="position:absolute;mso-position-horizontal-relative:page;mso-position-vertical-relative:page;z-index:-352384" from="412.200012pt,342.75pt" to="469.250012pt,342.75pt" stroked="true" strokeweight=".5pt" strokecolor="#231f20">
            <v:stroke dashstyle="solid"/>
            <w10:wrap type="none"/>
          </v:line>
        </w:pict>
      </w:r>
      <w:r>
        <w:rPr/>
        <w:pict>
          <v:line style="position:absolute;mso-position-horizontal-relative:page;mso-position-vertical-relative:page;z-index:-352360" from="479.25pt,342.75pt" to="525pt,342.75pt" stroked="true" strokeweight=".5pt" strokecolor="#231f20">
            <v:stroke dashstyle="solid"/>
            <w10:wrap type="none"/>
          </v:line>
        </w:pict>
      </w:r>
      <w:r>
        <w:rPr/>
        <w:pict>
          <v:line style="position:absolute;mso-position-horizontal-relative:page;mso-position-vertical-relative:paragraph;z-index:-352336" from="339.25pt,-25.331249pt" to="402.2pt,-25.331249pt" stroked="true" strokeweight=".5pt" strokecolor="#231f20">
            <v:stroke dashstyle="solid"/>
            <w10:wrap type="none"/>
          </v:line>
        </w:pict>
      </w:r>
      <w:r>
        <w:rPr/>
        <w:pict>
          <v:line style="position:absolute;mso-position-horizontal-relative:page;mso-position-vertical-relative:paragraph;z-index:-352312" from="264.600006pt,-11.33125pt" to="329.250006pt,-11.33125pt" stroked="true" strokeweight=".5pt" strokecolor="#231f20">
            <v:stroke dashstyle="solid"/>
            <w10:wrap type="none"/>
          </v:line>
        </w:pict>
      </w:r>
      <w:r>
        <w:rPr/>
        <w:pict>
          <v:shape style="position:absolute;margin-left:339.25pt;margin-top:-11.33125pt;width:62.95pt;height:2pt;mso-position-horizontal-relative:page;mso-position-vertical-relative:paragraph;z-index:-352288" coordorigin="6785,-227" coordsize="1259,40" path="m6785,-227l8044,-227m6785,-187l8044,-187e" filled="false" stroked="true" strokeweight=".5pt" strokecolor="#231f20">
            <v:path arrowok="t"/>
            <v:stroke dashstyle="solid"/>
            <w10:wrap type="none"/>
          </v:shape>
        </w:pict>
      </w:r>
      <w:r>
        <w:rPr/>
        <w:pict>
          <v:line style="position:absolute;mso-position-horizontal-relative:page;mso-position-vertical-relative:paragraph;z-index:-352264" from="412.200012pt,-11.33125pt" to="469.250012pt,-11.33125pt" stroked="true" strokeweight=".5pt" strokecolor="#231f20">
            <v:stroke dashstyle="solid"/>
            <w10:wrap type="none"/>
          </v:line>
        </w:pict>
      </w:r>
      <w:r>
        <w:rPr/>
        <w:pict>
          <v:line style="position:absolute;mso-position-horizontal-relative:page;mso-position-vertical-relative:paragraph;z-index:-352240" from="479.25pt,-11.33125pt" to="525pt,-11.33125pt" stroked="true" strokeweight=".5pt" strokecolor="#231f20">
            <v:stroke dashstyle="solid"/>
            <w10:wrap type="none"/>
          </v:line>
        </w:pict>
      </w:r>
      <w:r>
        <w:rPr>
          <w:color w:val="231F20"/>
          <w:sz w:val="16"/>
        </w:rPr>
        <w:t>Cash equivalents is primarily composed of money market</w:t>
      </w:r>
      <w:r>
        <w:rPr>
          <w:color w:val="231F20"/>
          <w:spacing w:val="-11"/>
          <w:sz w:val="16"/>
        </w:rPr>
        <w:t> </w:t>
      </w:r>
      <w:r>
        <w:rPr>
          <w:color w:val="231F20"/>
          <w:sz w:val="16"/>
        </w:rPr>
        <w:t>investments.</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w:t>
      </w:r>
      <w:r>
        <w:rPr>
          <w:color w:val="231F20"/>
          <w:spacing w:val="-14"/>
          <w:sz w:val="16"/>
        </w:rPr>
        <w:t> </w:t>
      </w:r>
      <w:r>
        <w:rPr>
          <w:color w:val="231F20"/>
          <w:sz w:val="16"/>
        </w:rPr>
        <w:t>asset.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w:t>
      </w:r>
      <w:r>
        <w:rPr>
          <w:color w:val="231F20"/>
          <w:spacing w:val="-14"/>
          <w:sz w:val="16"/>
        </w:rPr>
        <w:t> </w:t>
      </w:r>
      <w:r>
        <w:rPr>
          <w:color w:val="231F20"/>
          <w:sz w:val="16"/>
        </w:rPr>
        <w:t>liability.</w:t>
      </w:r>
    </w:p>
    <w:p>
      <w:pPr>
        <w:spacing w:after="0" w:line="240" w:lineRule="auto"/>
        <w:jc w:val="left"/>
        <w:rPr>
          <w:sz w:val="16"/>
        </w:rPr>
        <w:sectPr>
          <w:type w:val="continuous"/>
          <w:pgSz w:w="11880" w:h="15480"/>
          <w:pgMar w:top="1200" w:bottom="280" w:left="1220" w:right="1260"/>
        </w:sectPr>
      </w:pPr>
    </w:p>
    <w:p>
      <w:pPr>
        <w:spacing w:before="70"/>
        <w:ind w:left="5663" w:right="0" w:firstLine="0"/>
        <w:jc w:val="left"/>
        <w:rPr>
          <w:b/>
          <w:sz w:val="16"/>
        </w:rPr>
      </w:pPr>
      <w:r>
        <w:rPr/>
        <w:pict>
          <v:line style="position:absolute;mso-position-horizontal-relative:page;mso-position-vertical-relative:paragraph;z-index:6424" from="332pt,14.46875pt" to="525pt,14.46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00" w:bottom="1440" w:left="1220" w:right="1200"/>
        </w:sectPr>
      </w:pPr>
    </w:p>
    <w:p>
      <w:pPr>
        <w:pStyle w:val="BodyText"/>
        <w:rPr>
          <w:b/>
          <w:sz w:val="18"/>
        </w:rPr>
      </w:pPr>
    </w:p>
    <w:p>
      <w:pPr>
        <w:pStyle w:val="BodyText"/>
        <w:rPr>
          <w:b/>
          <w:sz w:val="18"/>
        </w:rPr>
      </w:pPr>
    </w:p>
    <w:p>
      <w:pPr>
        <w:spacing w:before="121"/>
        <w:ind w:left="160" w:right="0" w:firstLine="0"/>
        <w:jc w:val="left"/>
        <w:rPr>
          <w:b/>
          <w:sz w:val="16"/>
        </w:rPr>
      </w:pPr>
      <w:r>
        <w:rPr/>
        <w:pict>
          <v:line style="position:absolute;mso-position-horizontal-relative:page;mso-position-vertical-relative:paragraph;z-index:6448" from="69pt,17.018749pt" to="249pt,17.018749pt" stroked="true" strokeweight="1pt" strokecolor="#231f20">
            <v:stroke dashstyle="solid"/>
            <w10:wrap type="none"/>
          </v:line>
        </w:pict>
      </w:r>
      <w:r>
        <w:rPr>
          <w:b/>
          <w:color w:val="231F20"/>
          <w:sz w:val="16"/>
        </w:rPr>
        <w:t>Description</w:t>
      </w:r>
    </w:p>
    <w:p>
      <w:pPr>
        <w:pStyle w:val="BodyText"/>
        <w:rPr>
          <w:b/>
          <w:sz w:val="18"/>
        </w:rPr>
      </w:pPr>
      <w:r>
        <w:rPr/>
        <w:br w:type="column"/>
      </w:r>
      <w:r>
        <w:rPr>
          <w:b/>
          <w:sz w:val="18"/>
        </w:rPr>
      </w:r>
    </w:p>
    <w:p>
      <w:pPr>
        <w:pStyle w:val="BodyText"/>
        <w:spacing w:before="7"/>
        <w:rPr>
          <w:b/>
          <w:sz w:val="14"/>
        </w:rPr>
      </w:pPr>
    </w:p>
    <w:p>
      <w:pPr>
        <w:spacing w:line="172" w:lineRule="exact" w:before="0"/>
        <w:ind w:left="160" w:right="0" w:firstLine="0"/>
        <w:jc w:val="center"/>
        <w:rPr>
          <w:b/>
          <w:sz w:val="16"/>
        </w:rPr>
      </w:pPr>
      <w:r>
        <w:rPr>
          <w:b/>
          <w:color w:val="231F20"/>
          <w:sz w:val="16"/>
        </w:rPr>
        <w:t>December 31,</w:t>
      </w:r>
    </w:p>
    <w:p>
      <w:pPr>
        <w:spacing w:line="172" w:lineRule="exact" w:before="0"/>
        <w:ind w:left="161" w:right="0" w:firstLine="0"/>
        <w:jc w:val="center"/>
        <w:rPr>
          <w:b/>
          <w:sz w:val="16"/>
        </w:rPr>
      </w:pPr>
      <w:r>
        <w:rPr/>
        <w:pict>
          <v:shape style="position:absolute;margin-left:259pt;margin-top:10.369141pt;width:266pt;height:.1pt;mso-position-horizontal-relative:page;mso-position-vertical-relative:paragraph;z-index:6400" coordorigin="5180,207" coordsize="5320,0" path="m5180,207l6440,207m6440,207l7899,207m7899,207l9240,207m9240,207l10500,207e" filled="false" stroked="true" strokeweight="1pt" strokecolor="#231f20">
            <v:path arrowok="t"/>
            <v:stroke dashstyle="solid"/>
            <w10:wrap type="none"/>
          </v:shape>
        </w:pict>
      </w:r>
      <w:r>
        <w:rPr>
          <w:b/>
          <w:color w:val="231F20"/>
          <w:sz w:val="16"/>
        </w:rPr>
        <w:t>2011</w:t>
      </w:r>
    </w:p>
    <w:p>
      <w:pPr>
        <w:spacing w:line="160" w:lineRule="exact" w:before="76"/>
        <w:ind w:left="162" w:right="0" w:firstLine="0"/>
        <w:jc w:val="center"/>
        <w:rPr>
          <w:b/>
          <w:sz w:val="16"/>
        </w:rPr>
      </w:pPr>
      <w:r>
        <w:rPr/>
        <w:br w:type="column"/>
      </w:r>
      <w:r>
        <w:rPr>
          <w:b/>
          <w:color w:val="231F20"/>
          <w:sz w:val="16"/>
        </w:rPr>
        <w:t>Quoted prices in active markets</w:t>
      </w:r>
    </w:p>
    <w:p>
      <w:pPr>
        <w:spacing w:line="160" w:lineRule="exact" w:before="0"/>
        <w:ind w:left="160" w:right="0" w:firstLine="0"/>
        <w:jc w:val="center"/>
        <w:rPr>
          <w:b/>
          <w:sz w:val="16"/>
        </w:rPr>
      </w:pPr>
      <w:r>
        <w:rPr>
          <w:b/>
          <w:color w:val="231F20"/>
          <w:sz w:val="16"/>
        </w:rPr>
        <w:t>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58" w:right="0" w:firstLine="0"/>
        <w:jc w:val="center"/>
        <w:rPr>
          <w:b/>
          <w:sz w:val="16"/>
        </w:rPr>
      </w:pPr>
      <w:r>
        <w:rPr>
          <w:b/>
          <w:color w:val="231F20"/>
          <w:sz w:val="16"/>
        </w:rPr>
        <w:t>(Level 2)</w:t>
      </w:r>
    </w:p>
    <w:p>
      <w:pPr>
        <w:spacing w:line="160" w:lineRule="exact" w:before="76"/>
        <w:ind w:left="160" w:right="250" w:firstLine="2"/>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298" w:right="388" w:firstLine="0"/>
        <w:jc w:val="center"/>
        <w:rPr>
          <w:b/>
          <w:sz w:val="16"/>
        </w:rPr>
      </w:pPr>
      <w:r>
        <w:rPr>
          <w:b/>
          <w:color w:val="231F20"/>
          <w:sz w:val="16"/>
        </w:rPr>
        <w:t>(Level 3)</w:t>
      </w:r>
    </w:p>
    <w:p>
      <w:pPr>
        <w:spacing w:after="0" w:line="163" w:lineRule="exact"/>
        <w:jc w:val="center"/>
        <w:rPr>
          <w:sz w:val="16"/>
        </w:rPr>
        <w:sectPr>
          <w:type w:val="continuous"/>
          <w:pgSz w:w="11880" w:h="15480"/>
          <w:pgMar w:top="1200" w:bottom="280" w:left="1220" w:right="1200"/>
          <w:cols w:num="5" w:equalWidth="0">
            <w:col w:w="952" w:space="3111"/>
            <w:col w:w="1094" w:space="103"/>
            <w:col w:w="1421" w:space="40"/>
            <w:col w:w="1301" w:space="111"/>
            <w:col w:w="1327"/>
          </w:cols>
        </w:sectPr>
      </w:pPr>
    </w:p>
    <w:p>
      <w:pPr>
        <w:pStyle w:val="BodyText"/>
        <w:spacing w:before="2"/>
        <w:rPr>
          <w:b/>
          <w:sz w:val="22"/>
        </w:rPr>
      </w:pPr>
    </w:p>
    <w:p>
      <w:pPr>
        <w:spacing w:before="0"/>
        <w:ind w:left="160" w:right="0" w:firstLine="0"/>
        <w:jc w:val="left"/>
        <w:rPr>
          <w:b/>
          <w:sz w:val="16"/>
        </w:rPr>
      </w:pPr>
      <w:r>
        <w:rPr>
          <w:b/>
          <w:color w:val="231F20"/>
          <w:sz w:val="16"/>
        </w:rPr>
        <w:t>Assets</w:t>
      </w:r>
    </w:p>
    <w:p>
      <w:pPr>
        <w:spacing w:before="15"/>
        <w:ind w:left="160" w:right="0" w:firstLine="0"/>
        <w:jc w:val="left"/>
        <w:rPr>
          <w:sz w:val="16"/>
        </w:rPr>
      </w:pPr>
      <w:r>
        <w:rPr>
          <w:color w:val="231F20"/>
          <w:sz w:val="16"/>
        </w:rPr>
        <w:t>Cash equivalents</w:t>
      </w:r>
    </w:p>
    <w:p>
      <w:pPr>
        <w:spacing w:before="55"/>
        <w:ind w:left="160" w:right="0" w:firstLine="0"/>
        <w:jc w:val="left"/>
        <w:rPr>
          <w:sz w:val="16"/>
        </w:rPr>
      </w:pPr>
      <w:r>
        <w:rPr/>
        <w:br w:type="column"/>
      </w:r>
      <w:r>
        <w:rPr>
          <w:color w:val="231F20"/>
          <w:sz w:val="16"/>
        </w:rPr>
        <w:t>(in millions)</w:t>
      </w:r>
    </w:p>
    <w:p>
      <w:pPr>
        <w:spacing w:after="0"/>
        <w:jc w:val="left"/>
        <w:rPr>
          <w:sz w:val="16"/>
        </w:rPr>
        <w:sectPr>
          <w:type w:val="continuous"/>
          <w:pgSz w:w="11880" w:h="15480"/>
          <w:pgMar w:top="1200" w:bottom="280" w:left="1220" w:right="1200"/>
          <w:cols w:num="2" w:equalWidth="0">
            <w:col w:w="1249" w:space="4915"/>
            <w:col w:w="3296"/>
          </w:cols>
        </w:sectPr>
      </w:pPr>
    </w:p>
    <w:p>
      <w:pPr>
        <w:tabs>
          <w:tab w:pos="4159" w:val="left" w:leader="none"/>
          <w:tab w:pos="4939" w:val="left" w:leader="none"/>
          <w:tab w:pos="5419" w:val="left" w:leader="none"/>
          <w:tab w:pos="6398" w:val="left" w:leader="none"/>
          <w:tab w:pos="6878" w:val="left" w:leader="none"/>
          <w:tab w:pos="7739" w:val="left" w:leader="none"/>
          <w:tab w:pos="8219" w:val="left" w:leader="none"/>
          <w:tab w:pos="8999" w:val="left" w:leader="none"/>
        </w:tabs>
        <w:spacing w:before="15"/>
        <w:ind w:left="320" w:right="0" w:firstLine="0"/>
        <w:jc w:val="left"/>
        <w:rPr>
          <w:sz w:val="16"/>
        </w:rPr>
      </w:pPr>
      <w:r>
        <w:rPr>
          <w:color w:val="231F20"/>
          <w:sz w:val="16"/>
        </w:rPr>
        <w:t>Cash equivalents (a)  . . . . . . . . . . . . . . . . . . . . . . . .</w:t>
      </w:r>
      <w:r>
        <w:rPr>
          <w:color w:val="231F20"/>
          <w:spacing w:val="13"/>
          <w:sz w:val="16"/>
        </w:rPr>
        <w:t> </w:t>
      </w:r>
      <w:r>
        <w:rPr>
          <w:color w:val="231F20"/>
          <w:sz w:val="16"/>
        </w:rPr>
        <w:t>. .</w:t>
        <w:tab/>
        <w:t>$</w:t>
        <w:tab/>
        <w:t>774</w:t>
        <w:tab/>
        <w:t>$</w:t>
        <w:tab/>
        <w:t>774</w:t>
        <w:tab/>
        <w:t>$</w:t>
        <w:tab/>
        <w:t>—</w:t>
        <w:tab/>
        <w:t>$</w:t>
        <w:tab/>
        <w:t>—</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Commercial paper . . . . . . . . . . . . . . . . . . . . . . . . . .</w:t>
      </w:r>
      <w:r>
        <w:rPr>
          <w:color w:val="231F20"/>
          <w:spacing w:val="12"/>
          <w:sz w:val="16"/>
        </w:rPr>
        <w:t> </w:t>
      </w:r>
      <w:r>
        <w:rPr>
          <w:color w:val="231F20"/>
          <w:sz w:val="16"/>
        </w:rPr>
        <w:t>. .</w:t>
        <w:tab/>
        <w:t>48</w:t>
        <w:tab/>
        <w:t>—</w:t>
        <w:tab/>
        <w:t>48</w:t>
        <w:tab/>
        <w:t>—</w:t>
      </w:r>
    </w:p>
    <w:p>
      <w:pPr>
        <w:tabs>
          <w:tab w:pos="5099" w:val="left" w:leader="none"/>
          <w:tab w:pos="6398" w:val="left" w:leader="none"/>
          <w:tab w:pos="7899" w:val="left" w:leader="none"/>
          <w:tab w:pos="8999" w:val="left" w:leader="none"/>
        </w:tabs>
        <w:spacing w:line="261" w:lineRule="auto" w:before="15"/>
        <w:ind w:left="160" w:right="299" w:firstLine="160"/>
        <w:jc w:val="left"/>
        <w:rPr>
          <w:sz w:val="16"/>
        </w:rPr>
      </w:pPr>
      <w:r>
        <w:rPr>
          <w:color w:val="231F20"/>
          <w:sz w:val="16"/>
        </w:rPr>
        <w:t>Certificates of deposit  . . . . . . . . . . . . . . . . . . . . . . .</w:t>
      </w:r>
      <w:r>
        <w:rPr>
          <w:color w:val="231F20"/>
          <w:spacing w:val="-15"/>
          <w:sz w:val="16"/>
        </w:rPr>
        <w:t> </w:t>
      </w:r>
      <w:r>
        <w:rPr>
          <w:color w:val="231F20"/>
          <w:sz w:val="16"/>
        </w:rPr>
        <w:t>. .</w:t>
        <w:tab/>
        <w:t>7</w:t>
        <w:tab/>
        <w:t>—</w:t>
        <w:tab/>
        <w:t>7</w:t>
        <w:tab/>
        <w:t>— Short-term</w:t>
      </w:r>
      <w:r>
        <w:rPr>
          <w:color w:val="231F20"/>
          <w:spacing w:val="-3"/>
          <w:sz w:val="16"/>
        </w:rPr>
        <w:t> </w:t>
      </w:r>
      <w:r>
        <w:rPr>
          <w:color w:val="231F20"/>
          <w:sz w:val="16"/>
        </w:rPr>
        <w:t>investments:</w:t>
      </w:r>
    </w:p>
    <w:p>
      <w:pPr>
        <w:tabs>
          <w:tab w:pos="4819" w:val="left" w:leader="none"/>
          <w:tab w:pos="6278" w:val="left" w:leader="none"/>
          <w:tab w:pos="7739" w:val="left" w:leader="none"/>
          <w:tab w:pos="8999" w:val="left" w:leader="none"/>
        </w:tabs>
        <w:spacing w:before="0"/>
        <w:ind w:left="320" w:right="0" w:firstLine="0"/>
        <w:jc w:val="left"/>
        <w:rPr>
          <w:sz w:val="16"/>
        </w:rPr>
      </w:pPr>
      <w:r>
        <w:rPr>
          <w:color w:val="231F20"/>
          <w:sz w:val="16"/>
        </w:rPr>
        <w:t>Treasury bills   . . . . . . . . . . . . . . . . . . . . . . . . . . . . .</w:t>
      </w:r>
      <w:r>
        <w:rPr>
          <w:color w:val="231F20"/>
          <w:spacing w:val="-5"/>
          <w:sz w:val="16"/>
        </w:rPr>
        <w:t> </w:t>
      </w:r>
      <w:r>
        <w:rPr>
          <w:color w:val="231F20"/>
          <w:sz w:val="16"/>
        </w:rPr>
        <w:t>. .</w:t>
        <w:tab/>
        <w:t>2,014</w:t>
        <w:tab/>
        <w:t>2,014</w:t>
        <w:tab/>
        <w:t>—</w:t>
        <w:tab/>
        <w:t>—</w:t>
      </w:r>
    </w:p>
    <w:p>
      <w:pPr>
        <w:tabs>
          <w:tab w:pos="4939" w:val="left" w:leader="none"/>
          <w:tab w:pos="6398" w:val="left" w:leader="none"/>
          <w:tab w:pos="7739" w:val="left" w:leader="none"/>
          <w:tab w:pos="8999" w:val="left" w:leader="none"/>
        </w:tabs>
        <w:spacing w:before="16"/>
        <w:ind w:left="320" w:right="0" w:firstLine="0"/>
        <w:jc w:val="left"/>
        <w:rPr>
          <w:sz w:val="16"/>
        </w:rPr>
      </w:pPr>
      <w:r>
        <w:rPr>
          <w:color w:val="231F20"/>
          <w:sz w:val="16"/>
        </w:rPr>
        <w:t>Certificates of deposit  . . . . . . . . . . . . . . . . . . . . . . .</w:t>
      </w:r>
      <w:r>
        <w:rPr>
          <w:color w:val="231F20"/>
          <w:spacing w:val="-15"/>
          <w:sz w:val="16"/>
        </w:rPr>
        <w:t> </w:t>
      </w:r>
      <w:r>
        <w:rPr>
          <w:color w:val="231F20"/>
          <w:sz w:val="16"/>
        </w:rPr>
        <w:t>. .</w:t>
        <w:tab/>
        <w:t>221</w:t>
        <w:tab/>
        <w:t>—</w:t>
        <w:tab/>
        <w:t>221</w:t>
        <w:tab/>
        <w:t>—</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Commercial paper . . . . . . . . . . . . . . . . . . . . . . . . . .</w:t>
      </w:r>
      <w:r>
        <w:rPr>
          <w:color w:val="231F20"/>
          <w:spacing w:val="12"/>
          <w:sz w:val="16"/>
        </w:rPr>
        <w:t> </w:t>
      </w:r>
      <w:r>
        <w:rPr>
          <w:color w:val="231F20"/>
          <w:sz w:val="16"/>
        </w:rPr>
        <w:t>. .</w:t>
        <w:tab/>
        <w:t>80</w:t>
        <w:tab/>
        <w:t>—</w:t>
        <w:tab/>
        <w:t>80</w:t>
        <w:tab/>
        <w:t>—</w:t>
      </w:r>
    </w:p>
    <w:p>
      <w:pPr>
        <w:spacing w:before="15"/>
        <w:ind w:left="160" w:right="0" w:firstLine="0"/>
        <w:jc w:val="left"/>
        <w:rPr>
          <w:sz w:val="16"/>
        </w:rPr>
      </w:pPr>
      <w:r>
        <w:rPr>
          <w:color w:val="231F20"/>
          <w:sz w:val="16"/>
        </w:rPr>
        <w:t>Noncurrent investments (b)</w:t>
      </w:r>
    </w:p>
    <w:p>
      <w:pPr>
        <w:tabs>
          <w:tab w:pos="5019" w:val="left" w:leader="none"/>
          <w:tab w:pos="6398" w:val="left" w:leader="none"/>
          <w:tab w:pos="7739" w:val="left" w:leader="none"/>
          <w:tab w:pos="9239" w:val="right" w:leader="none"/>
        </w:tabs>
        <w:spacing w:before="15"/>
        <w:ind w:left="320" w:right="0" w:firstLine="0"/>
        <w:jc w:val="left"/>
        <w:rPr>
          <w:sz w:val="16"/>
        </w:rPr>
      </w:pPr>
      <w:r>
        <w:rPr>
          <w:color w:val="231F20"/>
          <w:sz w:val="16"/>
        </w:rPr>
        <w:t>Auction rate securities . . . . . . . . . . . . . . . . . . . . . . .</w:t>
      </w:r>
      <w:r>
        <w:rPr>
          <w:color w:val="231F20"/>
          <w:spacing w:val="-1"/>
          <w:sz w:val="16"/>
        </w:rPr>
        <w:t> </w:t>
      </w:r>
      <w:r>
        <w:rPr>
          <w:color w:val="231F20"/>
          <w:sz w:val="16"/>
        </w:rPr>
        <w:t>. .</w:t>
        <w:tab/>
        <w:t>67</w:t>
        <w:tab/>
        <w:t>—</w:t>
        <w:tab/>
        <w:t>—</w:t>
        <w:tab/>
        <w:t>67</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Certificates of deposit  . . . . . . . . . . . . . . . . . . . . . . .</w:t>
      </w:r>
      <w:r>
        <w:rPr>
          <w:color w:val="231F20"/>
          <w:spacing w:val="-15"/>
          <w:sz w:val="16"/>
        </w:rPr>
        <w:t> </w:t>
      </w:r>
      <w:r>
        <w:rPr>
          <w:color w:val="231F20"/>
          <w:sz w:val="16"/>
        </w:rPr>
        <w:t>. .</w:t>
        <w:tab/>
        <w:t>25</w:t>
        <w:tab/>
        <w:t>—</w:t>
        <w:tab/>
        <w:t>25</w:t>
        <w:tab/>
        <w:t>—</w:t>
      </w:r>
    </w:p>
    <w:p>
      <w:pPr>
        <w:tabs>
          <w:tab w:pos="5019" w:val="left" w:leader="none"/>
          <w:tab w:pos="6398" w:val="left" w:leader="none"/>
          <w:tab w:pos="7819" w:val="left" w:leader="none"/>
          <w:tab w:pos="8999" w:val="left" w:leader="none"/>
        </w:tabs>
        <w:spacing w:line="261" w:lineRule="auto" w:before="15"/>
        <w:ind w:left="160" w:right="299" w:firstLine="0"/>
        <w:jc w:val="left"/>
        <w:rPr>
          <w:sz w:val="16"/>
        </w:rPr>
      </w:pPr>
      <w:r>
        <w:rPr>
          <w:color w:val="231F20"/>
          <w:sz w:val="16"/>
        </w:rPr>
        <w:t>Interest rate derivatives (see Note 10) . . . . . . . . . . . . .</w:t>
      </w:r>
      <w:r>
        <w:rPr>
          <w:color w:val="231F20"/>
          <w:spacing w:val="-7"/>
          <w:sz w:val="16"/>
        </w:rPr>
        <w:t> </w:t>
      </w:r>
      <w:r>
        <w:rPr>
          <w:color w:val="231F20"/>
          <w:sz w:val="16"/>
        </w:rPr>
        <w:t>. .</w:t>
        <w:tab/>
        <w:t>66</w:t>
        <w:tab/>
        <w:t>—</w:t>
        <w:tab/>
        <w:t>66</w:t>
        <w:tab/>
        <w:t>— Fuel</w:t>
      </w:r>
      <w:r>
        <w:rPr>
          <w:color w:val="231F20"/>
          <w:spacing w:val="-1"/>
          <w:sz w:val="16"/>
        </w:rPr>
        <w:t> </w:t>
      </w:r>
      <w:r>
        <w:rPr>
          <w:color w:val="231F20"/>
          <w:sz w:val="16"/>
        </w:rPr>
        <w:t>derivatives:</w:t>
      </w:r>
    </w:p>
    <w:p>
      <w:pPr>
        <w:tabs>
          <w:tab w:pos="4939" w:val="left" w:leader="none"/>
          <w:tab w:pos="6398" w:val="left" w:leader="none"/>
          <w:tab w:pos="7739" w:val="left" w:leader="none"/>
          <w:tab w:pos="9239" w:val="right" w:leader="none"/>
        </w:tabs>
        <w:spacing w:before="0"/>
        <w:ind w:left="320" w:right="0" w:firstLine="0"/>
        <w:jc w:val="left"/>
        <w:rPr>
          <w:sz w:val="16"/>
        </w:rPr>
      </w:pPr>
      <w:r>
        <w:rPr>
          <w:color w:val="231F20"/>
          <w:sz w:val="16"/>
        </w:rPr>
        <w:t>Option contracts (c) . . . . . . . . . . . . . . . . . . . . . . . . .</w:t>
      </w:r>
      <w:r>
        <w:rPr>
          <w:color w:val="231F20"/>
          <w:spacing w:val="-1"/>
          <w:sz w:val="16"/>
        </w:rPr>
        <w:t> </w:t>
      </w:r>
      <w:r>
        <w:rPr>
          <w:color w:val="231F20"/>
          <w:sz w:val="16"/>
        </w:rPr>
        <w:t>. .</w:t>
        <w:tab/>
        <w:t>709</w:t>
        <w:tab/>
        <w:t>—</w:t>
        <w:tab/>
        <w:t>—</w:t>
        <w:tab/>
        <w:t>709</w:t>
      </w:r>
    </w:p>
    <w:p>
      <w:pPr>
        <w:tabs>
          <w:tab w:pos="4939" w:val="left" w:leader="none"/>
          <w:tab w:pos="6398" w:val="left" w:leader="none"/>
          <w:tab w:pos="7739" w:val="left" w:leader="none"/>
          <w:tab w:pos="8999" w:val="left" w:leader="none"/>
        </w:tabs>
        <w:spacing w:before="16"/>
        <w:ind w:left="320" w:right="0" w:firstLine="0"/>
        <w:jc w:val="left"/>
        <w:rPr>
          <w:sz w:val="16"/>
        </w:rPr>
      </w:pPr>
      <w:r>
        <w:rPr>
          <w:color w:val="231F20"/>
          <w:sz w:val="16"/>
        </w:rPr>
        <w:t>Swap contracts (d) . . . . . . . . . . . . . . . . . . . . . . . . . .</w:t>
      </w:r>
      <w:r>
        <w:rPr>
          <w:color w:val="231F20"/>
          <w:spacing w:val="-1"/>
          <w:sz w:val="16"/>
        </w:rPr>
        <w:t> </w:t>
      </w:r>
      <w:r>
        <w:rPr>
          <w:color w:val="231F20"/>
          <w:sz w:val="16"/>
        </w:rPr>
        <w:t>. .</w:t>
        <w:tab/>
        <w:t>180</w:t>
        <w:tab/>
        <w:t>—</w:t>
        <w:tab/>
        <w:t>180</w:t>
        <w:tab/>
        <w:t>—</w:t>
      </w:r>
    </w:p>
    <w:p>
      <w:pPr>
        <w:tabs>
          <w:tab w:pos="4939" w:val="left" w:leader="none"/>
          <w:tab w:pos="6398" w:val="left" w:leader="none"/>
          <w:tab w:pos="7739" w:val="left" w:leader="none"/>
          <w:tab w:pos="9239" w:val="right" w:leader="none"/>
        </w:tabs>
        <w:spacing w:before="15" w:after="24"/>
        <w:ind w:left="320" w:right="0" w:firstLine="0"/>
        <w:jc w:val="left"/>
        <w:rPr>
          <w:sz w:val="16"/>
        </w:rPr>
      </w:pPr>
      <w:r>
        <w:rPr/>
        <w:pict>
          <v:line style="position:absolute;mso-position-horizontal-relative:page;mso-position-vertical-relative:paragraph;z-index:-352144" from="269pt,35.96875pt" to="322pt,35.96875pt" stroked="true" strokeweight=".5pt" strokecolor="#231f20">
            <v:stroke dashstyle="solid"/>
            <w10:wrap type="none"/>
          </v:line>
        </w:pict>
      </w:r>
      <w:r>
        <w:rPr/>
        <w:pict>
          <v:line style="position:absolute;mso-position-horizontal-relative:page;mso-position-vertical-relative:paragraph;z-index:-352120" from="332pt,35.96875pt" to="394.95pt,35.96875pt" stroked="true" strokeweight=".5pt" strokecolor="#231f20">
            <v:stroke dashstyle="solid"/>
            <w10:wrap type="none"/>
          </v:line>
        </w:pict>
      </w:r>
      <w:r>
        <w:rPr/>
        <w:pict>
          <v:line style="position:absolute;mso-position-horizontal-relative:page;mso-position-vertical-relative:paragraph;z-index:-352096" from="404.950012pt,35.96875pt" to="462.000012pt,35.96875pt" stroked="true" strokeweight=".5pt" strokecolor="#231f20">
            <v:stroke dashstyle="solid"/>
            <w10:wrap type="none"/>
          </v:line>
        </w:pict>
      </w:r>
      <w:r>
        <w:rPr/>
        <w:pict>
          <v:line style="position:absolute;mso-position-horizontal-relative:page;mso-position-vertical-relative:paragraph;z-index:-352072" from="472pt,35.96875pt" to="525pt,35.96875pt" stroked="true" strokeweight=".5pt" strokecolor="#231f20">
            <v:stroke dashstyle="solid"/>
            <w10:wrap type="none"/>
          </v:line>
        </w:pict>
      </w:r>
      <w:r>
        <w:rPr>
          <w:color w:val="231F20"/>
          <w:sz w:val="16"/>
        </w:rPr>
        <w:t>Option contracts (d)   . . . . . . . . . . . . . . . . . . . . . . . .</w:t>
      </w:r>
      <w:r>
        <w:rPr>
          <w:color w:val="231F20"/>
          <w:spacing w:val="-10"/>
          <w:sz w:val="16"/>
        </w:rPr>
        <w:t> </w:t>
      </w:r>
      <w:r>
        <w:rPr>
          <w:color w:val="231F20"/>
          <w:sz w:val="16"/>
        </w:rPr>
        <w:t>. .</w:t>
        <w:tab/>
        <w:t>345</w:t>
        <w:tab/>
        <w:t>—</w:t>
        <w:tab/>
        <w:t>—</w:t>
        <w:tab/>
        <w:t>345</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124"/>
        <w:gridCol w:w="186"/>
        <w:gridCol w:w="1259"/>
        <w:gridCol w:w="200"/>
        <w:gridCol w:w="1155"/>
        <w:gridCol w:w="186"/>
        <w:gridCol w:w="1060"/>
        <w:gridCol w:w="64"/>
      </w:tblGrid>
      <w:tr>
        <w:trPr>
          <w:trHeight w:val="215" w:hRule="exact"/>
        </w:trPr>
        <w:tc>
          <w:tcPr>
            <w:tcW w:w="5124" w:type="dxa"/>
            <w:gridSpan w:val="2"/>
          </w:tcPr>
          <w:p>
            <w:pPr>
              <w:pStyle w:val="TableParagraph"/>
              <w:tabs>
                <w:tab w:pos="5069" w:val="right" w:leader="none"/>
              </w:tabs>
              <w:spacing w:line="175" w:lineRule="exact"/>
              <w:ind w:left="50"/>
              <w:jc w:val="left"/>
              <w:rPr>
                <w:sz w:val="16"/>
              </w:rPr>
            </w:pPr>
            <w:r>
              <w:rPr>
                <w:color w:val="231F20"/>
                <w:sz w:val="16"/>
              </w:rPr>
              <w:t>Other available-for-sale securities   . . . . . . . . . . . . . . .</w:t>
            </w:r>
            <w:r>
              <w:rPr>
                <w:color w:val="231F20"/>
                <w:spacing w:val="-10"/>
                <w:sz w:val="16"/>
              </w:rPr>
              <w:t> </w:t>
            </w:r>
            <w:r>
              <w:rPr>
                <w:color w:val="231F20"/>
                <w:sz w:val="16"/>
              </w:rPr>
              <w:t>. .</w:t>
              <w:tab/>
              <w:t>43</w:t>
            </w:r>
          </w:p>
        </w:tc>
        <w:tc>
          <w:tcPr>
            <w:tcW w:w="186" w:type="dxa"/>
          </w:tcPr>
          <w:p>
            <w:pPr/>
          </w:p>
        </w:tc>
        <w:tc>
          <w:tcPr>
            <w:tcW w:w="1259" w:type="dxa"/>
            <w:tcBorders>
              <w:bottom w:val="single" w:sz="4" w:space="0" w:color="231F20"/>
            </w:tcBorders>
          </w:tcPr>
          <w:p>
            <w:pPr>
              <w:pStyle w:val="TableParagraph"/>
              <w:spacing w:line="175" w:lineRule="exact"/>
              <w:ind w:right="39"/>
              <w:rPr>
                <w:sz w:val="16"/>
              </w:rPr>
            </w:pPr>
            <w:r>
              <w:rPr>
                <w:color w:val="231F20"/>
                <w:sz w:val="16"/>
              </w:rPr>
              <w:t>38</w:t>
            </w:r>
          </w:p>
        </w:tc>
        <w:tc>
          <w:tcPr>
            <w:tcW w:w="200" w:type="dxa"/>
          </w:tcPr>
          <w:p>
            <w:pPr/>
          </w:p>
        </w:tc>
        <w:tc>
          <w:tcPr>
            <w:tcW w:w="1155" w:type="dxa"/>
            <w:tcBorders>
              <w:bottom w:val="single" w:sz="4" w:space="0" w:color="231F20"/>
            </w:tcBorders>
          </w:tcPr>
          <w:p>
            <w:pPr>
              <w:pStyle w:val="TableParagraph"/>
              <w:spacing w:line="175" w:lineRule="exact"/>
              <w:ind w:right="131"/>
              <w:rPr>
                <w:sz w:val="16"/>
              </w:rPr>
            </w:pPr>
            <w:r>
              <w:rPr>
                <w:color w:val="231F20"/>
                <w:sz w:val="16"/>
              </w:rPr>
              <w:t>—</w:t>
            </w:r>
          </w:p>
        </w:tc>
        <w:tc>
          <w:tcPr>
            <w:tcW w:w="186" w:type="dxa"/>
          </w:tcPr>
          <w:p>
            <w:pPr/>
          </w:p>
        </w:tc>
        <w:tc>
          <w:tcPr>
            <w:tcW w:w="1060" w:type="dxa"/>
            <w:tcBorders>
              <w:bottom w:val="single" w:sz="4" w:space="0" w:color="231F20"/>
            </w:tcBorders>
          </w:tcPr>
          <w:p>
            <w:pPr>
              <w:pStyle w:val="TableParagraph"/>
              <w:spacing w:line="175" w:lineRule="exact"/>
              <w:ind w:right="39"/>
              <w:rPr>
                <w:sz w:val="16"/>
              </w:rPr>
            </w:pPr>
            <w:r>
              <w:rPr>
                <w:color w:val="231F20"/>
                <w:sz w:val="16"/>
              </w:rPr>
              <w:t>5</w:t>
            </w:r>
          </w:p>
        </w:tc>
        <w:tc>
          <w:tcPr>
            <w:tcW w:w="64" w:type="dxa"/>
            <w:vMerge w:val="restart"/>
          </w:tcPr>
          <w:p>
            <w:pPr/>
          </w:p>
        </w:tc>
      </w:tr>
      <w:tr>
        <w:trPr>
          <w:trHeight w:val="320" w:hRule="exact"/>
        </w:trPr>
        <w:tc>
          <w:tcPr>
            <w:tcW w:w="5124" w:type="dxa"/>
            <w:gridSpan w:val="2"/>
          </w:tcPr>
          <w:p>
            <w:pPr>
              <w:pStyle w:val="TableParagraph"/>
              <w:tabs>
                <w:tab w:pos="4049" w:val="left" w:leader="none"/>
                <w:tab w:pos="4709" w:val="left" w:leader="none"/>
              </w:tabs>
              <w:spacing w:before="55"/>
              <w:ind w:left="50"/>
              <w:jc w:val="left"/>
              <w:rPr>
                <w:sz w:val="16"/>
              </w:rPr>
            </w:pPr>
            <w:r>
              <w:rPr>
                <w:b/>
                <w:color w:val="231F20"/>
                <w:sz w:val="16"/>
              </w:rPr>
              <w:t>Total assets </w:t>
            </w:r>
            <w:r>
              <w:rPr>
                <w:color w:val="231F20"/>
                <w:sz w:val="16"/>
              </w:rPr>
              <w:t>. . . . . . . . . . . . . . . . . . . . . . . . . . . . . . . . .</w:t>
            </w:r>
            <w:r>
              <w:rPr>
                <w:color w:val="231F20"/>
                <w:spacing w:val="2"/>
                <w:sz w:val="16"/>
              </w:rPr>
              <w:t> </w:t>
            </w:r>
            <w:r>
              <w:rPr>
                <w:color w:val="231F20"/>
                <w:sz w:val="16"/>
              </w:rPr>
              <w:t>. .</w:t>
              <w:tab/>
              <w:t>$</w:t>
              <w:tab/>
              <w:t>4,579</w:t>
            </w:r>
          </w:p>
        </w:tc>
        <w:tc>
          <w:tcPr>
            <w:tcW w:w="186" w:type="dxa"/>
          </w:tcPr>
          <w:p>
            <w:pPr/>
          </w:p>
        </w:tc>
        <w:tc>
          <w:tcPr>
            <w:tcW w:w="1259" w:type="dxa"/>
            <w:tcBorders>
              <w:top w:val="single" w:sz="4" w:space="0" w:color="231F20"/>
              <w:bottom w:val="single" w:sz="4" w:space="0" w:color="231F20"/>
            </w:tcBorders>
          </w:tcPr>
          <w:p>
            <w:pPr>
              <w:pStyle w:val="TableParagraph"/>
              <w:tabs>
                <w:tab w:pos="858" w:val="left" w:leader="none"/>
              </w:tabs>
              <w:spacing w:before="50"/>
              <w:jc w:val="left"/>
              <w:rPr>
                <w:sz w:val="16"/>
              </w:rPr>
            </w:pPr>
            <w:r>
              <w:rPr>
                <w:color w:val="231F20"/>
                <w:sz w:val="16"/>
              </w:rPr>
              <w:t>$</w:t>
              <w:tab/>
              <w:t>2,826</w:t>
            </w:r>
          </w:p>
        </w:tc>
        <w:tc>
          <w:tcPr>
            <w:tcW w:w="200" w:type="dxa"/>
          </w:tcPr>
          <w:p>
            <w:pPr/>
          </w:p>
        </w:tc>
        <w:tc>
          <w:tcPr>
            <w:tcW w:w="1155" w:type="dxa"/>
            <w:tcBorders>
              <w:top w:val="single" w:sz="4" w:space="0" w:color="231F20"/>
              <w:bottom w:val="single" w:sz="4" w:space="0" w:color="231F20"/>
            </w:tcBorders>
          </w:tcPr>
          <w:p>
            <w:pPr>
              <w:pStyle w:val="TableParagraph"/>
              <w:tabs>
                <w:tab w:pos="860" w:val="left" w:leader="none"/>
              </w:tabs>
              <w:spacing w:before="50"/>
              <w:ind w:right="51"/>
              <w:rPr>
                <w:sz w:val="16"/>
              </w:rPr>
            </w:pPr>
            <w:r>
              <w:rPr>
                <w:color w:val="231F20"/>
                <w:sz w:val="16"/>
              </w:rPr>
              <w:t>$</w:t>
              <w:tab/>
              <w:t>627</w:t>
            </w:r>
          </w:p>
        </w:tc>
        <w:tc>
          <w:tcPr>
            <w:tcW w:w="186" w:type="dxa"/>
          </w:tcPr>
          <w:p>
            <w:pPr/>
          </w:p>
        </w:tc>
        <w:tc>
          <w:tcPr>
            <w:tcW w:w="1060" w:type="dxa"/>
            <w:tcBorders>
              <w:top w:val="single" w:sz="4" w:space="0" w:color="231F20"/>
              <w:bottom w:val="single" w:sz="4" w:space="0" w:color="231F20"/>
            </w:tcBorders>
          </w:tcPr>
          <w:p>
            <w:pPr>
              <w:pStyle w:val="TableParagraph"/>
              <w:tabs>
                <w:tab w:pos="659" w:val="left" w:leader="none"/>
              </w:tabs>
              <w:spacing w:before="50"/>
              <w:jc w:val="left"/>
              <w:rPr>
                <w:sz w:val="16"/>
              </w:rPr>
            </w:pPr>
            <w:r>
              <w:rPr>
                <w:color w:val="231F20"/>
                <w:sz w:val="16"/>
              </w:rPr>
              <w:t>$</w:t>
              <w:tab/>
              <w:t>1,126</w:t>
            </w:r>
          </w:p>
        </w:tc>
        <w:tc>
          <w:tcPr>
            <w:tcW w:w="64" w:type="dxa"/>
            <w:vMerge/>
          </w:tcPr>
          <w:p>
            <w:pPr/>
          </w:p>
        </w:tc>
      </w:tr>
      <w:tr>
        <w:trPr>
          <w:trHeight w:val="652" w:hRule="exact"/>
        </w:trPr>
        <w:tc>
          <w:tcPr>
            <w:tcW w:w="5124" w:type="dxa"/>
            <w:gridSpan w:val="2"/>
          </w:tcPr>
          <w:p>
            <w:pPr>
              <w:pStyle w:val="TableParagraph"/>
              <w:spacing w:before="55"/>
              <w:ind w:left="50"/>
              <w:jc w:val="left"/>
              <w:rPr>
                <w:b/>
                <w:sz w:val="16"/>
              </w:rPr>
            </w:pPr>
            <w:r>
              <w:rPr>
                <w:b/>
                <w:color w:val="231F20"/>
                <w:sz w:val="16"/>
              </w:rPr>
              <w:t>Liabilities</w:t>
            </w:r>
          </w:p>
          <w:p>
            <w:pPr>
              <w:pStyle w:val="TableParagraph"/>
              <w:spacing w:before="15"/>
              <w:ind w:left="50"/>
              <w:jc w:val="left"/>
              <w:rPr>
                <w:sz w:val="16"/>
              </w:rPr>
            </w:pPr>
            <w:r>
              <w:rPr>
                <w:color w:val="231F20"/>
                <w:sz w:val="16"/>
              </w:rPr>
              <w:t>Fuel derivatives:</w:t>
            </w:r>
          </w:p>
          <w:p>
            <w:pPr>
              <w:pStyle w:val="TableParagraph"/>
              <w:tabs>
                <w:tab w:pos="4049" w:val="left" w:leader="none"/>
                <w:tab w:pos="4856" w:val="left" w:leader="none"/>
              </w:tabs>
              <w:spacing w:before="15"/>
              <w:ind w:left="210"/>
              <w:jc w:val="left"/>
              <w:rPr>
                <w:sz w:val="16"/>
              </w:rPr>
            </w:pPr>
            <w:r>
              <w:rPr>
                <w:color w:val="231F20"/>
                <w:sz w:val="16"/>
              </w:rPr>
              <w:t>Swap contracts (c) . . . . . . . . . . . . . . . . . . . . . . . . . .</w:t>
            </w:r>
            <w:r>
              <w:rPr>
                <w:color w:val="231F20"/>
                <w:spacing w:val="8"/>
                <w:sz w:val="16"/>
              </w:rPr>
              <w:t> </w:t>
            </w:r>
            <w:r>
              <w:rPr>
                <w:color w:val="231F20"/>
                <w:sz w:val="16"/>
              </w:rPr>
              <w:t>. .</w:t>
              <w:tab/>
              <w:t>$</w:t>
              <w:tab/>
              <w:t>(65)</w:t>
            </w:r>
          </w:p>
        </w:tc>
        <w:tc>
          <w:tcPr>
            <w:tcW w:w="186" w:type="dxa"/>
          </w:tcPr>
          <w:p>
            <w:pPr/>
          </w:p>
        </w:tc>
        <w:tc>
          <w:tcPr>
            <w:tcW w:w="1259"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978" w:val="left" w:leader="none"/>
              </w:tabs>
              <w:jc w:val="left"/>
              <w:rPr>
                <w:sz w:val="16"/>
              </w:rPr>
            </w:pPr>
            <w:r>
              <w:rPr>
                <w:color w:val="231F20"/>
                <w:sz w:val="16"/>
              </w:rPr>
              <w:t>$</w:t>
              <w:tab/>
              <w:t>—</w:t>
            </w:r>
          </w:p>
        </w:tc>
        <w:tc>
          <w:tcPr>
            <w:tcW w:w="200" w:type="dxa"/>
          </w:tcPr>
          <w:p>
            <w:pPr/>
          </w:p>
        </w:tc>
        <w:tc>
          <w:tcPr>
            <w:tcW w:w="1155"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887" w:val="left" w:leader="none"/>
              </w:tabs>
              <w:rPr>
                <w:sz w:val="16"/>
              </w:rPr>
            </w:pPr>
            <w:r>
              <w:rPr>
                <w:color w:val="231F20"/>
                <w:sz w:val="16"/>
              </w:rPr>
              <w:t>$</w:t>
              <w:tab/>
              <w:t>(65)</w:t>
            </w:r>
          </w:p>
        </w:tc>
        <w:tc>
          <w:tcPr>
            <w:tcW w:w="186" w:type="dxa"/>
          </w:tcPr>
          <w:p>
            <w:pPr/>
          </w:p>
        </w:tc>
        <w:tc>
          <w:tcPr>
            <w:tcW w:w="1060"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779" w:val="left" w:leader="none"/>
              </w:tabs>
              <w:jc w:val="left"/>
              <w:rPr>
                <w:sz w:val="16"/>
              </w:rPr>
            </w:pPr>
            <w:r>
              <w:rPr>
                <w:color w:val="231F20"/>
                <w:sz w:val="16"/>
              </w:rPr>
              <w:t>$</w:t>
              <w:tab/>
              <w:t>—</w:t>
            </w:r>
          </w:p>
        </w:tc>
        <w:tc>
          <w:tcPr>
            <w:tcW w:w="64" w:type="dxa"/>
            <w:vMerge/>
          </w:tcPr>
          <w:p>
            <w:pPr/>
          </w:p>
        </w:tc>
      </w:tr>
      <w:tr>
        <w:trPr>
          <w:trHeight w:val="200" w:hRule="exact"/>
        </w:trPr>
        <w:tc>
          <w:tcPr>
            <w:tcW w:w="4000" w:type="dxa"/>
          </w:tcPr>
          <w:p>
            <w:pPr>
              <w:pStyle w:val="TableParagraph"/>
              <w:spacing w:line="175" w:lineRule="exact"/>
              <w:ind w:right="309"/>
              <w:rPr>
                <w:sz w:val="16"/>
              </w:rPr>
            </w:pPr>
            <w:r>
              <w:rPr>
                <w:color w:val="231F20"/>
                <w:sz w:val="16"/>
              </w:rPr>
              <w:t>Option contracts (c) . . . . . . . . . . . . . . . . . . . . . . . . . . . </w:t>
            </w:r>
          </w:p>
        </w:tc>
        <w:tc>
          <w:tcPr>
            <w:tcW w:w="1124" w:type="dxa"/>
          </w:tcPr>
          <w:p>
            <w:pPr>
              <w:pStyle w:val="TableParagraph"/>
              <w:spacing w:line="175" w:lineRule="exact"/>
              <w:rPr>
                <w:sz w:val="16"/>
              </w:rPr>
            </w:pPr>
            <w:r>
              <w:rPr>
                <w:color w:val="231F20"/>
                <w:sz w:val="16"/>
              </w:rPr>
              <w:t>(371)</w:t>
            </w:r>
          </w:p>
        </w:tc>
        <w:tc>
          <w:tcPr>
            <w:tcW w:w="186" w:type="dxa"/>
          </w:tcPr>
          <w:p>
            <w:pPr/>
          </w:p>
        </w:tc>
        <w:tc>
          <w:tcPr>
            <w:tcW w:w="1259" w:type="dxa"/>
          </w:tcPr>
          <w:p>
            <w:pPr>
              <w:pStyle w:val="TableParagraph"/>
              <w:spacing w:line="175" w:lineRule="exact"/>
              <w:ind w:right="118"/>
              <w:rPr>
                <w:sz w:val="16"/>
              </w:rPr>
            </w:pPr>
            <w:r>
              <w:rPr>
                <w:color w:val="231F20"/>
                <w:sz w:val="16"/>
              </w:rPr>
              <w:t>—</w:t>
            </w:r>
          </w:p>
        </w:tc>
        <w:tc>
          <w:tcPr>
            <w:tcW w:w="200" w:type="dxa"/>
          </w:tcPr>
          <w:p>
            <w:pPr/>
          </w:p>
        </w:tc>
        <w:tc>
          <w:tcPr>
            <w:tcW w:w="1155" w:type="dxa"/>
          </w:tcPr>
          <w:p>
            <w:pPr>
              <w:pStyle w:val="TableParagraph"/>
              <w:spacing w:line="175" w:lineRule="exact"/>
              <w:ind w:right="131"/>
              <w:rPr>
                <w:sz w:val="16"/>
              </w:rPr>
            </w:pPr>
            <w:r>
              <w:rPr>
                <w:color w:val="231F20"/>
                <w:sz w:val="16"/>
              </w:rPr>
              <w:t>—</w:t>
            </w:r>
          </w:p>
        </w:tc>
        <w:tc>
          <w:tcPr>
            <w:tcW w:w="186" w:type="dxa"/>
          </w:tcPr>
          <w:p>
            <w:pPr/>
          </w:p>
        </w:tc>
        <w:tc>
          <w:tcPr>
            <w:tcW w:w="1124" w:type="dxa"/>
            <w:gridSpan w:val="2"/>
          </w:tcPr>
          <w:p>
            <w:pPr>
              <w:pStyle w:val="TableParagraph"/>
              <w:spacing w:line="175" w:lineRule="exact"/>
              <w:ind w:left="726"/>
              <w:jc w:val="left"/>
              <w:rPr>
                <w:sz w:val="16"/>
              </w:rPr>
            </w:pPr>
            <w:r>
              <w:rPr>
                <w:color w:val="231F20"/>
                <w:sz w:val="16"/>
              </w:rPr>
              <w:t>(371)</w:t>
            </w:r>
          </w:p>
        </w:tc>
      </w:tr>
      <w:tr>
        <w:trPr>
          <w:trHeight w:val="200" w:hRule="exact"/>
        </w:trPr>
        <w:tc>
          <w:tcPr>
            <w:tcW w:w="4000" w:type="dxa"/>
          </w:tcPr>
          <w:p>
            <w:pPr>
              <w:pStyle w:val="TableParagraph"/>
              <w:spacing w:before="3"/>
              <w:ind w:right="309"/>
              <w:rPr>
                <w:sz w:val="16"/>
              </w:rPr>
            </w:pPr>
            <w:r>
              <w:rPr>
                <w:color w:val="231F20"/>
                <w:sz w:val="16"/>
              </w:rPr>
              <w:t>Swap contracts (d) . . . . . . . . . . . . . . . . . . . . . . . . . . . . </w:t>
            </w:r>
          </w:p>
        </w:tc>
        <w:tc>
          <w:tcPr>
            <w:tcW w:w="1124" w:type="dxa"/>
          </w:tcPr>
          <w:p>
            <w:pPr>
              <w:pStyle w:val="TableParagraph"/>
              <w:spacing w:before="3"/>
              <w:rPr>
                <w:sz w:val="16"/>
              </w:rPr>
            </w:pPr>
            <w:r>
              <w:rPr>
                <w:color w:val="231F20"/>
                <w:sz w:val="16"/>
              </w:rPr>
              <w:t>(576)</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rPr>
                <w:sz w:val="16"/>
              </w:rPr>
            </w:pPr>
            <w:r>
              <w:rPr>
                <w:color w:val="231F20"/>
                <w:sz w:val="16"/>
              </w:rPr>
              <w:t>(576)</w:t>
            </w:r>
          </w:p>
        </w:tc>
        <w:tc>
          <w:tcPr>
            <w:tcW w:w="186" w:type="dxa"/>
          </w:tcPr>
          <w:p>
            <w:pPr/>
          </w:p>
        </w:tc>
        <w:tc>
          <w:tcPr>
            <w:tcW w:w="1124" w:type="dxa"/>
            <w:gridSpan w:val="2"/>
          </w:tcPr>
          <w:p>
            <w:pPr>
              <w:pStyle w:val="TableParagraph"/>
              <w:spacing w:before="3"/>
              <w:ind w:right="181"/>
              <w:rPr>
                <w:sz w:val="16"/>
              </w:rPr>
            </w:pPr>
            <w:r>
              <w:rPr>
                <w:color w:val="231F20"/>
                <w:sz w:val="16"/>
              </w:rPr>
              <w:t>—</w:t>
            </w:r>
          </w:p>
        </w:tc>
      </w:tr>
      <w:tr>
        <w:trPr>
          <w:trHeight w:val="200" w:hRule="exact"/>
        </w:trPr>
        <w:tc>
          <w:tcPr>
            <w:tcW w:w="4000" w:type="dxa"/>
          </w:tcPr>
          <w:p>
            <w:pPr>
              <w:pStyle w:val="TableParagraph"/>
              <w:spacing w:before="3"/>
              <w:ind w:right="309"/>
              <w:rPr>
                <w:sz w:val="16"/>
              </w:rPr>
            </w:pPr>
            <w:r>
              <w:rPr>
                <w:color w:val="231F20"/>
                <w:sz w:val="16"/>
              </w:rPr>
              <w:t>Option contracts (d)   . . . . . . . . . . . . . . . . . . . . . . . . . . </w:t>
            </w:r>
          </w:p>
        </w:tc>
        <w:tc>
          <w:tcPr>
            <w:tcW w:w="1124" w:type="dxa"/>
          </w:tcPr>
          <w:p>
            <w:pPr>
              <w:pStyle w:val="TableParagraph"/>
              <w:spacing w:before="3"/>
              <w:rPr>
                <w:sz w:val="16"/>
              </w:rPr>
            </w:pPr>
            <w:r>
              <w:rPr>
                <w:color w:val="231F20"/>
                <w:sz w:val="16"/>
              </w:rPr>
              <w:t>(266)</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ind w:right="131"/>
              <w:rPr>
                <w:sz w:val="16"/>
              </w:rPr>
            </w:pPr>
            <w:r>
              <w:rPr>
                <w:color w:val="231F20"/>
                <w:sz w:val="16"/>
              </w:rPr>
              <w:t>—</w:t>
            </w:r>
          </w:p>
        </w:tc>
        <w:tc>
          <w:tcPr>
            <w:tcW w:w="186" w:type="dxa"/>
          </w:tcPr>
          <w:p>
            <w:pPr/>
          </w:p>
        </w:tc>
        <w:tc>
          <w:tcPr>
            <w:tcW w:w="1124" w:type="dxa"/>
            <w:gridSpan w:val="2"/>
          </w:tcPr>
          <w:p>
            <w:pPr>
              <w:pStyle w:val="TableParagraph"/>
              <w:spacing w:before="3"/>
              <w:ind w:left="726"/>
              <w:jc w:val="left"/>
              <w:rPr>
                <w:sz w:val="16"/>
              </w:rPr>
            </w:pPr>
            <w:r>
              <w:rPr>
                <w:color w:val="231F20"/>
                <w:sz w:val="16"/>
              </w:rPr>
              <w:t>(266)</w:t>
            </w:r>
          </w:p>
        </w:tc>
      </w:tr>
      <w:tr>
        <w:trPr>
          <w:trHeight w:val="200" w:hRule="exact"/>
        </w:trPr>
        <w:tc>
          <w:tcPr>
            <w:tcW w:w="4000" w:type="dxa"/>
          </w:tcPr>
          <w:p>
            <w:pPr>
              <w:pStyle w:val="TableParagraph"/>
              <w:spacing w:before="3"/>
              <w:ind w:right="309"/>
              <w:rPr>
                <w:sz w:val="16"/>
              </w:rPr>
            </w:pPr>
            <w:r>
              <w:rPr>
                <w:color w:val="231F20"/>
                <w:sz w:val="16"/>
              </w:rPr>
              <w:t>Interest rate derivatives (see Note 10) . . . . . . . . . . . . . . . </w:t>
            </w:r>
          </w:p>
        </w:tc>
        <w:tc>
          <w:tcPr>
            <w:tcW w:w="1124" w:type="dxa"/>
          </w:tcPr>
          <w:p>
            <w:pPr>
              <w:pStyle w:val="TableParagraph"/>
              <w:spacing w:before="3"/>
              <w:rPr>
                <w:sz w:val="16"/>
              </w:rPr>
            </w:pPr>
            <w:r>
              <w:rPr>
                <w:color w:val="231F20"/>
                <w:sz w:val="16"/>
              </w:rPr>
              <w:t>(132)</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rPr>
                <w:sz w:val="16"/>
              </w:rPr>
            </w:pPr>
            <w:r>
              <w:rPr>
                <w:color w:val="231F20"/>
                <w:sz w:val="16"/>
              </w:rPr>
              <w:t>(132)</w:t>
            </w:r>
          </w:p>
        </w:tc>
        <w:tc>
          <w:tcPr>
            <w:tcW w:w="186" w:type="dxa"/>
          </w:tcPr>
          <w:p>
            <w:pPr/>
          </w:p>
        </w:tc>
        <w:tc>
          <w:tcPr>
            <w:tcW w:w="1124" w:type="dxa"/>
            <w:gridSpan w:val="2"/>
          </w:tcPr>
          <w:p>
            <w:pPr>
              <w:pStyle w:val="TableParagraph"/>
              <w:spacing w:before="3"/>
              <w:ind w:right="181"/>
              <w:rPr>
                <w:sz w:val="16"/>
              </w:rPr>
            </w:pPr>
            <w:r>
              <w:rPr>
                <w:color w:val="231F20"/>
                <w:sz w:val="16"/>
              </w:rPr>
              <w:t>—</w:t>
            </w:r>
          </w:p>
        </w:tc>
      </w:tr>
      <w:tr>
        <w:trPr>
          <w:trHeight w:val="228" w:hRule="exact"/>
        </w:trPr>
        <w:tc>
          <w:tcPr>
            <w:tcW w:w="4000" w:type="dxa"/>
          </w:tcPr>
          <w:p>
            <w:pPr>
              <w:pStyle w:val="TableParagraph"/>
              <w:spacing w:before="3"/>
              <w:ind w:right="309"/>
              <w:rPr>
                <w:sz w:val="16"/>
              </w:rPr>
            </w:pPr>
            <w:r>
              <w:rPr>
                <w:color w:val="231F20"/>
                <w:sz w:val="16"/>
              </w:rPr>
              <w:t>Deferred Compensation   . . . . . . . . . . . . . . . . . . . . . . . . . </w:t>
            </w:r>
          </w:p>
        </w:tc>
        <w:tc>
          <w:tcPr>
            <w:tcW w:w="1124" w:type="dxa"/>
            <w:tcBorders>
              <w:bottom w:val="single" w:sz="4" w:space="0" w:color="231F20"/>
            </w:tcBorders>
          </w:tcPr>
          <w:p>
            <w:pPr>
              <w:pStyle w:val="TableParagraph"/>
              <w:spacing w:before="3"/>
              <w:rPr>
                <w:sz w:val="16"/>
              </w:rPr>
            </w:pPr>
            <w:r>
              <w:rPr>
                <w:color w:val="231F20"/>
                <w:sz w:val="16"/>
              </w:rPr>
              <w:t>(121)</w:t>
            </w:r>
          </w:p>
        </w:tc>
        <w:tc>
          <w:tcPr>
            <w:tcW w:w="186" w:type="dxa"/>
          </w:tcPr>
          <w:p>
            <w:pPr/>
          </w:p>
        </w:tc>
        <w:tc>
          <w:tcPr>
            <w:tcW w:w="1259" w:type="dxa"/>
            <w:tcBorders>
              <w:bottom w:val="single" w:sz="4" w:space="0" w:color="231F20"/>
            </w:tcBorders>
          </w:tcPr>
          <w:p>
            <w:pPr>
              <w:pStyle w:val="TableParagraph"/>
              <w:spacing w:before="3"/>
              <w:ind w:right="-14"/>
              <w:rPr>
                <w:sz w:val="16"/>
              </w:rPr>
            </w:pPr>
            <w:r>
              <w:rPr>
                <w:color w:val="231F20"/>
                <w:sz w:val="16"/>
              </w:rPr>
              <w:t>(121)</w:t>
            </w:r>
          </w:p>
        </w:tc>
        <w:tc>
          <w:tcPr>
            <w:tcW w:w="200" w:type="dxa"/>
          </w:tcPr>
          <w:p>
            <w:pPr/>
          </w:p>
        </w:tc>
        <w:tc>
          <w:tcPr>
            <w:tcW w:w="1155" w:type="dxa"/>
            <w:tcBorders>
              <w:bottom w:val="single" w:sz="4" w:space="0" w:color="231F20"/>
            </w:tcBorders>
          </w:tcPr>
          <w:p>
            <w:pPr>
              <w:pStyle w:val="TableParagraph"/>
              <w:spacing w:before="3"/>
              <w:ind w:right="131"/>
              <w:rPr>
                <w:sz w:val="16"/>
              </w:rPr>
            </w:pPr>
            <w:r>
              <w:rPr>
                <w:color w:val="231F20"/>
                <w:sz w:val="16"/>
              </w:rPr>
              <w:t>—</w:t>
            </w:r>
          </w:p>
        </w:tc>
        <w:tc>
          <w:tcPr>
            <w:tcW w:w="186" w:type="dxa"/>
          </w:tcPr>
          <w:p>
            <w:pPr/>
          </w:p>
        </w:tc>
        <w:tc>
          <w:tcPr>
            <w:tcW w:w="1124" w:type="dxa"/>
            <w:gridSpan w:val="2"/>
            <w:tcBorders>
              <w:bottom w:val="single" w:sz="4" w:space="0" w:color="231F20"/>
            </w:tcBorders>
          </w:tcPr>
          <w:p>
            <w:pPr>
              <w:pStyle w:val="TableParagraph"/>
              <w:spacing w:before="3"/>
              <w:ind w:right="181"/>
              <w:rPr>
                <w:sz w:val="16"/>
              </w:rPr>
            </w:pPr>
            <w:r>
              <w:rPr>
                <w:color w:val="231F20"/>
                <w:sz w:val="16"/>
              </w:rPr>
              <w:t>—</w:t>
            </w:r>
          </w:p>
        </w:tc>
      </w:tr>
      <w:tr>
        <w:trPr>
          <w:trHeight w:val="300" w:hRule="exact"/>
        </w:trPr>
        <w:tc>
          <w:tcPr>
            <w:tcW w:w="4000" w:type="dxa"/>
          </w:tcPr>
          <w:p>
            <w:pPr>
              <w:pStyle w:val="TableParagraph"/>
              <w:spacing w:before="55"/>
              <w:ind w:right="309"/>
              <w:rPr>
                <w:sz w:val="16"/>
              </w:rPr>
            </w:pPr>
            <w:r>
              <w:rPr>
                <w:b/>
                <w:color w:val="231F20"/>
                <w:sz w:val="16"/>
              </w:rPr>
              <w:t>Total liabilities </w:t>
            </w:r>
            <w:r>
              <w:rPr>
                <w:color w:val="231F20"/>
                <w:sz w:val="16"/>
              </w:rPr>
              <w:t>. . . . . . . . . . . . . . . . . . . . . . . . . . . . . . . . </w:t>
            </w:r>
          </w:p>
        </w:tc>
        <w:tc>
          <w:tcPr>
            <w:tcW w:w="1124" w:type="dxa"/>
            <w:tcBorders>
              <w:top w:val="single" w:sz="4" w:space="0" w:color="231F20"/>
            </w:tcBorders>
          </w:tcPr>
          <w:p>
            <w:pPr>
              <w:pStyle w:val="TableParagraph"/>
              <w:tabs>
                <w:tab w:pos="606" w:val="left" w:leader="none"/>
              </w:tabs>
              <w:spacing w:before="50"/>
              <w:rPr>
                <w:sz w:val="16"/>
              </w:rPr>
            </w:pPr>
            <w:r>
              <w:rPr>
                <w:color w:val="231F20"/>
                <w:sz w:val="16"/>
              </w:rPr>
              <w:t>$</w:t>
              <w:tab/>
              <w:t>(1,531)</w:t>
            </w:r>
          </w:p>
        </w:tc>
        <w:tc>
          <w:tcPr>
            <w:tcW w:w="186" w:type="dxa"/>
          </w:tcPr>
          <w:p>
            <w:pPr/>
          </w:p>
        </w:tc>
        <w:tc>
          <w:tcPr>
            <w:tcW w:w="1259" w:type="dxa"/>
            <w:tcBorders>
              <w:top w:val="single" w:sz="4" w:space="0" w:color="231F20"/>
            </w:tcBorders>
          </w:tcPr>
          <w:p>
            <w:pPr>
              <w:pStyle w:val="TableParagraph"/>
              <w:tabs>
                <w:tab w:pos="925" w:val="left" w:leader="none"/>
              </w:tabs>
              <w:spacing w:before="50"/>
              <w:ind w:right="-14"/>
              <w:jc w:val="left"/>
              <w:rPr>
                <w:sz w:val="16"/>
              </w:rPr>
            </w:pPr>
            <w:r>
              <w:rPr>
                <w:color w:val="231F20"/>
                <w:sz w:val="16"/>
              </w:rPr>
              <w:t>$</w:t>
              <w:tab/>
              <w:t>(121)</w:t>
            </w:r>
          </w:p>
        </w:tc>
        <w:tc>
          <w:tcPr>
            <w:tcW w:w="200" w:type="dxa"/>
          </w:tcPr>
          <w:p>
            <w:pPr/>
          </w:p>
        </w:tc>
        <w:tc>
          <w:tcPr>
            <w:tcW w:w="1155" w:type="dxa"/>
            <w:tcBorders>
              <w:top w:val="single" w:sz="4" w:space="0" w:color="231F20"/>
            </w:tcBorders>
          </w:tcPr>
          <w:p>
            <w:pPr>
              <w:pStyle w:val="TableParagraph"/>
              <w:tabs>
                <w:tab w:pos="807" w:val="left" w:leader="none"/>
              </w:tabs>
              <w:spacing w:before="50"/>
              <w:rPr>
                <w:sz w:val="16"/>
              </w:rPr>
            </w:pPr>
            <w:r>
              <w:rPr>
                <w:color w:val="231F20"/>
                <w:sz w:val="16"/>
              </w:rPr>
              <w:t>$</w:t>
              <w:tab/>
              <w:t>(773)</w:t>
            </w:r>
          </w:p>
        </w:tc>
        <w:tc>
          <w:tcPr>
            <w:tcW w:w="186" w:type="dxa"/>
          </w:tcPr>
          <w:p>
            <w:pPr/>
          </w:p>
        </w:tc>
        <w:tc>
          <w:tcPr>
            <w:tcW w:w="1124" w:type="dxa"/>
            <w:gridSpan w:val="2"/>
            <w:tcBorders>
              <w:top w:val="single" w:sz="4" w:space="0" w:color="231F20"/>
            </w:tcBorders>
          </w:tcPr>
          <w:p>
            <w:pPr>
              <w:pStyle w:val="TableParagraph"/>
              <w:tabs>
                <w:tab w:pos="726" w:val="left" w:leader="none"/>
              </w:tabs>
              <w:spacing w:before="50"/>
              <w:jc w:val="left"/>
              <w:rPr>
                <w:sz w:val="16"/>
              </w:rPr>
            </w:pPr>
            <w:r>
              <w:rPr>
                <w:color w:val="231F20"/>
                <w:sz w:val="16"/>
              </w:rPr>
              <w:t>$</w:t>
              <w:tab/>
              <w:t>(637)</w:t>
            </w:r>
          </w:p>
        </w:tc>
      </w:tr>
      <w:tr>
        <w:trPr>
          <w:trHeight w:val="180" w:hRule="exact"/>
        </w:trPr>
        <w:tc>
          <w:tcPr>
            <w:tcW w:w="4000" w:type="dxa"/>
            <w:tcBorders>
              <w:bottom w:val="single" w:sz="4" w:space="0" w:color="231F20"/>
            </w:tcBorders>
          </w:tcPr>
          <w:p>
            <w:pPr/>
          </w:p>
        </w:tc>
        <w:tc>
          <w:tcPr>
            <w:tcW w:w="1124" w:type="dxa"/>
            <w:tcBorders>
              <w:bottom w:val="single" w:sz="4" w:space="0" w:color="231F20"/>
            </w:tcBorders>
          </w:tcPr>
          <w:p>
            <w:pPr/>
          </w:p>
        </w:tc>
        <w:tc>
          <w:tcPr>
            <w:tcW w:w="186" w:type="dxa"/>
          </w:tcPr>
          <w:p>
            <w:pPr/>
          </w:p>
        </w:tc>
        <w:tc>
          <w:tcPr>
            <w:tcW w:w="1259" w:type="dxa"/>
            <w:tcBorders>
              <w:bottom w:val="single" w:sz="4" w:space="0" w:color="231F20"/>
            </w:tcBorders>
          </w:tcPr>
          <w:p>
            <w:pPr/>
          </w:p>
        </w:tc>
        <w:tc>
          <w:tcPr>
            <w:tcW w:w="200" w:type="dxa"/>
          </w:tcPr>
          <w:p>
            <w:pPr/>
          </w:p>
        </w:tc>
        <w:tc>
          <w:tcPr>
            <w:tcW w:w="1155" w:type="dxa"/>
            <w:tcBorders>
              <w:bottom w:val="single" w:sz="4" w:space="0" w:color="231F20"/>
            </w:tcBorders>
          </w:tcPr>
          <w:p>
            <w:pPr/>
          </w:p>
        </w:tc>
        <w:tc>
          <w:tcPr>
            <w:tcW w:w="186" w:type="dxa"/>
          </w:tcPr>
          <w:p>
            <w:pPr/>
          </w:p>
        </w:tc>
        <w:tc>
          <w:tcPr>
            <w:tcW w:w="1124" w:type="dxa"/>
            <w:gridSpan w:val="2"/>
            <w:tcBorders>
              <w:bottom w:val="single" w:sz="4" w:space="0" w:color="231F20"/>
            </w:tcBorders>
          </w:tcPr>
          <w:p>
            <w:pPr/>
          </w:p>
        </w:tc>
      </w:tr>
    </w:tbl>
    <w:p>
      <w:pPr>
        <w:pStyle w:val="ListParagraph"/>
        <w:numPr>
          <w:ilvl w:val="0"/>
          <w:numId w:val="17"/>
        </w:numPr>
        <w:tabs>
          <w:tab w:pos="480" w:val="left" w:leader="none"/>
        </w:tabs>
        <w:spacing w:line="240" w:lineRule="auto" w:before="45" w:after="0"/>
        <w:ind w:left="480" w:right="0" w:hanging="320"/>
        <w:jc w:val="left"/>
        <w:rPr>
          <w:sz w:val="16"/>
        </w:rPr>
      </w:pPr>
      <w:r>
        <w:rPr/>
        <w:pict>
          <v:line style="position:absolute;mso-position-horizontal-relative:page;mso-position-vertical-relative:paragraph;z-index:-352048" from="269pt,-10.53125pt" to="322pt,-10.53125pt" stroked="true" strokeweight=".5pt" strokecolor="#231f20">
            <v:stroke dashstyle="solid"/>
            <w10:wrap type="none"/>
          </v:line>
        </w:pict>
      </w:r>
      <w:r>
        <w:rPr/>
        <w:pict>
          <v:line style="position:absolute;mso-position-horizontal-relative:page;mso-position-vertical-relative:paragraph;z-index:-352024" from="332pt,-10.53125pt" to="394.95pt,-10.53125pt" stroked="true" strokeweight=".5pt" strokecolor="#231f20">
            <v:stroke dashstyle="solid"/>
            <w10:wrap type="none"/>
          </v:line>
        </w:pict>
      </w:r>
      <w:r>
        <w:rPr/>
        <w:pict>
          <v:line style="position:absolute;mso-position-horizontal-relative:page;mso-position-vertical-relative:paragraph;z-index:-352000" from="404.950012pt,-10.53125pt" to="462.000012pt,-10.53125pt" stroked="true" strokeweight=".5pt" strokecolor="#231f20">
            <v:stroke dashstyle="solid"/>
            <w10:wrap type="none"/>
          </v:line>
        </w:pict>
      </w:r>
      <w:r>
        <w:rPr/>
        <w:pict>
          <v:line style="position:absolute;mso-position-horizontal-relative:page;mso-position-vertical-relative:paragraph;z-index:-351976" from="472pt,-10.53125pt" to="525pt,-10.53125pt" stroked="true" strokeweight=".5pt" strokecolor="#231f20">
            <v:stroke dashstyle="solid"/>
            <w10:wrap type="none"/>
          </v:line>
        </w:pict>
      </w: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7"/>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7"/>
        </w:numPr>
        <w:tabs>
          <w:tab w:pos="480" w:val="left" w:leader="none"/>
        </w:tabs>
        <w:spacing w:line="261" w:lineRule="auto" w:before="15" w:after="0"/>
        <w:ind w:left="480" w:right="274" w:hanging="320"/>
        <w:jc w:val="left"/>
        <w:rPr>
          <w:sz w:val="16"/>
        </w:rPr>
      </w:pPr>
      <w:r>
        <w:rPr>
          <w:color w:val="231F20"/>
          <w:sz w:val="16"/>
        </w:rPr>
        <w:t>In the Consolidated Balance Sheet, amounts are presented as a net asset, and are also net of cash collateral received from</w:t>
      </w:r>
      <w:r>
        <w:rPr>
          <w:color w:val="231F20"/>
          <w:spacing w:val="-27"/>
          <w:sz w:val="16"/>
        </w:rPr>
        <w:t> </w:t>
      </w:r>
      <w:r>
        <w:rPr>
          <w:color w:val="231F20"/>
          <w:sz w:val="16"/>
        </w:rPr>
        <w:t>counterparties. See Note</w:t>
      </w:r>
      <w:r>
        <w:rPr>
          <w:color w:val="231F20"/>
          <w:spacing w:val="-2"/>
          <w:sz w:val="16"/>
        </w:rPr>
        <w:t> </w:t>
      </w:r>
      <w:r>
        <w:rPr>
          <w:color w:val="231F20"/>
          <w:sz w:val="16"/>
        </w:rPr>
        <w:t>10.</w:t>
      </w:r>
    </w:p>
    <w:p>
      <w:pPr>
        <w:pStyle w:val="ListParagraph"/>
        <w:numPr>
          <w:ilvl w:val="0"/>
          <w:numId w:val="17"/>
        </w:numPr>
        <w:tabs>
          <w:tab w:pos="480" w:val="left" w:leader="none"/>
        </w:tabs>
        <w:spacing w:line="261" w:lineRule="auto" w:before="0" w:after="0"/>
        <w:ind w:left="480" w:right="248" w:hanging="320"/>
        <w:jc w:val="left"/>
        <w:rPr>
          <w:sz w:val="16"/>
        </w:rPr>
      </w:pPr>
      <w:r>
        <w:rPr>
          <w:color w:val="231F20"/>
          <w:sz w:val="16"/>
        </w:rPr>
        <w:t>In the Consolidated Balance Sheet, amounts are presented as a net liability, and are also net of cash collateral provided to</w:t>
      </w:r>
      <w:r>
        <w:rPr>
          <w:color w:val="231F20"/>
          <w:spacing w:val="-27"/>
          <w:sz w:val="16"/>
        </w:rPr>
        <w:t> </w:t>
      </w:r>
      <w:r>
        <w:rPr>
          <w:color w:val="231F20"/>
          <w:sz w:val="16"/>
        </w:rPr>
        <w:t>counterparties. See Note</w:t>
      </w:r>
      <w:r>
        <w:rPr>
          <w:color w:val="231F20"/>
          <w:spacing w:val="-2"/>
          <w:sz w:val="16"/>
        </w:rPr>
        <w:t> </w:t>
      </w:r>
      <w:r>
        <w:rPr>
          <w:color w:val="231F20"/>
          <w:sz w:val="16"/>
        </w:rPr>
        <w:t>10.</w:t>
      </w:r>
    </w:p>
    <w:p>
      <w:pPr>
        <w:spacing w:after="0" w:line="261" w:lineRule="auto"/>
        <w:jc w:val="left"/>
        <w:rPr>
          <w:sz w:val="16"/>
        </w:rPr>
        <w:sectPr>
          <w:type w:val="continuous"/>
          <w:pgSz w:w="11880" w:h="15480"/>
          <w:pgMar w:top="1200" w:bottom="280" w:left="1220" w:right="1200"/>
        </w:sectPr>
      </w:pPr>
    </w:p>
    <w:p>
      <w:pPr>
        <w:pStyle w:val="BodyText"/>
        <w:spacing w:line="249" w:lineRule="auto" w:before="73"/>
        <w:ind w:left="160" w:right="239" w:firstLine="490"/>
      </w:pPr>
      <w:r>
        <w:rPr>
          <w:color w:val="231F20"/>
        </w:rPr>
        <w:t>The Company had no transfers of assets or liabilities between any of the above levels during the years ended December 31, 2012 or 2011. The Company did not have any assets or liabilities measured at fair value on a nonrecurring basis as of December 31, 2012 or 2011. The following tables present the Company’s activity for items measured at fair value on a recurring basis using significant unobservable inputs (Level 3) for 2012 and 2011:</w:t>
      </w:r>
    </w:p>
    <w:p>
      <w:pPr>
        <w:spacing w:line="254" w:lineRule="auto" w:before="145"/>
        <w:ind w:left="5722" w:right="900" w:hanging="482"/>
        <w:jc w:val="left"/>
        <w:rPr>
          <w:b/>
          <w:sz w:val="18"/>
        </w:rPr>
      </w:pPr>
      <w:r>
        <w:rPr/>
        <w:pict>
          <v:line style="position:absolute;mso-position-horizontal-relative:page;mso-position-vertical-relative:paragraph;z-index:6784" from="283pt,30.152355pt" to="525pt,30.152355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pgSz w:w="11880" w:h="15480"/>
          <w:pgMar w:header="0" w:footer="1253" w:top="1240" w:bottom="1440" w:left="1220" w:right="1260"/>
        </w:sectPr>
      </w:pPr>
    </w:p>
    <w:p>
      <w:pPr>
        <w:pStyle w:val="BodyText"/>
        <w:spacing w:before="1"/>
        <w:rPr>
          <w:b/>
          <w:sz w:val="26"/>
        </w:rPr>
      </w:pPr>
    </w:p>
    <w:p>
      <w:pPr>
        <w:spacing w:before="0"/>
        <w:ind w:left="160" w:right="0" w:firstLine="0"/>
        <w:jc w:val="left"/>
        <w:rPr>
          <w:sz w:val="18"/>
        </w:rPr>
      </w:pPr>
      <w:r>
        <w:rPr>
          <w:color w:val="231F20"/>
          <w:sz w:val="18"/>
        </w:rPr>
        <w:t>(in millions)</w:t>
      </w:r>
    </w:p>
    <w:p>
      <w:pPr>
        <w:spacing w:line="254" w:lineRule="auto" w:before="80"/>
        <w:ind w:left="160" w:right="-20" w:firstLine="250"/>
        <w:jc w:val="left"/>
        <w:rPr>
          <w:b/>
          <w:sz w:val="18"/>
        </w:rPr>
      </w:pPr>
      <w:r>
        <w:rPr/>
        <w:br w:type="column"/>
      </w:r>
      <w:r>
        <w:rPr>
          <w:b/>
          <w:color w:val="231F20"/>
          <w:sz w:val="18"/>
        </w:rPr>
        <w:t>Fuel derivatives</w:t>
      </w:r>
    </w:p>
    <w:p>
      <w:pPr>
        <w:spacing w:line="254" w:lineRule="auto" w:before="80"/>
        <w:ind w:left="282" w:right="-20" w:hanging="122"/>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before="80"/>
        <w:ind w:left="289" w:right="0" w:firstLine="0"/>
        <w:jc w:val="left"/>
        <w:rPr>
          <w:b/>
          <w:sz w:val="18"/>
        </w:rPr>
      </w:pPr>
      <w:r>
        <w:rPr/>
        <w:br w:type="column"/>
      </w:r>
      <w:r>
        <w:rPr>
          <w:b/>
          <w:color w:val="231F20"/>
          <w:sz w:val="18"/>
        </w:rPr>
        <w:t>Other</w:t>
      </w:r>
    </w:p>
    <w:p>
      <w:pPr>
        <w:tabs>
          <w:tab w:pos="1574" w:val="left" w:leader="none"/>
        </w:tabs>
        <w:spacing w:before="12"/>
        <w:ind w:left="160" w:right="0" w:firstLine="0"/>
        <w:jc w:val="left"/>
        <w:rPr>
          <w:b/>
          <w:sz w:val="18"/>
        </w:rPr>
      </w:pPr>
      <w:r>
        <w:rPr>
          <w:b/>
          <w:color w:val="231F20"/>
          <w:sz w:val="18"/>
        </w:rPr>
        <w:t>securities</w:t>
        <w:tab/>
        <w:t>Total</w:t>
      </w:r>
    </w:p>
    <w:p>
      <w:pPr>
        <w:spacing w:after="0"/>
        <w:jc w:val="left"/>
        <w:rPr>
          <w:sz w:val="18"/>
        </w:rPr>
        <w:sectPr>
          <w:type w:val="continuous"/>
          <w:pgSz w:w="11880" w:h="15480"/>
          <w:pgMar w:top="1200" w:bottom="280" w:left="1220" w:right="1260"/>
          <w:cols w:num="4" w:equalWidth="0">
            <w:col w:w="1056" w:space="3334"/>
            <w:col w:w="1000" w:space="248"/>
            <w:col w:w="1125" w:space="207"/>
            <w:col w:w="243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53"/>
        <w:gridCol w:w="1372"/>
        <w:gridCol w:w="1125"/>
        <w:gridCol w:w="100"/>
        <w:gridCol w:w="1060"/>
        <w:gridCol w:w="200"/>
        <w:gridCol w:w="1060"/>
      </w:tblGrid>
      <w:tr>
        <w:trPr>
          <w:trHeight w:val="280" w:hRule="exact"/>
        </w:trPr>
        <w:tc>
          <w:tcPr>
            <w:tcW w:w="4253" w:type="dxa"/>
            <w:tcBorders>
              <w:top w:val="single" w:sz="8" w:space="0" w:color="231F20"/>
            </w:tcBorders>
          </w:tcPr>
          <w:p>
            <w:pPr>
              <w:pStyle w:val="TableParagraph"/>
              <w:spacing w:before="52"/>
              <w:ind w:left="50"/>
              <w:jc w:val="left"/>
              <w:rPr>
                <w:sz w:val="18"/>
              </w:rPr>
            </w:pPr>
            <w:r>
              <w:rPr>
                <w:color w:val="231F20"/>
                <w:sz w:val="18"/>
              </w:rPr>
              <w:t>Balance at December 31, 2011  . . . . . . . . . . . . . . . . . . . . </w:t>
            </w:r>
          </w:p>
        </w:tc>
        <w:tc>
          <w:tcPr>
            <w:tcW w:w="1372" w:type="dxa"/>
            <w:tcBorders>
              <w:top w:val="single" w:sz="8" w:space="0" w:color="231F20"/>
            </w:tcBorders>
          </w:tcPr>
          <w:p>
            <w:pPr>
              <w:pStyle w:val="TableParagraph"/>
              <w:tabs>
                <w:tab w:pos="767" w:val="left" w:leader="none"/>
              </w:tabs>
              <w:spacing w:before="52"/>
              <w:ind w:left="77"/>
              <w:jc w:val="left"/>
              <w:rPr>
                <w:sz w:val="18"/>
              </w:rPr>
            </w:pPr>
            <w:r>
              <w:rPr>
                <w:color w:val="231F20"/>
                <w:sz w:val="18"/>
              </w:rPr>
              <w:t>$</w:t>
              <w:tab/>
              <w:t>417</w:t>
            </w:r>
          </w:p>
        </w:tc>
        <w:tc>
          <w:tcPr>
            <w:tcW w:w="1125" w:type="dxa"/>
            <w:tcBorders>
              <w:top w:val="single" w:sz="8" w:space="0" w:color="231F20"/>
            </w:tcBorders>
          </w:tcPr>
          <w:p>
            <w:pPr>
              <w:pStyle w:val="TableParagraph"/>
              <w:tabs>
                <w:tab w:pos="745" w:val="left" w:leader="none"/>
              </w:tabs>
              <w:spacing w:before="52"/>
              <w:ind w:left="65"/>
              <w:jc w:val="left"/>
              <w:rPr>
                <w:sz w:val="18"/>
              </w:rPr>
            </w:pPr>
            <w:r>
              <w:rPr>
                <w:color w:val="231F20"/>
                <w:sz w:val="18"/>
              </w:rPr>
              <w:t>$</w:t>
              <w:tab/>
              <w:t>67</w:t>
            </w:r>
          </w:p>
        </w:tc>
        <w:tc>
          <w:tcPr>
            <w:tcW w:w="100" w:type="dxa"/>
          </w:tcPr>
          <w:p>
            <w:pPr/>
          </w:p>
        </w:tc>
        <w:tc>
          <w:tcPr>
            <w:tcW w:w="1060" w:type="dxa"/>
            <w:tcBorders>
              <w:top w:val="single" w:sz="8"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8" w:space="0" w:color="231F20"/>
            </w:tcBorders>
          </w:tcPr>
          <w:p>
            <w:pPr>
              <w:pStyle w:val="TableParagraph"/>
              <w:tabs>
                <w:tab w:pos="689" w:val="left" w:leader="none"/>
              </w:tabs>
              <w:spacing w:before="52"/>
              <w:jc w:val="left"/>
              <w:rPr>
                <w:sz w:val="18"/>
              </w:rPr>
            </w:pPr>
            <w:r>
              <w:rPr>
                <w:color w:val="231F20"/>
                <w:sz w:val="18"/>
              </w:rPr>
              <w:t>$</w:t>
              <w:tab/>
              <w:t>489</w:t>
            </w:r>
          </w:p>
        </w:tc>
      </w:tr>
      <w:tr>
        <w:trPr>
          <w:trHeight w:val="220" w:hRule="exact"/>
        </w:trPr>
        <w:tc>
          <w:tcPr>
            <w:tcW w:w="4253" w:type="dxa"/>
          </w:tcPr>
          <w:p>
            <w:pPr>
              <w:pStyle w:val="TableParagraph"/>
              <w:spacing w:before="1"/>
              <w:ind w:left="50"/>
              <w:jc w:val="left"/>
              <w:rPr>
                <w:sz w:val="18"/>
              </w:rPr>
            </w:pPr>
            <w:r>
              <w:rPr>
                <w:color w:val="231F20"/>
                <w:sz w:val="18"/>
              </w:rPr>
              <w:t>Total gains or (losses) (realized or unrealized)</w:t>
            </w:r>
          </w:p>
        </w:tc>
        <w:tc>
          <w:tcPr>
            <w:tcW w:w="1372" w:type="dxa"/>
          </w:tcPr>
          <w:p>
            <w:pPr/>
          </w:p>
        </w:tc>
        <w:tc>
          <w:tcPr>
            <w:tcW w:w="1125" w:type="dxa"/>
          </w:tcPr>
          <w:p>
            <w:pPr/>
          </w:p>
        </w:tc>
        <w:tc>
          <w:tcPr>
            <w:tcW w:w="100" w:type="dxa"/>
          </w:tcPr>
          <w:p>
            <w:pPr/>
          </w:p>
        </w:tc>
        <w:tc>
          <w:tcPr>
            <w:tcW w:w="1060" w:type="dxa"/>
          </w:tcPr>
          <w:p>
            <w:pPr/>
          </w:p>
        </w:tc>
        <w:tc>
          <w:tcPr>
            <w:tcW w:w="200" w:type="dxa"/>
          </w:tcPr>
          <w:p>
            <w:pPr/>
          </w:p>
        </w:tc>
        <w:tc>
          <w:tcPr>
            <w:tcW w:w="1060" w:type="dxa"/>
          </w:tcPr>
          <w:p>
            <w:pPr/>
          </w:p>
        </w:tc>
      </w:tr>
      <w:tr>
        <w:trPr>
          <w:trHeight w:val="220" w:hRule="exact"/>
        </w:trPr>
        <w:tc>
          <w:tcPr>
            <w:tcW w:w="4253" w:type="dxa"/>
          </w:tcPr>
          <w:p>
            <w:pPr>
              <w:pStyle w:val="TableParagraph"/>
              <w:spacing w:before="1"/>
              <w:ind w:right="75"/>
              <w:rPr>
                <w:sz w:val="18"/>
              </w:rPr>
            </w:pPr>
            <w:r>
              <w:rPr>
                <w:color w:val="231F20"/>
                <w:sz w:val="18"/>
              </w:rPr>
              <w:t>Included in earnings . . . . . . . . . . . . . . . . . . . . . . . . . . . </w:t>
            </w:r>
          </w:p>
        </w:tc>
        <w:tc>
          <w:tcPr>
            <w:tcW w:w="1372" w:type="dxa"/>
          </w:tcPr>
          <w:p>
            <w:pPr>
              <w:pStyle w:val="TableParagraph"/>
              <w:spacing w:before="1"/>
              <w:ind w:left="797"/>
              <w:jc w:val="left"/>
              <w:rPr>
                <w:sz w:val="18"/>
              </w:rPr>
            </w:pPr>
            <w:r>
              <w:rPr>
                <w:color w:val="231F20"/>
                <w:sz w:val="18"/>
              </w:rPr>
              <w:t>(62)</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(62)</w:t>
            </w:r>
          </w:p>
        </w:tc>
      </w:tr>
      <w:tr>
        <w:trPr>
          <w:trHeight w:val="220" w:hRule="exact"/>
        </w:trPr>
        <w:tc>
          <w:tcPr>
            <w:tcW w:w="4253" w:type="dxa"/>
          </w:tcPr>
          <w:p>
            <w:pPr>
              <w:pStyle w:val="TableParagraph"/>
              <w:spacing w:before="1"/>
              <w:ind w:right="75"/>
              <w:rPr>
                <w:sz w:val="18"/>
              </w:rPr>
            </w:pPr>
            <w:r>
              <w:rPr>
                <w:color w:val="231F20"/>
                <w:sz w:val="18"/>
              </w:rPr>
              <w:t>Included in other comprehensive income  . . . . . . . . . . </w:t>
            </w:r>
          </w:p>
        </w:tc>
        <w:tc>
          <w:tcPr>
            <w:tcW w:w="1372" w:type="dxa"/>
          </w:tcPr>
          <w:p>
            <w:pPr>
              <w:pStyle w:val="TableParagraph"/>
              <w:spacing w:before="1"/>
              <w:ind w:left="857"/>
              <w:jc w:val="left"/>
              <w:rPr>
                <w:sz w:val="18"/>
              </w:rPr>
            </w:pPr>
            <w:r>
              <w:rPr>
                <w:color w:val="231F20"/>
                <w:sz w:val="18"/>
              </w:rPr>
              <w:t>22</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22</w:t>
            </w:r>
          </w:p>
        </w:tc>
      </w:tr>
      <w:tr>
        <w:trPr>
          <w:trHeight w:val="220" w:hRule="exact"/>
        </w:trPr>
        <w:tc>
          <w:tcPr>
            <w:tcW w:w="4253" w:type="dxa"/>
          </w:tcPr>
          <w:p>
            <w:pPr>
              <w:pStyle w:val="TableParagraph"/>
              <w:spacing w:before="1"/>
              <w:ind w:left="50"/>
              <w:jc w:val="left"/>
              <w:rPr>
                <w:sz w:val="18"/>
              </w:rPr>
            </w:pPr>
            <w:r>
              <w:rPr>
                <w:color w:val="231F20"/>
                <w:sz w:val="18"/>
              </w:rPr>
              <w:t>Purchases  . . . . . . . . . . . . . . . . . . . . . . . . . . . . . . . . . . . . . </w:t>
            </w:r>
          </w:p>
        </w:tc>
        <w:tc>
          <w:tcPr>
            <w:tcW w:w="1372" w:type="dxa"/>
          </w:tcPr>
          <w:p>
            <w:pPr>
              <w:pStyle w:val="TableParagraph"/>
              <w:spacing w:before="1"/>
              <w:ind w:right="123"/>
              <w:rPr>
                <w:sz w:val="18"/>
              </w:rPr>
            </w:pPr>
            <w:r>
              <w:rPr>
                <w:color w:val="231F20"/>
                <w:sz w:val="18"/>
              </w:rPr>
              <w:t>1,003(b)</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1,003</w:t>
            </w:r>
          </w:p>
        </w:tc>
      </w:tr>
      <w:tr>
        <w:trPr>
          <w:trHeight w:val="220" w:hRule="exact"/>
        </w:trPr>
        <w:tc>
          <w:tcPr>
            <w:tcW w:w="4253" w:type="dxa"/>
          </w:tcPr>
          <w:p>
            <w:pPr>
              <w:pStyle w:val="TableParagraph"/>
              <w:spacing w:before="1"/>
              <w:ind w:left="50"/>
              <w:jc w:val="left"/>
              <w:rPr>
                <w:sz w:val="18"/>
              </w:rPr>
            </w:pPr>
            <w:r>
              <w:rPr>
                <w:color w:val="231F20"/>
                <w:sz w:val="18"/>
              </w:rPr>
              <w:t>Sales . . . . . . . . . . . . . . . . . . . . . . . . . . . . . . . . . . . . . . . . . </w:t>
            </w:r>
          </w:p>
        </w:tc>
        <w:tc>
          <w:tcPr>
            <w:tcW w:w="1372" w:type="dxa"/>
          </w:tcPr>
          <w:p>
            <w:pPr>
              <w:pStyle w:val="TableParagraph"/>
              <w:spacing w:before="1"/>
              <w:ind w:right="63"/>
              <w:rPr>
                <w:sz w:val="18"/>
              </w:rPr>
            </w:pPr>
            <w:r>
              <w:rPr>
                <w:color w:val="231F20"/>
                <w:sz w:val="18"/>
              </w:rPr>
              <w:t>(1,081)(b)</w:t>
            </w:r>
          </w:p>
        </w:tc>
        <w:tc>
          <w:tcPr>
            <w:tcW w:w="1125" w:type="dxa"/>
          </w:tcPr>
          <w:p>
            <w:pPr>
              <w:pStyle w:val="TableParagraph"/>
              <w:spacing w:before="1"/>
              <w:ind w:right="137"/>
              <w:rPr>
                <w:sz w:val="18"/>
              </w:rPr>
            </w:pPr>
            <w:r>
              <w:rPr>
                <w:color w:val="231F20"/>
                <w:sz w:val="18"/>
              </w:rPr>
              <w:t>(31)</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(1,112)</w:t>
            </w:r>
          </w:p>
        </w:tc>
      </w:tr>
      <w:tr>
        <w:trPr>
          <w:trHeight w:val="245" w:hRule="exact"/>
        </w:trPr>
        <w:tc>
          <w:tcPr>
            <w:tcW w:w="4253" w:type="dxa"/>
          </w:tcPr>
          <w:p>
            <w:pPr>
              <w:pStyle w:val="TableParagraph"/>
              <w:spacing w:before="1"/>
              <w:ind w:left="50"/>
              <w:jc w:val="left"/>
              <w:rPr>
                <w:sz w:val="18"/>
              </w:rPr>
            </w:pPr>
            <w:r>
              <w:rPr>
                <w:color w:val="231F20"/>
                <w:sz w:val="18"/>
              </w:rPr>
              <w:t>Settlements . . . . . . . . . . . . . . . . . . . . . . . . . . . . . . . . . . . . </w:t>
            </w:r>
          </w:p>
        </w:tc>
        <w:tc>
          <w:tcPr>
            <w:tcW w:w="1372" w:type="dxa"/>
            <w:tcBorders>
              <w:bottom w:val="single" w:sz="4" w:space="0" w:color="231F20"/>
            </w:tcBorders>
          </w:tcPr>
          <w:p>
            <w:pPr>
              <w:pStyle w:val="TableParagraph"/>
              <w:spacing w:before="1"/>
              <w:ind w:left="797"/>
              <w:jc w:val="left"/>
              <w:rPr>
                <w:sz w:val="18"/>
              </w:rPr>
            </w:pPr>
            <w:r>
              <w:rPr>
                <w:color w:val="231F20"/>
                <w:sz w:val="18"/>
              </w:rPr>
              <w:t>(80)</w:t>
            </w:r>
          </w:p>
        </w:tc>
        <w:tc>
          <w:tcPr>
            <w:tcW w:w="1125" w:type="dxa"/>
            <w:tcBorders>
              <w:bottom w:val="single" w:sz="4" w:space="0" w:color="231F20"/>
            </w:tcBorders>
          </w:tcPr>
          <w:p>
            <w:pPr>
              <w:pStyle w:val="TableParagraph"/>
              <w:spacing w:before="1"/>
              <w:ind w:left="655"/>
              <w:jc w:val="left"/>
              <w:rPr>
                <w:sz w:val="18"/>
              </w:rPr>
            </w:pPr>
            <w:r>
              <w:rPr>
                <w:color w:val="231F20"/>
                <w:sz w:val="18"/>
              </w:rPr>
              <w:t>—</w:t>
            </w:r>
          </w:p>
        </w:tc>
        <w:tc>
          <w:tcPr>
            <w:tcW w:w="100" w:type="dxa"/>
          </w:tcPr>
          <w:p>
            <w:pPr/>
          </w:p>
        </w:tc>
        <w:tc>
          <w:tcPr>
            <w:tcW w:w="1060" w:type="dxa"/>
            <w:tcBorders>
              <w:bottom w:val="single" w:sz="4" w:space="0" w:color="231F20"/>
            </w:tcBorders>
          </w:tcPr>
          <w:p>
            <w:pPr>
              <w:pStyle w:val="TableParagraph"/>
              <w:spacing w:before="1"/>
              <w:ind w:right="188"/>
              <w:rPr>
                <w:sz w:val="18"/>
              </w:rPr>
            </w:pPr>
            <w:r>
              <w:rPr>
                <w:color w:val="231F20"/>
                <w:sz w:val="18"/>
              </w:rPr>
              <w:t>—</w:t>
            </w:r>
          </w:p>
        </w:tc>
        <w:tc>
          <w:tcPr>
            <w:tcW w:w="200" w:type="dxa"/>
          </w:tcPr>
          <w:p>
            <w:pPr/>
          </w:p>
        </w:tc>
        <w:tc>
          <w:tcPr>
            <w:tcW w:w="1060" w:type="dxa"/>
            <w:tcBorders>
              <w:bottom w:val="single" w:sz="4" w:space="0" w:color="231F20"/>
            </w:tcBorders>
          </w:tcPr>
          <w:p>
            <w:pPr>
              <w:pStyle w:val="TableParagraph"/>
              <w:spacing w:before="1"/>
              <w:ind w:right="38"/>
              <w:rPr>
                <w:sz w:val="18"/>
              </w:rPr>
            </w:pPr>
            <w:r>
              <w:rPr>
                <w:color w:val="231F20"/>
                <w:sz w:val="18"/>
              </w:rPr>
              <w:t>(80)</w:t>
            </w:r>
          </w:p>
        </w:tc>
      </w:tr>
      <w:tr>
        <w:trPr>
          <w:trHeight w:val="300" w:hRule="exact"/>
        </w:trPr>
        <w:tc>
          <w:tcPr>
            <w:tcW w:w="4253" w:type="dxa"/>
          </w:tcPr>
          <w:p>
            <w:pPr>
              <w:pStyle w:val="TableParagraph"/>
              <w:spacing w:before="57"/>
              <w:ind w:left="50"/>
              <w:jc w:val="left"/>
              <w:rPr>
                <w:sz w:val="18"/>
              </w:rPr>
            </w:pPr>
            <w:r>
              <w:rPr>
                <w:color w:val="231F20"/>
                <w:sz w:val="18"/>
              </w:rPr>
              <w:t>Balance at December 31, 2012  . . . . . . . . . . . . . . . . . . . . </w:t>
            </w:r>
          </w:p>
        </w:tc>
        <w:tc>
          <w:tcPr>
            <w:tcW w:w="1372" w:type="dxa"/>
            <w:tcBorders>
              <w:top w:val="single" w:sz="4" w:space="0" w:color="231F20"/>
              <w:bottom w:val="single" w:sz="4" w:space="0" w:color="231F20"/>
            </w:tcBorders>
          </w:tcPr>
          <w:p>
            <w:pPr>
              <w:pStyle w:val="TableParagraph"/>
              <w:tabs>
                <w:tab w:pos="767" w:val="left" w:leader="none"/>
              </w:tabs>
              <w:spacing w:before="52"/>
              <w:ind w:left="77"/>
              <w:jc w:val="left"/>
              <w:rPr>
                <w:sz w:val="18"/>
              </w:rPr>
            </w:pPr>
            <w:r>
              <w:rPr>
                <w:color w:val="231F20"/>
                <w:sz w:val="18"/>
              </w:rPr>
              <w:t>$</w:t>
              <w:tab/>
              <w:t>219</w:t>
            </w:r>
          </w:p>
        </w:tc>
        <w:tc>
          <w:tcPr>
            <w:tcW w:w="1125" w:type="dxa"/>
            <w:tcBorders>
              <w:top w:val="single" w:sz="4" w:space="0" w:color="231F20"/>
              <w:bottom w:val="single" w:sz="4" w:space="0" w:color="231F20"/>
            </w:tcBorders>
          </w:tcPr>
          <w:p>
            <w:pPr>
              <w:pStyle w:val="TableParagraph"/>
              <w:tabs>
                <w:tab w:pos="679" w:val="left" w:leader="none"/>
              </w:tabs>
              <w:spacing w:before="52"/>
              <w:rPr>
                <w:sz w:val="18"/>
              </w:rPr>
            </w:pPr>
            <w:r>
              <w:rPr>
                <w:color w:val="231F20"/>
                <w:sz w:val="18"/>
              </w:rPr>
              <w:t>$</w:t>
              <w:tab/>
              <w:t>36(a)</w:t>
            </w:r>
          </w:p>
        </w:tc>
        <w:tc>
          <w:tcPr>
            <w:tcW w:w="100" w:type="dxa"/>
          </w:tcPr>
          <w:p>
            <w:pPr/>
          </w:p>
        </w:tc>
        <w:tc>
          <w:tcPr>
            <w:tcW w:w="1060" w:type="dxa"/>
            <w:tcBorders>
              <w:top w:val="single" w:sz="4" w:space="0" w:color="231F20"/>
              <w:bottom w:val="single" w:sz="4"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4" w:space="0" w:color="231F20"/>
              <w:bottom w:val="single" w:sz="4" w:space="0" w:color="231F20"/>
            </w:tcBorders>
          </w:tcPr>
          <w:p>
            <w:pPr>
              <w:pStyle w:val="TableParagraph"/>
              <w:tabs>
                <w:tab w:pos="689" w:val="left" w:leader="none"/>
              </w:tabs>
              <w:spacing w:before="52"/>
              <w:jc w:val="left"/>
              <w:rPr>
                <w:sz w:val="18"/>
              </w:rPr>
            </w:pPr>
            <w:r>
              <w:rPr>
                <w:color w:val="231F20"/>
                <w:sz w:val="18"/>
              </w:rPr>
              <w:t>$</w:t>
              <w:tab/>
              <w:t>260</w:t>
            </w:r>
          </w:p>
        </w:tc>
      </w:tr>
      <w:tr>
        <w:trPr>
          <w:trHeight w:val="264" w:hRule="exact"/>
        </w:trPr>
        <w:tc>
          <w:tcPr>
            <w:tcW w:w="4253" w:type="dxa"/>
          </w:tcPr>
          <w:p>
            <w:pPr>
              <w:pStyle w:val="TableParagraph"/>
              <w:spacing w:before="57"/>
              <w:ind w:left="50"/>
              <w:jc w:val="left"/>
              <w:rPr>
                <w:sz w:val="18"/>
              </w:rPr>
            </w:pPr>
            <w:r>
              <w:rPr>
                <w:color w:val="231F20"/>
                <w:sz w:val="18"/>
              </w:rPr>
              <w:t>The amount of total gains or (losses) for the period</w:t>
            </w:r>
          </w:p>
        </w:tc>
        <w:tc>
          <w:tcPr>
            <w:tcW w:w="1372" w:type="dxa"/>
            <w:tcBorders>
              <w:top w:val="single" w:sz="4" w:space="0" w:color="231F20"/>
            </w:tcBorders>
          </w:tcPr>
          <w:p>
            <w:pPr/>
          </w:p>
        </w:tc>
        <w:tc>
          <w:tcPr>
            <w:tcW w:w="1125" w:type="dxa"/>
            <w:tcBorders>
              <w:top w:val="single" w:sz="4" w:space="0" w:color="231F20"/>
            </w:tcBorders>
          </w:tcPr>
          <w:p>
            <w:pPr/>
          </w:p>
        </w:tc>
        <w:tc>
          <w:tcPr>
            <w:tcW w:w="100" w:type="dxa"/>
          </w:tcPr>
          <w:p>
            <w:pPr/>
          </w:p>
        </w:tc>
        <w:tc>
          <w:tcPr>
            <w:tcW w:w="1060" w:type="dxa"/>
            <w:tcBorders>
              <w:top w:val="single" w:sz="4" w:space="0" w:color="231F20"/>
            </w:tcBorders>
          </w:tcPr>
          <w:p>
            <w:pPr/>
          </w:p>
        </w:tc>
        <w:tc>
          <w:tcPr>
            <w:tcW w:w="200" w:type="dxa"/>
          </w:tcPr>
          <w:p>
            <w:pPr/>
          </w:p>
        </w:tc>
        <w:tc>
          <w:tcPr>
            <w:tcW w:w="1060" w:type="dxa"/>
            <w:tcBorders>
              <w:top w:val="single" w:sz="4" w:space="0" w:color="231F20"/>
            </w:tcBorders>
          </w:tcPr>
          <w:p>
            <w:pPr/>
          </w:p>
        </w:tc>
      </w:tr>
    </w:tbl>
    <w:p>
      <w:pPr>
        <w:spacing w:line="254" w:lineRule="auto" w:before="31"/>
        <w:ind w:left="340" w:right="5280" w:firstLine="0"/>
        <w:jc w:val="left"/>
        <w:rPr>
          <w:sz w:val="18"/>
        </w:rPr>
      </w:pPr>
      <w:r>
        <w:rPr>
          <w:color w:val="231F20"/>
          <w:sz w:val="18"/>
        </w:rPr>
        <w:t>included in earnings attributable to the change in unrealized gains or losses relating to assets still held</w:t>
      </w:r>
    </w:p>
    <w:p>
      <w:pPr>
        <w:tabs>
          <w:tab w:pos="5219" w:val="left" w:leader="none"/>
          <w:tab w:pos="5799" w:val="left" w:leader="none"/>
          <w:tab w:pos="6389" w:val="left" w:leader="none"/>
          <w:tab w:pos="6959" w:val="left" w:leader="none"/>
          <w:tab w:pos="7649" w:val="left" w:leader="none"/>
          <w:tab w:pos="8219" w:val="left" w:leader="none"/>
          <w:tab w:pos="9179" w:val="right" w:leader="none"/>
        </w:tabs>
        <w:spacing w:before="0"/>
        <w:ind w:left="340" w:right="0" w:firstLine="0"/>
        <w:jc w:val="left"/>
        <w:rPr>
          <w:sz w:val="18"/>
        </w:rPr>
      </w:pPr>
      <w:r>
        <w:rPr/>
        <w:pict>
          <v:shape style="position:absolute;margin-left:283pt;margin-top:12.152936pt;width:53pt;height:2pt;mso-position-horizontal-relative:page;mso-position-vertical-relative:paragraph;z-index:6808" coordorigin="5660,243" coordsize="1060,40" path="m5660,243l6720,243m5660,283l6720,283e" filled="false" stroked="true" strokeweight=".5pt" strokecolor="#231f20">
            <v:path arrowok="t"/>
            <v:stroke dashstyle="solid"/>
            <w10:wrap type="none"/>
          </v:shape>
        </w:pict>
      </w:r>
      <w:r>
        <w:rPr/>
        <w:pict>
          <v:shape style="position:absolute;margin-left:351pt;margin-top:12.152936pt;width:48pt;height:2pt;mso-position-horizontal-relative:page;mso-position-vertical-relative:paragraph;z-index:6832" coordorigin="7020,243" coordsize="960,40" path="m7020,243l7980,243m7020,283l7980,283e" filled="false" stroked="true" strokeweight=".5pt" strokecolor="#231f20">
            <v:path arrowok="t"/>
            <v:stroke dashstyle="solid"/>
            <w10:wrap type="none"/>
          </v:shape>
        </w:pict>
      </w:r>
      <w:r>
        <w:rPr/>
        <w:pict>
          <v:shape style="position:absolute;margin-left:409pt;margin-top:12.152936pt;width:53pt;height:2pt;mso-position-horizontal-relative:page;mso-position-vertical-relative:paragraph;z-index:6856" coordorigin="8180,243" coordsize="1060,40" path="m8180,243l9240,243m8180,283l9240,283e" filled="false" stroked="true" strokeweight=".5pt" strokecolor="#231f20">
            <v:path arrowok="t"/>
            <v:stroke dashstyle="solid"/>
            <w10:wrap type="none"/>
          </v:shape>
        </w:pict>
      </w:r>
      <w:r>
        <w:rPr/>
        <w:pict>
          <v:shape style="position:absolute;margin-left:472pt;margin-top:12.152936pt;width:53pt;height:2pt;mso-position-horizontal-relative:page;mso-position-vertical-relative:paragraph;z-index:6880" coordorigin="9440,243" coordsize="1060,40" path="m9440,243l10500,243m9440,283l10500,283e" filled="false" stroked="true" strokeweight=".5pt" strokecolor="#231f20">
            <v:path arrowok="t"/>
            <v:stroke dashstyle="solid"/>
            <w10:wrap type="none"/>
          </v:shape>
        </w:pict>
      </w:r>
      <w:r>
        <w:rPr>
          <w:color w:val="231F20"/>
          <w:sz w:val="18"/>
        </w:rPr>
        <w:t>at December 31, 2012  . . . . . . . . . . . . . . . . . . . . . . . .</w:t>
      </w:r>
      <w:r>
        <w:rPr>
          <w:color w:val="231F20"/>
          <w:spacing w:val="15"/>
          <w:sz w:val="18"/>
        </w:rPr>
        <w:t> </w:t>
      </w:r>
      <w:r>
        <w:rPr>
          <w:color w:val="231F20"/>
          <w:sz w:val="18"/>
        </w:rPr>
        <w:t>.   </w:t>
      </w:r>
      <w:r>
        <w:rPr>
          <w:color w:val="231F20"/>
          <w:spacing w:val="20"/>
          <w:sz w:val="18"/>
        </w:rPr>
        <w:t> </w:t>
      </w:r>
      <w:r>
        <w:rPr>
          <w:color w:val="231F20"/>
          <w:sz w:val="18"/>
        </w:rPr>
        <w:t>$</w:t>
        <w:tab/>
        <w:t>27</w:t>
        <w:tab/>
        <w:t>$</w:t>
        <w:tab/>
        <w:t>—</w:t>
        <w:tab/>
        <w:t>$</w:t>
        <w:tab/>
        <w:t>—</w:t>
        <w:tab/>
        <w:t>$</w:t>
        <w:tab/>
        <w:t>27</w:t>
      </w:r>
    </w:p>
    <w:p>
      <w:pPr>
        <w:pStyle w:val="ListParagraph"/>
        <w:numPr>
          <w:ilvl w:val="0"/>
          <w:numId w:val="18"/>
        </w:numPr>
        <w:tabs>
          <w:tab w:pos="560" w:val="left" w:leader="none"/>
        </w:tabs>
        <w:spacing w:line="240" w:lineRule="auto" w:before="294" w:after="0"/>
        <w:ind w:left="560" w:right="0" w:hanging="400"/>
        <w:jc w:val="left"/>
        <w:rPr>
          <w:sz w:val="20"/>
        </w:rPr>
      </w:pPr>
      <w:r>
        <w:rPr/>
        <w:pict>
          <v:line style="position:absolute;mso-position-horizontal-relative:page;mso-position-vertical-relative:paragraph;z-index:6904" from="69pt,11.78595pt" to="117pt,11.78595pt" stroked="true" strokeweight=".5pt" strokecolor="#231f20">
            <v:stroke dashstyle="solid"/>
            <w10:wrap type="none"/>
          </v:line>
        </w:pict>
      </w:r>
      <w:r>
        <w:rPr>
          <w:color w:val="231F20"/>
          <w:sz w:val="20"/>
        </w:rPr>
        <w:t>Included in Other assets in the Consolidated Balance</w:t>
      </w:r>
      <w:r>
        <w:rPr>
          <w:color w:val="231F20"/>
          <w:spacing w:val="3"/>
          <w:sz w:val="20"/>
        </w:rPr>
        <w:t> </w:t>
      </w:r>
      <w:r>
        <w:rPr>
          <w:color w:val="231F20"/>
          <w:sz w:val="20"/>
        </w:rPr>
        <w:t>Sheet.</w:t>
      </w:r>
    </w:p>
    <w:p>
      <w:pPr>
        <w:pStyle w:val="ListParagraph"/>
        <w:numPr>
          <w:ilvl w:val="0"/>
          <w:numId w:val="18"/>
        </w:numPr>
        <w:tabs>
          <w:tab w:pos="560" w:val="left" w:leader="none"/>
        </w:tabs>
        <w:spacing w:line="249" w:lineRule="auto" w:before="10" w:after="0"/>
        <w:ind w:left="560" w:right="24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spacing w:line="254" w:lineRule="auto" w:before="145" w:after="18"/>
        <w:ind w:left="5719" w:right="904" w:hanging="483"/>
        <w:jc w:val="left"/>
        <w:rPr>
          <w:b/>
          <w:sz w:val="18"/>
        </w:rPr>
      </w:pPr>
      <w:r>
        <w:rPr>
          <w:b/>
          <w:color w:val="231F20"/>
          <w:sz w:val="18"/>
        </w:rPr>
        <w:t>Fair value measurements using significant unobservable inputs (Level 3)</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48"/>
        <w:gridCol w:w="1372"/>
        <w:gridCol w:w="1130"/>
        <w:gridCol w:w="100"/>
        <w:gridCol w:w="1060"/>
        <w:gridCol w:w="200"/>
        <w:gridCol w:w="1060"/>
      </w:tblGrid>
      <w:tr>
        <w:trPr>
          <w:trHeight w:val="440" w:hRule="exact"/>
        </w:trPr>
        <w:tc>
          <w:tcPr>
            <w:tcW w:w="4248" w:type="dxa"/>
            <w:tcBorders>
              <w:bottom w:val="single" w:sz="8" w:space="0" w:color="231F20"/>
            </w:tcBorders>
          </w:tcPr>
          <w:p>
            <w:pPr>
              <w:pStyle w:val="TableParagraph"/>
              <w:spacing w:before="202"/>
              <w:ind w:left="50"/>
              <w:jc w:val="left"/>
              <w:rPr>
                <w:sz w:val="18"/>
              </w:rPr>
            </w:pPr>
            <w:r>
              <w:rPr>
                <w:color w:val="231F20"/>
                <w:sz w:val="18"/>
              </w:rPr>
              <w:t>(in millions)</w:t>
            </w:r>
          </w:p>
        </w:tc>
        <w:tc>
          <w:tcPr>
            <w:tcW w:w="1372" w:type="dxa"/>
            <w:tcBorders>
              <w:top w:val="single" w:sz="8" w:space="0" w:color="231F20"/>
              <w:bottom w:val="single" w:sz="8" w:space="0" w:color="231F20"/>
            </w:tcBorders>
          </w:tcPr>
          <w:p>
            <w:pPr>
              <w:pStyle w:val="TableParagraph"/>
              <w:spacing w:line="180" w:lineRule="exact" w:before="36"/>
              <w:ind w:left="187" w:right="325" w:firstLine="250"/>
              <w:jc w:val="left"/>
              <w:rPr>
                <w:b/>
                <w:sz w:val="18"/>
              </w:rPr>
            </w:pPr>
            <w:r>
              <w:rPr>
                <w:b/>
                <w:color w:val="231F20"/>
                <w:sz w:val="18"/>
              </w:rPr>
              <w:t>Fuel derivatives</w:t>
            </w:r>
          </w:p>
        </w:tc>
        <w:tc>
          <w:tcPr>
            <w:tcW w:w="1130" w:type="dxa"/>
            <w:tcBorders>
              <w:top w:val="single" w:sz="8" w:space="0" w:color="231F20"/>
              <w:bottom w:val="single" w:sz="8" w:space="0" w:color="231F20"/>
            </w:tcBorders>
          </w:tcPr>
          <w:p>
            <w:pPr>
              <w:pStyle w:val="TableParagraph"/>
              <w:spacing w:line="180" w:lineRule="exact" w:before="36"/>
              <w:ind w:left="187" w:right="80" w:hanging="122"/>
              <w:jc w:val="left"/>
              <w:rPr>
                <w:b/>
                <w:sz w:val="18"/>
              </w:rPr>
            </w:pPr>
            <w:r>
              <w:rPr>
                <w:b/>
                <w:color w:val="231F20"/>
                <w:sz w:val="18"/>
              </w:rPr>
              <w:t>Auction rate securities</w:t>
            </w:r>
          </w:p>
        </w:tc>
        <w:tc>
          <w:tcPr>
            <w:tcW w:w="1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line="180" w:lineRule="exact" w:before="36"/>
              <w:ind w:left="170" w:right="150" w:firstLine="130"/>
              <w:jc w:val="left"/>
              <w:rPr>
                <w:b/>
                <w:sz w:val="18"/>
              </w:rPr>
            </w:pPr>
            <w:r>
              <w:rPr>
                <w:b/>
                <w:color w:val="231F20"/>
                <w:sz w:val="18"/>
              </w:rPr>
              <w:t>Other securities</w:t>
            </w:r>
          </w:p>
        </w:tc>
        <w:tc>
          <w:tcPr>
            <w:tcW w:w="2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left="325"/>
              <w:jc w:val="left"/>
              <w:rPr>
                <w:b/>
                <w:sz w:val="18"/>
              </w:rPr>
            </w:pPr>
            <w:r>
              <w:rPr>
                <w:b/>
                <w:color w:val="231F20"/>
                <w:sz w:val="18"/>
              </w:rPr>
              <w:t>Total</w:t>
            </w:r>
          </w:p>
        </w:tc>
      </w:tr>
      <w:tr>
        <w:trPr>
          <w:trHeight w:val="280" w:hRule="exact"/>
        </w:trPr>
        <w:tc>
          <w:tcPr>
            <w:tcW w:w="4248" w:type="dxa"/>
            <w:tcBorders>
              <w:top w:val="single" w:sz="8" w:space="0" w:color="231F20"/>
            </w:tcBorders>
          </w:tcPr>
          <w:p>
            <w:pPr>
              <w:pStyle w:val="TableParagraph"/>
              <w:spacing w:before="52"/>
              <w:ind w:left="50"/>
              <w:jc w:val="left"/>
              <w:rPr>
                <w:sz w:val="18"/>
              </w:rPr>
            </w:pPr>
            <w:r>
              <w:rPr>
                <w:color w:val="231F20"/>
                <w:sz w:val="18"/>
              </w:rPr>
              <w:t>Balance at December 31, 2010  . . . . . . . . . . . . . . . . . . . . </w:t>
            </w:r>
          </w:p>
        </w:tc>
        <w:tc>
          <w:tcPr>
            <w:tcW w:w="1372" w:type="dxa"/>
            <w:tcBorders>
              <w:top w:val="single" w:sz="8" w:space="0" w:color="231F20"/>
            </w:tcBorders>
          </w:tcPr>
          <w:p>
            <w:pPr>
              <w:pStyle w:val="TableParagraph"/>
              <w:tabs>
                <w:tab w:pos="767" w:val="left" w:leader="none"/>
              </w:tabs>
              <w:spacing w:before="52"/>
              <w:ind w:left="77"/>
              <w:jc w:val="left"/>
              <w:rPr>
                <w:sz w:val="18"/>
              </w:rPr>
            </w:pPr>
            <w:r>
              <w:rPr>
                <w:color w:val="231F20"/>
                <w:sz w:val="18"/>
              </w:rPr>
              <w:t>$</w:t>
              <w:tab/>
              <w:t>686</w:t>
            </w:r>
          </w:p>
        </w:tc>
        <w:tc>
          <w:tcPr>
            <w:tcW w:w="1130" w:type="dxa"/>
            <w:tcBorders>
              <w:top w:val="single" w:sz="8" w:space="0" w:color="231F20"/>
            </w:tcBorders>
          </w:tcPr>
          <w:p>
            <w:pPr>
              <w:pStyle w:val="TableParagraph"/>
              <w:tabs>
                <w:tab w:pos="750" w:val="left" w:leader="none"/>
              </w:tabs>
              <w:spacing w:before="52"/>
              <w:ind w:left="65"/>
              <w:jc w:val="left"/>
              <w:rPr>
                <w:sz w:val="18"/>
              </w:rPr>
            </w:pPr>
            <w:r>
              <w:rPr>
                <w:color w:val="231F20"/>
                <w:sz w:val="18"/>
              </w:rPr>
              <w:t>$</w:t>
              <w:tab/>
              <w:t>93</w:t>
            </w:r>
          </w:p>
        </w:tc>
        <w:tc>
          <w:tcPr>
            <w:tcW w:w="100" w:type="dxa"/>
          </w:tcPr>
          <w:p>
            <w:pPr/>
          </w:p>
        </w:tc>
        <w:tc>
          <w:tcPr>
            <w:tcW w:w="1060" w:type="dxa"/>
            <w:tcBorders>
              <w:top w:val="single" w:sz="8"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8" w:space="0" w:color="231F20"/>
            </w:tcBorders>
          </w:tcPr>
          <w:p>
            <w:pPr>
              <w:pStyle w:val="TableParagraph"/>
              <w:tabs>
                <w:tab w:pos="689" w:val="left" w:leader="none"/>
              </w:tabs>
              <w:spacing w:before="52"/>
              <w:jc w:val="left"/>
              <w:rPr>
                <w:sz w:val="18"/>
              </w:rPr>
            </w:pPr>
            <w:r>
              <w:rPr>
                <w:color w:val="231F20"/>
                <w:sz w:val="18"/>
              </w:rPr>
              <w:t>$</w:t>
              <w:tab/>
              <w:t>784</w:t>
            </w:r>
          </w:p>
        </w:tc>
      </w:tr>
      <w:tr>
        <w:trPr>
          <w:trHeight w:val="220" w:hRule="exact"/>
        </w:trPr>
        <w:tc>
          <w:tcPr>
            <w:tcW w:w="4248" w:type="dxa"/>
          </w:tcPr>
          <w:p>
            <w:pPr>
              <w:pStyle w:val="TableParagraph"/>
              <w:spacing w:before="1"/>
              <w:ind w:left="50"/>
              <w:jc w:val="left"/>
              <w:rPr>
                <w:sz w:val="18"/>
              </w:rPr>
            </w:pPr>
            <w:r>
              <w:rPr>
                <w:color w:val="231F20"/>
                <w:sz w:val="18"/>
              </w:rPr>
              <w:t>Total gains or (losses) (realized or unrealized)</w:t>
            </w:r>
          </w:p>
        </w:tc>
        <w:tc>
          <w:tcPr>
            <w:tcW w:w="1372" w:type="dxa"/>
          </w:tcPr>
          <w:p>
            <w:pPr/>
          </w:p>
        </w:tc>
        <w:tc>
          <w:tcPr>
            <w:tcW w:w="1130" w:type="dxa"/>
          </w:tcPr>
          <w:p>
            <w:pPr/>
          </w:p>
        </w:tc>
        <w:tc>
          <w:tcPr>
            <w:tcW w:w="100" w:type="dxa"/>
          </w:tcPr>
          <w:p>
            <w:pPr/>
          </w:p>
        </w:tc>
        <w:tc>
          <w:tcPr>
            <w:tcW w:w="1060" w:type="dxa"/>
          </w:tcPr>
          <w:p>
            <w:pPr/>
          </w:p>
        </w:tc>
        <w:tc>
          <w:tcPr>
            <w:tcW w:w="200" w:type="dxa"/>
          </w:tcPr>
          <w:p>
            <w:pPr/>
          </w:p>
        </w:tc>
        <w:tc>
          <w:tcPr>
            <w:tcW w:w="1060" w:type="dxa"/>
          </w:tcPr>
          <w:p>
            <w:pPr/>
          </w:p>
        </w:tc>
      </w:tr>
      <w:tr>
        <w:trPr>
          <w:trHeight w:val="220" w:hRule="exact"/>
        </w:trPr>
        <w:tc>
          <w:tcPr>
            <w:tcW w:w="4248" w:type="dxa"/>
          </w:tcPr>
          <w:p>
            <w:pPr>
              <w:pStyle w:val="TableParagraph"/>
              <w:spacing w:before="1"/>
              <w:ind w:right="75"/>
              <w:rPr>
                <w:sz w:val="18"/>
              </w:rPr>
            </w:pPr>
            <w:r>
              <w:rPr>
                <w:color w:val="231F20"/>
                <w:sz w:val="18"/>
              </w:rPr>
              <w:t>Included in earnings   . . . . . . . . . . . . . . . . . . . . . . . . . . </w:t>
            </w:r>
          </w:p>
        </w:tc>
        <w:tc>
          <w:tcPr>
            <w:tcW w:w="1372" w:type="dxa"/>
          </w:tcPr>
          <w:p>
            <w:pPr>
              <w:pStyle w:val="TableParagraph"/>
              <w:spacing w:before="1"/>
              <w:ind w:left="797"/>
              <w:jc w:val="left"/>
              <w:rPr>
                <w:sz w:val="18"/>
              </w:rPr>
            </w:pPr>
            <w:r>
              <w:rPr>
                <w:color w:val="231F20"/>
                <w:sz w:val="18"/>
              </w:rPr>
              <w:t>(26)</w:t>
            </w:r>
          </w:p>
        </w:tc>
        <w:tc>
          <w:tcPr>
            <w:tcW w:w="1130" w:type="dxa"/>
          </w:tcPr>
          <w:p>
            <w:pPr>
              <w:pStyle w:val="TableParagraph"/>
              <w:spacing w:before="1"/>
              <w:ind w:left="660"/>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(26)</w:t>
            </w:r>
          </w:p>
        </w:tc>
      </w:tr>
      <w:tr>
        <w:trPr>
          <w:trHeight w:val="220" w:hRule="exact"/>
        </w:trPr>
        <w:tc>
          <w:tcPr>
            <w:tcW w:w="4248" w:type="dxa"/>
          </w:tcPr>
          <w:p>
            <w:pPr>
              <w:pStyle w:val="TableParagraph"/>
              <w:spacing w:before="1"/>
              <w:ind w:right="75"/>
              <w:rPr>
                <w:sz w:val="18"/>
              </w:rPr>
            </w:pPr>
            <w:r>
              <w:rPr>
                <w:color w:val="231F20"/>
                <w:sz w:val="18"/>
              </w:rPr>
              <w:t>Included in other comprehensive income  . . . . . . . . . . </w:t>
            </w:r>
          </w:p>
        </w:tc>
        <w:tc>
          <w:tcPr>
            <w:tcW w:w="1372" w:type="dxa"/>
          </w:tcPr>
          <w:p>
            <w:pPr>
              <w:pStyle w:val="TableParagraph"/>
              <w:spacing w:before="1"/>
              <w:ind w:left="857"/>
              <w:jc w:val="left"/>
              <w:rPr>
                <w:sz w:val="18"/>
              </w:rPr>
            </w:pPr>
            <w:r>
              <w:rPr>
                <w:color w:val="231F20"/>
                <w:sz w:val="18"/>
              </w:rPr>
              <w:t>30</w:t>
            </w:r>
          </w:p>
        </w:tc>
        <w:tc>
          <w:tcPr>
            <w:tcW w:w="1130" w:type="dxa"/>
          </w:tcPr>
          <w:p>
            <w:pPr>
              <w:pStyle w:val="TableParagraph"/>
              <w:spacing w:before="1"/>
              <w:ind w:right="197"/>
              <w:rPr>
                <w:sz w:val="18"/>
              </w:rPr>
            </w:pPr>
            <w:r>
              <w:rPr>
                <w:color w:val="231F20"/>
                <w:sz w:val="18"/>
              </w:rPr>
              <w:t>3</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33</w:t>
            </w:r>
          </w:p>
        </w:tc>
      </w:tr>
      <w:tr>
        <w:trPr>
          <w:trHeight w:val="220" w:hRule="exact"/>
        </w:trPr>
        <w:tc>
          <w:tcPr>
            <w:tcW w:w="4248" w:type="dxa"/>
          </w:tcPr>
          <w:p>
            <w:pPr>
              <w:pStyle w:val="TableParagraph"/>
              <w:spacing w:before="1"/>
              <w:ind w:left="50"/>
              <w:jc w:val="left"/>
              <w:rPr>
                <w:sz w:val="18"/>
              </w:rPr>
            </w:pPr>
            <w:r>
              <w:rPr>
                <w:color w:val="231F20"/>
                <w:sz w:val="18"/>
              </w:rPr>
              <w:t>Purchases  . . . . . . . . . . . . . . . . . . . . . . . . . . . . . . . . . . . . . </w:t>
            </w:r>
          </w:p>
        </w:tc>
        <w:tc>
          <w:tcPr>
            <w:tcW w:w="1372" w:type="dxa"/>
          </w:tcPr>
          <w:p>
            <w:pPr>
              <w:pStyle w:val="TableParagraph"/>
              <w:spacing w:before="1"/>
              <w:ind w:right="123"/>
              <w:rPr>
                <w:sz w:val="18"/>
              </w:rPr>
            </w:pPr>
            <w:r>
              <w:rPr>
                <w:color w:val="231F20"/>
                <w:sz w:val="18"/>
              </w:rPr>
              <w:t>449(b)</w:t>
            </w:r>
          </w:p>
        </w:tc>
        <w:tc>
          <w:tcPr>
            <w:tcW w:w="1130" w:type="dxa"/>
          </w:tcPr>
          <w:p>
            <w:pPr>
              <w:pStyle w:val="TableParagraph"/>
              <w:spacing w:before="1"/>
              <w:ind w:left="660"/>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449</w:t>
            </w:r>
          </w:p>
        </w:tc>
      </w:tr>
      <w:tr>
        <w:trPr>
          <w:trHeight w:val="220" w:hRule="exact"/>
        </w:trPr>
        <w:tc>
          <w:tcPr>
            <w:tcW w:w="4248" w:type="dxa"/>
          </w:tcPr>
          <w:p>
            <w:pPr>
              <w:pStyle w:val="TableParagraph"/>
              <w:spacing w:before="1"/>
              <w:ind w:left="50"/>
              <w:jc w:val="left"/>
              <w:rPr>
                <w:sz w:val="18"/>
              </w:rPr>
            </w:pPr>
            <w:r>
              <w:rPr>
                <w:color w:val="231F20"/>
                <w:sz w:val="18"/>
              </w:rPr>
              <w:t>Sales . . . . . . . . . . . . . . . . . . . . . . . . . . . . . . . . . . . . . . . . . </w:t>
            </w:r>
          </w:p>
        </w:tc>
        <w:tc>
          <w:tcPr>
            <w:tcW w:w="1372" w:type="dxa"/>
          </w:tcPr>
          <w:p>
            <w:pPr>
              <w:pStyle w:val="TableParagraph"/>
              <w:spacing w:before="1"/>
              <w:ind w:right="63"/>
              <w:rPr>
                <w:sz w:val="18"/>
              </w:rPr>
            </w:pPr>
            <w:r>
              <w:rPr>
                <w:color w:val="231F20"/>
                <w:sz w:val="18"/>
              </w:rPr>
              <w:t>(546)(b)</w:t>
            </w:r>
          </w:p>
        </w:tc>
        <w:tc>
          <w:tcPr>
            <w:tcW w:w="1130" w:type="dxa"/>
          </w:tcPr>
          <w:p>
            <w:pPr>
              <w:pStyle w:val="TableParagraph"/>
              <w:spacing w:before="1"/>
              <w:ind w:right="137"/>
              <w:rPr>
                <w:sz w:val="18"/>
              </w:rPr>
            </w:pPr>
            <w:r>
              <w:rPr>
                <w:color w:val="231F20"/>
                <w:sz w:val="18"/>
              </w:rPr>
              <w:t>(29)</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(575)</w:t>
            </w:r>
          </w:p>
        </w:tc>
      </w:tr>
      <w:tr>
        <w:trPr>
          <w:trHeight w:val="245" w:hRule="exact"/>
        </w:trPr>
        <w:tc>
          <w:tcPr>
            <w:tcW w:w="4248" w:type="dxa"/>
          </w:tcPr>
          <w:p>
            <w:pPr>
              <w:pStyle w:val="TableParagraph"/>
              <w:spacing w:before="1"/>
              <w:ind w:left="50"/>
              <w:jc w:val="left"/>
              <w:rPr>
                <w:sz w:val="18"/>
              </w:rPr>
            </w:pPr>
            <w:r>
              <w:rPr>
                <w:color w:val="231F20"/>
                <w:sz w:val="18"/>
              </w:rPr>
              <w:t>Settlements   . . . . . . . . . . . . . . . . . . . . . . . . . . . . . . . . . . . </w:t>
            </w:r>
          </w:p>
        </w:tc>
        <w:tc>
          <w:tcPr>
            <w:tcW w:w="1372" w:type="dxa"/>
            <w:tcBorders>
              <w:bottom w:val="single" w:sz="4" w:space="0" w:color="231F20"/>
            </w:tcBorders>
          </w:tcPr>
          <w:p>
            <w:pPr>
              <w:pStyle w:val="TableParagraph"/>
              <w:spacing w:before="1"/>
              <w:ind w:left="707"/>
              <w:jc w:val="left"/>
              <w:rPr>
                <w:sz w:val="18"/>
              </w:rPr>
            </w:pPr>
            <w:r>
              <w:rPr>
                <w:color w:val="231F20"/>
                <w:sz w:val="18"/>
              </w:rPr>
              <w:t>(176)</w:t>
            </w:r>
          </w:p>
        </w:tc>
        <w:tc>
          <w:tcPr>
            <w:tcW w:w="1130" w:type="dxa"/>
            <w:tcBorders>
              <w:bottom w:val="single" w:sz="4" w:space="0" w:color="231F20"/>
            </w:tcBorders>
          </w:tcPr>
          <w:p>
            <w:pPr>
              <w:pStyle w:val="TableParagraph"/>
              <w:spacing w:before="1"/>
              <w:ind w:left="660"/>
              <w:jc w:val="left"/>
              <w:rPr>
                <w:sz w:val="18"/>
              </w:rPr>
            </w:pPr>
            <w:r>
              <w:rPr>
                <w:color w:val="231F20"/>
                <w:sz w:val="18"/>
              </w:rPr>
              <w:t>—</w:t>
            </w:r>
          </w:p>
        </w:tc>
        <w:tc>
          <w:tcPr>
            <w:tcW w:w="100" w:type="dxa"/>
          </w:tcPr>
          <w:p>
            <w:pPr/>
          </w:p>
        </w:tc>
        <w:tc>
          <w:tcPr>
            <w:tcW w:w="1060" w:type="dxa"/>
            <w:tcBorders>
              <w:bottom w:val="single" w:sz="4" w:space="0" w:color="231F20"/>
            </w:tcBorders>
          </w:tcPr>
          <w:p>
            <w:pPr>
              <w:pStyle w:val="TableParagraph"/>
              <w:spacing w:before="1"/>
              <w:ind w:right="188"/>
              <w:rPr>
                <w:sz w:val="18"/>
              </w:rPr>
            </w:pPr>
            <w:r>
              <w:rPr>
                <w:color w:val="231F20"/>
                <w:sz w:val="18"/>
              </w:rPr>
              <w:t>—</w:t>
            </w:r>
          </w:p>
        </w:tc>
        <w:tc>
          <w:tcPr>
            <w:tcW w:w="200" w:type="dxa"/>
          </w:tcPr>
          <w:p>
            <w:pPr/>
          </w:p>
        </w:tc>
        <w:tc>
          <w:tcPr>
            <w:tcW w:w="1060" w:type="dxa"/>
            <w:tcBorders>
              <w:bottom w:val="single" w:sz="4" w:space="0" w:color="231F20"/>
            </w:tcBorders>
          </w:tcPr>
          <w:p>
            <w:pPr>
              <w:pStyle w:val="TableParagraph"/>
              <w:spacing w:before="1"/>
              <w:ind w:right="38"/>
              <w:rPr>
                <w:sz w:val="18"/>
              </w:rPr>
            </w:pPr>
            <w:r>
              <w:rPr>
                <w:color w:val="231F20"/>
                <w:sz w:val="18"/>
              </w:rPr>
              <w:t>(176)</w:t>
            </w:r>
          </w:p>
        </w:tc>
      </w:tr>
      <w:tr>
        <w:trPr>
          <w:trHeight w:val="340" w:hRule="exact"/>
        </w:trPr>
        <w:tc>
          <w:tcPr>
            <w:tcW w:w="4248" w:type="dxa"/>
          </w:tcPr>
          <w:p>
            <w:pPr>
              <w:pStyle w:val="TableParagraph"/>
              <w:spacing w:before="57"/>
              <w:ind w:left="50"/>
              <w:jc w:val="left"/>
              <w:rPr>
                <w:sz w:val="18"/>
              </w:rPr>
            </w:pPr>
            <w:r>
              <w:rPr>
                <w:color w:val="231F20"/>
                <w:sz w:val="18"/>
              </w:rPr>
              <w:t>Balance at December 31, 2011  . . . . . . . . . . . . . . . . . . . . </w:t>
            </w:r>
          </w:p>
        </w:tc>
        <w:tc>
          <w:tcPr>
            <w:tcW w:w="1372" w:type="dxa"/>
            <w:tcBorders>
              <w:top w:val="single" w:sz="4" w:space="0" w:color="231F20"/>
              <w:bottom w:val="single" w:sz="4" w:space="0" w:color="231F20"/>
            </w:tcBorders>
          </w:tcPr>
          <w:p>
            <w:pPr>
              <w:pStyle w:val="TableParagraph"/>
              <w:tabs>
                <w:tab w:pos="767" w:val="left" w:leader="none"/>
              </w:tabs>
              <w:spacing w:before="52"/>
              <w:ind w:left="77"/>
              <w:jc w:val="left"/>
              <w:rPr>
                <w:sz w:val="18"/>
              </w:rPr>
            </w:pPr>
            <w:r>
              <w:rPr>
                <w:color w:val="231F20"/>
                <w:sz w:val="18"/>
              </w:rPr>
              <w:t>$</w:t>
              <w:tab/>
              <w:t>417</w:t>
            </w:r>
          </w:p>
        </w:tc>
        <w:tc>
          <w:tcPr>
            <w:tcW w:w="1130" w:type="dxa"/>
            <w:tcBorders>
              <w:top w:val="single" w:sz="4" w:space="0" w:color="231F20"/>
              <w:bottom w:val="single" w:sz="4" w:space="0" w:color="231F20"/>
            </w:tcBorders>
          </w:tcPr>
          <w:p>
            <w:pPr>
              <w:pStyle w:val="TableParagraph"/>
              <w:tabs>
                <w:tab w:pos="684" w:val="left" w:leader="none"/>
              </w:tabs>
              <w:spacing w:before="52"/>
              <w:rPr>
                <w:sz w:val="18"/>
              </w:rPr>
            </w:pPr>
            <w:r>
              <w:rPr>
                <w:color w:val="231F20"/>
                <w:sz w:val="18"/>
              </w:rPr>
              <w:t>$</w:t>
              <w:tab/>
              <w:t>67(a)</w:t>
            </w:r>
          </w:p>
        </w:tc>
        <w:tc>
          <w:tcPr>
            <w:tcW w:w="100" w:type="dxa"/>
          </w:tcPr>
          <w:p>
            <w:pPr/>
          </w:p>
        </w:tc>
        <w:tc>
          <w:tcPr>
            <w:tcW w:w="1060" w:type="dxa"/>
            <w:tcBorders>
              <w:top w:val="single" w:sz="4" w:space="0" w:color="231F20"/>
              <w:bottom w:val="single" w:sz="4"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4" w:space="0" w:color="231F20"/>
              <w:bottom w:val="single" w:sz="4" w:space="0" w:color="231F20"/>
            </w:tcBorders>
          </w:tcPr>
          <w:p>
            <w:pPr>
              <w:pStyle w:val="TableParagraph"/>
              <w:tabs>
                <w:tab w:pos="689" w:val="left" w:leader="none"/>
              </w:tabs>
              <w:spacing w:before="52"/>
              <w:jc w:val="left"/>
              <w:rPr>
                <w:sz w:val="18"/>
              </w:rPr>
            </w:pPr>
            <w:r>
              <w:rPr>
                <w:color w:val="231F20"/>
                <w:sz w:val="18"/>
              </w:rPr>
              <w:t>$</w:t>
              <w:tab/>
              <w:t>489</w:t>
            </w:r>
          </w:p>
        </w:tc>
      </w:tr>
      <w:tr>
        <w:trPr>
          <w:trHeight w:val="264" w:hRule="exact"/>
        </w:trPr>
        <w:tc>
          <w:tcPr>
            <w:tcW w:w="4248" w:type="dxa"/>
          </w:tcPr>
          <w:p>
            <w:pPr>
              <w:pStyle w:val="TableParagraph"/>
              <w:spacing w:before="57"/>
              <w:ind w:left="50"/>
              <w:jc w:val="left"/>
              <w:rPr>
                <w:sz w:val="18"/>
              </w:rPr>
            </w:pPr>
            <w:r>
              <w:rPr>
                <w:color w:val="231F20"/>
                <w:sz w:val="18"/>
              </w:rPr>
              <w:t>The amount of total gains or (losses) for the period</w:t>
            </w:r>
          </w:p>
        </w:tc>
        <w:tc>
          <w:tcPr>
            <w:tcW w:w="1372" w:type="dxa"/>
            <w:tcBorders>
              <w:top w:val="single" w:sz="4" w:space="0" w:color="231F20"/>
            </w:tcBorders>
          </w:tcPr>
          <w:p>
            <w:pPr/>
          </w:p>
        </w:tc>
        <w:tc>
          <w:tcPr>
            <w:tcW w:w="1130" w:type="dxa"/>
            <w:tcBorders>
              <w:top w:val="single" w:sz="4" w:space="0" w:color="231F20"/>
            </w:tcBorders>
          </w:tcPr>
          <w:p>
            <w:pPr/>
          </w:p>
        </w:tc>
        <w:tc>
          <w:tcPr>
            <w:tcW w:w="100" w:type="dxa"/>
          </w:tcPr>
          <w:p>
            <w:pPr/>
          </w:p>
        </w:tc>
        <w:tc>
          <w:tcPr>
            <w:tcW w:w="1060" w:type="dxa"/>
            <w:tcBorders>
              <w:top w:val="single" w:sz="4" w:space="0" w:color="231F20"/>
            </w:tcBorders>
          </w:tcPr>
          <w:p>
            <w:pPr/>
          </w:p>
        </w:tc>
        <w:tc>
          <w:tcPr>
            <w:tcW w:w="200" w:type="dxa"/>
          </w:tcPr>
          <w:p>
            <w:pPr/>
          </w:p>
        </w:tc>
        <w:tc>
          <w:tcPr>
            <w:tcW w:w="1060" w:type="dxa"/>
            <w:tcBorders>
              <w:top w:val="single" w:sz="4" w:space="0" w:color="231F20"/>
            </w:tcBorders>
          </w:tcPr>
          <w:p>
            <w:pPr/>
          </w:p>
        </w:tc>
      </w:tr>
    </w:tbl>
    <w:p>
      <w:pPr>
        <w:spacing w:line="254" w:lineRule="auto" w:before="13"/>
        <w:ind w:left="340" w:right="5280" w:firstLine="0"/>
        <w:jc w:val="left"/>
        <w:rPr>
          <w:sz w:val="18"/>
        </w:rPr>
      </w:pPr>
      <w:r>
        <w:rPr/>
        <w:pict>
          <v:line style="position:absolute;mso-position-horizontal-relative:page;mso-position-vertical-relative:paragraph;z-index:-351688" from="282.75pt,-15.197449pt" to="335.75pt,-15.197449pt" stroked="true" strokeweight=".5pt" strokecolor="#231f20">
            <v:stroke dashstyle="solid"/>
            <w10:wrap type="none"/>
          </v:line>
        </w:pict>
      </w:r>
      <w:r>
        <w:rPr/>
        <w:pict>
          <v:line style="position:absolute;mso-position-horizontal-relative:page;mso-position-vertical-relative:paragraph;z-index:-351664" from="350.75pt,-15.197449pt" to="399pt,-15.197449pt" stroked="true" strokeweight=".5pt" strokecolor="#231f20">
            <v:stroke dashstyle="solid"/>
            <w10:wrap type="none"/>
          </v:line>
        </w:pict>
      </w:r>
      <w:r>
        <w:rPr/>
        <w:pict>
          <v:line style="position:absolute;mso-position-horizontal-relative:page;mso-position-vertical-relative:paragraph;z-index:-351640" from="409pt,-15.197449pt" to="462pt,-15.197449pt" stroked="true" strokeweight=".5pt" strokecolor="#231f20">
            <v:stroke dashstyle="solid"/>
            <w10:wrap type="none"/>
          </v:line>
        </w:pict>
      </w:r>
      <w:r>
        <w:rPr/>
        <w:pict>
          <v:line style="position:absolute;mso-position-horizontal-relative:page;mso-position-vertical-relative:paragraph;z-index:-351616" from="472pt,-15.197449pt" to="525pt,-15.197449pt" stroked="true" strokeweight=".5pt" strokecolor="#231f20">
            <v:stroke dashstyle="solid"/>
            <w10:wrap type="none"/>
          </v:line>
        </w:pict>
      </w:r>
      <w:r>
        <w:rPr>
          <w:color w:val="231F20"/>
          <w:sz w:val="18"/>
        </w:rPr>
        <w:t>included in earnings attributable to the change in unrealized gains or losses relating to assets still held</w:t>
      </w:r>
    </w:p>
    <w:p>
      <w:pPr>
        <w:tabs>
          <w:tab w:pos="5214" w:val="left" w:leader="none"/>
          <w:tab w:pos="5794" w:val="left" w:leader="none"/>
          <w:tab w:pos="6389" w:val="left" w:leader="none"/>
          <w:tab w:pos="6959" w:val="left" w:leader="none"/>
          <w:tab w:pos="7649" w:val="left" w:leader="none"/>
          <w:tab w:pos="8219" w:val="left" w:leader="none"/>
          <w:tab w:pos="8999" w:val="left" w:leader="none"/>
        </w:tabs>
        <w:spacing w:before="1"/>
        <w:ind w:left="340" w:right="0" w:firstLine="0"/>
        <w:jc w:val="left"/>
        <w:rPr>
          <w:sz w:val="18"/>
        </w:rPr>
      </w:pPr>
      <w:r>
        <w:rPr/>
        <w:pict>
          <v:group style="position:absolute;margin-left:282.5pt;margin-top:11.952948pt;width:53.5pt;height:2.5pt;mso-position-horizontal-relative:page;mso-position-vertical-relative:paragraph;z-index:6664;mso-wrap-distance-left:0;mso-wrap-distance-right:0" coordorigin="5650,239" coordsize="1070,50">
            <v:line style="position:absolute" from="5655,244" to="6715,244" stroked="true" strokeweight=".5pt" strokecolor="#231f20">
              <v:stroke dashstyle="solid"/>
            </v:line>
            <v:line style="position:absolute" from="5655,284" to="6715,284" stroked="true" strokeweight=".5pt" strokecolor="#231f20">
              <v:stroke dashstyle="solid"/>
            </v:line>
            <w10:wrap type="topAndBottom"/>
          </v:group>
        </w:pict>
      </w:r>
      <w:r>
        <w:rPr/>
        <w:pict>
          <v:group style="position:absolute;margin-left:350.5pt;margin-top:11.952948pt;width:48.75pt;height:2.5pt;mso-position-horizontal-relative:page;mso-position-vertical-relative:paragraph;z-index:6688;mso-wrap-distance-left:0;mso-wrap-distance-right:0" coordorigin="7010,239" coordsize="975,50">
            <v:line style="position:absolute" from="7015,244" to="7980,244" stroked="true" strokeweight=".5pt" strokecolor="#231f20">
              <v:stroke dashstyle="solid"/>
            </v:line>
            <v:line style="position:absolute" from="7015,284" to="7980,284" stroked="true" strokeweight=".5pt" strokecolor="#231f20">
              <v:stroke dashstyle="solid"/>
            </v:line>
            <w10:wrap type="topAndBottom"/>
          </v:group>
        </w:pict>
      </w:r>
      <w:r>
        <w:rPr/>
        <w:pict>
          <v:group style="position:absolute;margin-left:408.75pt;margin-top:11.952948pt;width:53.5pt;height:2.5pt;mso-position-horizontal-relative:page;mso-position-vertical-relative:paragraph;z-index:6712;mso-wrap-distance-left:0;mso-wrap-distance-right:0" coordorigin="8175,239" coordsize="1070,50">
            <v:line style="position:absolute" from="8180,244" to="9240,244" stroked="true" strokeweight=".5pt" strokecolor="#231f20">
              <v:stroke dashstyle="solid"/>
            </v:line>
            <v:line style="position:absolute" from="8180,284" to="9240,284" stroked="true" strokeweight=".5pt" strokecolor="#231f20">
              <v:stroke dashstyle="solid"/>
            </v:line>
            <w10:wrap type="topAndBottom"/>
          </v:group>
        </w:pict>
      </w:r>
      <w:r>
        <w:rPr/>
        <w:pict>
          <v:group style="position:absolute;margin-left:471.75pt;margin-top:11.952948pt;width:53.5pt;height:2.5pt;mso-position-horizontal-relative:page;mso-position-vertical-relative:paragraph;z-index:6736;mso-wrap-distance-left:0;mso-wrap-distance-right:0" coordorigin="9435,239" coordsize="1070,50">
            <v:line style="position:absolute" from="9440,244" to="10500,244" stroked="true" strokeweight=".5pt" strokecolor="#231f20">
              <v:stroke dashstyle="solid"/>
            </v:line>
            <v:line style="position:absolute" from="9440,284" to="10500,284" stroked="true" strokeweight=".5pt" strokecolor="#231f20">
              <v:stroke dashstyle="solid"/>
            </v:line>
            <w10:wrap type="topAndBottom"/>
          </v:group>
        </w:pict>
      </w:r>
      <w:r>
        <w:rPr/>
        <w:pict>
          <v:line style="position:absolute;mso-position-horizontal-relative:page;mso-position-vertical-relative:paragraph;z-index:6760;mso-wrap-distance-left:0;mso-wrap-distance-right:0" from="69pt,22.202948pt" to="117pt,22.202948pt" stroked="true" strokeweight=".5pt" strokecolor="#231f20">
            <v:stroke dashstyle="solid"/>
            <w10:wrap type="topAndBottom"/>
          </v:line>
        </w:pict>
      </w:r>
      <w:r>
        <w:rPr>
          <w:color w:val="231F20"/>
          <w:sz w:val="18"/>
        </w:rPr>
        <w:t>at December 31, 2011  . . . . . . . . . . . . . . . . . . . . . . . .</w:t>
      </w:r>
      <w:r>
        <w:rPr>
          <w:color w:val="231F20"/>
          <w:spacing w:val="10"/>
          <w:sz w:val="18"/>
        </w:rPr>
        <w:t> </w:t>
      </w:r>
      <w:r>
        <w:rPr>
          <w:color w:val="231F20"/>
          <w:sz w:val="18"/>
        </w:rPr>
        <w:t>.   </w:t>
      </w:r>
      <w:r>
        <w:rPr>
          <w:color w:val="231F20"/>
          <w:spacing w:val="20"/>
          <w:sz w:val="18"/>
        </w:rPr>
        <w:t> </w:t>
      </w:r>
      <w:r>
        <w:rPr>
          <w:color w:val="231F20"/>
          <w:sz w:val="18"/>
        </w:rPr>
        <w:t>$</w:t>
        <w:tab/>
        <w:t>80</w:t>
        <w:tab/>
        <w:t>$</w:t>
        <w:tab/>
        <w:t>—</w:t>
        <w:tab/>
        <w:t>$</w:t>
        <w:tab/>
        <w:t>—</w:t>
        <w:tab/>
        <w:t>$</w:t>
        <w:tab/>
        <w:t>80</w:t>
      </w:r>
    </w:p>
    <w:p>
      <w:pPr>
        <w:pStyle w:val="BodyText"/>
        <w:spacing w:before="1"/>
        <w:rPr>
          <w:sz w:val="7"/>
        </w:rPr>
      </w:pPr>
    </w:p>
    <w:p>
      <w:pPr>
        <w:pStyle w:val="ListParagraph"/>
        <w:numPr>
          <w:ilvl w:val="0"/>
          <w:numId w:val="19"/>
        </w:numPr>
        <w:tabs>
          <w:tab w:pos="560" w:val="left" w:leader="none"/>
        </w:tabs>
        <w:spacing w:line="240" w:lineRule="auto" w:before="24" w:after="0"/>
        <w:ind w:left="560" w:right="0" w:hanging="400"/>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ListParagraph"/>
        <w:numPr>
          <w:ilvl w:val="0"/>
          <w:numId w:val="19"/>
        </w:numPr>
        <w:tabs>
          <w:tab w:pos="560" w:val="left" w:leader="none"/>
        </w:tabs>
        <w:spacing w:line="249" w:lineRule="auto" w:before="9" w:after="0"/>
        <w:ind w:left="560" w:right="24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BodyText"/>
        <w:spacing w:line="249" w:lineRule="auto" w:before="146"/>
        <w:ind w:left="160" w:right="210" w:firstLine="490"/>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for the Company’s derivative</w:t>
      </w:r>
    </w:p>
    <w:p>
      <w:pPr>
        <w:spacing w:after="0" w:line="249" w:lineRule="auto"/>
        <w:sectPr>
          <w:type w:val="continuous"/>
          <w:pgSz w:w="11880" w:h="15480"/>
          <w:pgMar w:top="1200" w:bottom="280" w:left="1220" w:right="1260"/>
        </w:sectPr>
      </w:pPr>
    </w:p>
    <w:p>
      <w:pPr>
        <w:pStyle w:val="BodyText"/>
        <w:spacing w:line="249" w:lineRule="auto" w:before="73"/>
        <w:ind w:left="160" w:right="562"/>
      </w:pPr>
      <w:r>
        <w:rPr>
          <w:color w:val="231F20"/>
        </w:rPr>
        <w:t>option contracts. The significant unobservable inputs used in the fair value measurement of the Company’s auction rate securities are time to principal recovery, an illiquidity premium, and counterparty credit spread. Holding other inputs constant, a significant increase (decrease) in such unobservable inputs would result in a significantly lower (higher) fair value measurement.</w:t>
      </w:r>
    </w:p>
    <w:p>
      <w:pPr>
        <w:pStyle w:val="BodyText"/>
        <w:spacing w:before="10"/>
      </w:pPr>
    </w:p>
    <w:p>
      <w:pPr>
        <w:pStyle w:val="BodyText"/>
        <w:spacing w:line="249" w:lineRule="auto" w:before="1"/>
        <w:ind w:left="160" w:right="250"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2012 and 2011.</w:t>
      </w:r>
    </w:p>
    <w:p>
      <w:pPr>
        <w:pStyle w:val="BodyText"/>
        <w:spacing w:before="11"/>
      </w:pPr>
    </w:p>
    <w:p>
      <w:pPr>
        <w:pStyle w:val="BodyText"/>
        <w:spacing w:line="249" w:lineRule="auto"/>
        <w:ind w:left="160" w:right="250" w:firstLine="490"/>
      </w:pPr>
      <w:r>
        <w:rPr>
          <w:color w:val="231F20"/>
        </w:rPr>
        <w:t>The following table presents a range of the unobservable inputs utilized in the fair value measurements of the Company’s assets and liabilities classified as Level 3 at December 31, 2012:</w:t>
      </w:r>
    </w:p>
    <w:p>
      <w:pPr>
        <w:pStyle w:val="BodyText"/>
        <w:spacing w:before="10"/>
      </w:pPr>
    </w:p>
    <w:p>
      <w:pPr>
        <w:pStyle w:val="Heading3"/>
        <w:spacing w:before="1"/>
        <w:ind w:left="1963"/>
      </w:pPr>
      <w:r>
        <w:rPr>
          <w:color w:val="231F20"/>
        </w:rPr>
        <w:t>Quantitative information about Level 3 fair value measurements</w:t>
      </w:r>
    </w:p>
    <w:p>
      <w:pPr>
        <w:pStyle w:val="BodyText"/>
        <w:rPr>
          <w:b/>
        </w:rPr>
      </w:pPr>
    </w:p>
    <w:p>
      <w:pPr>
        <w:pStyle w:val="BodyText"/>
        <w:spacing w:before="7" w:after="1"/>
        <w:rPr>
          <w:b/>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7"/>
        <w:gridCol w:w="2090"/>
        <w:gridCol w:w="2315"/>
        <w:gridCol w:w="1788"/>
        <w:gridCol w:w="971"/>
      </w:tblGrid>
      <w:tr>
        <w:trPr>
          <w:trHeight w:val="210" w:hRule="exact"/>
        </w:trPr>
        <w:tc>
          <w:tcPr>
            <w:tcW w:w="2057" w:type="dxa"/>
            <w:tcBorders>
              <w:bottom w:val="single" w:sz="8" w:space="0" w:color="231F20"/>
            </w:tcBorders>
          </w:tcPr>
          <w:p>
            <w:pPr/>
          </w:p>
        </w:tc>
        <w:tc>
          <w:tcPr>
            <w:tcW w:w="2090" w:type="dxa"/>
            <w:tcBorders>
              <w:bottom w:val="single" w:sz="8" w:space="0" w:color="231F20"/>
            </w:tcBorders>
          </w:tcPr>
          <w:p>
            <w:pPr>
              <w:pStyle w:val="TableParagraph"/>
              <w:spacing w:line="175" w:lineRule="exact"/>
              <w:ind w:right="133"/>
              <w:rPr>
                <w:sz w:val="16"/>
              </w:rPr>
            </w:pPr>
            <w:r>
              <w:rPr>
                <w:color w:val="231F20"/>
                <w:sz w:val="16"/>
              </w:rPr>
              <w:t>Valuation technique</w:t>
            </w:r>
          </w:p>
        </w:tc>
        <w:tc>
          <w:tcPr>
            <w:tcW w:w="2315" w:type="dxa"/>
            <w:tcBorders>
              <w:bottom w:val="single" w:sz="8" w:space="0" w:color="231F20"/>
            </w:tcBorders>
          </w:tcPr>
          <w:p>
            <w:pPr>
              <w:pStyle w:val="TableParagraph"/>
              <w:spacing w:line="175" w:lineRule="exact"/>
              <w:ind w:right="469"/>
              <w:rPr>
                <w:sz w:val="16"/>
              </w:rPr>
            </w:pPr>
            <w:r>
              <w:rPr>
                <w:color w:val="231F20"/>
                <w:sz w:val="16"/>
              </w:rPr>
              <w:t>Unobservable input</w:t>
            </w:r>
          </w:p>
        </w:tc>
        <w:tc>
          <w:tcPr>
            <w:tcW w:w="1788" w:type="dxa"/>
            <w:tcBorders>
              <w:bottom w:val="single" w:sz="8" w:space="0" w:color="231F20"/>
            </w:tcBorders>
          </w:tcPr>
          <w:p>
            <w:pPr>
              <w:pStyle w:val="TableParagraph"/>
              <w:spacing w:line="175" w:lineRule="exact"/>
              <w:ind w:right="278"/>
              <w:rPr>
                <w:sz w:val="16"/>
              </w:rPr>
            </w:pPr>
            <w:r>
              <w:rPr>
                <w:color w:val="231F20"/>
                <w:sz w:val="16"/>
              </w:rPr>
              <w:t>Period (by year)</w:t>
            </w:r>
          </w:p>
        </w:tc>
        <w:tc>
          <w:tcPr>
            <w:tcW w:w="971" w:type="dxa"/>
            <w:tcBorders>
              <w:bottom w:val="single" w:sz="8" w:space="0" w:color="231F20"/>
            </w:tcBorders>
          </w:tcPr>
          <w:p>
            <w:pPr>
              <w:pStyle w:val="TableParagraph"/>
              <w:spacing w:line="175" w:lineRule="exact"/>
              <w:ind w:right="49"/>
              <w:rPr>
                <w:sz w:val="16"/>
              </w:rPr>
            </w:pPr>
            <w:r>
              <w:rPr>
                <w:color w:val="231F20"/>
                <w:sz w:val="16"/>
              </w:rPr>
              <w:t>Range</w:t>
            </w:r>
          </w:p>
        </w:tc>
      </w:tr>
      <w:tr>
        <w:trPr>
          <w:trHeight w:val="257" w:hRule="exact"/>
        </w:trPr>
        <w:tc>
          <w:tcPr>
            <w:tcW w:w="2057" w:type="dxa"/>
            <w:tcBorders>
              <w:top w:val="single" w:sz="8" w:space="0" w:color="231F20"/>
            </w:tcBorders>
          </w:tcPr>
          <w:p>
            <w:pPr>
              <w:pStyle w:val="TableParagraph"/>
              <w:spacing w:before="50"/>
              <w:ind w:left="50"/>
              <w:jc w:val="left"/>
              <w:rPr>
                <w:sz w:val="16"/>
              </w:rPr>
            </w:pPr>
            <w:r>
              <w:rPr>
                <w:color w:val="231F20"/>
                <w:sz w:val="16"/>
              </w:rPr>
              <w:t>Fuel derivatives</w:t>
            </w:r>
          </w:p>
        </w:tc>
        <w:tc>
          <w:tcPr>
            <w:tcW w:w="2090" w:type="dxa"/>
            <w:tcBorders>
              <w:top w:val="single" w:sz="8" w:space="0" w:color="231F20"/>
            </w:tcBorders>
          </w:tcPr>
          <w:p>
            <w:pPr>
              <w:pStyle w:val="TableParagraph"/>
              <w:spacing w:before="50"/>
              <w:ind w:right="134"/>
              <w:rPr>
                <w:sz w:val="16"/>
              </w:rPr>
            </w:pPr>
            <w:r>
              <w:rPr>
                <w:color w:val="231F20"/>
                <w:sz w:val="16"/>
              </w:rPr>
              <w:t>Option model</w:t>
            </w:r>
          </w:p>
        </w:tc>
        <w:tc>
          <w:tcPr>
            <w:tcW w:w="2315" w:type="dxa"/>
            <w:tcBorders>
              <w:top w:val="single" w:sz="8" w:space="0" w:color="231F20"/>
            </w:tcBorders>
          </w:tcPr>
          <w:p>
            <w:pPr>
              <w:pStyle w:val="TableParagraph"/>
              <w:spacing w:before="50"/>
              <w:ind w:right="467"/>
              <w:rPr>
                <w:sz w:val="16"/>
              </w:rPr>
            </w:pPr>
            <w:r>
              <w:rPr>
                <w:color w:val="231F20"/>
                <w:sz w:val="16"/>
              </w:rPr>
              <w:t>Implied volatility</w:t>
            </w:r>
          </w:p>
        </w:tc>
        <w:tc>
          <w:tcPr>
            <w:tcW w:w="1788" w:type="dxa"/>
            <w:tcBorders>
              <w:top w:val="single" w:sz="8" w:space="0" w:color="231F20"/>
            </w:tcBorders>
          </w:tcPr>
          <w:p>
            <w:pPr>
              <w:pStyle w:val="TableParagraph"/>
              <w:spacing w:before="50"/>
              <w:ind w:right="278"/>
              <w:rPr>
                <w:sz w:val="16"/>
              </w:rPr>
            </w:pPr>
            <w:r>
              <w:rPr>
                <w:color w:val="231F20"/>
                <w:sz w:val="16"/>
              </w:rPr>
              <w:t>2013</w:t>
            </w:r>
          </w:p>
        </w:tc>
        <w:tc>
          <w:tcPr>
            <w:tcW w:w="971" w:type="dxa"/>
            <w:tcBorders>
              <w:top w:val="single" w:sz="8" w:space="0" w:color="231F20"/>
            </w:tcBorders>
          </w:tcPr>
          <w:p>
            <w:pPr>
              <w:pStyle w:val="TableParagraph"/>
              <w:spacing w:before="50"/>
              <w:ind w:right="48"/>
              <w:rPr>
                <w:sz w:val="16"/>
              </w:rPr>
            </w:pPr>
            <w:r>
              <w:rPr>
                <w:color w:val="231F20"/>
                <w:sz w:val="16"/>
              </w:rPr>
              <w:t>15%-34%</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2014</w:t>
            </w:r>
          </w:p>
        </w:tc>
        <w:tc>
          <w:tcPr>
            <w:tcW w:w="971" w:type="dxa"/>
          </w:tcPr>
          <w:p>
            <w:pPr>
              <w:pStyle w:val="TableParagraph"/>
              <w:spacing w:before="3"/>
              <w:ind w:right="48"/>
              <w:rPr>
                <w:sz w:val="16"/>
              </w:rPr>
            </w:pPr>
            <w:r>
              <w:rPr>
                <w:color w:val="231F20"/>
                <w:sz w:val="16"/>
              </w:rPr>
              <w:t>20%-32%</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2015</w:t>
            </w:r>
          </w:p>
        </w:tc>
        <w:tc>
          <w:tcPr>
            <w:tcW w:w="971" w:type="dxa"/>
          </w:tcPr>
          <w:p>
            <w:pPr>
              <w:pStyle w:val="TableParagraph"/>
              <w:spacing w:before="3"/>
              <w:ind w:right="48"/>
              <w:rPr>
                <w:sz w:val="16"/>
              </w:rPr>
            </w:pPr>
            <w:r>
              <w:rPr>
                <w:color w:val="231F20"/>
                <w:sz w:val="16"/>
              </w:rPr>
              <w:t>20%-27%</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2016</w:t>
            </w:r>
          </w:p>
        </w:tc>
        <w:tc>
          <w:tcPr>
            <w:tcW w:w="971" w:type="dxa"/>
          </w:tcPr>
          <w:p>
            <w:pPr>
              <w:pStyle w:val="TableParagraph"/>
              <w:spacing w:before="3"/>
              <w:ind w:right="48"/>
              <w:rPr>
                <w:sz w:val="16"/>
              </w:rPr>
            </w:pPr>
            <w:r>
              <w:rPr>
                <w:color w:val="231F20"/>
                <w:sz w:val="16"/>
              </w:rPr>
              <w:t>20%-24%</w:t>
            </w:r>
          </w:p>
        </w:tc>
      </w:tr>
      <w:tr>
        <w:trPr>
          <w:trHeight w:val="223" w:hRule="exact"/>
        </w:trPr>
        <w:tc>
          <w:tcPr>
            <w:tcW w:w="2057" w:type="dxa"/>
            <w:tcBorders>
              <w:bottom w:val="single" w:sz="8" w:space="0" w:color="231F20"/>
            </w:tcBorders>
          </w:tcPr>
          <w:p>
            <w:pPr/>
          </w:p>
        </w:tc>
        <w:tc>
          <w:tcPr>
            <w:tcW w:w="2090" w:type="dxa"/>
            <w:tcBorders>
              <w:bottom w:val="single" w:sz="8" w:space="0" w:color="231F20"/>
            </w:tcBorders>
          </w:tcPr>
          <w:p>
            <w:pPr/>
          </w:p>
        </w:tc>
        <w:tc>
          <w:tcPr>
            <w:tcW w:w="2315" w:type="dxa"/>
            <w:tcBorders>
              <w:bottom w:val="single" w:sz="8" w:space="0" w:color="231F20"/>
            </w:tcBorders>
          </w:tcPr>
          <w:p>
            <w:pPr/>
          </w:p>
        </w:tc>
        <w:tc>
          <w:tcPr>
            <w:tcW w:w="1788" w:type="dxa"/>
            <w:tcBorders>
              <w:bottom w:val="single" w:sz="8" w:space="0" w:color="231F20"/>
            </w:tcBorders>
          </w:tcPr>
          <w:p>
            <w:pPr>
              <w:pStyle w:val="TableParagraph"/>
              <w:spacing w:before="3"/>
              <w:ind w:right="278"/>
              <w:rPr>
                <w:sz w:val="16"/>
              </w:rPr>
            </w:pPr>
            <w:r>
              <w:rPr>
                <w:color w:val="231F20"/>
                <w:sz w:val="16"/>
              </w:rPr>
              <w:t>2017</w:t>
            </w:r>
          </w:p>
        </w:tc>
        <w:tc>
          <w:tcPr>
            <w:tcW w:w="971" w:type="dxa"/>
            <w:tcBorders>
              <w:bottom w:val="single" w:sz="8" w:space="0" w:color="231F20"/>
            </w:tcBorders>
          </w:tcPr>
          <w:p>
            <w:pPr>
              <w:pStyle w:val="TableParagraph"/>
              <w:spacing w:before="3"/>
              <w:ind w:right="48"/>
              <w:rPr>
                <w:sz w:val="16"/>
              </w:rPr>
            </w:pPr>
            <w:r>
              <w:rPr>
                <w:color w:val="231F20"/>
                <w:sz w:val="16"/>
              </w:rPr>
              <w:t>20%-22%</w:t>
            </w:r>
          </w:p>
        </w:tc>
      </w:tr>
      <w:tr>
        <w:trPr>
          <w:trHeight w:val="257" w:hRule="exact"/>
        </w:trPr>
        <w:tc>
          <w:tcPr>
            <w:tcW w:w="2057" w:type="dxa"/>
            <w:tcBorders>
              <w:top w:val="single" w:sz="8" w:space="0" w:color="231F20"/>
            </w:tcBorders>
          </w:tcPr>
          <w:p>
            <w:pPr>
              <w:pStyle w:val="TableParagraph"/>
              <w:spacing w:before="50"/>
              <w:ind w:left="50"/>
              <w:jc w:val="left"/>
              <w:rPr>
                <w:sz w:val="16"/>
              </w:rPr>
            </w:pPr>
            <w:r>
              <w:rPr>
                <w:color w:val="231F20"/>
                <w:sz w:val="16"/>
              </w:rPr>
              <w:t>Auction rate securities</w:t>
            </w:r>
          </w:p>
        </w:tc>
        <w:tc>
          <w:tcPr>
            <w:tcW w:w="2090" w:type="dxa"/>
            <w:tcBorders>
              <w:top w:val="single" w:sz="8" w:space="0" w:color="231F20"/>
            </w:tcBorders>
          </w:tcPr>
          <w:p>
            <w:pPr>
              <w:pStyle w:val="TableParagraph"/>
              <w:spacing w:before="50"/>
              <w:ind w:right="134"/>
              <w:rPr>
                <w:sz w:val="16"/>
              </w:rPr>
            </w:pPr>
            <w:r>
              <w:rPr>
                <w:color w:val="231F20"/>
                <w:sz w:val="16"/>
              </w:rPr>
              <w:t>Discounted cash flow</w:t>
            </w:r>
          </w:p>
        </w:tc>
        <w:tc>
          <w:tcPr>
            <w:tcW w:w="2315" w:type="dxa"/>
            <w:tcBorders>
              <w:top w:val="single" w:sz="8" w:space="0" w:color="231F20"/>
            </w:tcBorders>
          </w:tcPr>
          <w:p>
            <w:pPr>
              <w:pStyle w:val="TableParagraph"/>
              <w:spacing w:before="50"/>
              <w:ind w:right="469"/>
              <w:rPr>
                <w:sz w:val="16"/>
              </w:rPr>
            </w:pPr>
            <w:r>
              <w:rPr>
                <w:color w:val="231F20"/>
                <w:sz w:val="16"/>
              </w:rPr>
              <w:t>Time to principal recovery</w:t>
            </w:r>
          </w:p>
        </w:tc>
        <w:tc>
          <w:tcPr>
            <w:tcW w:w="1788" w:type="dxa"/>
            <w:tcBorders>
              <w:top w:val="single" w:sz="8" w:space="0" w:color="231F20"/>
            </w:tcBorders>
          </w:tcPr>
          <w:p>
            <w:pPr/>
          </w:p>
        </w:tc>
        <w:tc>
          <w:tcPr>
            <w:tcW w:w="971" w:type="dxa"/>
            <w:tcBorders>
              <w:top w:val="single" w:sz="8" w:space="0" w:color="231F20"/>
            </w:tcBorders>
          </w:tcPr>
          <w:p>
            <w:pPr>
              <w:pStyle w:val="TableParagraph"/>
              <w:spacing w:before="50"/>
              <w:ind w:right="48"/>
              <w:rPr>
                <w:sz w:val="16"/>
              </w:rPr>
            </w:pPr>
            <w:r>
              <w:rPr>
                <w:color w:val="231F20"/>
                <w:w w:val="95"/>
                <w:sz w:val="16"/>
              </w:rPr>
              <w:t>6yrs-8yrs</w:t>
            </w:r>
          </w:p>
        </w:tc>
      </w:tr>
      <w:tr>
        <w:trPr>
          <w:trHeight w:val="200" w:hRule="exact"/>
        </w:trPr>
        <w:tc>
          <w:tcPr>
            <w:tcW w:w="2057" w:type="dxa"/>
          </w:tcPr>
          <w:p>
            <w:pPr/>
          </w:p>
        </w:tc>
        <w:tc>
          <w:tcPr>
            <w:tcW w:w="2090" w:type="dxa"/>
          </w:tcPr>
          <w:p>
            <w:pPr/>
          </w:p>
        </w:tc>
        <w:tc>
          <w:tcPr>
            <w:tcW w:w="2315" w:type="dxa"/>
          </w:tcPr>
          <w:p>
            <w:pPr>
              <w:pStyle w:val="TableParagraph"/>
              <w:spacing w:before="3"/>
              <w:ind w:right="468"/>
              <w:rPr>
                <w:sz w:val="16"/>
              </w:rPr>
            </w:pPr>
            <w:r>
              <w:rPr>
                <w:color w:val="231F20"/>
                <w:sz w:val="16"/>
              </w:rPr>
              <w:t>Illiquidity premium</w:t>
            </w:r>
          </w:p>
        </w:tc>
        <w:tc>
          <w:tcPr>
            <w:tcW w:w="1788" w:type="dxa"/>
          </w:tcPr>
          <w:p>
            <w:pPr/>
          </w:p>
        </w:tc>
        <w:tc>
          <w:tcPr>
            <w:tcW w:w="971" w:type="dxa"/>
          </w:tcPr>
          <w:p>
            <w:pPr>
              <w:pStyle w:val="TableParagraph"/>
              <w:spacing w:before="3"/>
              <w:ind w:right="48"/>
              <w:rPr>
                <w:sz w:val="16"/>
              </w:rPr>
            </w:pPr>
            <w:r>
              <w:rPr>
                <w:color w:val="231F20"/>
                <w:sz w:val="16"/>
              </w:rPr>
              <w:t>3%-5%</w:t>
            </w:r>
          </w:p>
        </w:tc>
      </w:tr>
      <w:tr>
        <w:trPr>
          <w:trHeight w:val="188" w:hRule="exact"/>
        </w:trPr>
        <w:tc>
          <w:tcPr>
            <w:tcW w:w="2057" w:type="dxa"/>
          </w:tcPr>
          <w:p>
            <w:pPr/>
          </w:p>
        </w:tc>
        <w:tc>
          <w:tcPr>
            <w:tcW w:w="2090" w:type="dxa"/>
          </w:tcPr>
          <w:p>
            <w:pPr/>
          </w:p>
        </w:tc>
        <w:tc>
          <w:tcPr>
            <w:tcW w:w="2315" w:type="dxa"/>
          </w:tcPr>
          <w:p>
            <w:pPr>
              <w:pStyle w:val="TableParagraph"/>
              <w:spacing w:before="3"/>
              <w:ind w:right="469"/>
              <w:rPr>
                <w:sz w:val="16"/>
              </w:rPr>
            </w:pPr>
            <w:r>
              <w:rPr>
                <w:color w:val="231F20"/>
                <w:sz w:val="16"/>
              </w:rPr>
              <w:t>Counterparty credit spread</w:t>
            </w:r>
          </w:p>
        </w:tc>
        <w:tc>
          <w:tcPr>
            <w:tcW w:w="1788" w:type="dxa"/>
          </w:tcPr>
          <w:p>
            <w:pPr/>
          </w:p>
        </w:tc>
        <w:tc>
          <w:tcPr>
            <w:tcW w:w="971" w:type="dxa"/>
          </w:tcPr>
          <w:p>
            <w:pPr>
              <w:pStyle w:val="TableParagraph"/>
              <w:spacing w:before="3"/>
              <w:ind w:right="48"/>
              <w:rPr>
                <w:sz w:val="16"/>
              </w:rPr>
            </w:pPr>
            <w:r>
              <w:rPr>
                <w:color w:val="231F20"/>
                <w:sz w:val="16"/>
              </w:rPr>
              <w:t>1%-3%</w:t>
            </w:r>
          </w:p>
        </w:tc>
      </w:tr>
    </w:tbl>
    <w:p>
      <w:pPr>
        <w:pStyle w:val="BodyText"/>
        <w:spacing w:before="8"/>
        <w:rPr>
          <w:b/>
          <w:sz w:val="14"/>
        </w:rPr>
      </w:pPr>
    </w:p>
    <w:p>
      <w:pPr>
        <w:pStyle w:val="BodyText"/>
        <w:spacing w:line="249" w:lineRule="auto" w:before="89"/>
        <w:ind w:left="160" w:right="324" w:firstLine="490"/>
      </w:pPr>
      <w:r>
        <w:rPr>
          <w:color w:val="231F20"/>
        </w:rPr>
        <w:t>The carrying amounts and estimated fair values of the Company’s long-term debt (including current maturities), as well as the applicable fair value hierarchy tier, at December 31, 2012,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Seven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pStyle w:val="BodyText"/>
        <w:spacing w:before="5"/>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5"/>
        <w:gridCol w:w="155"/>
        <w:gridCol w:w="1000"/>
        <w:gridCol w:w="200"/>
        <w:gridCol w:w="1200"/>
        <w:gridCol w:w="200"/>
        <w:gridCol w:w="1230"/>
      </w:tblGrid>
      <w:tr>
        <w:trPr>
          <w:trHeight w:val="450" w:hRule="exact"/>
        </w:trPr>
        <w:tc>
          <w:tcPr>
            <w:tcW w:w="523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1000" w:type="dxa"/>
            <w:tcBorders>
              <w:bottom w:val="single" w:sz="8" w:space="0" w:color="231F20"/>
            </w:tcBorders>
          </w:tcPr>
          <w:p>
            <w:pPr>
              <w:pStyle w:val="TableParagraph"/>
              <w:spacing w:line="254" w:lineRule="auto"/>
              <w:ind w:left="294" w:right="126" w:hanging="150"/>
              <w:jc w:val="left"/>
              <w:rPr>
                <w:b/>
                <w:sz w:val="18"/>
              </w:rPr>
            </w:pPr>
            <w:r>
              <w:rPr>
                <w:b/>
                <w:color w:val="231F20"/>
                <w:sz w:val="18"/>
              </w:rPr>
              <w:t>Carrying value</w:t>
            </w:r>
          </w:p>
        </w:tc>
        <w:tc>
          <w:tcPr>
            <w:tcW w:w="200" w:type="dxa"/>
          </w:tcPr>
          <w:p>
            <w:pPr/>
          </w:p>
        </w:tc>
        <w:tc>
          <w:tcPr>
            <w:tcW w:w="1200" w:type="dxa"/>
            <w:tcBorders>
              <w:bottom w:val="single" w:sz="8" w:space="0" w:color="231F20"/>
            </w:tcBorders>
          </w:tcPr>
          <w:p>
            <w:pPr>
              <w:pStyle w:val="TableParagraph"/>
              <w:spacing w:line="254" w:lineRule="auto"/>
              <w:ind w:left="394" w:right="29" w:hanging="348"/>
              <w:jc w:val="left"/>
              <w:rPr>
                <w:b/>
                <w:sz w:val="18"/>
              </w:rPr>
            </w:pPr>
            <w:r>
              <w:rPr>
                <w:b/>
                <w:color w:val="231F20"/>
                <w:sz w:val="18"/>
              </w:rPr>
              <w:t>Estimated fair value</w:t>
            </w:r>
          </w:p>
        </w:tc>
        <w:tc>
          <w:tcPr>
            <w:tcW w:w="200" w:type="dxa"/>
          </w:tcPr>
          <w:p>
            <w:pPr/>
          </w:p>
        </w:tc>
        <w:tc>
          <w:tcPr>
            <w:tcW w:w="1230" w:type="dxa"/>
            <w:tcBorders>
              <w:bottom w:val="single" w:sz="8" w:space="0" w:color="231F20"/>
            </w:tcBorders>
          </w:tcPr>
          <w:p>
            <w:pPr>
              <w:pStyle w:val="TableParagraph"/>
              <w:spacing w:line="254" w:lineRule="auto"/>
              <w:ind w:left="214" w:right="31" w:hanging="215"/>
              <w:jc w:val="left"/>
              <w:rPr>
                <w:b/>
                <w:sz w:val="18"/>
              </w:rPr>
            </w:pPr>
            <w:r>
              <w:rPr>
                <w:b/>
                <w:color w:val="231F20"/>
                <w:sz w:val="18"/>
              </w:rPr>
              <w:t>Fair value level hierarchy</w:t>
            </w:r>
          </w:p>
        </w:tc>
      </w:tr>
      <w:tr>
        <w:trPr>
          <w:trHeight w:val="280" w:hRule="exact"/>
        </w:trPr>
        <w:tc>
          <w:tcPr>
            <w:tcW w:w="5235" w:type="dxa"/>
            <w:tcBorders>
              <w:top w:val="single" w:sz="8" w:space="0" w:color="231F20"/>
            </w:tcBorders>
          </w:tcPr>
          <w:p>
            <w:pPr>
              <w:pStyle w:val="TableParagraph"/>
              <w:spacing w:before="52"/>
              <w:ind w:left="50"/>
              <w:jc w:val="left"/>
              <w:rPr>
                <w:sz w:val="18"/>
              </w:rPr>
            </w:pPr>
            <w:r>
              <w:rPr>
                <w:color w:val="231F20"/>
                <w:sz w:val="18"/>
              </w:rPr>
              <w:t>5.25% Notes due 2014   . . . . . . . . . . . . . . . . . . . . . . . . . . . . . . . . . . . . . . </w:t>
            </w:r>
          </w:p>
        </w:tc>
        <w:tc>
          <w:tcPr>
            <w:tcW w:w="155" w:type="dxa"/>
          </w:tcPr>
          <w:p>
            <w:pPr/>
          </w:p>
        </w:tc>
        <w:tc>
          <w:tcPr>
            <w:tcW w:w="1000" w:type="dxa"/>
            <w:tcBorders>
              <w:top w:val="single" w:sz="8" w:space="0" w:color="231F20"/>
            </w:tcBorders>
          </w:tcPr>
          <w:p>
            <w:pPr>
              <w:pStyle w:val="TableParagraph"/>
              <w:spacing w:before="52"/>
              <w:rPr>
                <w:sz w:val="18"/>
              </w:rPr>
            </w:pPr>
            <w:r>
              <w:rPr>
                <w:color w:val="231F20"/>
                <w:sz w:val="18"/>
              </w:rPr>
              <w:t>366</w:t>
            </w:r>
          </w:p>
        </w:tc>
        <w:tc>
          <w:tcPr>
            <w:tcW w:w="200" w:type="dxa"/>
          </w:tcPr>
          <w:p>
            <w:pPr/>
          </w:p>
        </w:tc>
        <w:tc>
          <w:tcPr>
            <w:tcW w:w="1200" w:type="dxa"/>
            <w:tcBorders>
              <w:top w:val="single" w:sz="8" w:space="0" w:color="231F20"/>
            </w:tcBorders>
          </w:tcPr>
          <w:p>
            <w:pPr>
              <w:pStyle w:val="TableParagraph"/>
              <w:spacing w:before="52"/>
              <w:rPr>
                <w:sz w:val="18"/>
              </w:rPr>
            </w:pPr>
            <w:r>
              <w:rPr>
                <w:color w:val="231F20"/>
                <w:sz w:val="18"/>
              </w:rPr>
              <w:t>385</w:t>
            </w:r>
          </w:p>
        </w:tc>
        <w:tc>
          <w:tcPr>
            <w:tcW w:w="200" w:type="dxa"/>
          </w:tcPr>
          <w:p>
            <w:pPr/>
          </w:p>
        </w:tc>
        <w:tc>
          <w:tcPr>
            <w:tcW w:w="1230" w:type="dxa"/>
            <w:tcBorders>
              <w:top w:val="single" w:sz="8" w:space="0" w:color="231F20"/>
            </w:tcBorders>
          </w:tcPr>
          <w:p>
            <w:pPr>
              <w:pStyle w:val="TableParagraph"/>
              <w:spacing w:before="52"/>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5.75% Notes due 2016   . . . . . . . . . . . . . . . . . . . . . . . . . . . . . . . . . . . . . . </w:t>
            </w:r>
          </w:p>
        </w:tc>
        <w:tc>
          <w:tcPr>
            <w:tcW w:w="155" w:type="dxa"/>
          </w:tcPr>
          <w:p>
            <w:pPr/>
          </w:p>
        </w:tc>
        <w:tc>
          <w:tcPr>
            <w:tcW w:w="1000" w:type="dxa"/>
          </w:tcPr>
          <w:p>
            <w:pPr>
              <w:pStyle w:val="TableParagraph"/>
              <w:spacing w:before="1"/>
              <w:rPr>
                <w:sz w:val="18"/>
              </w:rPr>
            </w:pPr>
            <w:r>
              <w:rPr>
                <w:color w:val="231F20"/>
                <w:sz w:val="18"/>
              </w:rPr>
              <w:t>331</w:t>
            </w:r>
          </w:p>
        </w:tc>
        <w:tc>
          <w:tcPr>
            <w:tcW w:w="200" w:type="dxa"/>
          </w:tcPr>
          <w:p>
            <w:pPr/>
          </w:p>
        </w:tc>
        <w:tc>
          <w:tcPr>
            <w:tcW w:w="1200" w:type="dxa"/>
          </w:tcPr>
          <w:p>
            <w:pPr>
              <w:pStyle w:val="TableParagraph"/>
              <w:spacing w:before="1"/>
              <w:rPr>
                <w:sz w:val="18"/>
              </w:rPr>
            </w:pPr>
            <w:r>
              <w:rPr>
                <w:color w:val="231F20"/>
                <w:sz w:val="18"/>
              </w:rPr>
              <w:t>370</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5.25% Convertible Senior Notes due 2016 . . . . . . . . . . . . . . . . . . . . . . . </w:t>
            </w:r>
          </w:p>
        </w:tc>
        <w:tc>
          <w:tcPr>
            <w:tcW w:w="155" w:type="dxa"/>
          </w:tcPr>
          <w:p>
            <w:pPr/>
          </w:p>
        </w:tc>
        <w:tc>
          <w:tcPr>
            <w:tcW w:w="1000" w:type="dxa"/>
          </w:tcPr>
          <w:p>
            <w:pPr>
              <w:pStyle w:val="TableParagraph"/>
              <w:spacing w:before="1"/>
              <w:rPr>
                <w:sz w:val="18"/>
              </w:rPr>
            </w:pPr>
            <w:r>
              <w:rPr>
                <w:color w:val="231F20"/>
                <w:sz w:val="18"/>
              </w:rPr>
              <w:t>117</w:t>
            </w:r>
          </w:p>
        </w:tc>
        <w:tc>
          <w:tcPr>
            <w:tcW w:w="200" w:type="dxa"/>
          </w:tcPr>
          <w:p>
            <w:pPr/>
          </w:p>
        </w:tc>
        <w:tc>
          <w:tcPr>
            <w:tcW w:w="1200" w:type="dxa"/>
          </w:tcPr>
          <w:p>
            <w:pPr>
              <w:pStyle w:val="TableParagraph"/>
              <w:spacing w:before="1"/>
              <w:rPr>
                <w:sz w:val="18"/>
              </w:rPr>
            </w:pPr>
            <w:r>
              <w:rPr>
                <w:color w:val="231F20"/>
                <w:sz w:val="18"/>
              </w:rPr>
              <w:t>127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5.125% Notes due 2017   . . . . . . . . . . . . . . . . . . . . . . . . . . . . . . . . . . . . . </w:t>
            </w:r>
          </w:p>
        </w:tc>
        <w:tc>
          <w:tcPr>
            <w:tcW w:w="155" w:type="dxa"/>
          </w:tcPr>
          <w:p>
            <w:pPr/>
          </w:p>
        </w:tc>
        <w:tc>
          <w:tcPr>
            <w:tcW w:w="1000" w:type="dxa"/>
          </w:tcPr>
          <w:p>
            <w:pPr>
              <w:pStyle w:val="TableParagraph"/>
              <w:spacing w:before="1"/>
              <w:rPr>
                <w:sz w:val="18"/>
              </w:rPr>
            </w:pPr>
            <w:r>
              <w:rPr>
                <w:color w:val="231F20"/>
                <w:sz w:val="18"/>
              </w:rPr>
              <w:t>329</w:t>
            </w:r>
          </w:p>
        </w:tc>
        <w:tc>
          <w:tcPr>
            <w:tcW w:w="200" w:type="dxa"/>
          </w:tcPr>
          <w:p>
            <w:pPr/>
          </w:p>
        </w:tc>
        <w:tc>
          <w:tcPr>
            <w:tcW w:w="1200" w:type="dxa"/>
          </w:tcPr>
          <w:p>
            <w:pPr>
              <w:pStyle w:val="TableParagraph"/>
              <w:spacing w:before="1"/>
              <w:rPr>
                <w:sz w:val="18"/>
              </w:rPr>
            </w:pPr>
            <w:r>
              <w:rPr>
                <w:color w:val="231F20"/>
                <w:sz w:val="18"/>
              </w:rPr>
              <w:t>357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Fixed-rate 717 Aircraft Notes payable through 2017—10.36%  . . . . . . . </w:t>
            </w:r>
          </w:p>
        </w:tc>
        <w:tc>
          <w:tcPr>
            <w:tcW w:w="155" w:type="dxa"/>
          </w:tcPr>
          <w:p>
            <w:pPr/>
          </w:p>
        </w:tc>
        <w:tc>
          <w:tcPr>
            <w:tcW w:w="1000" w:type="dxa"/>
          </w:tcPr>
          <w:p>
            <w:pPr>
              <w:pStyle w:val="TableParagraph"/>
              <w:spacing w:before="1"/>
              <w:rPr>
                <w:sz w:val="18"/>
              </w:rPr>
            </w:pPr>
            <w:r>
              <w:rPr>
                <w:color w:val="231F20"/>
                <w:sz w:val="18"/>
              </w:rPr>
              <w:t>57</w:t>
            </w:r>
          </w:p>
        </w:tc>
        <w:tc>
          <w:tcPr>
            <w:tcW w:w="200" w:type="dxa"/>
          </w:tcPr>
          <w:p>
            <w:pPr/>
          </w:p>
        </w:tc>
        <w:tc>
          <w:tcPr>
            <w:tcW w:w="1200" w:type="dxa"/>
          </w:tcPr>
          <w:p>
            <w:pPr>
              <w:pStyle w:val="TableParagraph"/>
              <w:spacing w:before="1"/>
              <w:rPr>
                <w:sz w:val="18"/>
              </w:rPr>
            </w:pPr>
            <w:r>
              <w:rPr>
                <w:color w:val="231F20"/>
                <w:sz w:val="18"/>
              </w:rPr>
              <w:t>57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French Credit Agreements due 2018—1.21%   . . . . . . . . . . . . . . . . . . . . </w:t>
            </w:r>
          </w:p>
        </w:tc>
        <w:tc>
          <w:tcPr>
            <w:tcW w:w="155" w:type="dxa"/>
          </w:tcPr>
          <w:p>
            <w:pPr/>
          </w:p>
        </w:tc>
        <w:tc>
          <w:tcPr>
            <w:tcW w:w="1000" w:type="dxa"/>
          </w:tcPr>
          <w:p>
            <w:pPr>
              <w:pStyle w:val="TableParagraph"/>
              <w:spacing w:before="1"/>
              <w:rPr>
                <w:sz w:val="18"/>
              </w:rPr>
            </w:pPr>
            <w:r>
              <w:rPr>
                <w:color w:val="231F20"/>
                <w:sz w:val="18"/>
              </w:rPr>
              <w:t>56</w:t>
            </w:r>
          </w:p>
        </w:tc>
        <w:tc>
          <w:tcPr>
            <w:tcW w:w="200" w:type="dxa"/>
          </w:tcPr>
          <w:p>
            <w:pPr/>
          </w:p>
        </w:tc>
        <w:tc>
          <w:tcPr>
            <w:tcW w:w="1200" w:type="dxa"/>
          </w:tcPr>
          <w:p>
            <w:pPr>
              <w:pStyle w:val="TableParagraph"/>
              <w:spacing w:before="1"/>
              <w:rPr>
                <w:sz w:val="18"/>
              </w:rPr>
            </w:pPr>
            <w:r>
              <w:rPr>
                <w:color w:val="231F20"/>
                <w:sz w:val="18"/>
              </w:rPr>
              <w:t>56</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Fixed-rate 737 Aircraft Notes payable through 2018—7.02%  . . . . . . . . </w:t>
            </w:r>
          </w:p>
        </w:tc>
        <w:tc>
          <w:tcPr>
            <w:tcW w:w="155" w:type="dxa"/>
          </w:tcPr>
          <w:p>
            <w:pPr/>
          </w:p>
        </w:tc>
        <w:tc>
          <w:tcPr>
            <w:tcW w:w="1000" w:type="dxa"/>
          </w:tcPr>
          <w:p>
            <w:pPr>
              <w:pStyle w:val="TableParagraph"/>
              <w:spacing w:before="1"/>
              <w:rPr>
                <w:sz w:val="18"/>
              </w:rPr>
            </w:pPr>
            <w:r>
              <w:rPr>
                <w:color w:val="231F20"/>
                <w:sz w:val="18"/>
              </w:rPr>
              <w:t>36</w:t>
            </w:r>
          </w:p>
        </w:tc>
        <w:tc>
          <w:tcPr>
            <w:tcW w:w="200" w:type="dxa"/>
          </w:tcPr>
          <w:p>
            <w:pPr/>
          </w:p>
        </w:tc>
        <w:tc>
          <w:tcPr>
            <w:tcW w:w="1200" w:type="dxa"/>
          </w:tcPr>
          <w:p>
            <w:pPr>
              <w:pStyle w:val="TableParagraph"/>
              <w:spacing w:before="1"/>
              <w:rPr>
                <w:sz w:val="18"/>
              </w:rPr>
            </w:pPr>
            <w:r>
              <w:rPr>
                <w:color w:val="231F20"/>
                <w:sz w:val="18"/>
              </w:rPr>
              <w:t>38</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2019—6.315%  . . . . . . . . . . . . . . . . . . . . . . </w:t>
            </w:r>
          </w:p>
        </w:tc>
        <w:tc>
          <w:tcPr>
            <w:tcW w:w="155" w:type="dxa"/>
          </w:tcPr>
          <w:p>
            <w:pPr/>
          </w:p>
        </w:tc>
        <w:tc>
          <w:tcPr>
            <w:tcW w:w="1000" w:type="dxa"/>
          </w:tcPr>
          <w:p>
            <w:pPr>
              <w:pStyle w:val="TableParagraph"/>
              <w:spacing w:before="1"/>
              <w:rPr>
                <w:sz w:val="18"/>
              </w:rPr>
            </w:pPr>
            <w:r>
              <w:rPr>
                <w:color w:val="231F20"/>
                <w:sz w:val="18"/>
              </w:rPr>
              <w:t>241</w:t>
            </w:r>
          </w:p>
        </w:tc>
        <w:tc>
          <w:tcPr>
            <w:tcW w:w="200" w:type="dxa"/>
          </w:tcPr>
          <w:p>
            <w:pPr/>
          </w:p>
        </w:tc>
        <w:tc>
          <w:tcPr>
            <w:tcW w:w="1200" w:type="dxa"/>
          </w:tcPr>
          <w:p>
            <w:pPr>
              <w:pStyle w:val="TableParagraph"/>
              <w:spacing w:before="1"/>
              <w:rPr>
                <w:sz w:val="18"/>
              </w:rPr>
            </w:pPr>
            <w:r>
              <w:rPr>
                <w:color w:val="231F20"/>
                <w:sz w:val="18"/>
              </w:rPr>
              <w:t>242</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2019—6.84%  . . . . . . . . . . . . . . . . . . . . . . . </w:t>
            </w:r>
          </w:p>
        </w:tc>
        <w:tc>
          <w:tcPr>
            <w:tcW w:w="155" w:type="dxa"/>
          </w:tcPr>
          <w:p>
            <w:pPr/>
          </w:p>
        </w:tc>
        <w:tc>
          <w:tcPr>
            <w:tcW w:w="1000" w:type="dxa"/>
          </w:tcPr>
          <w:p>
            <w:pPr>
              <w:pStyle w:val="TableParagraph"/>
              <w:spacing w:before="1"/>
              <w:rPr>
                <w:sz w:val="18"/>
              </w:rPr>
            </w:pPr>
            <w:r>
              <w:rPr>
                <w:color w:val="231F20"/>
                <w:sz w:val="18"/>
              </w:rPr>
              <w:t>95</w:t>
            </w:r>
          </w:p>
        </w:tc>
        <w:tc>
          <w:tcPr>
            <w:tcW w:w="200" w:type="dxa"/>
          </w:tcPr>
          <w:p>
            <w:pPr/>
          </w:p>
        </w:tc>
        <w:tc>
          <w:tcPr>
            <w:tcW w:w="1200" w:type="dxa"/>
          </w:tcPr>
          <w:p>
            <w:pPr>
              <w:pStyle w:val="TableParagraph"/>
              <w:spacing w:before="1"/>
              <w:rPr>
                <w:sz w:val="18"/>
              </w:rPr>
            </w:pPr>
            <w:r>
              <w:rPr>
                <w:color w:val="231F20"/>
                <w:sz w:val="18"/>
              </w:rPr>
              <w:t>103</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2020—5.223%  . . . . . . . . . . . . . . . . . . . . . . </w:t>
            </w:r>
          </w:p>
        </w:tc>
        <w:tc>
          <w:tcPr>
            <w:tcW w:w="155" w:type="dxa"/>
          </w:tcPr>
          <w:p>
            <w:pPr/>
          </w:p>
        </w:tc>
        <w:tc>
          <w:tcPr>
            <w:tcW w:w="1000" w:type="dxa"/>
          </w:tcPr>
          <w:p>
            <w:pPr>
              <w:pStyle w:val="TableParagraph"/>
              <w:spacing w:before="1"/>
              <w:rPr>
                <w:sz w:val="18"/>
              </w:rPr>
            </w:pPr>
            <w:r>
              <w:rPr>
                <w:color w:val="231F20"/>
                <w:sz w:val="18"/>
              </w:rPr>
              <w:t>451</w:t>
            </w:r>
          </w:p>
        </w:tc>
        <w:tc>
          <w:tcPr>
            <w:tcW w:w="200" w:type="dxa"/>
          </w:tcPr>
          <w:p>
            <w:pPr/>
          </w:p>
        </w:tc>
        <w:tc>
          <w:tcPr>
            <w:tcW w:w="1200" w:type="dxa"/>
          </w:tcPr>
          <w:p>
            <w:pPr>
              <w:pStyle w:val="TableParagraph"/>
              <w:spacing w:before="1"/>
              <w:rPr>
                <w:sz w:val="18"/>
              </w:rPr>
            </w:pPr>
            <w:r>
              <w:rPr>
                <w:color w:val="231F20"/>
                <w:sz w:val="18"/>
              </w:rPr>
              <w:t>406</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Floating-rate 737 Aircraft Notes payable through 2020  . . . . . . . . . . . . . </w:t>
            </w:r>
          </w:p>
        </w:tc>
        <w:tc>
          <w:tcPr>
            <w:tcW w:w="155" w:type="dxa"/>
          </w:tcPr>
          <w:p>
            <w:pPr/>
          </w:p>
        </w:tc>
        <w:tc>
          <w:tcPr>
            <w:tcW w:w="1000" w:type="dxa"/>
          </w:tcPr>
          <w:p>
            <w:pPr>
              <w:pStyle w:val="TableParagraph"/>
              <w:spacing w:before="1"/>
              <w:rPr>
                <w:sz w:val="18"/>
              </w:rPr>
            </w:pPr>
            <w:r>
              <w:rPr>
                <w:color w:val="231F20"/>
                <w:sz w:val="18"/>
              </w:rPr>
              <w:t>527</w:t>
            </w:r>
          </w:p>
        </w:tc>
        <w:tc>
          <w:tcPr>
            <w:tcW w:w="200" w:type="dxa"/>
          </w:tcPr>
          <w:p>
            <w:pPr/>
          </w:p>
        </w:tc>
        <w:tc>
          <w:tcPr>
            <w:tcW w:w="1200" w:type="dxa"/>
          </w:tcPr>
          <w:p>
            <w:pPr>
              <w:pStyle w:val="TableParagraph"/>
              <w:spacing w:before="1"/>
              <w:rPr>
                <w:sz w:val="18"/>
              </w:rPr>
            </w:pPr>
            <w:r>
              <w:rPr>
                <w:color w:val="231F20"/>
                <w:sz w:val="18"/>
              </w:rPr>
              <w:t>507</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Pass Through Certificates due 2022—6.24%  . . . . . . . . . . . . . . . . . . . . . </w:t>
            </w:r>
          </w:p>
        </w:tc>
        <w:tc>
          <w:tcPr>
            <w:tcW w:w="155" w:type="dxa"/>
          </w:tcPr>
          <w:p>
            <w:pPr/>
          </w:p>
        </w:tc>
        <w:tc>
          <w:tcPr>
            <w:tcW w:w="1000" w:type="dxa"/>
          </w:tcPr>
          <w:p>
            <w:pPr>
              <w:pStyle w:val="TableParagraph"/>
              <w:spacing w:before="1"/>
              <w:rPr>
                <w:sz w:val="18"/>
              </w:rPr>
            </w:pPr>
            <w:r>
              <w:rPr>
                <w:color w:val="231F20"/>
                <w:sz w:val="18"/>
              </w:rPr>
              <w:t>394</w:t>
            </w:r>
          </w:p>
        </w:tc>
        <w:tc>
          <w:tcPr>
            <w:tcW w:w="200" w:type="dxa"/>
          </w:tcPr>
          <w:p>
            <w:pPr/>
          </w:p>
        </w:tc>
        <w:tc>
          <w:tcPr>
            <w:tcW w:w="1200" w:type="dxa"/>
          </w:tcPr>
          <w:p>
            <w:pPr>
              <w:pStyle w:val="TableParagraph"/>
              <w:spacing w:before="1"/>
              <w:rPr>
                <w:sz w:val="18"/>
              </w:rPr>
            </w:pPr>
            <w:r>
              <w:rPr>
                <w:color w:val="231F20"/>
                <w:sz w:val="18"/>
              </w:rPr>
              <w:t>448</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08" w:hRule="exact"/>
        </w:trPr>
        <w:tc>
          <w:tcPr>
            <w:tcW w:w="5235" w:type="dxa"/>
          </w:tcPr>
          <w:p>
            <w:pPr>
              <w:pStyle w:val="TableParagraph"/>
              <w:spacing w:before="1"/>
              <w:ind w:left="50"/>
              <w:jc w:val="left"/>
              <w:rPr>
                <w:sz w:val="18"/>
              </w:rPr>
            </w:pPr>
            <w:r>
              <w:rPr>
                <w:color w:val="231F20"/>
                <w:sz w:val="18"/>
              </w:rPr>
              <w:t>7.375% Debentures due 2027  . . . . . . . . . . . . . . . . . . . . . . . . . . . . . . . . . </w:t>
            </w:r>
          </w:p>
        </w:tc>
        <w:tc>
          <w:tcPr>
            <w:tcW w:w="155" w:type="dxa"/>
          </w:tcPr>
          <w:p>
            <w:pPr/>
          </w:p>
        </w:tc>
        <w:tc>
          <w:tcPr>
            <w:tcW w:w="1000" w:type="dxa"/>
          </w:tcPr>
          <w:p>
            <w:pPr>
              <w:pStyle w:val="TableParagraph"/>
              <w:spacing w:before="1"/>
              <w:rPr>
                <w:sz w:val="18"/>
              </w:rPr>
            </w:pPr>
            <w:r>
              <w:rPr>
                <w:color w:val="231F20"/>
                <w:sz w:val="18"/>
              </w:rPr>
              <w:t>138</w:t>
            </w:r>
          </w:p>
        </w:tc>
        <w:tc>
          <w:tcPr>
            <w:tcW w:w="200" w:type="dxa"/>
          </w:tcPr>
          <w:p>
            <w:pPr/>
          </w:p>
        </w:tc>
        <w:tc>
          <w:tcPr>
            <w:tcW w:w="1200" w:type="dxa"/>
          </w:tcPr>
          <w:p>
            <w:pPr>
              <w:pStyle w:val="TableParagraph"/>
              <w:spacing w:before="1"/>
              <w:rPr>
                <w:sz w:val="18"/>
              </w:rPr>
            </w:pPr>
            <w:r>
              <w:rPr>
                <w:color w:val="231F20"/>
                <w:sz w:val="18"/>
              </w:rPr>
              <w:t>154</w:t>
            </w:r>
          </w:p>
        </w:tc>
        <w:tc>
          <w:tcPr>
            <w:tcW w:w="200" w:type="dxa"/>
          </w:tcPr>
          <w:p>
            <w:pPr/>
          </w:p>
        </w:tc>
        <w:tc>
          <w:tcPr>
            <w:tcW w:w="1230" w:type="dxa"/>
          </w:tcPr>
          <w:p>
            <w:pPr>
              <w:pStyle w:val="TableParagraph"/>
              <w:spacing w:before="1"/>
              <w:ind w:right="48"/>
              <w:rPr>
                <w:sz w:val="18"/>
              </w:rPr>
            </w:pPr>
            <w:r>
              <w:rPr>
                <w:color w:val="231F20"/>
                <w:sz w:val="18"/>
              </w:rPr>
              <w:t>Level 2</w:t>
            </w:r>
          </w:p>
        </w:tc>
      </w:tr>
    </w:tbl>
    <w:p>
      <w:pPr>
        <w:spacing w:after="0"/>
        <w:rPr>
          <w:sz w:val="18"/>
        </w:rPr>
        <w:sectPr>
          <w:pgSz w:w="11880" w:h="15480"/>
          <w:pgMar w:header="0" w:footer="1253" w:top="1240" w:bottom="1440" w:left="1220" w:right="1220"/>
        </w:sectPr>
      </w:pPr>
    </w:p>
    <w:p>
      <w:pPr>
        <w:pStyle w:val="Heading3"/>
        <w:numPr>
          <w:ilvl w:val="0"/>
          <w:numId w:val="13"/>
        </w:numPr>
        <w:tabs>
          <w:tab w:pos="460" w:val="left" w:leader="none"/>
        </w:tabs>
        <w:spacing w:line="240" w:lineRule="auto" w:before="73" w:after="0"/>
        <w:ind w:left="460" w:right="0" w:hanging="300"/>
        <w:jc w:val="left"/>
      </w:pPr>
      <w:r>
        <w:rPr>
          <w:color w:val="231F20"/>
        </w:rPr>
        <w:t>ACCUMULATED OTHER COMPREHENSIVE INCOME</w:t>
      </w:r>
      <w:r>
        <w:rPr>
          <w:color w:val="231F20"/>
          <w:spacing w:val="-9"/>
        </w:rPr>
        <w:t> </w:t>
      </w:r>
      <w:r>
        <w:rPr>
          <w:color w:val="231F20"/>
        </w:rPr>
        <w:t>(LOSS)</w:t>
      </w:r>
    </w:p>
    <w:p>
      <w:pPr>
        <w:pStyle w:val="BodyText"/>
        <w:spacing w:line="249" w:lineRule="auto" w:before="124"/>
        <w:ind w:left="160" w:right="581"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2012 and 2011:</w:t>
      </w:r>
    </w:p>
    <w:p>
      <w:pPr>
        <w:pStyle w:val="BodyText"/>
        <w:spacing w:before="2"/>
        <w:rPr>
          <w:sz w:val="12"/>
        </w:rPr>
      </w:pPr>
    </w:p>
    <w:p>
      <w:pPr>
        <w:spacing w:after="0"/>
        <w:rPr>
          <w:sz w:val="12"/>
        </w:rPr>
        <w:sectPr>
          <w:pgSz w:w="11880" w:h="15480"/>
          <w:pgMar w:header="0" w:footer="1253" w:top="1240" w:bottom="1440" w:left="1220" w:right="1000"/>
        </w:sectPr>
      </w:pPr>
    </w:p>
    <w:p>
      <w:pPr>
        <w:pStyle w:val="BodyText"/>
        <w:rPr>
          <w:sz w:val="22"/>
        </w:rPr>
      </w:pPr>
    </w:p>
    <w:p>
      <w:pPr>
        <w:pStyle w:val="BodyText"/>
        <w:spacing w:before="8"/>
        <w:rPr>
          <w:sz w:val="27"/>
        </w:rPr>
      </w:pPr>
    </w:p>
    <w:p>
      <w:pPr>
        <w:pStyle w:val="Heading3"/>
        <w:ind w:left="160"/>
      </w:pPr>
      <w:r>
        <w:rPr>
          <w:color w:val="231F20"/>
        </w:rPr>
        <w:t>(in millions)</w:t>
      </w:r>
    </w:p>
    <w:p>
      <w:pPr>
        <w:pStyle w:val="BodyText"/>
        <w:spacing w:before="9"/>
        <w:rPr>
          <w:b/>
          <w:sz w:val="28"/>
        </w:rPr>
      </w:pPr>
      <w:r>
        <w:rPr/>
        <w:br w:type="column"/>
      </w:r>
      <w:r>
        <w:rPr>
          <w:b/>
          <w:sz w:val="28"/>
        </w:rPr>
      </w:r>
    </w:p>
    <w:p>
      <w:pPr>
        <w:spacing w:line="249" w:lineRule="auto" w:before="0"/>
        <w:ind w:left="160" w:right="-20" w:firstLine="4"/>
        <w:jc w:val="left"/>
        <w:rPr>
          <w:b/>
          <w:sz w:val="20"/>
        </w:rPr>
      </w:pPr>
      <w:r>
        <w:rPr>
          <w:b/>
          <w:color w:val="231F20"/>
          <w:sz w:val="20"/>
        </w:rPr>
        <w:t>Fuel hedge derivatives</w:t>
      </w:r>
    </w:p>
    <w:p>
      <w:pPr>
        <w:pStyle w:val="BodyText"/>
        <w:spacing w:before="9"/>
        <w:rPr>
          <w:b/>
          <w:sz w:val="28"/>
        </w:rPr>
      </w:pPr>
      <w:r>
        <w:rPr/>
        <w:br w:type="column"/>
      </w:r>
      <w:r>
        <w:rPr>
          <w:b/>
          <w:sz w:val="28"/>
        </w:rPr>
      </w:r>
    </w:p>
    <w:p>
      <w:pPr>
        <w:spacing w:before="0"/>
        <w:ind w:left="160" w:right="0" w:firstLine="0"/>
        <w:jc w:val="left"/>
        <w:rPr>
          <w:b/>
          <w:sz w:val="20"/>
        </w:rPr>
      </w:pPr>
      <w:r>
        <w:rPr>
          <w:b/>
          <w:color w:val="231F20"/>
          <w:sz w:val="20"/>
        </w:rPr>
        <w:t>Interest rate</w:t>
      </w:r>
    </w:p>
    <w:p>
      <w:pPr>
        <w:tabs>
          <w:tab w:pos="1785" w:val="left" w:leader="none"/>
        </w:tabs>
        <w:spacing w:before="9"/>
        <w:ind w:left="223" w:right="0" w:firstLine="0"/>
        <w:jc w:val="left"/>
        <w:rPr>
          <w:b/>
          <w:sz w:val="20"/>
        </w:rPr>
      </w:pPr>
      <w:r>
        <w:rPr/>
        <w:pict>
          <v:line style="position:absolute;mso-position-horizontal-relative:page;mso-position-vertical-relative:paragraph;z-index:-351520" from="308pt,13.28595pt" to="368pt,13.28595pt" stroked="true" strokeweight="1pt" strokecolor="#231f20">
            <v:stroke dashstyle="solid"/>
            <w10:wrap type="none"/>
          </v:line>
        </w:pict>
      </w:r>
      <w:r>
        <w:rPr/>
        <w:pict>
          <v:line style="position:absolute;mso-position-horizontal-relative:page;mso-position-vertical-relative:paragraph;z-index:-351496" from="378pt,13.28595pt" to="433pt,13.28595pt" stroked="true" strokeweight="1pt" strokecolor="#231f20">
            <v:stroke dashstyle="solid"/>
            <w10:wrap type="none"/>
          </v:line>
        </w:pict>
      </w:r>
      <w:r>
        <w:rPr/>
        <w:pict>
          <v:line style="position:absolute;mso-position-horizontal-relative:page;mso-position-vertical-relative:paragraph;z-index:-351472" from="308pt,53.53595pt" to="368pt,53.53595pt" stroked="true" strokeweight=".5pt" strokecolor="#231f20">
            <v:stroke dashstyle="solid"/>
            <w10:wrap type="none"/>
          </v:line>
        </w:pict>
      </w:r>
      <w:r>
        <w:rPr>
          <w:b/>
          <w:color w:val="231F20"/>
          <w:sz w:val="20"/>
        </w:rPr>
        <w:t>derivatives</w:t>
        <w:tab/>
        <w:t>Other</w:t>
      </w:r>
    </w:p>
    <w:p>
      <w:pPr>
        <w:spacing w:line="249" w:lineRule="auto" w:before="91"/>
        <w:ind w:left="160" w:right="37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00" w:bottom="280" w:left="1220" w:right="1000"/>
          <w:cols w:num="4" w:equalWidth="0">
            <w:col w:w="1189" w:space="2323"/>
            <w:col w:w="1094" w:space="242"/>
            <w:col w:w="2298" w:space="334"/>
            <w:col w:w="218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80"/>
        <w:gridCol w:w="150"/>
        <w:gridCol w:w="1206"/>
        <w:gridCol w:w="194"/>
        <w:gridCol w:w="4618"/>
      </w:tblGrid>
      <w:tr>
        <w:trPr>
          <w:trHeight w:val="304" w:hRule="exact"/>
        </w:trPr>
        <w:tc>
          <w:tcPr>
            <w:tcW w:w="3280" w:type="dxa"/>
            <w:tcBorders>
              <w:top w:val="single" w:sz="8" w:space="0" w:color="231F20"/>
            </w:tcBorders>
          </w:tcPr>
          <w:p>
            <w:pPr>
              <w:pStyle w:val="TableParagraph"/>
              <w:spacing w:before="53"/>
              <w:rPr>
                <w:sz w:val="20"/>
              </w:rPr>
            </w:pPr>
            <w:r>
              <w:rPr>
                <w:color w:val="231F20"/>
                <w:sz w:val="20"/>
              </w:rPr>
              <w:t>Balance at December 31, 2010 . . . . . . . </w:t>
            </w:r>
          </w:p>
        </w:tc>
        <w:tc>
          <w:tcPr>
            <w:tcW w:w="150" w:type="dxa"/>
          </w:tcPr>
          <w:p>
            <w:pPr/>
          </w:p>
        </w:tc>
        <w:tc>
          <w:tcPr>
            <w:tcW w:w="1206" w:type="dxa"/>
            <w:tcBorders>
              <w:top w:val="single" w:sz="8" w:space="0" w:color="231F20"/>
            </w:tcBorders>
          </w:tcPr>
          <w:p>
            <w:pPr>
              <w:pStyle w:val="TableParagraph"/>
              <w:tabs>
                <w:tab w:pos="712" w:val="left" w:leader="none"/>
              </w:tabs>
              <w:spacing w:before="53"/>
              <w:rPr>
                <w:sz w:val="20"/>
              </w:rPr>
            </w:pPr>
            <w:r>
              <w:rPr>
                <w:color w:val="231F20"/>
                <w:sz w:val="20"/>
              </w:rPr>
              <w:t>$</w:t>
              <w:tab/>
              <w:t>(250)</w:t>
            </w:r>
          </w:p>
        </w:tc>
        <w:tc>
          <w:tcPr>
            <w:tcW w:w="194" w:type="dxa"/>
          </w:tcPr>
          <w:p>
            <w:pPr/>
          </w:p>
        </w:tc>
        <w:tc>
          <w:tcPr>
            <w:tcW w:w="4618" w:type="dxa"/>
            <w:tcBorders>
              <w:top w:val="single" w:sz="8" w:space="0" w:color="231F20"/>
            </w:tcBorders>
          </w:tcPr>
          <w:p>
            <w:pPr>
              <w:pStyle w:val="TableParagraph"/>
              <w:tabs>
                <w:tab w:pos="872" w:val="left" w:leader="none"/>
                <w:tab w:pos="1459" w:val="left" w:leader="none"/>
                <w:tab w:pos="2239" w:val="left" w:leader="none"/>
                <w:tab w:pos="2759" w:val="left" w:leader="none"/>
                <w:tab w:pos="3912" w:val="left" w:leader="none"/>
              </w:tabs>
              <w:spacing w:before="53"/>
              <w:ind w:left="60"/>
              <w:jc w:val="left"/>
              <w:rPr>
                <w:sz w:val="20"/>
              </w:rPr>
            </w:pPr>
            <w:r>
              <w:rPr>
                <w:color w:val="231F20"/>
                <w:sz w:val="20"/>
              </w:rPr>
              <w:t>$</w:t>
              <w:tab/>
              <w:t>(34)</w:t>
              <w:tab/>
              <w:t>$</w:t>
              <w:tab/>
              <w:t>22</w:t>
              <w:tab/>
              <w:t>$</w:t>
              <w:tab/>
              <w:t>(262)</w:t>
            </w:r>
          </w:p>
        </w:tc>
      </w:tr>
      <w:tr>
        <w:trPr>
          <w:trHeight w:val="240" w:hRule="exact"/>
        </w:trPr>
        <w:tc>
          <w:tcPr>
            <w:tcW w:w="3280" w:type="dxa"/>
          </w:tcPr>
          <w:p>
            <w:pPr>
              <w:pStyle w:val="TableParagraph"/>
              <w:spacing w:line="229" w:lineRule="exact"/>
              <w:rPr>
                <w:sz w:val="20"/>
              </w:rPr>
            </w:pPr>
            <w:r>
              <w:rPr>
                <w:color w:val="231F20"/>
                <w:sz w:val="20"/>
              </w:rPr>
              <w:t>2011 changes in fair value  . . . . . . . . </w:t>
            </w:r>
          </w:p>
        </w:tc>
        <w:tc>
          <w:tcPr>
            <w:tcW w:w="150" w:type="dxa"/>
          </w:tcPr>
          <w:p>
            <w:pPr/>
          </w:p>
        </w:tc>
        <w:tc>
          <w:tcPr>
            <w:tcW w:w="1206" w:type="dxa"/>
          </w:tcPr>
          <w:p>
            <w:pPr>
              <w:pStyle w:val="TableParagraph"/>
              <w:spacing w:line="229" w:lineRule="exact"/>
              <w:rPr>
                <w:sz w:val="20"/>
              </w:rPr>
            </w:pPr>
            <w:r>
              <w:rPr>
                <w:color w:val="231F20"/>
                <w:sz w:val="20"/>
              </w:rPr>
              <w:t>(44)</w:t>
            </w:r>
          </w:p>
        </w:tc>
        <w:tc>
          <w:tcPr>
            <w:tcW w:w="194" w:type="dxa"/>
          </w:tcPr>
          <w:p>
            <w:pPr/>
          </w:p>
        </w:tc>
        <w:tc>
          <w:tcPr>
            <w:tcW w:w="4618" w:type="dxa"/>
          </w:tcPr>
          <w:p>
            <w:pPr>
              <w:pStyle w:val="TableParagraph"/>
              <w:tabs>
                <w:tab w:pos="1466" w:val="left" w:leader="none"/>
                <w:tab w:pos="3139" w:val="left" w:leader="none"/>
              </w:tabs>
              <w:spacing w:line="229" w:lineRule="exact"/>
              <w:ind w:right="48"/>
              <w:rPr>
                <w:sz w:val="20"/>
              </w:rPr>
            </w:pPr>
            <w:r>
              <w:rPr>
                <w:color w:val="231F20"/>
                <w:sz w:val="20"/>
              </w:rPr>
              <w:t>(32)</w:t>
              <w:tab/>
              <w:t>3</w:t>
              <w:tab/>
              <w:t>(73)(a)</w:t>
            </w:r>
          </w:p>
        </w:tc>
      </w:tr>
      <w:tr>
        <w:trPr>
          <w:trHeight w:val="261" w:hRule="exact"/>
        </w:trPr>
        <w:tc>
          <w:tcPr>
            <w:tcW w:w="3280" w:type="dxa"/>
          </w:tcPr>
          <w:p>
            <w:pPr>
              <w:pStyle w:val="TableParagraph"/>
              <w:spacing w:line="229" w:lineRule="exact"/>
              <w:rPr>
                <w:sz w:val="20"/>
              </w:rPr>
            </w:pPr>
            <w:r>
              <w:rPr>
                <w:color w:val="231F20"/>
                <w:sz w:val="20"/>
              </w:rPr>
              <w:t>Reclassification to earnings  . . . . . . . </w:t>
            </w:r>
          </w:p>
        </w:tc>
        <w:tc>
          <w:tcPr>
            <w:tcW w:w="150" w:type="dxa"/>
          </w:tcPr>
          <w:p>
            <w:pPr/>
          </w:p>
        </w:tc>
        <w:tc>
          <w:tcPr>
            <w:tcW w:w="1206" w:type="dxa"/>
            <w:tcBorders>
              <w:bottom w:val="single" w:sz="4" w:space="0" w:color="231F20"/>
            </w:tcBorders>
          </w:tcPr>
          <w:p>
            <w:pPr>
              <w:pStyle w:val="TableParagraph"/>
              <w:spacing w:line="229" w:lineRule="exact"/>
              <w:ind w:right="64"/>
              <w:rPr>
                <w:sz w:val="20"/>
              </w:rPr>
            </w:pPr>
            <w:r>
              <w:rPr>
                <w:color w:val="231F20"/>
                <w:sz w:val="20"/>
              </w:rPr>
              <w:t>111</w:t>
            </w:r>
          </w:p>
        </w:tc>
        <w:tc>
          <w:tcPr>
            <w:tcW w:w="194" w:type="dxa"/>
          </w:tcPr>
          <w:p>
            <w:pPr/>
          </w:p>
        </w:tc>
        <w:tc>
          <w:tcPr>
            <w:tcW w:w="4618" w:type="dxa"/>
            <w:tcBorders>
              <w:bottom w:val="single" w:sz="4" w:space="0" w:color="231F20"/>
            </w:tcBorders>
          </w:tcPr>
          <w:p>
            <w:pPr>
              <w:pStyle w:val="TableParagraph"/>
              <w:tabs>
                <w:tab w:pos="1299" w:val="left" w:leader="none"/>
                <w:tab w:pos="3139" w:val="left" w:leader="none"/>
              </w:tabs>
              <w:spacing w:line="229" w:lineRule="exact"/>
              <w:ind w:right="103"/>
              <w:rPr>
                <w:sz w:val="20"/>
              </w:rPr>
            </w:pPr>
            <w:r>
              <w:rPr>
                <w:color w:val="231F20"/>
                <w:sz w:val="20"/>
              </w:rPr>
              <w:t>—</w:t>
              <w:tab/>
              <w:t>—</w:t>
              <w:tab/>
              <w:t>111(b)</w:t>
            </w:r>
          </w:p>
        </w:tc>
      </w:tr>
      <w:tr>
        <w:trPr>
          <w:trHeight w:val="320" w:hRule="exact"/>
        </w:trPr>
        <w:tc>
          <w:tcPr>
            <w:tcW w:w="3280" w:type="dxa"/>
          </w:tcPr>
          <w:p>
            <w:pPr>
              <w:pStyle w:val="TableParagraph"/>
              <w:spacing w:before="58"/>
              <w:rPr>
                <w:sz w:val="20"/>
              </w:rPr>
            </w:pPr>
            <w:r>
              <w:rPr>
                <w:color w:val="231F20"/>
                <w:sz w:val="20"/>
              </w:rPr>
              <w:t>Balance at December 31, 2011 . . . . . . . </w:t>
            </w:r>
          </w:p>
        </w:tc>
        <w:tc>
          <w:tcPr>
            <w:tcW w:w="150" w:type="dxa"/>
          </w:tcPr>
          <w:p>
            <w:pPr/>
          </w:p>
        </w:tc>
        <w:tc>
          <w:tcPr>
            <w:tcW w:w="1206" w:type="dxa"/>
            <w:tcBorders>
              <w:top w:val="single" w:sz="4" w:space="0" w:color="231F20"/>
              <w:bottom w:val="single" w:sz="4" w:space="0" w:color="231F20"/>
            </w:tcBorders>
          </w:tcPr>
          <w:p>
            <w:pPr>
              <w:pStyle w:val="TableParagraph"/>
              <w:tabs>
                <w:tab w:pos="712" w:val="left" w:leader="none"/>
              </w:tabs>
              <w:spacing w:before="53"/>
              <w:rPr>
                <w:sz w:val="20"/>
              </w:rPr>
            </w:pPr>
            <w:r>
              <w:rPr>
                <w:color w:val="231F20"/>
                <w:sz w:val="20"/>
              </w:rPr>
              <w:t>$</w:t>
              <w:tab/>
              <w:t>(183)</w:t>
            </w:r>
          </w:p>
        </w:tc>
        <w:tc>
          <w:tcPr>
            <w:tcW w:w="194" w:type="dxa"/>
          </w:tcPr>
          <w:p>
            <w:pPr/>
          </w:p>
        </w:tc>
        <w:tc>
          <w:tcPr>
            <w:tcW w:w="4618" w:type="dxa"/>
            <w:tcBorders>
              <w:top w:val="single" w:sz="4" w:space="0" w:color="231F20"/>
              <w:bottom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872" w:val="left" w:leader="none"/>
                <w:tab w:pos="1459" w:val="left" w:leader="none"/>
                <w:tab w:pos="2239" w:val="left" w:leader="none"/>
                <w:tab w:pos="2759" w:val="left" w:leader="none"/>
                <w:tab w:pos="3912" w:val="left" w:leader="none"/>
              </w:tabs>
              <w:spacing w:before="33"/>
              <w:ind w:left="60"/>
              <w:jc w:val="left"/>
              <w:rPr>
                <w:sz w:val="20"/>
              </w:rPr>
            </w:pPr>
            <w:r>
              <w:rPr>
                <w:color w:val="231F20"/>
                <w:sz w:val="20"/>
              </w:rPr>
              <w:t>$</w:t>
              <w:tab/>
              <w:t>(66)</w:t>
              <w:tab/>
              <w:t>$</w:t>
              <w:tab/>
              <w:t>25</w:t>
              <w:tab/>
              <w:t>$</w:t>
              <w:tab/>
              <w:t>(224)</w:t>
            </w:r>
          </w:p>
        </w:tc>
      </w:tr>
      <w:tr>
        <w:trPr>
          <w:trHeight w:val="299" w:hRule="exact"/>
        </w:trPr>
        <w:tc>
          <w:tcPr>
            <w:tcW w:w="3280" w:type="dxa"/>
          </w:tcPr>
          <w:p>
            <w:pPr>
              <w:pStyle w:val="TableParagraph"/>
              <w:spacing w:before="58"/>
              <w:rPr>
                <w:sz w:val="20"/>
              </w:rPr>
            </w:pPr>
            <w:r>
              <w:rPr>
                <w:color w:val="231F20"/>
                <w:sz w:val="20"/>
              </w:rPr>
              <w:t>2012 changes in fair value  . . . . . . . . </w:t>
            </w:r>
          </w:p>
        </w:tc>
        <w:tc>
          <w:tcPr>
            <w:tcW w:w="150" w:type="dxa"/>
          </w:tcPr>
          <w:p>
            <w:pPr/>
          </w:p>
        </w:tc>
        <w:tc>
          <w:tcPr>
            <w:tcW w:w="1206" w:type="dxa"/>
            <w:tcBorders>
              <w:top w:val="single" w:sz="4" w:space="0" w:color="231F20"/>
            </w:tcBorders>
          </w:tcPr>
          <w:p>
            <w:pPr>
              <w:pStyle w:val="TableParagraph"/>
              <w:spacing w:before="53"/>
              <w:ind w:right="64"/>
              <w:rPr>
                <w:sz w:val="20"/>
              </w:rPr>
            </w:pPr>
            <w:r>
              <w:rPr>
                <w:color w:val="231F20"/>
                <w:sz w:val="20"/>
              </w:rPr>
              <w:t>19</w:t>
            </w:r>
          </w:p>
        </w:tc>
        <w:tc>
          <w:tcPr>
            <w:tcW w:w="194" w:type="dxa"/>
          </w:tcPr>
          <w:p>
            <w:pPr/>
          </w:p>
        </w:tc>
        <w:tc>
          <w:tcPr>
            <w:tcW w:w="4618" w:type="dxa"/>
            <w:tcBorders>
              <w:top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1199" w:val="left" w:leader="none"/>
                <w:tab w:pos="3206" w:val="left" w:leader="none"/>
              </w:tabs>
              <w:spacing w:before="33"/>
              <w:ind w:right="114"/>
              <w:rPr>
                <w:sz w:val="20"/>
              </w:rPr>
            </w:pPr>
            <w:r>
              <w:rPr>
                <w:color w:val="231F20"/>
                <w:sz w:val="20"/>
              </w:rPr>
              <w:t>(1)</w:t>
              <w:tab/>
              <w:t>(14)</w:t>
              <w:tab/>
            </w:r>
            <w:r>
              <w:rPr>
                <w:color w:val="231F20"/>
                <w:spacing w:val="-1"/>
                <w:sz w:val="20"/>
              </w:rPr>
              <w:t>4(c)</w:t>
            </w:r>
          </w:p>
        </w:tc>
      </w:tr>
      <w:tr>
        <w:trPr>
          <w:trHeight w:val="261" w:hRule="exact"/>
        </w:trPr>
        <w:tc>
          <w:tcPr>
            <w:tcW w:w="3280" w:type="dxa"/>
          </w:tcPr>
          <w:p>
            <w:pPr>
              <w:pStyle w:val="TableParagraph"/>
              <w:spacing w:line="229" w:lineRule="exact"/>
              <w:rPr>
                <w:sz w:val="20"/>
              </w:rPr>
            </w:pPr>
            <w:r>
              <w:rPr>
                <w:color w:val="231F20"/>
                <w:sz w:val="20"/>
              </w:rPr>
              <w:t>Reclassification to earnings  . . . . . . . </w:t>
            </w:r>
          </w:p>
        </w:tc>
        <w:tc>
          <w:tcPr>
            <w:tcW w:w="150" w:type="dxa"/>
          </w:tcPr>
          <w:p>
            <w:pPr/>
          </w:p>
        </w:tc>
        <w:tc>
          <w:tcPr>
            <w:tcW w:w="1206" w:type="dxa"/>
            <w:tcBorders>
              <w:bottom w:val="single" w:sz="4" w:space="0" w:color="231F20"/>
            </w:tcBorders>
          </w:tcPr>
          <w:p>
            <w:pPr>
              <w:pStyle w:val="TableParagraph"/>
              <w:spacing w:line="229" w:lineRule="exact"/>
              <w:ind w:right="64"/>
              <w:rPr>
                <w:sz w:val="20"/>
              </w:rPr>
            </w:pPr>
            <w:r>
              <w:rPr>
                <w:color w:val="231F20"/>
                <w:sz w:val="20"/>
              </w:rPr>
              <w:t>101</w:t>
            </w:r>
          </w:p>
        </w:tc>
        <w:tc>
          <w:tcPr>
            <w:tcW w:w="194" w:type="dxa"/>
          </w:tcPr>
          <w:p>
            <w:pPr/>
          </w:p>
        </w:tc>
        <w:tc>
          <w:tcPr>
            <w:tcW w:w="4618" w:type="dxa"/>
            <w:tcBorders>
              <w:bottom w:val="single" w:sz="4" w:space="0" w:color="231F20"/>
            </w:tcBorders>
          </w:tcPr>
          <w:p>
            <w:pPr>
              <w:pStyle w:val="TableParagraph"/>
              <w:tabs>
                <w:tab w:pos="1299" w:val="left" w:leader="none"/>
                <w:tab w:pos="3139" w:val="left" w:leader="none"/>
              </w:tabs>
              <w:spacing w:line="229" w:lineRule="exact"/>
              <w:ind w:right="103"/>
              <w:rPr>
                <w:sz w:val="20"/>
              </w:rPr>
            </w:pPr>
            <w:r>
              <w:rPr>
                <w:color w:val="231F20"/>
                <w:sz w:val="20"/>
              </w:rPr>
              <w:t>—</w:t>
              <w:tab/>
              <w:t>—</w:t>
              <w:tab/>
              <w:t>101(d)</w:t>
            </w:r>
          </w:p>
        </w:tc>
      </w:tr>
      <w:tr>
        <w:trPr>
          <w:trHeight w:val="360" w:hRule="exact"/>
        </w:trPr>
        <w:tc>
          <w:tcPr>
            <w:tcW w:w="3280" w:type="dxa"/>
          </w:tcPr>
          <w:p>
            <w:pPr>
              <w:pStyle w:val="TableParagraph"/>
              <w:spacing w:before="58"/>
              <w:rPr>
                <w:sz w:val="20"/>
              </w:rPr>
            </w:pPr>
            <w:r>
              <w:rPr>
                <w:color w:val="231F20"/>
                <w:sz w:val="20"/>
              </w:rPr>
              <w:t>Balance at December 31, 2012 . . . . . . . </w:t>
            </w:r>
          </w:p>
        </w:tc>
        <w:tc>
          <w:tcPr>
            <w:tcW w:w="150" w:type="dxa"/>
          </w:tcPr>
          <w:p>
            <w:pPr/>
          </w:p>
        </w:tc>
        <w:tc>
          <w:tcPr>
            <w:tcW w:w="1206" w:type="dxa"/>
            <w:tcBorders>
              <w:top w:val="single" w:sz="4" w:space="0" w:color="231F20"/>
              <w:bottom w:val="single" w:sz="4" w:space="0" w:color="231F20"/>
            </w:tcBorders>
          </w:tcPr>
          <w:p>
            <w:pPr>
              <w:pStyle w:val="TableParagraph"/>
              <w:tabs>
                <w:tab w:pos="812" w:val="left" w:leader="none"/>
              </w:tabs>
              <w:spacing w:before="53"/>
              <w:rPr>
                <w:sz w:val="20"/>
              </w:rPr>
            </w:pPr>
            <w:r>
              <w:rPr>
                <w:color w:val="231F20"/>
                <w:sz w:val="20"/>
              </w:rPr>
              <w:t>$</w:t>
              <w:tab/>
              <w:t>(63)</w:t>
            </w:r>
          </w:p>
        </w:tc>
        <w:tc>
          <w:tcPr>
            <w:tcW w:w="194" w:type="dxa"/>
          </w:tcPr>
          <w:p>
            <w:pPr/>
          </w:p>
        </w:tc>
        <w:tc>
          <w:tcPr>
            <w:tcW w:w="4618" w:type="dxa"/>
            <w:tcBorders>
              <w:top w:val="single" w:sz="4" w:space="0" w:color="231F20"/>
              <w:bottom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872" w:val="left" w:leader="none"/>
                <w:tab w:pos="1459" w:val="left" w:leader="none"/>
                <w:tab w:pos="2239" w:val="left" w:leader="none"/>
                <w:tab w:pos="2759" w:val="left" w:leader="none"/>
                <w:tab w:pos="3912" w:val="left" w:leader="none"/>
              </w:tabs>
              <w:spacing w:before="33"/>
              <w:ind w:left="60"/>
              <w:jc w:val="left"/>
              <w:rPr>
                <w:sz w:val="20"/>
              </w:rPr>
            </w:pPr>
            <w:r>
              <w:rPr>
                <w:color w:val="231F20"/>
                <w:sz w:val="20"/>
              </w:rPr>
              <w:t>$</w:t>
              <w:tab/>
              <w:t>(67)</w:t>
              <w:tab/>
              <w:t>$</w:t>
              <w:tab/>
              <w:t>11</w:t>
              <w:tab/>
              <w:t>$</w:t>
              <w:tab/>
              <w:t>(119)</w:t>
            </w:r>
          </w:p>
        </w:tc>
      </w:tr>
    </w:tbl>
    <w:p>
      <w:pPr>
        <w:pStyle w:val="BodyText"/>
        <w:spacing w:before="11"/>
        <w:rPr>
          <w:b/>
          <w:sz w:val="7"/>
        </w:rPr>
      </w:pPr>
    </w:p>
    <w:p>
      <w:pPr>
        <w:pStyle w:val="ListParagraph"/>
        <w:numPr>
          <w:ilvl w:val="0"/>
          <w:numId w:val="20"/>
        </w:numPr>
        <w:tabs>
          <w:tab w:pos="560" w:val="left" w:leader="none"/>
        </w:tabs>
        <w:spacing w:line="240" w:lineRule="auto" w:before="89" w:after="0"/>
        <w:ind w:left="560" w:right="0" w:hanging="400"/>
        <w:jc w:val="left"/>
        <w:rPr>
          <w:sz w:val="20"/>
        </w:rPr>
      </w:pPr>
      <w:r>
        <w:rPr/>
        <w:pict>
          <v:line style="position:absolute;mso-position-horizontal-relative:page;mso-position-vertical-relative:paragraph;z-index:-351448" from="308pt,-50.21405pt" to="368pt,-50.21405pt" stroked="true" strokeweight=".5pt" strokecolor="#231f20">
            <v:stroke dashstyle="solid"/>
            <w10:wrap type="none"/>
          </v:line>
        </w:pict>
      </w:r>
      <w:r>
        <w:rPr/>
        <w:pict>
          <v:line style="position:absolute;mso-position-horizontal-relative:page;mso-position-vertical-relative:paragraph;z-index:-351424" from="308pt,-22.21405pt" to="368pt,-22.21405pt" stroked="true" strokeweight=".5pt" strokecolor="#231f20">
            <v:stroke dashstyle="solid"/>
            <w10:wrap type="none"/>
          </v:line>
        </w:pict>
      </w:r>
      <w:r>
        <w:rPr/>
        <w:pict>
          <v:line style="position:absolute;mso-position-horizontal-relative:page;mso-position-vertical-relative:paragraph;z-index:-351400" from="238pt,-6.21405pt" to="298pt,-6.21405pt" stroked="true" strokeweight=".5pt" strokecolor="#231f20">
            <v:stroke dashstyle="solid"/>
            <w10:wrap type="none"/>
          </v:line>
        </w:pict>
      </w:r>
      <w:r>
        <w:rPr/>
        <w:pict>
          <v:shape style="position:absolute;margin-left:308pt;margin-top:-6.21405pt;width:60pt;height:2pt;mso-position-horizontal-relative:page;mso-position-vertical-relative:paragraph;z-index:-351376" coordorigin="6160,-124" coordsize="1200,40" path="m6160,-124l7360,-124m6160,-84l7360,-84e" filled="false" stroked="true" strokeweight=".5pt" strokecolor="#231f20">
            <v:path arrowok="t"/>
            <v:stroke dashstyle="solid"/>
            <w10:wrap type="none"/>
          </v:shape>
        </w:pict>
      </w:r>
      <w:r>
        <w:rPr/>
        <w:pict>
          <v:shape style="position:absolute;margin-left:378pt;margin-top:-6.21405pt;width:55pt;height:2pt;mso-position-horizontal-relative:page;mso-position-vertical-relative:paragraph;z-index:-351352" coordorigin="7560,-124" coordsize="1100,40" path="m7560,-124l8660,-124m7560,-84l8660,-84e" filled="false" stroked="true" strokeweight=".5pt" strokecolor="#231f20">
            <v:path arrowok="t"/>
            <v:stroke dashstyle="solid"/>
            <w10:wrap type="none"/>
          </v:shape>
        </w:pict>
      </w:r>
      <w:r>
        <w:rPr/>
        <w:pict>
          <v:line style="position:absolute;mso-position-horizontal-relative:page;mso-position-vertical-relative:paragraph;z-index:-351328" from="443pt,-6.21405pt" to="525pt,-6.21405pt" stroked="true" strokeweight=".5pt" strokecolor="#231f20">
            <v:stroke dashstyle="solid"/>
            <w10:wrap type="none"/>
          </v:line>
        </w:pict>
      </w:r>
      <w:r>
        <w:rPr>
          <w:color w:val="231F20"/>
          <w:sz w:val="20"/>
        </w:rPr>
        <w:t>Net of deferred taxes of ($46)</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$69</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$3</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$63</w:t>
      </w:r>
      <w:r>
        <w:rPr>
          <w:color w:val="231F20"/>
          <w:spacing w:val="2"/>
          <w:sz w:val="20"/>
        </w:rPr>
        <w:t> </w:t>
      </w:r>
      <w:r>
        <w:rPr>
          <w:color w:val="231F20"/>
          <w:sz w:val="20"/>
        </w:rPr>
        <w:t>million.</w:t>
      </w:r>
    </w:p>
    <w:p>
      <w:pPr>
        <w:pStyle w:val="BodyText"/>
        <w:rPr>
          <w:sz w:val="31"/>
        </w:rPr>
      </w:pPr>
    </w:p>
    <w:p>
      <w:pPr>
        <w:pStyle w:val="Heading3"/>
        <w:numPr>
          <w:ilvl w:val="0"/>
          <w:numId w:val="13"/>
        </w:numPr>
        <w:tabs>
          <w:tab w:pos="460" w:val="left" w:leader="none"/>
        </w:tabs>
        <w:spacing w:line="240" w:lineRule="auto" w:before="0" w:after="0"/>
        <w:ind w:left="460" w:right="0" w:hanging="300"/>
        <w:jc w:val="left"/>
      </w:pPr>
      <w:r>
        <w:rPr>
          <w:color w:val="231F20"/>
        </w:rPr>
        <w:t>COMMON STOCK</w:t>
      </w:r>
    </w:p>
    <w:p>
      <w:pPr>
        <w:pStyle w:val="BodyText"/>
        <w:spacing w:line="249" w:lineRule="auto" w:before="124"/>
        <w:ind w:left="160" w:right="406"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2012, the Company had 36 million shares of common stock reserved for issuance pursuant to Employee stock plans (of which 26 million shares had not been granted) through various share-based compensation arrangements. See Note</w:t>
      </w:r>
      <w:r>
        <w:rPr>
          <w:color w:val="231F20"/>
          <w:spacing w:val="8"/>
        </w:rPr>
        <w:t> </w:t>
      </w:r>
      <w:r>
        <w:rPr>
          <w:color w:val="231F20"/>
        </w:rPr>
        <w:t>14.</w:t>
      </w:r>
    </w:p>
    <w:p>
      <w:pPr>
        <w:pStyle w:val="BodyText"/>
        <w:spacing w:before="2"/>
        <w:rPr>
          <w:sz w:val="30"/>
        </w:rPr>
      </w:pPr>
    </w:p>
    <w:p>
      <w:pPr>
        <w:pStyle w:val="Heading3"/>
        <w:numPr>
          <w:ilvl w:val="0"/>
          <w:numId w:val="13"/>
        </w:numPr>
        <w:tabs>
          <w:tab w:pos="460" w:val="left" w:leader="none"/>
        </w:tabs>
        <w:spacing w:line="240" w:lineRule="auto" w:before="1" w:after="0"/>
        <w:ind w:left="460" w:right="0" w:hanging="300"/>
        <w:jc w:val="left"/>
      </w:pPr>
      <w:r>
        <w:rPr>
          <w:color w:val="231F20"/>
        </w:rPr>
        <w:t>STOCK</w:t>
      </w:r>
      <w:r>
        <w:rPr>
          <w:color w:val="231F20"/>
          <w:spacing w:val="-1"/>
        </w:rPr>
        <w:t> </w:t>
      </w:r>
      <w:r>
        <w:rPr>
          <w:color w:val="231F20"/>
        </w:rPr>
        <w:t>PLANS</w:t>
      </w:r>
    </w:p>
    <w:p>
      <w:pPr>
        <w:pStyle w:val="Heading4"/>
        <w:spacing w:before="125"/>
        <w:ind w:left="410"/>
        <w:rPr>
          <w:i/>
        </w:rPr>
      </w:pPr>
      <w:r>
        <w:rPr>
          <w:i/>
          <w:color w:val="231F20"/>
        </w:rPr>
        <w:t>Share-based compensation</w:t>
      </w:r>
    </w:p>
    <w:p>
      <w:pPr>
        <w:pStyle w:val="BodyText"/>
        <w:spacing w:line="249" w:lineRule="auto" w:before="125"/>
        <w:ind w:left="160" w:right="504"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pStyle w:val="BodyText"/>
        <w:spacing w:before="2"/>
      </w:pPr>
    </w:p>
    <w:p>
      <w:pPr>
        <w:pStyle w:val="BodyText"/>
        <w:spacing w:line="249" w:lineRule="auto"/>
        <w:ind w:left="160" w:right="467" w:firstLine="490"/>
      </w:pPr>
      <w:r>
        <w:rPr>
          <w:color w:val="231F20"/>
        </w:rPr>
        <w:t>The Consolidated Statement of Income for the years ended December 31, 2012, 2011, and 2010, reflects share-based compensation expense of $16 million, $13 million, and $12 million, respectively. The total tax benefit recognized in earnings from share-based compensation arrangements for the years ended December 31, 2012, 2011, and 2010, was not material. As of December 31, 2012, there was $23 million of total unrecognized compensation cost related to share-based compensation arrangements, which is expected to be recognized over a weighted-average period of 1.1 years.</w:t>
      </w:r>
    </w:p>
    <w:p>
      <w:pPr>
        <w:pStyle w:val="BodyText"/>
        <w:spacing w:before="2"/>
        <w:rPr>
          <w:sz w:val="30"/>
        </w:rPr>
      </w:pPr>
    </w:p>
    <w:p>
      <w:pPr>
        <w:pStyle w:val="Heading4"/>
        <w:spacing w:before="1"/>
        <w:ind w:left="410"/>
        <w:rPr>
          <w:i/>
        </w:rPr>
      </w:pPr>
      <w:r>
        <w:rPr>
          <w:i/>
          <w:color w:val="231F20"/>
        </w:rPr>
        <w:t>Restricted stock units and stock grants</w:t>
      </w:r>
    </w:p>
    <w:p>
      <w:pPr>
        <w:pStyle w:val="BodyText"/>
        <w:spacing w:line="249" w:lineRule="auto" w:before="125"/>
        <w:ind w:left="160" w:right="483" w:firstLine="490"/>
        <w:jc w:val="both"/>
      </w:pPr>
      <w:r>
        <w:rPr>
          <w:color w:val="231F20"/>
        </w:rPr>
        <w:t>Under the Company’s Amended and Restated 2007 Equity Incentive Plan (“2007 Equity Plan”), it granted restricted stock units (“RSUs”) to certain Employees and to members of its Board of Directors during 2010, and to certain Employees during 2011 and 2012. In addition, during 2011 and 2012, the Company granted</w:t>
      </w:r>
    </w:p>
    <w:p>
      <w:pPr>
        <w:spacing w:after="0" w:line="249" w:lineRule="auto"/>
        <w:jc w:val="both"/>
        <w:sectPr>
          <w:type w:val="continuous"/>
          <w:pgSz w:w="11880" w:h="15480"/>
          <w:pgMar w:top="1200" w:bottom="280" w:left="1220" w:right="1000"/>
        </w:sectPr>
      </w:pPr>
    </w:p>
    <w:p>
      <w:pPr>
        <w:pStyle w:val="BodyText"/>
        <w:spacing w:line="249" w:lineRule="auto" w:before="73"/>
        <w:ind w:left="160" w:right="152"/>
      </w:pPr>
      <w:r>
        <w:rPr>
          <w:color w:val="231F20"/>
        </w:rPr>
        <w:t>82 thousand shares of unrestricted stock at weighted average grant price of $8.21 in 2012 and 33 thousand shares at weighted average grant price of $12.26 in 2011 to members of its Board of Directors. The fair value of RSUs and unrestricted stock grants is based on the closing price of the Company’s common stock on the date of grant. Outstanding RSUs vest over three years, subject to the individual’s continued employment or service. The Company recognizes expense on a straight-line basis over the vesting period. A remaining balance of up to</w:t>
      </w:r>
    </w:p>
    <w:p>
      <w:pPr>
        <w:pStyle w:val="BodyText"/>
        <w:spacing w:line="249" w:lineRule="auto" w:before="1"/>
        <w:ind w:left="160" w:right="162"/>
      </w:pPr>
      <w:r>
        <w:rPr>
          <w:color w:val="231F20"/>
        </w:rPr>
        <w:t>11 million shares of the Company’s common stock may be issued pursuant to grants under the 2007 Equity Plan. Aggregated information regarding the Company’s RSUs and stock grants is summarized below:</w:t>
      </w:r>
    </w:p>
    <w:p>
      <w:pPr>
        <w:pStyle w:val="BodyText"/>
        <w:spacing w:before="9"/>
      </w:pPr>
    </w:p>
    <w:p>
      <w:pPr>
        <w:spacing w:before="1" w:after="31"/>
        <w:ind w:left="5842" w:right="0" w:firstLine="0"/>
        <w:jc w:val="left"/>
        <w:rPr>
          <w:b/>
          <w:sz w:val="18"/>
        </w:rPr>
      </w:pPr>
      <w:r>
        <w:rPr>
          <w:b/>
          <w:color w:val="231F20"/>
          <w:sz w:val="18"/>
        </w:rPr>
        <w:t>RESTRICTED STOCK UNITS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5"/>
        <w:gridCol w:w="1265"/>
        <w:gridCol w:w="140"/>
        <w:gridCol w:w="1480"/>
      </w:tblGrid>
      <w:tr>
        <w:trPr>
          <w:trHeight w:val="520" w:hRule="exact"/>
        </w:trPr>
        <w:tc>
          <w:tcPr>
            <w:tcW w:w="5535" w:type="dxa"/>
          </w:tcPr>
          <w:p>
            <w:pPr/>
          </w:p>
        </w:tc>
        <w:tc>
          <w:tcPr>
            <w:tcW w:w="1265" w:type="dxa"/>
            <w:tcBorders>
              <w:top w:val="single" w:sz="8" w:space="0" w:color="231F20"/>
              <w:bottom w:val="single" w:sz="8" w:space="0" w:color="231F20"/>
            </w:tcBorders>
          </w:tcPr>
          <w:p>
            <w:pPr>
              <w:pStyle w:val="TableParagraph"/>
              <w:spacing w:before="7"/>
              <w:jc w:val="left"/>
              <w:rPr>
                <w:b/>
                <w:sz w:val="23"/>
              </w:rPr>
            </w:pPr>
          </w:p>
          <w:p>
            <w:pPr>
              <w:pStyle w:val="TableParagraph"/>
              <w:ind w:left="180"/>
              <w:jc w:val="left"/>
              <w:rPr>
                <w:b/>
                <w:sz w:val="18"/>
              </w:rPr>
            </w:pPr>
            <w:r>
              <w:rPr>
                <w:b/>
                <w:color w:val="231F20"/>
                <w:sz w:val="18"/>
              </w:rPr>
              <w:t>Units (000)</w:t>
            </w:r>
          </w:p>
        </w:tc>
        <w:tc>
          <w:tcPr>
            <w:tcW w:w="140" w:type="dxa"/>
            <w:tcBorders>
              <w:top w:val="single" w:sz="8" w:space="0" w:color="231F20"/>
            </w:tcBorders>
          </w:tcPr>
          <w:p>
            <w:pPr/>
          </w:p>
        </w:tc>
        <w:tc>
          <w:tcPr>
            <w:tcW w:w="1480" w:type="dxa"/>
            <w:tcBorders>
              <w:top w:val="single" w:sz="8" w:space="0" w:color="231F20"/>
              <w:bottom w:val="single" w:sz="8" w:space="0" w:color="231F20"/>
            </w:tcBorders>
          </w:tcPr>
          <w:p>
            <w:pPr>
              <w:pStyle w:val="TableParagraph"/>
              <w:spacing w:line="254" w:lineRule="auto" w:before="52"/>
              <w:ind w:left="302" w:right="210" w:hanging="122"/>
              <w:jc w:val="left"/>
              <w:rPr>
                <w:b/>
                <w:sz w:val="18"/>
              </w:rPr>
            </w:pPr>
            <w:r>
              <w:rPr>
                <w:b/>
                <w:color w:val="231F20"/>
                <w:sz w:val="18"/>
              </w:rPr>
              <w:t>Wtd. Average Fair Value</w:t>
            </w:r>
          </w:p>
        </w:tc>
      </w:tr>
      <w:tr>
        <w:trPr>
          <w:trHeight w:val="280" w:hRule="exact"/>
        </w:trPr>
        <w:tc>
          <w:tcPr>
            <w:tcW w:w="5535" w:type="dxa"/>
          </w:tcPr>
          <w:p>
            <w:pPr>
              <w:pStyle w:val="TableParagraph"/>
              <w:spacing w:before="62"/>
              <w:ind w:right="153"/>
              <w:rPr>
                <w:sz w:val="18"/>
              </w:rPr>
            </w:pPr>
            <w:r>
              <w:rPr>
                <w:color w:val="231F20"/>
                <w:sz w:val="18"/>
              </w:rPr>
              <w:t>Outstanding December 31, 2009  . . . . . . . . . . . . . . . . . . . . . . . . . . . . . . . . </w:t>
            </w:r>
          </w:p>
        </w:tc>
        <w:tc>
          <w:tcPr>
            <w:tcW w:w="1265" w:type="dxa"/>
            <w:tcBorders>
              <w:top w:val="single" w:sz="8" w:space="0" w:color="231F20"/>
            </w:tcBorders>
          </w:tcPr>
          <w:p>
            <w:pPr>
              <w:pStyle w:val="TableParagraph"/>
              <w:spacing w:before="52"/>
              <w:ind w:right="147"/>
              <w:rPr>
                <w:sz w:val="18"/>
              </w:rPr>
            </w:pPr>
            <w:r>
              <w:rPr>
                <w:color w:val="231F20"/>
                <w:sz w:val="18"/>
              </w:rPr>
              <w:t>—</w:t>
            </w:r>
          </w:p>
        </w:tc>
        <w:tc>
          <w:tcPr>
            <w:tcW w:w="140" w:type="dxa"/>
          </w:tcPr>
          <w:p>
            <w:pPr/>
          </w:p>
        </w:tc>
        <w:tc>
          <w:tcPr>
            <w:tcW w:w="1480" w:type="dxa"/>
            <w:tcBorders>
              <w:top w:val="single" w:sz="8" w:space="0" w:color="231F20"/>
            </w:tcBorders>
          </w:tcPr>
          <w:p>
            <w:pPr>
              <w:pStyle w:val="TableParagraph"/>
              <w:tabs>
                <w:tab w:pos="1159" w:val="left" w:leader="none"/>
              </w:tabs>
              <w:spacing w:before="52"/>
              <w:jc w:val="left"/>
              <w:rPr>
                <w:sz w:val="18"/>
              </w:rPr>
            </w:pPr>
            <w:r>
              <w:rPr>
                <w:color w:val="231F20"/>
                <w:sz w:val="18"/>
              </w:rPr>
              <w:t>$</w:t>
              <w:tab/>
              <w:t>—</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997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ind w:right="147"/>
              <w:rPr>
                <w:sz w:val="18"/>
              </w:rPr>
            </w:pPr>
            <w:r>
              <w:rPr>
                <w:color w:val="231F20"/>
                <w:sz w:val="18"/>
              </w:rPr>
              <w:t>—</w:t>
            </w:r>
          </w:p>
        </w:tc>
        <w:tc>
          <w:tcPr>
            <w:tcW w:w="140" w:type="dxa"/>
          </w:tcPr>
          <w:p>
            <w:pPr/>
          </w:p>
        </w:tc>
        <w:tc>
          <w:tcPr>
            <w:tcW w:w="1480" w:type="dxa"/>
          </w:tcPr>
          <w:p>
            <w:pPr>
              <w:pStyle w:val="TableParagraph"/>
              <w:spacing w:before="1"/>
              <w:ind w:right="139"/>
              <w:rPr>
                <w:sz w:val="18"/>
              </w:rPr>
            </w:pPr>
            <w:r>
              <w:rPr>
                <w:color w:val="231F20"/>
                <w:sz w:val="18"/>
              </w:rPr>
              <w:t>—</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right="153"/>
              <w:rPr>
                <w:sz w:val="18"/>
              </w:rPr>
            </w:pPr>
            <w:r>
              <w:rPr>
                <w:color w:val="231F20"/>
                <w:sz w:val="18"/>
              </w:rPr>
              <w:t>Outstanding December 31, 2010  . . . . . . . . . . . . . . . . . . . . . . . . . . . . . . . . </w:t>
            </w:r>
          </w:p>
        </w:tc>
        <w:tc>
          <w:tcPr>
            <w:tcW w:w="1265" w:type="dxa"/>
            <w:tcBorders>
              <w:top w:val="single" w:sz="4" w:space="0" w:color="231F20"/>
            </w:tcBorders>
          </w:tcPr>
          <w:p>
            <w:pPr>
              <w:pStyle w:val="TableParagraph"/>
              <w:spacing w:before="52"/>
              <w:ind w:right="57"/>
              <w:rPr>
                <w:sz w:val="18"/>
              </w:rPr>
            </w:pPr>
            <w:r>
              <w:rPr>
                <w:color w:val="231F20"/>
                <w:sz w:val="18"/>
              </w:rPr>
              <w:t>990</w:t>
            </w:r>
          </w:p>
        </w:tc>
        <w:tc>
          <w:tcPr>
            <w:tcW w:w="140" w:type="dxa"/>
          </w:tcPr>
          <w:p>
            <w:pPr/>
          </w:p>
        </w:tc>
        <w:tc>
          <w:tcPr>
            <w:tcW w:w="1480" w:type="dxa"/>
          </w:tcPr>
          <w:p>
            <w:pPr>
              <w:pStyle w:val="TableParagraph"/>
              <w:spacing w:before="57"/>
              <w:ind w:right="48"/>
              <w:rPr>
                <w:sz w:val="18"/>
              </w:rPr>
            </w:pPr>
            <w:r>
              <w:rPr>
                <w:color w:val="231F20"/>
                <w:sz w:val="18"/>
              </w:rPr>
              <w:t>12.28</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1,007</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rPr>
                <w:sz w:val="18"/>
              </w:rPr>
            </w:pPr>
            <w:r>
              <w:rPr>
                <w:color w:val="231F20"/>
                <w:sz w:val="18"/>
              </w:rPr>
              <w:t>(327)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(30)</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right="153"/>
              <w:rPr>
                <w:sz w:val="18"/>
              </w:rPr>
            </w:pPr>
            <w:r>
              <w:rPr>
                <w:color w:val="231F20"/>
                <w:sz w:val="18"/>
              </w:rPr>
              <w:t>Outstanding December 31, 2011  . . . . . . . . . . . . . . . . . . . . . . . . . . . . . . . . </w:t>
            </w:r>
          </w:p>
        </w:tc>
        <w:tc>
          <w:tcPr>
            <w:tcW w:w="1265" w:type="dxa"/>
            <w:tcBorders>
              <w:top w:val="single" w:sz="4" w:space="0" w:color="231F20"/>
            </w:tcBorders>
          </w:tcPr>
          <w:p>
            <w:pPr>
              <w:pStyle w:val="TableParagraph"/>
              <w:spacing w:before="52"/>
              <w:ind w:right="57"/>
              <w:rPr>
                <w:sz w:val="18"/>
              </w:rPr>
            </w:pPr>
            <w:r>
              <w:rPr>
                <w:color w:val="231F20"/>
                <w:sz w:val="18"/>
              </w:rPr>
              <w:t>1,640</w:t>
            </w:r>
          </w:p>
        </w:tc>
        <w:tc>
          <w:tcPr>
            <w:tcW w:w="140" w:type="dxa"/>
          </w:tcPr>
          <w:p>
            <w:pPr/>
          </w:p>
        </w:tc>
        <w:tc>
          <w:tcPr>
            <w:tcW w:w="1480" w:type="dxa"/>
          </w:tcPr>
          <w:p>
            <w:pPr>
              <w:pStyle w:val="TableParagraph"/>
              <w:spacing w:before="57"/>
              <w:ind w:right="48"/>
              <w:rPr>
                <w:sz w:val="18"/>
              </w:rPr>
            </w:pPr>
            <w:r>
              <w:rPr>
                <w:color w:val="231F20"/>
                <w:sz w:val="18"/>
              </w:rPr>
              <w:t>12.27</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1,939</w:t>
            </w:r>
          </w:p>
        </w:tc>
        <w:tc>
          <w:tcPr>
            <w:tcW w:w="140" w:type="dxa"/>
          </w:tcPr>
          <w:p>
            <w:pPr/>
          </w:p>
        </w:tc>
        <w:tc>
          <w:tcPr>
            <w:tcW w:w="1480" w:type="dxa"/>
          </w:tcPr>
          <w:p>
            <w:pPr>
              <w:pStyle w:val="TableParagraph"/>
              <w:spacing w:before="1"/>
              <w:ind w:right="48"/>
              <w:rPr>
                <w:sz w:val="18"/>
              </w:rPr>
            </w:pPr>
            <w:r>
              <w:rPr>
                <w:color w:val="231F20"/>
                <w:sz w:val="18"/>
              </w:rPr>
              <w:t>8.21</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rPr>
                <w:sz w:val="18"/>
              </w:rPr>
            </w:pPr>
            <w:r>
              <w:rPr>
                <w:color w:val="231F20"/>
                <w:sz w:val="18"/>
              </w:rPr>
              <w:t>(644)</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(59)</w:t>
            </w:r>
          </w:p>
        </w:tc>
        <w:tc>
          <w:tcPr>
            <w:tcW w:w="140" w:type="dxa"/>
          </w:tcPr>
          <w:p>
            <w:pPr/>
          </w:p>
        </w:tc>
        <w:tc>
          <w:tcPr>
            <w:tcW w:w="1480" w:type="dxa"/>
          </w:tcPr>
          <w:p>
            <w:pPr>
              <w:pStyle w:val="TableParagraph"/>
              <w:spacing w:before="1"/>
              <w:ind w:right="48"/>
              <w:rPr>
                <w:sz w:val="18"/>
              </w:rPr>
            </w:pPr>
            <w:r>
              <w:rPr>
                <w:color w:val="231F20"/>
                <w:sz w:val="18"/>
              </w:rPr>
              <w:t>10.54</w:t>
            </w:r>
          </w:p>
        </w:tc>
      </w:tr>
      <w:tr>
        <w:trPr>
          <w:trHeight w:val="320" w:hRule="exact"/>
        </w:trPr>
        <w:tc>
          <w:tcPr>
            <w:tcW w:w="5535" w:type="dxa"/>
          </w:tcPr>
          <w:p>
            <w:pPr>
              <w:pStyle w:val="TableParagraph"/>
              <w:spacing w:before="57"/>
              <w:ind w:right="153"/>
              <w:rPr>
                <w:sz w:val="18"/>
              </w:rPr>
            </w:pPr>
            <w:r>
              <w:rPr>
                <w:color w:val="231F20"/>
                <w:sz w:val="18"/>
              </w:rPr>
              <w:t>Outstanding December 31, 2012  . . . . . . . . . . . . . . . . . . . . . . . . . . . . . . . . </w:t>
            </w:r>
          </w:p>
        </w:tc>
        <w:tc>
          <w:tcPr>
            <w:tcW w:w="1265" w:type="dxa"/>
            <w:tcBorders>
              <w:top w:val="single" w:sz="4" w:space="0" w:color="231F20"/>
              <w:bottom w:val="double" w:sz="7" w:space="0" w:color="231F20"/>
            </w:tcBorders>
          </w:tcPr>
          <w:p>
            <w:pPr>
              <w:pStyle w:val="TableParagraph"/>
              <w:spacing w:before="52"/>
              <w:ind w:right="57"/>
              <w:rPr>
                <w:sz w:val="18"/>
              </w:rPr>
            </w:pPr>
            <w:r>
              <w:rPr>
                <w:color w:val="231F20"/>
                <w:sz w:val="18"/>
              </w:rPr>
              <w:t>2,876</w:t>
            </w:r>
          </w:p>
        </w:tc>
        <w:tc>
          <w:tcPr>
            <w:tcW w:w="140" w:type="dxa"/>
          </w:tcPr>
          <w:p>
            <w:pPr/>
          </w:p>
        </w:tc>
        <w:tc>
          <w:tcPr>
            <w:tcW w:w="1480" w:type="dxa"/>
          </w:tcPr>
          <w:p>
            <w:pPr>
              <w:pStyle w:val="TableParagraph"/>
              <w:tabs>
                <w:tab w:pos="1114" w:val="left" w:leader="none"/>
              </w:tabs>
              <w:spacing w:before="57"/>
              <w:jc w:val="left"/>
              <w:rPr>
                <w:sz w:val="18"/>
              </w:rPr>
            </w:pPr>
            <w:r>
              <w:rPr>
                <w:color w:val="231F20"/>
                <w:sz w:val="18"/>
              </w:rPr>
              <w:t>$</w:t>
              <w:tab/>
              <w:t>9.57</w:t>
            </w:r>
          </w:p>
        </w:tc>
      </w:tr>
    </w:tbl>
    <w:p>
      <w:pPr>
        <w:pStyle w:val="BodyText"/>
        <w:rPr>
          <w:b/>
        </w:rPr>
      </w:pPr>
    </w:p>
    <w:p>
      <w:pPr>
        <w:pStyle w:val="Heading4"/>
        <w:spacing w:before="158"/>
        <w:ind w:left="410"/>
        <w:rPr>
          <w:i/>
        </w:rPr>
      </w:pPr>
      <w:r>
        <w:rPr>
          <w:i/>
          <w:color w:val="231F20"/>
        </w:rPr>
        <w:t>Stock options</w:t>
      </w:r>
    </w:p>
    <w:p>
      <w:pPr>
        <w:pStyle w:val="BodyText"/>
        <w:spacing w:line="249" w:lineRule="auto" w:before="129"/>
        <w:ind w:left="16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did not require Shareholder approval and had options outstanding to purchase approximately 1 million shares of the Company’s common stock as of December 31, 2012. Although the Company does not have a formal policy, upon option exercise, the Company will typically issue treasury stock, to the extent such shares are</w:t>
      </w:r>
      <w:r>
        <w:rPr>
          <w:color w:val="231F20"/>
          <w:spacing w:val="7"/>
        </w:rPr>
        <w:t> </w:t>
      </w:r>
      <w:r>
        <w:rPr>
          <w:color w:val="231F20"/>
        </w:rPr>
        <w:t>available.</w:t>
      </w:r>
    </w:p>
    <w:p>
      <w:pPr>
        <w:pStyle w:val="BodyText"/>
        <w:spacing w:before="10"/>
      </w:pPr>
    </w:p>
    <w:p>
      <w:pPr>
        <w:pStyle w:val="BodyText"/>
        <w:spacing w:line="249" w:lineRule="auto"/>
        <w:ind w:left="160" w:right="14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spacing w:after="0" w:line="249" w:lineRule="auto"/>
        <w:sectPr>
          <w:pgSz w:w="11880" w:h="15480"/>
          <w:pgMar w:header="0" w:footer="1253" w:top="1240" w:bottom="1440" w:left="1220" w:right="1280"/>
        </w:sectPr>
      </w:pPr>
    </w:p>
    <w:p>
      <w:pPr>
        <w:pStyle w:val="BodyText"/>
        <w:spacing w:line="249" w:lineRule="auto" w:before="73"/>
        <w:ind w:left="160" w:right="146"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No stock options were issued by the Company during 2011 and the number of options issued in 2012 was immaterial.</w:t>
      </w:r>
    </w:p>
    <w:p>
      <w:pPr>
        <w:pStyle w:val="BodyText"/>
        <w:spacing w:before="187"/>
        <w:ind w:left="650"/>
      </w:pPr>
      <w:r>
        <w:rPr>
          <w:color w:val="231F20"/>
        </w:rPr>
        <w:t>Aggregated information regarding Company issued stock options is summarized below:</w:t>
      </w:r>
    </w:p>
    <w:p>
      <w:pPr>
        <w:spacing w:before="155" w:after="31"/>
        <w:ind w:left="5645" w:right="0" w:firstLine="0"/>
        <w:jc w:val="left"/>
        <w:rPr>
          <w:b/>
          <w:sz w:val="18"/>
        </w:rPr>
      </w:pPr>
      <w:r>
        <w:rPr>
          <w:b/>
          <w:color w:val="231F20"/>
          <w:sz w:val="18"/>
        </w:rPr>
        <w:t>COLLECTIVE BARGAINING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000"/>
        <w:gridCol w:w="100"/>
        <w:gridCol w:w="900"/>
        <w:gridCol w:w="200"/>
        <w:gridCol w:w="900"/>
        <w:gridCol w:w="200"/>
        <w:gridCol w:w="900"/>
      </w:tblGrid>
      <w:tr>
        <w:trPr>
          <w:trHeight w:val="500" w:hRule="exact"/>
        </w:trPr>
        <w:tc>
          <w:tcPr>
            <w:tcW w:w="6070" w:type="dxa"/>
            <w:gridSpan w:val="3"/>
          </w:tcPr>
          <w:p>
            <w:pPr/>
          </w:p>
        </w:tc>
        <w:tc>
          <w:tcPr>
            <w:tcW w:w="900" w:type="dxa"/>
            <w:tcBorders>
              <w:top w:val="single" w:sz="8" w:space="0" w:color="231F20"/>
            </w:tcBorders>
          </w:tcPr>
          <w:p>
            <w:pPr>
              <w:pStyle w:val="TableParagraph"/>
              <w:spacing w:before="7"/>
              <w:jc w:val="left"/>
              <w:rPr>
                <w:b/>
                <w:sz w:val="23"/>
              </w:rPr>
            </w:pPr>
          </w:p>
          <w:p>
            <w:pPr>
              <w:pStyle w:val="TableParagraph"/>
              <w:ind w:left="257"/>
              <w:jc w:val="left"/>
              <w:rPr>
                <w:b/>
                <w:sz w:val="18"/>
              </w:rPr>
            </w:pPr>
            <w:r>
              <w:rPr>
                <w:b/>
                <w:color w:val="231F20"/>
                <w:sz w:val="18"/>
              </w:rPr>
              <w:t>Wtd.</w:t>
            </w:r>
          </w:p>
        </w:tc>
        <w:tc>
          <w:tcPr>
            <w:tcW w:w="200" w:type="dxa"/>
            <w:tcBorders>
              <w:top w:val="single" w:sz="8" w:space="0" w:color="231F20"/>
            </w:tcBorders>
          </w:tcPr>
          <w:p>
            <w:pPr/>
          </w:p>
        </w:tc>
        <w:tc>
          <w:tcPr>
            <w:tcW w:w="900" w:type="dxa"/>
            <w:tcBorders>
              <w:top w:val="single" w:sz="8" w:space="0" w:color="231F20"/>
            </w:tcBorders>
          </w:tcPr>
          <w:p>
            <w:pPr>
              <w:pStyle w:val="TableParagraph"/>
              <w:spacing w:line="254" w:lineRule="auto" w:before="52"/>
              <w:ind w:left="150" w:right="130" w:firstLine="107"/>
              <w:jc w:val="left"/>
              <w:rPr>
                <w:b/>
                <w:sz w:val="18"/>
              </w:rPr>
            </w:pPr>
            <w:r>
              <w:rPr>
                <w:b/>
                <w:color w:val="231F20"/>
                <w:sz w:val="18"/>
              </w:rPr>
              <w:t>Wtd. average</w:t>
            </w:r>
          </w:p>
        </w:tc>
        <w:tc>
          <w:tcPr>
            <w:tcW w:w="2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right="53"/>
              <w:rPr>
                <w:b/>
                <w:sz w:val="18"/>
              </w:rPr>
            </w:pPr>
            <w:r>
              <w:rPr>
                <w:b/>
                <w:color w:val="231F20"/>
                <w:sz w:val="18"/>
              </w:rPr>
              <w:t>Aggregate</w:t>
            </w:r>
          </w:p>
        </w:tc>
      </w:tr>
      <w:tr>
        <w:trPr>
          <w:trHeight w:val="440" w:hRule="exact"/>
        </w:trPr>
        <w:tc>
          <w:tcPr>
            <w:tcW w:w="4970" w:type="dxa"/>
          </w:tcPr>
          <w:p>
            <w:pPr/>
          </w:p>
        </w:tc>
        <w:tc>
          <w:tcPr>
            <w:tcW w:w="1000" w:type="dxa"/>
          </w:tcPr>
          <w:p>
            <w:pPr>
              <w:pStyle w:val="TableParagraph"/>
              <w:spacing w:before="3"/>
              <w:jc w:val="left"/>
              <w:rPr>
                <w:b/>
                <w:sz w:val="19"/>
              </w:rPr>
            </w:pPr>
          </w:p>
          <w:p>
            <w:pPr>
              <w:pStyle w:val="TableParagraph"/>
              <w:ind w:left="145"/>
              <w:jc w:val="left"/>
              <w:rPr>
                <w:b/>
                <w:sz w:val="18"/>
              </w:rPr>
            </w:pPr>
            <w:r>
              <w:rPr>
                <w:b/>
                <w:color w:val="231F20"/>
                <w:sz w:val="18"/>
              </w:rPr>
              <w:t>Options</w:t>
            </w:r>
          </w:p>
        </w:tc>
        <w:tc>
          <w:tcPr>
            <w:tcW w:w="100" w:type="dxa"/>
          </w:tcPr>
          <w:p>
            <w:pPr/>
          </w:p>
        </w:tc>
        <w:tc>
          <w:tcPr>
            <w:tcW w:w="900" w:type="dxa"/>
          </w:tcPr>
          <w:p>
            <w:pPr>
              <w:pStyle w:val="TableParagraph"/>
              <w:spacing w:line="254" w:lineRule="auto" w:before="1"/>
              <w:ind w:left="145" w:right="125" w:firstLine="5"/>
              <w:jc w:val="left"/>
              <w:rPr>
                <w:b/>
                <w:sz w:val="18"/>
              </w:rPr>
            </w:pPr>
            <w:r>
              <w:rPr>
                <w:b/>
                <w:color w:val="231F20"/>
                <w:sz w:val="18"/>
              </w:rPr>
              <w:t>average exercise</w:t>
            </w:r>
          </w:p>
        </w:tc>
        <w:tc>
          <w:tcPr>
            <w:tcW w:w="200" w:type="dxa"/>
          </w:tcPr>
          <w:p>
            <w:pPr/>
          </w:p>
        </w:tc>
        <w:tc>
          <w:tcPr>
            <w:tcW w:w="900" w:type="dxa"/>
          </w:tcPr>
          <w:p>
            <w:pPr>
              <w:pStyle w:val="TableParagraph"/>
              <w:spacing w:line="254" w:lineRule="auto" w:before="1"/>
              <w:ind w:left="10" w:right="-10" w:firstLine="45"/>
              <w:jc w:val="left"/>
              <w:rPr>
                <w:b/>
                <w:sz w:val="18"/>
              </w:rPr>
            </w:pPr>
            <w:r>
              <w:rPr>
                <w:b/>
                <w:color w:val="231F20"/>
                <w:sz w:val="18"/>
              </w:rPr>
              <w:t>remaining contractual</w:t>
            </w:r>
          </w:p>
        </w:tc>
        <w:tc>
          <w:tcPr>
            <w:tcW w:w="200" w:type="dxa"/>
          </w:tcPr>
          <w:p>
            <w:pPr/>
          </w:p>
        </w:tc>
        <w:tc>
          <w:tcPr>
            <w:tcW w:w="900" w:type="dxa"/>
          </w:tcPr>
          <w:p>
            <w:pPr>
              <w:pStyle w:val="TableParagraph"/>
              <w:spacing w:line="254" w:lineRule="auto" w:before="1"/>
              <w:ind w:left="245" w:right="110" w:hanging="115"/>
              <w:jc w:val="left"/>
              <w:rPr>
                <w:b/>
                <w:sz w:val="18"/>
              </w:rPr>
            </w:pPr>
            <w:r>
              <w:rPr>
                <w:b/>
                <w:color w:val="231F20"/>
                <w:sz w:val="18"/>
              </w:rPr>
              <w:t>intrinsic value</w:t>
            </w:r>
          </w:p>
        </w:tc>
      </w:tr>
      <w:tr>
        <w:trPr>
          <w:trHeight w:val="240" w:hRule="exact"/>
        </w:trPr>
        <w:tc>
          <w:tcPr>
            <w:tcW w:w="4970" w:type="dxa"/>
          </w:tcPr>
          <w:p>
            <w:pPr/>
          </w:p>
        </w:tc>
        <w:tc>
          <w:tcPr>
            <w:tcW w:w="1000" w:type="dxa"/>
            <w:tcBorders>
              <w:bottom w:val="single" w:sz="8" w:space="0" w:color="231F20"/>
            </w:tcBorders>
          </w:tcPr>
          <w:p>
            <w:pPr>
              <w:pStyle w:val="TableParagraph"/>
              <w:spacing w:before="1"/>
              <w:ind w:left="254"/>
              <w:jc w:val="left"/>
              <w:rPr>
                <w:b/>
                <w:sz w:val="18"/>
              </w:rPr>
            </w:pPr>
            <w:r>
              <w:rPr>
                <w:b/>
                <w:color w:val="231F20"/>
                <w:sz w:val="18"/>
              </w:rPr>
              <w:t>(000)</w:t>
            </w:r>
          </w:p>
        </w:tc>
        <w:tc>
          <w:tcPr>
            <w:tcW w:w="100" w:type="dxa"/>
          </w:tcPr>
          <w:p>
            <w:pPr/>
          </w:p>
        </w:tc>
        <w:tc>
          <w:tcPr>
            <w:tcW w:w="900" w:type="dxa"/>
            <w:tcBorders>
              <w:bottom w:val="single" w:sz="8" w:space="0" w:color="231F20"/>
            </w:tcBorders>
          </w:tcPr>
          <w:p>
            <w:pPr>
              <w:pStyle w:val="TableParagraph"/>
              <w:spacing w:before="1"/>
              <w:ind w:left="255"/>
              <w:jc w:val="left"/>
              <w:rPr>
                <w:b/>
                <w:sz w:val="18"/>
              </w:rPr>
            </w:pPr>
            <w:r>
              <w:rPr>
                <w:b/>
                <w:color w:val="231F20"/>
                <w:sz w:val="18"/>
              </w:rPr>
              <w:t>price</w:t>
            </w:r>
          </w:p>
        </w:tc>
        <w:tc>
          <w:tcPr>
            <w:tcW w:w="200" w:type="dxa"/>
          </w:tcPr>
          <w:p>
            <w:pPr/>
          </w:p>
        </w:tc>
        <w:tc>
          <w:tcPr>
            <w:tcW w:w="900" w:type="dxa"/>
            <w:tcBorders>
              <w:bottom w:val="single" w:sz="8" w:space="0" w:color="231F20"/>
            </w:tcBorders>
          </w:tcPr>
          <w:p>
            <w:pPr>
              <w:pStyle w:val="TableParagraph"/>
              <w:spacing w:before="1"/>
              <w:ind w:left="265"/>
              <w:jc w:val="left"/>
              <w:rPr>
                <w:b/>
                <w:sz w:val="18"/>
              </w:rPr>
            </w:pPr>
            <w:r>
              <w:rPr>
                <w:b/>
                <w:color w:val="231F20"/>
                <w:sz w:val="18"/>
              </w:rPr>
              <w:t>term</w:t>
            </w:r>
          </w:p>
        </w:tc>
        <w:tc>
          <w:tcPr>
            <w:tcW w:w="200" w:type="dxa"/>
          </w:tcPr>
          <w:p>
            <w:pPr/>
          </w:p>
        </w:tc>
        <w:tc>
          <w:tcPr>
            <w:tcW w:w="900" w:type="dxa"/>
            <w:tcBorders>
              <w:bottom w:val="single" w:sz="8" w:space="0" w:color="231F20"/>
            </w:tcBorders>
          </w:tcPr>
          <w:p>
            <w:pPr>
              <w:pStyle w:val="TableParagraph"/>
              <w:spacing w:before="1"/>
              <w:ind w:right="82"/>
              <w:rPr>
                <w:b/>
                <w:sz w:val="18"/>
              </w:rPr>
            </w:pPr>
            <w:r>
              <w:rPr>
                <w:b/>
                <w:color w:val="231F20"/>
                <w:sz w:val="18"/>
              </w:rPr>
              <w:t>(millions)</w:t>
            </w:r>
          </w:p>
        </w:tc>
      </w:tr>
      <w:tr>
        <w:trPr>
          <w:trHeight w:val="280" w:hRule="exact"/>
        </w:trPr>
        <w:tc>
          <w:tcPr>
            <w:tcW w:w="4970" w:type="dxa"/>
          </w:tcPr>
          <w:p>
            <w:pPr>
              <w:pStyle w:val="TableParagraph"/>
              <w:spacing w:before="62"/>
              <w:ind w:right="153"/>
              <w:rPr>
                <w:sz w:val="18"/>
              </w:rPr>
            </w:pPr>
            <w:r>
              <w:rPr>
                <w:color w:val="231F20"/>
                <w:sz w:val="18"/>
              </w:rPr>
              <w:t>Outstanding December 31, 2009  . . . . . . . . . . . . . . . . . . . . . . . . . . </w:t>
            </w:r>
          </w:p>
        </w:tc>
        <w:tc>
          <w:tcPr>
            <w:tcW w:w="1000" w:type="dxa"/>
            <w:tcBorders>
              <w:top w:val="single" w:sz="8" w:space="0" w:color="231F20"/>
            </w:tcBorders>
          </w:tcPr>
          <w:p>
            <w:pPr>
              <w:pStyle w:val="TableParagraph"/>
              <w:spacing w:before="52"/>
              <w:ind w:right="157"/>
              <w:rPr>
                <w:sz w:val="18"/>
              </w:rPr>
            </w:pPr>
            <w:r>
              <w:rPr>
                <w:color w:val="231F20"/>
                <w:sz w:val="18"/>
              </w:rPr>
              <w:t>52,438</w:t>
            </w:r>
          </w:p>
        </w:tc>
        <w:tc>
          <w:tcPr>
            <w:tcW w:w="100" w:type="dxa"/>
          </w:tcPr>
          <w:p>
            <w:pPr/>
          </w:p>
        </w:tc>
        <w:tc>
          <w:tcPr>
            <w:tcW w:w="900" w:type="dxa"/>
            <w:tcBorders>
              <w:top w:val="single" w:sz="8"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13.75</w:t>
            </w:r>
          </w:p>
        </w:tc>
        <w:tc>
          <w:tcPr>
            <w:tcW w:w="200" w:type="dxa"/>
          </w:tcPr>
          <w:p>
            <w:pPr/>
          </w:p>
        </w:tc>
        <w:tc>
          <w:tcPr>
            <w:tcW w:w="900" w:type="dxa"/>
            <w:tcBorders>
              <w:top w:val="single" w:sz="8" w:space="0" w:color="231F20"/>
            </w:tcBorders>
          </w:tcPr>
          <w:p>
            <w:pPr/>
          </w:p>
        </w:tc>
        <w:tc>
          <w:tcPr>
            <w:tcW w:w="200" w:type="dxa"/>
          </w:tcPr>
          <w:p>
            <w:pPr/>
          </w:p>
        </w:tc>
        <w:tc>
          <w:tcPr>
            <w:tcW w:w="900" w:type="dxa"/>
            <w:tcBorders>
              <w:top w:val="single" w:sz="8" w:space="0" w:color="231F20"/>
            </w:tcBorders>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14</w:t>
            </w:r>
          </w:p>
        </w:tc>
        <w:tc>
          <w:tcPr>
            <w:tcW w:w="100" w:type="dxa"/>
          </w:tcPr>
          <w:p>
            <w:pPr/>
          </w:p>
        </w:tc>
        <w:tc>
          <w:tcPr>
            <w:tcW w:w="900" w:type="dxa"/>
          </w:tcPr>
          <w:p>
            <w:pPr>
              <w:pStyle w:val="TableParagraph"/>
              <w:spacing w:before="1"/>
              <w:ind w:right="58"/>
              <w:rPr>
                <w:sz w:val="18"/>
              </w:rPr>
            </w:pPr>
            <w:r>
              <w:rPr>
                <w:color w:val="231F20"/>
                <w:sz w:val="18"/>
              </w:rPr>
              <w:t>11.98</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(2,676)</w:t>
            </w:r>
          </w:p>
        </w:tc>
        <w:tc>
          <w:tcPr>
            <w:tcW w:w="100" w:type="dxa"/>
          </w:tcPr>
          <w:p>
            <w:pPr/>
          </w:p>
        </w:tc>
        <w:tc>
          <w:tcPr>
            <w:tcW w:w="900" w:type="dxa"/>
          </w:tcPr>
          <w:p>
            <w:pPr>
              <w:pStyle w:val="TableParagraph"/>
              <w:spacing w:before="1"/>
              <w:ind w:right="58"/>
              <w:rPr>
                <w:sz w:val="18"/>
              </w:rPr>
            </w:pPr>
            <w:r>
              <w:rPr>
                <w:color w:val="231F20"/>
                <w:sz w:val="18"/>
              </w:rPr>
              <w:t>12.68</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(18,381)</w:t>
            </w:r>
          </w:p>
        </w:tc>
        <w:tc>
          <w:tcPr>
            <w:tcW w:w="100" w:type="dxa"/>
          </w:tcPr>
          <w:p>
            <w:pPr/>
          </w:p>
        </w:tc>
        <w:tc>
          <w:tcPr>
            <w:tcW w:w="900" w:type="dxa"/>
          </w:tcPr>
          <w:p>
            <w:pPr>
              <w:pStyle w:val="TableParagraph"/>
              <w:spacing w:before="1"/>
              <w:ind w:right="58"/>
              <w:rPr>
                <w:sz w:val="18"/>
              </w:rPr>
            </w:pPr>
            <w:r>
              <w:rPr>
                <w:color w:val="231F20"/>
                <w:sz w:val="18"/>
              </w:rPr>
              <w:t>12.88</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31,395</w:t>
            </w:r>
          </w:p>
          <w:p>
            <w:pPr>
              <w:pStyle w:val="TableParagraph"/>
              <w:spacing w:line="254" w:lineRule="auto" w:before="13"/>
              <w:ind w:left="599" w:right="81" w:hanging="30"/>
              <w:jc w:val="left"/>
              <w:rPr>
                <w:sz w:val="18"/>
              </w:rPr>
            </w:pPr>
            <w:r>
              <w:rPr>
                <w:color w:val="231F20"/>
                <w:sz w:val="18"/>
              </w:rPr>
              <w:t>— (38)</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14.34</w:t>
            </w:r>
          </w:p>
          <w:p>
            <w:pPr>
              <w:pStyle w:val="TableParagraph"/>
              <w:spacing w:line="254" w:lineRule="auto" w:before="13"/>
              <w:ind w:left="434" w:right="41" w:firstLine="135"/>
              <w:jc w:val="left"/>
              <w:rPr>
                <w:sz w:val="18"/>
              </w:rPr>
            </w:pPr>
            <w:r>
              <w:rPr>
                <w:color w:val="231F20"/>
                <w:sz w:val="18"/>
              </w:rPr>
              <w:t>— 10.65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(837)</w:t>
            </w:r>
          </w:p>
        </w:tc>
        <w:tc>
          <w:tcPr>
            <w:tcW w:w="100" w:type="dxa"/>
          </w:tcPr>
          <w:p>
            <w:pPr/>
          </w:p>
        </w:tc>
        <w:tc>
          <w:tcPr>
            <w:tcW w:w="900" w:type="dxa"/>
          </w:tcPr>
          <w:p>
            <w:pPr>
              <w:pStyle w:val="TableParagraph"/>
              <w:spacing w:before="1"/>
              <w:ind w:right="58"/>
              <w:rPr>
                <w:sz w:val="18"/>
              </w:rPr>
            </w:pPr>
            <w:r>
              <w:rPr>
                <w:color w:val="231F20"/>
                <w:sz w:val="18"/>
              </w:rPr>
              <w:t>14.87</w:t>
            </w:r>
          </w:p>
        </w:tc>
        <w:tc>
          <w:tcPr>
            <w:tcW w:w="200" w:type="dxa"/>
          </w:tcPr>
          <w:p>
            <w:pPr/>
          </w:p>
        </w:tc>
        <w:tc>
          <w:tcPr>
            <w:tcW w:w="900" w:type="dxa"/>
          </w:tcPr>
          <w:p>
            <w:pPr/>
          </w:p>
        </w:tc>
        <w:tc>
          <w:tcPr>
            <w:tcW w:w="200" w:type="dxa"/>
          </w:tcPr>
          <w:p>
            <w:pPr/>
          </w:p>
        </w:tc>
        <w:tc>
          <w:tcPr>
            <w:tcW w:w="900" w:type="dxa"/>
          </w:tcPr>
          <w:p>
            <w:pPr/>
          </w:p>
        </w:tc>
      </w:tr>
      <w:tr>
        <w:trPr>
          <w:trHeight w:val="275" w:hRule="exact"/>
        </w:trPr>
        <w:tc>
          <w:tcPr>
            <w:tcW w:w="4970" w:type="dxa"/>
          </w:tcPr>
          <w:p>
            <w:pPr>
              <w:pStyle w:val="TableParagraph"/>
              <w:spacing w:before="57"/>
              <w:ind w:right="153"/>
              <w:rPr>
                <w:sz w:val="18"/>
              </w:rPr>
            </w:pPr>
            <w:r>
              <w:rPr>
                <w:color w:val="231F20"/>
                <w:sz w:val="18"/>
              </w:rPr>
              <w:t>Outstanding December 31, 2011  . . . . . . . . . . . . . . . . . . . . . . . . . . </w:t>
            </w:r>
          </w:p>
        </w:tc>
        <w:tc>
          <w:tcPr>
            <w:tcW w:w="1000" w:type="dxa"/>
            <w:tcBorders>
              <w:top w:val="single" w:sz="4" w:space="0" w:color="231F20"/>
            </w:tcBorders>
          </w:tcPr>
          <w:p>
            <w:pPr>
              <w:pStyle w:val="TableParagraph"/>
              <w:spacing w:before="52"/>
              <w:ind w:right="157"/>
              <w:rPr>
                <w:sz w:val="18"/>
              </w:rPr>
            </w:pPr>
            <w:r>
              <w:rPr>
                <w:color w:val="231F20"/>
                <w:sz w:val="18"/>
              </w:rPr>
              <w:t>30,520</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14.33</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6</w:t>
            </w:r>
          </w:p>
        </w:tc>
        <w:tc>
          <w:tcPr>
            <w:tcW w:w="100" w:type="dxa"/>
          </w:tcPr>
          <w:p>
            <w:pPr/>
          </w:p>
        </w:tc>
        <w:tc>
          <w:tcPr>
            <w:tcW w:w="900" w:type="dxa"/>
          </w:tcPr>
          <w:p>
            <w:pPr>
              <w:pStyle w:val="TableParagraph"/>
              <w:spacing w:before="1"/>
              <w:ind w:right="58"/>
              <w:rPr>
                <w:sz w:val="18"/>
              </w:rPr>
            </w:pPr>
            <w:r>
              <w:rPr>
                <w:color w:val="231F20"/>
                <w:sz w:val="18"/>
              </w:rPr>
              <w:t>9.00</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(370)</w:t>
            </w:r>
          </w:p>
        </w:tc>
        <w:tc>
          <w:tcPr>
            <w:tcW w:w="100" w:type="dxa"/>
          </w:tcPr>
          <w:p>
            <w:pPr/>
          </w:p>
        </w:tc>
        <w:tc>
          <w:tcPr>
            <w:tcW w:w="900" w:type="dxa"/>
          </w:tcPr>
          <w:p>
            <w:pPr>
              <w:pStyle w:val="TableParagraph"/>
              <w:spacing w:before="1"/>
              <w:ind w:right="58"/>
              <w:rPr>
                <w:sz w:val="18"/>
              </w:rPr>
            </w:pPr>
            <w:r>
              <w:rPr>
                <w:color w:val="231F20"/>
                <w:sz w:val="18"/>
              </w:rPr>
              <w:t>8.69</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(24,781)</w:t>
            </w:r>
          </w:p>
        </w:tc>
        <w:tc>
          <w:tcPr>
            <w:tcW w:w="100" w:type="dxa"/>
          </w:tcPr>
          <w:p>
            <w:pPr/>
          </w:p>
        </w:tc>
        <w:tc>
          <w:tcPr>
            <w:tcW w:w="900" w:type="dxa"/>
          </w:tcPr>
          <w:p>
            <w:pPr>
              <w:pStyle w:val="TableParagraph"/>
              <w:spacing w:before="1"/>
              <w:ind w:right="58"/>
              <w:rPr>
                <w:sz w:val="18"/>
              </w:rPr>
            </w:pPr>
            <w:r>
              <w:rPr>
                <w:color w:val="231F20"/>
                <w:sz w:val="18"/>
              </w:rPr>
              <w:t>14.65</w:t>
            </w:r>
          </w:p>
        </w:tc>
        <w:tc>
          <w:tcPr>
            <w:tcW w:w="200" w:type="dxa"/>
          </w:tcPr>
          <w:p>
            <w:pPr/>
          </w:p>
        </w:tc>
        <w:tc>
          <w:tcPr>
            <w:tcW w:w="900" w:type="dxa"/>
          </w:tcPr>
          <w:p>
            <w:pPr/>
          </w:p>
        </w:tc>
        <w:tc>
          <w:tcPr>
            <w:tcW w:w="200" w:type="dxa"/>
          </w:tcPr>
          <w:p>
            <w:pPr/>
          </w:p>
        </w:tc>
        <w:tc>
          <w:tcPr>
            <w:tcW w:w="90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2012  . . . . . . . . . . . . . . . . . . . . . . . . . . </w:t>
            </w:r>
          </w:p>
        </w:tc>
        <w:tc>
          <w:tcPr>
            <w:tcW w:w="1000" w:type="dxa"/>
            <w:tcBorders>
              <w:top w:val="single" w:sz="4" w:space="0" w:color="231F20"/>
              <w:bottom w:val="double" w:sz="7" w:space="0" w:color="231F20"/>
            </w:tcBorders>
          </w:tcPr>
          <w:p>
            <w:pPr>
              <w:pStyle w:val="TableParagraph"/>
              <w:spacing w:before="52"/>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57"/>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57"/>
              <w:jc w:val="left"/>
              <w:rPr>
                <w:sz w:val="18"/>
              </w:rPr>
            </w:pPr>
            <w:r>
              <w:rPr>
                <w:color w:val="231F20"/>
                <w:sz w:val="18"/>
              </w:rPr>
              <w:t>$</w:t>
              <w:tab/>
              <w:t>—</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2012 . . . . . . . . . . . . . </w:t>
            </w:r>
          </w:p>
        </w:tc>
        <w:tc>
          <w:tcPr>
            <w:tcW w:w="1000" w:type="dxa"/>
            <w:tcBorders>
              <w:top w:val="double" w:sz="7" w:space="0" w:color="231F20"/>
            </w:tcBorders>
          </w:tcPr>
          <w:p>
            <w:pPr>
              <w:pStyle w:val="TableParagraph"/>
              <w:spacing w:before="52"/>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77"/>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77"/>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77"/>
              <w:jc w:val="left"/>
              <w:rPr>
                <w:sz w:val="18"/>
              </w:rPr>
            </w:pPr>
            <w:r>
              <w:rPr>
                <w:color w:val="231F20"/>
                <w:sz w:val="18"/>
              </w:rPr>
              <w:t>$</w:t>
              <w:tab/>
              <w:t>—</w:t>
            </w:r>
          </w:p>
        </w:tc>
      </w:tr>
      <w:tr>
        <w:trPr>
          <w:trHeight w:val="208" w:hRule="exact"/>
        </w:trPr>
        <w:tc>
          <w:tcPr>
            <w:tcW w:w="4970" w:type="dxa"/>
          </w:tcPr>
          <w:p>
            <w:pPr>
              <w:pStyle w:val="TableParagraph"/>
              <w:spacing w:before="1"/>
              <w:ind w:right="153"/>
              <w:rPr>
                <w:sz w:val="18"/>
              </w:rPr>
            </w:pPr>
            <w:r>
              <w:rPr>
                <w:color w:val="231F20"/>
                <w:sz w:val="18"/>
              </w:rPr>
              <w:t>Exercisable at December 31, 2012   . . . . . . . . . . . . . . . . . . . . . . . . </w:t>
            </w:r>
          </w:p>
        </w:tc>
        <w:tc>
          <w:tcPr>
            <w:tcW w:w="1000" w:type="dxa"/>
          </w:tcPr>
          <w:p>
            <w:pPr>
              <w:pStyle w:val="TableParagraph"/>
              <w:spacing w:before="1"/>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1"/>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1"/>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1"/>
              <w:jc w:val="left"/>
              <w:rPr>
                <w:sz w:val="18"/>
              </w:rPr>
            </w:pPr>
            <w:r>
              <w:rPr>
                <w:color w:val="231F20"/>
                <w:sz w:val="18"/>
              </w:rPr>
              <w:t>$</w:t>
              <w:tab/>
              <w:t>—</w:t>
            </w:r>
          </w:p>
        </w:tc>
      </w:tr>
      <w:tr>
        <w:trPr>
          <w:trHeight w:val="437" w:hRule="exact"/>
        </w:trPr>
        <w:tc>
          <w:tcPr>
            <w:tcW w:w="9170" w:type="dxa"/>
            <w:gridSpan w:val="8"/>
          </w:tcPr>
          <w:p>
            <w:pPr>
              <w:pStyle w:val="TableParagraph"/>
              <w:spacing w:before="3"/>
              <w:jc w:val="left"/>
              <w:rPr>
                <w:b/>
                <w:sz w:val="17"/>
              </w:rPr>
            </w:pPr>
          </w:p>
          <w:p>
            <w:pPr>
              <w:pStyle w:val="TableParagraph"/>
              <w:ind w:left="5889"/>
              <w:jc w:val="left"/>
              <w:rPr>
                <w:b/>
                <w:sz w:val="18"/>
              </w:rPr>
            </w:pPr>
            <w:r>
              <w:rPr>
                <w:b/>
                <w:color w:val="231F20"/>
                <w:sz w:val="18"/>
              </w:rPr>
              <w:t>OTHER EMPLOYEE PLANS</w:t>
            </w:r>
          </w:p>
        </w:tc>
      </w:tr>
      <w:tr>
        <w:trPr>
          <w:trHeight w:val="500" w:hRule="exact"/>
        </w:trPr>
        <w:tc>
          <w:tcPr>
            <w:tcW w:w="4970" w:type="dxa"/>
          </w:tcPr>
          <w:p>
            <w:pPr/>
          </w:p>
        </w:tc>
        <w:tc>
          <w:tcPr>
            <w:tcW w:w="1000" w:type="dxa"/>
            <w:tcBorders>
              <w:top w:val="single" w:sz="8" w:space="0" w:color="231F20"/>
            </w:tcBorders>
          </w:tcPr>
          <w:p>
            <w:pPr/>
          </w:p>
        </w:tc>
        <w:tc>
          <w:tcPr>
            <w:tcW w:w="1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left="257"/>
              <w:jc w:val="left"/>
              <w:rPr>
                <w:b/>
                <w:sz w:val="18"/>
              </w:rPr>
            </w:pPr>
            <w:r>
              <w:rPr>
                <w:b/>
                <w:color w:val="231F20"/>
                <w:sz w:val="18"/>
              </w:rPr>
              <w:t>Wtd.</w:t>
            </w:r>
          </w:p>
        </w:tc>
        <w:tc>
          <w:tcPr>
            <w:tcW w:w="200" w:type="dxa"/>
            <w:tcBorders>
              <w:top w:val="single" w:sz="8" w:space="0" w:color="231F20"/>
            </w:tcBorders>
          </w:tcPr>
          <w:p>
            <w:pPr/>
          </w:p>
        </w:tc>
        <w:tc>
          <w:tcPr>
            <w:tcW w:w="900" w:type="dxa"/>
            <w:tcBorders>
              <w:top w:val="single" w:sz="8" w:space="0" w:color="231F20"/>
            </w:tcBorders>
          </w:tcPr>
          <w:p>
            <w:pPr>
              <w:pStyle w:val="TableParagraph"/>
              <w:spacing w:line="254" w:lineRule="auto" w:before="52"/>
              <w:ind w:left="150" w:right="130" w:firstLine="107"/>
              <w:jc w:val="left"/>
              <w:rPr>
                <w:b/>
                <w:sz w:val="18"/>
              </w:rPr>
            </w:pPr>
            <w:r>
              <w:rPr>
                <w:b/>
                <w:color w:val="231F20"/>
                <w:sz w:val="18"/>
              </w:rPr>
              <w:t>Wtd. average</w:t>
            </w:r>
          </w:p>
        </w:tc>
        <w:tc>
          <w:tcPr>
            <w:tcW w:w="2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right="53"/>
              <w:rPr>
                <w:b/>
                <w:sz w:val="18"/>
              </w:rPr>
            </w:pPr>
            <w:r>
              <w:rPr>
                <w:b/>
                <w:color w:val="231F20"/>
                <w:sz w:val="18"/>
              </w:rPr>
              <w:t>Aggregate</w:t>
            </w:r>
          </w:p>
        </w:tc>
      </w:tr>
      <w:tr>
        <w:trPr>
          <w:trHeight w:val="440" w:hRule="exact"/>
        </w:trPr>
        <w:tc>
          <w:tcPr>
            <w:tcW w:w="4970" w:type="dxa"/>
          </w:tcPr>
          <w:p>
            <w:pPr/>
          </w:p>
        </w:tc>
        <w:tc>
          <w:tcPr>
            <w:tcW w:w="1000" w:type="dxa"/>
          </w:tcPr>
          <w:p>
            <w:pPr>
              <w:pStyle w:val="TableParagraph"/>
              <w:spacing w:before="3"/>
              <w:jc w:val="left"/>
              <w:rPr>
                <w:b/>
                <w:sz w:val="19"/>
              </w:rPr>
            </w:pPr>
          </w:p>
          <w:p>
            <w:pPr>
              <w:pStyle w:val="TableParagraph"/>
              <w:ind w:left="145"/>
              <w:jc w:val="left"/>
              <w:rPr>
                <w:b/>
                <w:sz w:val="18"/>
              </w:rPr>
            </w:pPr>
            <w:r>
              <w:rPr>
                <w:b/>
                <w:color w:val="231F20"/>
                <w:sz w:val="18"/>
              </w:rPr>
              <w:t>Options</w:t>
            </w:r>
          </w:p>
        </w:tc>
        <w:tc>
          <w:tcPr>
            <w:tcW w:w="100" w:type="dxa"/>
          </w:tcPr>
          <w:p>
            <w:pPr/>
          </w:p>
        </w:tc>
        <w:tc>
          <w:tcPr>
            <w:tcW w:w="900" w:type="dxa"/>
          </w:tcPr>
          <w:p>
            <w:pPr>
              <w:pStyle w:val="TableParagraph"/>
              <w:spacing w:line="254" w:lineRule="auto" w:before="1"/>
              <w:ind w:left="145" w:right="125" w:firstLine="5"/>
              <w:jc w:val="left"/>
              <w:rPr>
                <w:b/>
                <w:sz w:val="18"/>
              </w:rPr>
            </w:pPr>
            <w:r>
              <w:rPr>
                <w:b/>
                <w:color w:val="231F20"/>
                <w:sz w:val="18"/>
              </w:rPr>
              <w:t>average exercise</w:t>
            </w:r>
          </w:p>
        </w:tc>
        <w:tc>
          <w:tcPr>
            <w:tcW w:w="200" w:type="dxa"/>
          </w:tcPr>
          <w:p>
            <w:pPr/>
          </w:p>
        </w:tc>
        <w:tc>
          <w:tcPr>
            <w:tcW w:w="900" w:type="dxa"/>
          </w:tcPr>
          <w:p>
            <w:pPr>
              <w:pStyle w:val="TableParagraph"/>
              <w:spacing w:line="254" w:lineRule="auto" w:before="1"/>
              <w:ind w:left="10" w:right="-10" w:firstLine="45"/>
              <w:jc w:val="left"/>
              <w:rPr>
                <w:b/>
                <w:sz w:val="18"/>
              </w:rPr>
            </w:pPr>
            <w:r>
              <w:rPr>
                <w:b/>
                <w:color w:val="231F20"/>
                <w:sz w:val="18"/>
              </w:rPr>
              <w:t>remaining contractual</w:t>
            </w:r>
          </w:p>
        </w:tc>
        <w:tc>
          <w:tcPr>
            <w:tcW w:w="200" w:type="dxa"/>
          </w:tcPr>
          <w:p>
            <w:pPr/>
          </w:p>
        </w:tc>
        <w:tc>
          <w:tcPr>
            <w:tcW w:w="900" w:type="dxa"/>
          </w:tcPr>
          <w:p>
            <w:pPr>
              <w:pStyle w:val="TableParagraph"/>
              <w:spacing w:line="254" w:lineRule="auto" w:before="1"/>
              <w:ind w:left="245" w:right="110" w:hanging="115"/>
              <w:jc w:val="left"/>
              <w:rPr>
                <w:b/>
                <w:sz w:val="18"/>
              </w:rPr>
            </w:pPr>
            <w:r>
              <w:rPr>
                <w:b/>
                <w:color w:val="231F20"/>
                <w:sz w:val="18"/>
              </w:rPr>
              <w:t>intrinsic value</w:t>
            </w:r>
          </w:p>
        </w:tc>
      </w:tr>
      <w:tr>
        <w:trPr>
          <w:trHeight w:val="240" w:hRule="exact"/>
        </w:trPr>
        <w:tc>
          <w:tcPr>
            <w:tcW w:w="4970" w:type="dxa"/>
          </w:tcPr>
          <w:p>
            <w:pPr/>
          </w:p>
        </w:tc>
        <w:tc>
          <w:tcPr>
            <w:tcW w:w="1000" w:type="dxa"/>
            <w:tcBorders>
              <w:bottom w:val="single" w:sz="8" w:space="0" w:color="231F20"/>
            </w:tcBorders>
          </w:tcPr>
          <w:p>
            <w:pPr>
              <w:pStyle w:val="TableParagraph"/>
              <w:spacing w:before="1"/>
              <w:ind w:left="254"/>
              <w:jc w:val="left"/>
              <w:rPr>
                <w:b/>
                <w:sz w:val="18"/>
              </w:rPr>
            </w:pPr>
            <w:r>
              <w:rPr>
                <w:b/>
                <w:color w:val="231F20"/>
                <w:sz w:val="18"/>
              </w:rPr>
              <w:t>(000)</w:t>
            </w:r>
          </w:p>
        </w:tc>
        <w:tc>
          <w:tcPr>
            <w:tcW w:w="100" w:type="dxa"/>
          </w:tcPr>
          <w:p>
            <w:pPr/>
          </w:p>
        </w:tc>
        <w:tc>
          <w:tcPr>
            <w:tcW w:w="900" w:type="dxa"/>
            <w:tcBorders>
              <w:bottom w:val="single" w:sz="8" w:space="0" w:color="231F20"/>
            </w:tcBorders>
          </w:tcPr>
          <w:p>
            <w:pPr>
              <w:pStyle w:val="TableParagraph"/>
              <w:spacing w:before="1"/>
              <w:ind w:left="255"/>
              <w:jc w:val="left"/>
              <w:rPr>
                <w:b/>
                <w:sz w:val="18"/>
              </w:rPr>
            </w:pPr>
            <w:r>
              <w:rPr>
                <w:b/>
                <w:color w:val="231F20"/>
                <w:sz w:val="18"/>
              </w:rPr>
              <w:t>price</w:t>
            </w:r>
          </w:p>
        </w:tc>
        <w:tc>
          <w:tcPr>
            <w:tcW w:w="200" w:type="dxa"/>
          </w:tcPr>
          <w:p>
            <w:pPr/>
          </w:p>
        </w:tc>
        <w:tc>
          <w:tcPr>
            <w:tcW w:w="900" w:type="dxa"/>
            <w:tcBorders>
              <w:bottom w:val="single" w:sz="8" w:space="0" w:color="231F20"/>
            </w:tcBorders>
          </w:tcPr>
          <w:p>
            <w:pPr>
              <w:pStyle w:val="TableParagraph"/>
              <w:spacing w:before="1"/>
              <w:ind w:left="265"/>
              <w:jc w:val="left"/>
              <w:rPr>
                <w:b/>
                <w:sz w:val="18"/>
              </w:rPr>
            </w:pPr>
            <w:r>
              <w:rPr>
                <w:b/>
                <w:color w:val="231F20"/>
                <w:sz w:val="18"/>
              </w:rPr>
              <w:t>term</w:t>
            </w:r>
          </w:p>
        </w:tc>
        <w:tc>
          <w:tcPr>
            <w:tcW w:w="200" w:type="dxa"/>
          </w:tcPr>
          <w:p>
            <w:pPr/>
          </w:p>
        </w:tc>
        <w:tc>
          <w:tcPr>
            <w:tcW w:w="900" w:type="dxa"/>
            <w:tcBorders>
              <w:bottom w:val="single" w:sz="8" w:space="0" w:color="231F20"/>
            </w:tcBorders>
          </w:tcPr>
          <w:p>
            <w:pPr>
              <w:pStyle w:val="TableParagraph"/>
              <w:spacing w:before="1"/>
              <w:ind w:right="82"/>
              <w:rPr>
                <w:b/>
                <w:sz w:val="18"/>
              </w:rPr>
            </w:pPr>
            <w:r>
              <w:rPr>
                <w:b/>
                <w:color w:val="231F20"/>
                <w:sz w:val="18"/>
              </w:rPr>
              <w:t>(millions)</w:t>
            </w:r>
          </w:p>
        </w:tc>
      </w:tr>
      <w:tr>
        <w:trPr>
          <w:trHeight w:val="280" w:hRule="exact"/>
        </w:trPr>
        <w:tc>
          <w:tcPr>
            <w:tcW w:w="4970" w:type="dxa"/>
          </w:tcPr>
          <w:p>
            <w:pPr>
              <w:pStyle w:val="TableParagraph"/>
              <w:spacing w:before="62"/>
              <w:ind w:right="153"/>
              <w:rPr>
                <w:sz w:val="18"/>
              </w:rPr>
            </w:pPr>
            <w:r>
              <w:rPr>
                <w:color w:val="231F20"/>
                <w:sz w:val="18"/>
              </w:rPr>
              <w:t>Outstanding December 31, 2009  . . . . . . . . . . . . . . . . . . . . . . . . . . </w:t>
            </w:r>
          </w:p>
        </w:tc>
        <w:tc>
          <w:tcPr>
            <w:tcW w:w="1000" w:type="dxa"/>
            <w:tcBorders>
              <w:top w:val="single" w:sz="8" w:space="0" w:color="231F20"/>
            </w:tcBorders>
          </w:tcPr>
          <w:p>
            <w:pPr>
              <w:pStyle w:val="TableParagraph"/>
              <w:spacing w:before="52"/>
              <w:ind w:right="157"/>
              <w:rPr>
                <w:sz w:val="18"/>
              </w:rPr>
            </w:pPr>
            <w:r>
              <w:rPr>
                <w:color w:val="231F20"/>
                <w:sz w:val="18"/>
              </w:rPr>
              <w:t>25,744</w:t>
            </w:r>
          </w:p>
        </w:tc>
        <w:tc>
          <w:tcPr>
            <w:tcW w:w="100" w:type="dxa"/>
          </w:tcPr>
          <w:p>
            <w:pPr/>
          </w:p>
        </w:tc>
        <w:tc>
          <w:tcPr>
            <w:tcW w:w="900" w:type="dxa"/>
            <w:tcBorders>
              <w:top w:val="single" w:sz="8"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15.17</w:t>
            </w:r>
          </w:p>
        </w:tc>
        <w:tc>
          <w:tcPr>
            <w:tcW w:w="200" w:type="dxa"/>
          </w:tcPr>
          <w:p>
            <w:pPr/>
          </w:p>
        </w:tc>
        <w:tc>
          <w:tcPr>
            <w:tcW w:w="900" w:type="dxa"/>
            <w:tcBorders>
              <w:top w:val="single" w:sz="8" w:space="0" w:color="231F20"/>
            </w:tcBorders>
          </w:tcPr>
          <w:p>
            <w:pPr/>
          </w:p>
        </w:tc>
        <w:tc>
          <w:tcPr>
            <w:tcW w:w="200" w:type="dxa"/>
          </w:tcPr>
          <w:p>
            <w:pPr/>
          </w:p>
        </w:tc>
        <w:tc>
          <w:tcPr>
            <w:tcW w:w="900" w:type="dxa"/>
            <w:tcBorders>
              <w:top w:val="single" w:sz="8" w:space="0" w:color="231F20"/>
            </w:tcBorders>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10</w:t>
            </w:r>
          </w:p>
        </w:tc>
        <w:tc>
          <w:tcPr>
            <w:tcW w:w="100" w:type="dxa"/>
          </w:tcPr>
          <w:p>
            <w:pPr/>
          </w:p>
        </w:tc>
        <w:tc>
          <w:tcPr>
            <w:tcW w:w="900" w:type="dxa"/>
          </w:tcPr>
          <w:p>
            <w:pPr>
              <w:pStyle w:val="TableParagraph"/>
              <w:spacing w:before="1"/>
              <w:ind w:right="58"/>
              <w:rPr>
                <w:sz w:val="18"/>
              </w:rPr>
            </w:pPr>
            <w:r>
              <w:rPr>
                <w:color w:val="231F20"/>
                <w:sz w:val="18"/>
              </w:rPr>
              <w:t>12.04</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(673)</w:t>
            </w:r>
          </w:p>
        </w:tc>
        <w:tc>
          <w:tcPr>
            <w:tcW w:w="100" w:type="dxa"/>
          </w:tcPr>
          <w:p>
            <w:pPr/>
          </w:p>
        </w:tc>
        <w:tc>
          <w:tcPr>
            <w:tcW w:w="900" w:type="dxa"/>
          </w:tcPr>
          <w:p>
            <w:pPr>
              <w:pStyle w:val="TableParagraph"/>
              <w:spacing w:before="1"/>
              <w:ind w:right="58"/>
              <w:rPr>
                <w:sz w:val="18"/>
              </w:rPr>
            </w:pPr>
            <w:r>
              <w:rPr>
                <w:color w:val="231F20"/>
                <w:sz w:val="18"/>
              </w:rPr>
              <w:t>9.55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(5,494)</w:t>
            </w:r>
          </w:p>
        </w:tc>
        <w:tc>
          <w:tcPr>
            <w:tcW w:w="100" w:type="dxa"/>
          </w:tcPr>
          <w:p>
            <w:pPr/>
          </w:p>
        </w:tc>
        <w:tc>
          <w:tcPr>
            <w:tcW w:w="900" w:type="dxa"/>
          </w:tcPr>
          <w:p>
            <w:pPr>
              <w:pStyle w:val="TableParagraph"/>
              <w:spacing w:before="1"/>
              <w:ind w:right="58"/>
              <w:rPr>
                <w:sz w:val="18"/>
              </w:rPr>
            </w:pPr>
            <w:r>
              <w:rPr>
                <w:color w:val="231F20"/>
                <w:sz w:val="18"/>
              </w:rPr>
              <w:t>15.72</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19,587</w:t>
            </w:r>
          </w:p>
          <w:p>
            <w:pPr>
              <w:pStyle w:val="TableParagraph"/>
              <w:spacing w:line="254" w:lineRule="auto" w:before="13"/>
              <w:ind w:left="509" w:right="81" w:firstLine="60"/>
              <w:jc w:val="left"/>
              <w:rPr>
                <w:sz w:val="18"/>
              </w:rPr>
            </w:pPr>
            <w:r>
              <w:rPr>
                <w:color w:val="231F20"/>
                <w:sz w:val="18"/>
              </w:rPr>
              <w:t>— (143)</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15.22</w:t>
            </w:r>
          </w:p>
          <w:p>
            <w:pPr>
              <w:pStyle w:val="TableParagraph"/>
              <w:spacing w:line="254" w:lineRule="auto" w:before="13"/>
              <w:ind w:left="524" w:right="41" w:firstLine="45"/>
              <w:jc w:val="left"/>
              <w:rPr>
                <w:sz w:val="18"/>
              </w:rPr>
            </w:pPr>
            <w:r>
              <w:rPr>
                <w:color w:val="231F20"/>
                <w:sz w:val="18"/>
              </w:rPr>
              <w:t>— 6.97</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(2,640)</w:t>
            </w:r>
          </w:p>
        </w:tc>
        <w:tc>
          <w:tcPr>
            <w:tcW w:w="100" w:type="dxa"/>
          </w:tcPr>
          <w:p>
            <w:pPr/>
          </w:p>
        </w:tc>
        <w:tc>
          <w:tcPr>
            <w:tcW w:w="900" w:type="dxa"/>
          </w:tcPr>
          <w:p>
            <w:pPr>
              <w:pStyle w:val="TableParagraph"/>
              <w:spacing w:before="1"/>
              <w:ind w:right="58"/>
              <w:rPr>
                <w:sz w:val="18"/>
              </w:rPr>
            </w:pPr>
            <w:r>
              <w:rPr>
                <w:color w:val="231F20"/>
                <w:sz w:val="18"/>
              </w:rPr>
              <w:t>18.18</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2011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16,804</w:t>
            </w:r>
          </w:p>
          <w:p>
            <w:pPr>
              <w:pStyle w:val="TableParagraph"/>
              <w:spacing w:line="254" w:lineRule="auto" w:before="13"/>
              <w:ind w:left="509" w:right="81" w:firstLine="60"/>
              <w:jc w:val="left"/>
              <w:rPr>
                <w:sz w:val="18"/>
              </w:rPr>
            </w:pPr>
            <w:r>
              <w:rPr>
                <w:color w:val="231F20"/>
                <w:sz w:val="18"/>
              </w:rPr>
              <w:t>— (203)</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14.82</w:t>
            </w:r>
          </w:p>
          <w:p>
            <w:pPr>
              <w:pStyle w:val="TableParagraph"/>
              <w:spacing w:line="254" w:lineRule="auto" w:before="13"/>
              <w:ind w:left="524" w:right="41" w:firstLine="45"/>
              <w:jc w:val="left"/>
              <w:rPr>
                <w:sz w:val="18"/>
              </w:rPr>
            </w:pPr>
            <w:r>
              <w:rPr>
                <w:color w:val="231F20"/>
                <w:sz w:val="18"/>
              </w:rPr>
              <w:t>— 6.75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(3,066)</w:t>
            </w:r>
          </w:p>
        </w:tc>
        <w:tc>
          <w:tcPr>
            <w:tcW w:w="100" w:type="dxa"/>
          </w:tcPr>
          <w:p>
            <w:pPr/>
          </w:p>
        </w:tc>
        <w:tc>
          <w:tcPr>
            <w:tcW w:w="900" w:type="dxa"/>
          </w:tcPr>
          <w:p>
            <w:pPr>
              <w:pStyle w:val="TableParagraph"/>
              <w:spacing w:before="1"/>
              <w:ind w:right="58"/>
              <w:rPr>
                <w:sz w:val="18"/>
              </w:rPr>
            </w:pPr>
            <w:r>
              <w:rPr>
                <w:color w:val="231F20"/>
                <w:sz w:val="18"/>
              </w:rPr>
              <w:t>16.48</w:t>
            </w:r>
          </w:p>
        </w:tc>
        <w:tc>
          <w:tcPr>
            <w:tcW w:w="200" w:type="dxa"/>
          </w:tcPr>
          <w:p>
            <w:pPr/>
          </w:p>
        </w:tc>
        <w:tc>
          <w:tcPr>
            <w:tcW w:w="900" w:type="dxa"/>
          </w:tcPr>
          <w:p>
            <w:pPr/>
          </w:p>
        </w:tc>
        <w:tc>
          <w:tcPr>
            <w:tcW w:w="200" w:type="dxa"/>
          </w:tcPr>
          <w:p>
            <w:pPr/>
          </w:p>
        </w:tc>
        <w:tc>
          <w:tcPr>
            <w:tcW w:w="90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2012  . . . . . . . . . . . . . . . . . . . . . . . . . . </w:t>
            </w:r>
          </w:p>
        </w:tc>
        <w:tc>
          <w:tcPr>
            <w:tcW w:w="1000" w:type="dxa"/>
            <w:tcBorders>
              <w:top w:val="single" w:sz="4" w:space="0" w:color="231F20"/>
              <w:bottom w:val="double" w:sz="7" w:space="0" w:color="231F20"/>
            </w:tcBorders>
          </w:tcPr>
          <w:p>
            <w:pPr>
              <w:pStyle w:val="TableParagraph"/>
              <w:spacing w:before="52"/>
              <w:ind w:right="157"/>
              <w:rPr>
                <w:sz w:val="18"/>
              </w:rPr>
            </w:pPr>
            <w:r>
              <w:rPr>
                <w:color w:val="231F20"/>
                <w:sz w:val="18"/>
              </w:rPr>
              <w:t>13,535</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14.57</w:t>
            </w:r>
          </w:p>
        </w:tc>
        <w:tc>
          <w:tcPr>
            <w:tcW w:w="200" w:type="dxa"/>
          </w:tcPr>
          <w:p>
            <w:pPr/>
          </w:p>
        </w:tc>
        <w:tc>
          <w:tcPr>
            <w:tcW w:w="900" w:type="dxa"/>
          </w:tcPr>
          <w:p>
            <w:pPr>
              <w:pStyle w:val="TableParagraph"/>
              <w:spacing w:before="57"/>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57"/>
              <w:jc w:val="left"/>
              <w:rPr>
                <w:sz w:val="18"/>
              </w:rPr>
            </w:pPr>
            <w:r>
              <w:rPr>
                <w:color w:val="231F20"/>
                <w:sz w:val="18"/>
              </w:rPr>
              <w:t>$</w:t>
              <w:tab/>
              <w:t>4</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2012 . . . . . . . . . . . . . </w:t>
            </w:r>
          </w:p>
        </w:tc>
        <w:tc>
          <w:tcPr>
            <w:tcW w:w="1000" w:type="dxa"/>
            <w:tcBorders>
              <w:top w:val="double" w:sz="7" w:space="0" w:color="231F20"/>
            </w:tcBorders>
          </w:tcPr>
          <w:p>
            <w:pPr>
              <w:pStyle w:val="TableParagraph"/>
              <w:spacing w:before="52"/>
              <w:ind w:right="157"/>
              <w:rPr>
                <w:sz w:val="18"/>
              </w:rPr>
            </w:pPr>
            <w:r>
              <w:rPr>
                <w:color w:val="231F20"/>
                <w:sz w:val="18"/>
              </w:rPr>
              <w:t>13,466</w:t>
            </w:r>
          </w:p>
        </w:tc>
        <w:tc>
          <w:tcPr>
            <w:tcW w:w="100" w:type="dxa"/>
          </w:tcPr>
          <w:p>
            <w:pPr/>
          </w:p>
        </w:tc>
        <w:tc>
          <w:tcPr>
            <w:tcW w:w="900" w:type="dxa"/>
          </w:tcPr>
          <w:p>
            <w:pPr>
              <w:pStyle w:val="TableParagraph"/>
              <w:tabs>
                <w:tab w:pos="434" w:val="left" w:leader="none"/>
              </w:tabs>
              <w:spacing w:before="77"/>
              <w:ind w:right="58"/>
              <w:rPr>
                <w:sz w:val="18"/>
              </w:rPr>
            </w:pPr>
            <w:r>
              <w:rPr>
                <w:color w:val="231F20"/>
                <w:sz w:val="18"/>
              </w:rPr>
              <w:t>$</w:t>
              <w:tab/>
            </w:r>
            <w:r>
              <w:rPr>
                <w:color w:val="231F20"/>
                <w:spacing w:val="-1"/>
                <w:sz w:val="18"/>
              </w:rPr>
              <w:t>14.56</w:t>
            </w:r>
          </w:p>
        </w:tc>
        <w:tc>
          <w:tcPr>
            <w:tcW w:w="200" w:type="dxa"/>
          </w:tcPr>
          <w:p>
            <w:pPr/>
          </w:p>
        </w:tc>
        <w:tc>
          <w:tcPr>
            <w:tcW w:w="900" w:type="dxa"/>
          </w:tcPr>
          <w:p>
            <w:pPr>
              <w:pStyle w:val="TableParagraph"/>
              <w:spacing w:before="77"/>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77"/>
              <w:jc w:val="left"/>
              <w:rPr>
                <w:sz w:val="18"/>
              </w:rPr>
            </w:pPr>
            <w:r>
              <w:rPr>
                <w:color w:val="231F20"/>
                <w:sz w:val="18"/>
              </w:rPr>
              <w:t>$</w:t>
              <w:tab/>
              <w:t>4</w:t>
            </w:r>
          </w:p>
        </w:tc>
      </w:tr>
      <w:tr>
        <w:trPr>
          <w:trHeight w:val="208" w:hRule="exact"/>
        </w:trPr>
        <w:tc>
          <w:tcPr>
            <w:tcW w:w="4970" w:type="dxa"/>
          </w:tcPr>
          <w:p>
            <w:pPr>
              <w:pStyle w:val="TableParagraph"/>
              <w:spacing w:before="1"/>
              <w:ind w:right="153"/>
              <w:rPr>
                <w:sz w:val="18"/>
              </w:rPr>
            </w:pPr>
            <w:r>
              <w:rPr>
                <w:color w:val="231F20"/>
                <w:sz w:val="18"/>
              </w:rPr>
              <w:t>Exercisable at December 31, 2012   . . . . . . . . . . . . . . . . . . . . . . . . </w:t>
            </w:r>
          </w:p>
        </w:tc>
        <w:tc>
          <w:tcPr>
            <w:tcW w:w="1000" w:type="dxa"/>
          </w:tcPr>
          <w:p>
            <w:pPr>
              <w:pStyle w:val="TableParagraph"/>
              <w:spacing w:before="1"/>
              <w:ind w:right="157"/>
              <w:rPr>
                <w:sz w:val="18"/>
              </w:rPr>
            </w:pPr>
            <w:r>
              <w:rPr>
                <w:color w:val="231F20"/>
                <w:sz w:val="18"/>
              </w:rPr>
              <w:t>12,605</w:t>
            </w:r>
          </w:p>
        </w:tc>
        <w:tc>
          <w:tcPr>
            <w:tcW w:w="100" w:type="dxa"/>
          </w:tcPr>
          <w:p>
            <w:pPr/>
          </w:p>
        </w:tc>
        <w:tc>
          <w:tcPr>
            <w:tcW w:w="900" w:type="dxa"/>
          </w:tcPr>
          <w:p>
            <w:pPr>
              <w:pStyle w:val="TableParagraph"/>
              <w:tabs>
                <w:tab w:pos="434" w:val="left" w:leader="none"/>
              </w:tabs>
              <w:spacing w:before="1"/>
              <w:ind w:right="58"/>
              <w:rPr>
                <w:sz w:val="18"/>
              </w:rPr>
            </w:pPr>
            <w:r>
              <w:rPr>
                <w:color w:val="231F20"/>
                <w:sz w:val="18"/>
              </w:rPr>
              <w:t>$</w:t>
              <w:tab/>
            </w:r>
            <w:r>
              <w:rPr>
                <w:color w:val="231F20"/>
                <w:spacing w:val="-1"/>
                <w:sz w:val="18"/>
              </w:rPr>
              <w:t>14.47</w:t>
            </w:r>
          </w:p>
        </w:tc>
        <w:tc>
          <w:tcPr>
            <w:tcW w:w="200" w:type="dxa"/>
          </w:tcPr>
          <w:p>
            <w:pPr/>
          </w:p>
        </w:tc>
        <w:tc>
          <w:tcPr>
            <w:tcW w:w="900" w:type="dxa"/>
          </w:tcPr>
          <w:p>
            <w:pPr>
              <w:pStyle w:val="TableParagraph"/>
              <w:spacing w:before="1"/>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1"/>
              <w:jc w:val="left"/>
              <w:rPr>
                <w:sz w:val="18"/>
              </w:rPr>
            </w:pPr>
            <w:r>
              <w:rPr>
                <w:color w:val="231F20"/>
                <w:sz w:val="18"/>
              </w:rPr>
              <w:t>$</w:t>
              <w:tab/>
              <w:t>4</w:t>
            </w:r>
          </w:p>
        </w:tc>
      </w:tr>
    </w:tbl>
    <w:p>
      <w:pPr>
        <w:spacing w:after="0"/>
        <w:jc w:val="left"/>
        <w:rPr>
          <w:sz w:val="18"/>
        </w:rPr>
        <w:sectPr>
          <w:pgSz w:w="11880" w:h="15480"/>
          <w:pgMar w:header="0" w:footer="1253" w:top="1240" w:bottom="1440" w:left="1220" w:right="1280"/>
        </w:sectPr>
      </w:pPr>
    </w:p>
    <w:p>
      <w:pPr>
        <w:pStyle w:val="BodyText"/>
        <w:spacing w:line="249" w:lineRule="auto" w:before="73"/>
        <w:ind w:left="100" w:right="226" w:firstLine="490"/>
        <w:jc w:val="both"/>
      </w:pPr>
      <w:r>
        <w:rPr>
          <w:color w:val="231F20"/>
        </w:rPr>
        <w:t>The total aggregate intrinsic value of options exercised for all plans during the years ended December 31, 2012, 2011, and 2010, was $1 million, $1 million, and $4 million, respectively. The total grant date fair value of shares vesting during the years ended December 31, 2012, 2011, and 2010, was $13 million, $13 million, and</w:t>
      </w:r>
    </w:p>
    <w:p>
      <w:pPr>
        <w:pStyle w:val="BodyText"/>
        <w:spacing w:before="1"/>
        <w:ind w:left="100"/>
      </w:pPr>
      <w:r>
        <w:rPr>
          <w:color w:val="231F20"/>
        </w:rPr>
        <w:t>$10 million, respectively.</w:t>
      </w:r>
    </w:p>
    <w:p>
      <w:pPr>
        <w:pStyle w:val="BodyText"/>
        <w:spacing w:before="2"/>
        <w:rPr>
          <w:sz w:val="32"/>
        </w:rPr>
      </w:pPr>
    </w:p>
    <w:p>
      <w:pPr>
        <w:pStyle w:val="Heading4"/>
        <w:rPr>
          <w:i/>
        </w:rPr>
      </w:pPr>
      <w:r>
        <w:rPr>
          <w:i/>
          <w:color w:val="231F20"/>
        </w:rPr>
        <w:t>Employee Stock Purchase Plan</w:t>
      </w:r>
    </w:p>
    <w:p>
      <w:pPr>
        <w:pStyle w:val="BodyText"/>
        <w:spacing w:line="249" w:lineRule="auto" w:before="130"/>
        <w:ind w:left="100" w:right="107" w:firstLine="490"/>
      </w:pPr>
      <w:r>
        <w:rPr>
          <w:color w:val="231F20"/>
        </w:rPr>
        <w:t>Under the amended 1991 Employee Stock Purchase Plan (ESPP), which has been approved by Shareholders, the Company is authorized to issue up to a remaining balance of 3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2012, 2011, and 2010, participants under the plan purchased 2.2 million shares, 1.7 million shares, and 1.3 million shares at average prices of $8.01, $9.73, and</w:t>
      </w:r>
    </w:p>
    <w:p>
      <w:pPr>
        <w:pStyle w:val="BodyText"/>
        <w:spacing w:line="249" w:lineRule="auto" w:before="1"/>
        <w:ind w:left="100" w:right="535"/>
      </w:pPr>
      <w:r>
        <w:rPr>
          <w:color w:val="231F20"/>
        </w:rPr>
        <w:t>$11.25, respectively. The weighted-average fair value of each purchase right under the ESPP granted for the years ended December 31, 2012, 2011, and 2010, which is equal to the ten percent discount from the market value of the Common Stock at the end of each monthly purchase period, was $0.89, $1.03, and $1.23, respectively.</w:t>
      </w:r>
    </w:p>
    <w:p>
      <w:pPr>
        <w:pStyle w:val="BodyText"/>
        <w:spacing w:before="4"/>
        <w:rPr>
          <w:sz w:val="31"/>
        </w:rPr>
      </w:pPr>
    </w:p>
    <w:p>
      <w:pPr>
        <w:pStyle w:val="Heading4"/>
        <w:rPr>
          <w:i/>
        </w:rPr>
      </w:pPr>
      <w:r>
        <w:rPr>
          <w:i/>
          <w:color w:val="231F20"/>
        </w:rPr>
        <w:t>Taxes</w:t>
      </w:r>
    </w:p>
    <w:p>
      <w:pPr>
        <w:pStyle w:val="BodyText"/>
        <w:spacing w:line="249" w:lineRule="auto" w:before="129"/>
        <w:ind w:left="100" w:right="14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4"/>
        <w:rPr>
          <w:sz w:val="31"/>
        </w:rPr>
      </w:pPr>
    </w:p>
    <w:p>
      <w:pPr>
        <w:pStyle w:val="Heading3"/>
        <w:numPr>
          <w:ilvl w:val="0"/>
          <w:numId w:val="13"/>
        </w:numPr>
        <w:tabs>
          <w:tab w:pos="400" w:val="left" w:leader="none"/>
        </w:tabs>
        <w:spacing w:line="240" w:lineRule="auto" w:before="0" w:after="0"/>
        <w:ind w:left="400" w:right="0" w:hanging="300"/>
        <w:jc w:val="left"/>
      </w:pPr>
      <w:r>
        <w:rPr>
          <w:color w:val="231F20"/>
        </w:rPr>
        <w:t>EMPLOYEE RETIREMENT</w:t>
      </w:r>
      <w:r>
        <w:rPr>
          <w:color w:val="231F20"/>
          <w:spacing w:val="-5"/>
        </w:rPr>
        <w:t> </w:t>
      </w:r>
      <w:r>
        <w:rPr>
          <w:color w:val="231F20"/>
        </w:rPr>
        <w:t>PLANS</w:t>
      </w:r>
    </w:p>
    <w:p>
      <w:pPr>
        <w:pStyle w:val="Heading4"/>
        <w:spacing w:before="130"/>
        <w:rPr>
          <w:i/>
        </w:rPr>
      </w:pPr>
      <w:r>
        <w:rPr>
          <w:i/>
          <w:color w:val="231F20"/>
        </w:rPr>
        <w:t>Defined contribution plans</w:t>
      </w:r>
    </w:p>
    <w:p>
      <w:pPr>
        <w:pStyle w:val="BodyText"/>
        <w:spacing w:line="249" w:lineRule="auto" w:before="130"/>
        <w:ind w:left="100" w:right="198" w:firstLine="490"/>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 allowed. AirTran Employees became eligible to participate in Southwest’s ProfitSharing Plan beginning  January 1,</w:t>
      </w:r>
      <w:r>
        <w:rPr>
          <w:color w:val="231F20"/>
          <w:spacing w:val="1"/>
        </w:rPr>
        <w:t> </w:t>
      </w:r>
      <w:r>
        <w:rPr>
          <w:color w:val="231F20"/>
        </w:rPr>
        <w:t>2012.</w:t>
      </w:r>
    </w:p>
    <w:p>
      <w:pPr>
        <w:pStyle w:val="BodyText"/>
        <w:spacing w:before="11"/>
      </w:pPr>
    </w:p>
    <w:p>
      <w:pPr>
        <w:pStyle w:val="BodyText"/>
        <w:spacing w:line="249" w:lineRule="auto"/>
        <w:ind w:left="100" w:right="278" w:firstLine="490"/>
      </w:pPr>
      <w:r>
        <w:rPr>
          <w:color w:val="231F20"/>
        </w:rPr>
        <w:t>Company contributions to all defined contribution plans expensed in 2012, 2011, and 2010, reflected as a component of Salaries, wages, and benefits, were $370 million, $316 million, and $350 million, respectively.</w:t>
      </w:r>
    </w:p>
    <w:p>
      <w:pPr>
        <w:pStyle w:val="BodyText"/>
        <w:spacing w:before="4"/>
        <w:rPr>
          <w:sz w:val="31"/>
        </w:rPr>
      </w:pPr>
    </w:p>
    <w:p>
      <w:pPr>
        <w:pStyle w:val="Heading4"/>
        <w:rPr>
          <w:i/>
        </w:rPr>
      </w:pPr>
      <w:r>
        <w:rPr>
          <w:i/>
          <w:color w:val="231F20"/>
        </w:rPr>
        <w:t>Postretirement benefit plans</w:t>
      </w:r>
    </w:p>
    <w:p>
      <w:pPr>
        <w:pStyle w:val="BodyText"/>
        <w:spacing w:line="249" w:lineRule="auto" w:before="129"/>
        <w:ind w:left="100" w:right="252"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1880" w:h="15480"/>
          <w:pgMar w:header="0" w:footer="1253" w:top="1240" w:bottom="1440" w:left="1280" w:right="1280"/>
        </w:sectPr>
      </w:pPr>
    </w:p>
    <w:p>
      <w:pPr>
        <w:pStyle w:val="BodyText"/>
        <w:spacing w:line="249" w:lineRule="auto" w:before="73"/>
        <w:ind w:left="160" w:right="539" w:firstLine="490"/>
      </w:pPr>
      <w:r>
        <w:rPr>
          <w:color w:val="231F20"/>
        </w:rPr>
        <w:t>Including AirTran as of the acquisition date, the following table shows the change in the accumulated postretirement benefit obligation (APBO) for the years ended December 31, 2012 and 2011:</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5"/>
        <w:gridCol w:w="155"/>
        <w:gridCol w:w="900"/>
        <w:gridCol w:w="500"/>
        <w:gridCol w:w="100"/>
        <w:gridCol w:w="900"/>
        <w:gridCol w:w="450"/>
      </w:tblGrid>
      <w:tr>
        <w:trPr>
          <w:trHeight w:val="230" w:hRule="exact"/>
        </w:trPr>
        <w:tc>
          <w:tcPr>
            <w:tcW w:w="46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199" w:lineRule="exact"/>
              <w:ind w:left="470"/>
              <w:jc w:val="left"/>
              <w:rPr>
                <w:b/>
                <w:sz w:val="18"/>
              </w:rPr>
            </w:pPr>
            <w:r>
              <w:rPr>
                <w:b/>
                <w:color w:val="231F20"/>
                <w:sz w:val="18"/>
              </w:rPr>
              <w:t>2012</w:t>
            </w:r>
          </w:p>
        </w:tc>
        <w:tc>
          <w:tcPr>
            <w:tcW w:w="500" w:type="dxa"/>
            <w:tcBorders>
              <w:bottom w:val="single" w:sz="8" w:space="0" w:color="231F20"/>
            </w:tcBorders>
          </w:tcPr>
          <w:p>
            <w:pPr/>
          </w:p>
        </w:tc>
        <w:tc>
          <w:tcPr>
            <w:tcW w:w="100" w:type="dxa"/>
          </w:tcPr>
          <w:p>
            <w:pPr/>
          </w:p>
        </w:tc>
        <w:tc>
          <w:tcPr>
            <w:tcW w:w="900" w:type="dxa"/>
            <w:tcBorders>
              <w:bottom w:val="single" w:sz="8" w:space="0" w:color="231F20"/>
            </w:tcBorders>
          </w:tcPr>
          <w:p>
            <w:pPr>
              <w:pStyle w:val="TableParagraph"/>
              <w:spacing w:line="199" w:lineRule="exact"/>
              <w:ind w:left="470"/>
              <w:jc w:val="left"/>
              <w:rPr>
                <w:b/>
                <w:sz w:val="18"/>
              </w:rPr>
            </w:pPr>
            <w:r>
              <w:rPr>
                <w:b/>
                <w:color w:val="231F20"/>
                <w:sz w:val="18"/>
              </w:rPr>
              <w:t>2011</w:t>
            </w:r>
          </w:p>
        </w:tc>
        <w:tc>
          <w:tcPr>
            <w:tcW w:w="450" w:type="dxa"/>
            <w:tcBorders>
              <w:bottom w:val="single" w:sz="8" w:space="0" w:color="231F20"/>
            </w:tcBorders>
          </w:tcPr>
          <w:p>
            <w:pPr/>
          </w:p>
        </w:tc>
      </w:tr>
      <w:tr>
        <w:trPr>
          <w:trHeight w:val="280" w:hRule="exact"/>
        </w:trPr>
        <w:tc>
          <w:tcPr>
            <w:tcW w:w="4615" w:type="dxa"/>
            <w:tcBorders>
              <w:top w:val="single" w:sz="8" w:space="0" w:color="231F20"/>
            </w:tcBorders>
          </w:tcPr>
          <w:p>
            <w:pPr>
              <w:pStyle w:val="TableParagraph"/>
              <w:spacing w:before="52"/>
              <w:rPr>
                <w:sz w:val="18"/>
              </w:rPr>
            </w:pPr>
            <w:r>
              <w:rPr>
                <w:color w:val="231F20"/>
                <w:sz w:val="18"/>
              </w:rPr>
              <w:t>APBO at beginning of period  . . . . . . . . . . . . . . . . . . . . . . . . . . </w:t>
            </w:r>
          </w:p>
        </w:tc>
        <w:tc>
          <w:tcPr>
            <w:tcW w:w="155" w:type="dxa"/>
          </w:tcPr>
          <w:p>
            <w:pPr/>
          </w:p>
        </w:tc>
        <w:tc>
          <w:tcPr>
            <w:tcW w:w="900" w:type="dxa"/>
            <w:tcBorders>
              <w:top w:val="single" w:sz="8" w:space="0" w:color="231F20"/>
            </w:tcBorders>
          </w:tcPr>
          <w:p>
            <w:pPr>
              <w:pStyle w:val="TableParagraph"/>
              <w:spacing w:before="52"/>
              <w:jc w:val="left"/>
              <w:rPr>
                <w:sz w:val="18"/>
              </w:rPr>
            </w:pPr>
            <w:r>
              <w:rPr>
                <w:color w:val="231F20"/>
                <w:sz w:val="18"/>
              </w:rPr>
              <w:t>$</w:t>
            </w:r>
          </w:p>
        </w:tc>
        <w:tc>
          <w:tcPr>
            <w:tcW w:w="500" w:type="dxa"/>
            <w:tcBorders>
              <w:top w:val="single" w:sz="8" w:space="0" w:color="231F20"/>
            </w:tcBorders>
          </w:tcPr>
          <w:p>
            <w:pPr>
              <w:pStyle w:val="TableParagraph"/>
              <w:spacing w:before="52"/>
              <w:ind w:left="69"/>
              <w:jc w:val="left"/>
              <w:rPr>
                <w:sz w:val="18"/>
              </w:rPr>
            </w:pPr>
            <w:r>
              <w:rPr>
                <w:color w:val="231F20"/>
                <w:sz w:val="18"/>
              </w:rPr>
              <w:t>107</w:t>
            </w:r>
          </w:p>
        </w:tc>
        <w:tc>
          <w:tcPr>
            <w:tcW w:w="100" w:type="dxa"/>
          </w:tcPr>
          <w:p>
            <w:pPr/>
          </w:p>
        </w:tc>
        <w:tc>
          <w:tcPr>
            <w:tcW w:w="900" w:type="dxa"/>
            <w:tcBorders>
              <w:top w:val="single" w:sz="8" w:space="0" w:color="231F20"/>
            </w:tcBorders>
          </w:tcPr>
          <w:p>
            <w:pPr>
              <w:pStyle w:val="TableParagraph"/>
              <w:spacing w:before="52"/>
              <w:jc w:val="left"/>
              <w:rPr>
                <w:sz w:val="18"/>
              </w:rPr>
            </w:pPr>
            <w:r>
              <w:rPr>
                <w:color w:val="231F20"/>
                <w:sz w:val="18"/>
              </w:rPr>
              <w:t>$</w:t>
            </w:r>
          </w:p>
        </w:tc>
        <w:tc>
          <w:tcPr>
            <w:tcW w:w="450" w:type="dxa"/>
            <w:tcBorders>
              <w:top w:val="single" w:sz="8" w:space="0" w:color="231F20"/>
            </w:tcBorders>
          </w:tcPr>
          <w:p>
            <w:pPr>
              <w:pStyle w:val="TableParagraph"/>
              <w:spacing w:before="52"/>
              <w:ind w:left="159"/>
              <w:jc w:val="left"/>
              <w:rPr>
                <w:sz w:val="18"/>
              </w:rPr>
            </w:pPr>
            <w:r>
              <w:rPr>
                <w:color w:val="231F20"/>
                <w:sz w:val="18"/>
              </w:rPr>
              <w:t>91</w:t>
            </w:r>
          </w:p>
        </w:tc>
      </w:tr>
      <w:tr>
        <w:trPr>
          <w:trHeight w:val="220" w:hRule="exact"/>
        </w:trPr>
        <w:tc>
          <w:tcPr>
            <w:tcW w:w="4615" w:type="dxa"/>
          </w:tcPr>
          <w:p>
            <w:pPr>
              <w:pStyle w:val="TableParagraph"/>
              <w:spacing w:before="1"/>
              <w:rPr>
                <w:sz w:val="18"/>
              </w:rPr>
            </w:pPr>
            <w:r>
              <w:rPr>
                <w:color w:val="231F20"/>
                <w:sz w:val="18"/>
              </w:rPr>
              <w:t>Service cost  . . . . . . . . .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20</w:t>
            </w:r>
          </w:p>
        </w:tc>
        <w:tc>
          <w:tcPr>
            <w:tcW w:w="100" w:type="dxa"/>
          </w:tcPr>
          <w:p>
            <w:pPr/>
          </w:p>
        </w:tc>
        <w:tc>
          <w:tcPr>
            <w:tcW w:w="900" w:type="dxa"/>
          </w:tcPr>
          <w:p>
            <w:pPr/>
          </w:p>
        </w:tc>
        <w:tc>
          <w:tcPr>
            <w:tcW w:w="450" w:type="dxa"/>
          </w:tcPr>
          <w:p>
            <w:pPr>
              <w:pStyle w:val="TableParagraph"/>
              <w:spacing w:before="1"/>
              <w:ind w:left="159"/>
              <w:jc w:val="left"/>
              <w:rPr>
                <w:sz w:val="18"/>
              </w:rPr>
            </w:pPr>
            <w:r>
              <w:rPr>
                <w:color w:val="231F20"/>
                <w:sz w:val="18"/>
              </w:rPr>
              <w:t>17</w:t>
            </w:r>
          </w:p>
        </w:tc>
      </w:tr>
      <w:tr>
        <w:trPr>
          <w:trHeight w:val="220" w:hRule="exact"/>
        </w:trPr>
        <w:tc>
          <w:tcPr>
            <w:tcW w:w="4615" w:type="dxa"/>
          </w:tcPr>
          <w:p>
            <w:pPr>
              <w:pStyle w:val="TableParagraph"/>
              <w:spacing w:before="1"/>
              <w:rPr>
                <w:sz w:val="18"/>
              </w:rPr>
            </w:pPr>
            <w:r>
              <w:rPr>
                <w:color w:val="231F20"/>
                <w:sz w:val="18"/>
              </w:rPr>
              <w:t>Interest cost  . . . . . . . . .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4</w:t>
            </w:r>
          </w:p>
        </w:tc>
        <w:tc>
          <w:tcPr>
            <w:tcW w:w="100" w:type="dxa"/>
          </w:tcPr>
          <w:p>
            <w:pPr/>
          </w:p>
        </w:tc>
        <w:tc>
          <w:tcPr>
            <w:tcW w:w="900" w:type="dxa"/>
          </w:tcPr>
          <w:p>
            <w:pPr/>
          </w:p>
        </w:tc>
        <w:tc>
          <w:tcPr>
            <w:tcW w:w="450" w:type="dxa"/>
          </w:tcPr>
          <w:p>
            <w:pPr>
              <w:pStyle w:val="TableParagraph"/>
              <w:spacing w:before="1"/>
              <w:ind w:left="249"/>
              <w:jc w:val="left"/>
              <w:rPr>
                <w:sz w:val="18"/>
              </w:rPr>
            </w:pPr>
            <w:r>
              <w:rPr>
                <w:color w:val="231F20"/>
                <w:sz w:val="18"/>
              </w:rPr>
              <w:t>4</w:t>
            </w:r>
          </w:p>
        </w:tc>
      </w:tr>
      <w:tr>
        <w:trPr>
          <w:trHeight w:val="220" w:hRule="exact"/>
        </w:trPr>
        <w:tc>
          <w:tcPr>
            <w:tcW w:w="4615" w:type="dxa"/>
          </w:tcPr>
          <w:p>
            <w:pPr>
              <w:pStyle w:val="TableParagraph"/>
              <w:spacing w:before="1"/>
              <w:rPr>
                <w:sz w:val="18"/>
              </w:rPr>
            </w:pPr>
            <w:r>
              <w:rPr>
                <w:color w:val="231F20"/>
                <w:sz w:val="18"/>
              </w:rPr>
              <w:t>Benefits paid  . . . . . . . . . . . . . . . . . . . . . . . . . . . . . . . . . . . . . </w:t>
            </w:r>
          </w:p>
        </w:tc>
        <w:tc>
          <w:tcPr>
            <w:tcW w:w="155" w:type="dxa"/>
          </w:tcPr>
          <w:p>
            <w:pPr/>
          </w:p>
        </w:tc>
        <w:tc>
          <w:tcPr>
            <w:tcW w:w="900" w:type="dxa"/>
          </w:tcPr>
          <w:p>
            <w:pPr/>
          </w:p>
        </w:tc>
        <w:tc>
          <w:tcPr>
            <w:tcW w:w="500" w:type="dxa"/>
          </w:tcPr>
          <w:p>
            <w:pPr>
              <w:pStyle w:val="TableParagraph"/>
              <w:spacing w:before="1"/>
              <w:ind w:right="98"/>
              <w:rPr>
                <w:sz w:val="18"/>
              </w:rPr>
            </w:pPr>
            <w:r>
              <w:rPr>
                <w:color w:val="231F20"/>
                <w:sz w:val="18"/>
              </w:rPr>
              <w:t>(5)</w:t>
            </w:r>
          </w:p>
        </w:tc>
        <w:tc>
          <w:tcPr>
            <w:tcW w:w="100" w:type="dxa"/>
          </w:tcPr>
          <w:p>
            <w:pPr/>
          </w:p>
        </w:tc>
        <w:tc>
          <w:tcPr>
            <w:tcW w:w="900" w:type="dxa"/>
          </w:tcPr>
          <w:p>
            <w:pPr/>
          </w:p>
        </w:tc>
        <w:tc>
          <w:tcPr>
            <w:tcW w:w="450" w:type="dxa"/>
          </w:tcPr>
          <w:p>
            <w:pPr>
              <w:pStyle w:val="TableParagraph"/>
              <w:spacing w:before="1"/>
              <w:ind w:right="48"/>
              <w:rPr>
                <w:sz w:val="18"/>
              </w:rPr>
            </w:pPr>
            <w:r>
              <w:rPr>
                <w:color w:val="231F20"/>
                <w:sz w:val="18"/>
              </w:rPr>
              <w:t>(5)</w:t>
            </w:r>
          </w:p>
        </w:tc>
      </w:tr>
      <w:tr>
        <w:trPr>
          <w:trHeight w:val="220" w:hRule="exact"/>
        </w:trPr>
        <w:tc>
          <w:tcPr>
            <w:tcW w:w="4615" w:type="dxa"/>
          </w:tcPr>
          <w:p>
            <w:pPr>
              <w:pStyle w:val="TableParagraph"/>
              <w:spacing w:before="1"/>
              <w:rPr>
                <w:sz w:val="18"/>
              </w:rPr>
            </w:pPr>
            <w:r>
              <w:rPr>
                <w:color w:val="231F20"/>
                <w:sz w:val="18"/>
              </w:rPr>
              <w:t>Credit for prior service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17</w:t>
            </w:r>
          </w:p>
        </w:tc>
        <w:tc>
          <w:tcPr>
            <w:tcW w:w="100" w:type="dxa"/>
          </w:tcPr>
          <w:p>
            <w:pPr/>
          </w:p>
        </w:tc>
        <w:tc>
          <w:tcPr>
            <w:tcW w:w="900" w:type="dxa"/>
          </w:tcPr>
          <w:p>
            <w:pPr/>
          </w:p>
        </w:tc>
        <w:tc>
          <w:tcPr>
            <w:tcW w:w="450" w:type="dxa"/>
          </w:tcPr>
          <w:p>
            <w:pPr>
              <w:pStyle w:val="TableParagraph"/>
              <w:spacing w:before="1"/>
              <w:ind w:left="69"/>
              <w:jc w:val="left"/>
              <w:rPr>
                <w:sz w:val="18"/>
              </w:rPr>
            </w:pPr>
            <w:r>
              <w:rPr>
                <w:color w:val="231F20"/>
                <w:sz w:val="18"/>
              </w:rPr>
              <w:t>—</w:t>
            </w:r>
          </w:p>
        </w:tc>
      </w:tr>
      <w:tr>
        <w:trPr>
          <w:trHeight w:val="220" w:hRule="exact"/>
        </w:trPr>
        <w:tc>
          <w:tcPr>
            <w:tcW w:w="4615" w:type="dxa"/>
          </w:tcPr>
          <w:p>
            <w:pPr>
              <w:pStyle w:val="TableParagraph"/>
              <w:spacing w:before="1"/>
              <w:rPr>
                <w:sz w:val="18"/>
              </w:rPr>
            </w:pPr>
            <w:r>
              <w:rPr>
                <w:color w:val="231F20"/>
                <w:sz w:val="18"/>
              </w:rPr>
              <w:t>Acquisition of AirTran   . . . . . . . . . . . . . . . . . . . . . . . . . . . . . </w:t>
            </w:r>
          </w:p>
        </w:tc>
        <w:tc>
          <w:tcPr>
            <w:tcW w:w="155" w:type="dxa"/>
          </w:tcPr>
          <w:p>
            <w:pPr/>
          </w:p>
        </w:tc>
        <w:tc>
          <w:tcPr>
            <w:tcW w:w="900" w:type="dxa"/>
          </w:tcPr>
          <w:p>
            <w:pPr/>
          </w:p>
        </w:tc>
        <w:tc>
          <w:tcPr>
            <w:tcW w:w="500" w:type="dxa"/>
          </w:tcPr>
          <w:p>
            <w:pPr>
              <w:pStyle w:val="TableParagraph"/>
              <w:spacing w:before="1"/>
              <w:ind w:left="69"/>
              <w:jc w:val="left"/>
              <w:rPr>
                <w:sz w:val="18"/>
              </w:rPr>
            </w:pPr>
            <w:r>
              <w:rPr>
                <w:color w:val="231F20"/>
                <w:sz w:val="18"/>
              </w:rPr>
              <w:t>—</w:t>
            </w:r>
          </w:p>
        </w:tc>
        <w:tc>
          <w:tcPr>
            <w:tcW w:w="100" w:type="dxa"/>
          </w:tcPr>
          <w:p>
            <w:pPr/>
          </w:p>
        </w:tc>
        <w:tc>
          <w:tcPr>
            <w:tcW w:w="900" w:type="dxa"/>
          </w:tcPr>
          <w:p>
            <w:pPr/>
          </w:p>
        </w:tc>
        <w:tc>
          <w:tcPr>
            <w:tcW w:w="450" w:type="dxa"/>
          </w:tcPr>
          <w:p>
            <w:pPr>
              <w:pStyle w:val="TableParagraph"/>
              <w:spacing w:before="1"/>
              <w:ind w:left="249"/>
              <w:jc w:val="left"/>
              <w:rPr>
                <w:sz w:val="18"/>
              </w:rPr>
            </w:pPr>
            <w:r>
              <w:rPr>
                <w:color w:val="231F20"/>
                <w:sz w:val="18"/>
              </w:rPr>
              <w:t>3</w:t>
            </w:r>
          </w:p>
        </w:tc>
      </w:tr>
      <w:tr>
        <w:trPr>
          <w:trHeight w:val="245" w:hRule="exact"/>
        </w:trPr>
        <w:tc>
          <w:tcPr>
            <w:tcW w:w="4615" w:type="dxa"/>
          </w:tcPr>
          <w:p>
            <w:pPr>
              <w:pStyle w:val="TableParagraph"/>
              <w:spacing w:before="1"/>
              <w:rPr>
                <w:sz w:val="18"/>
              </w:rPr>
            </w:pPr>
            <w:r>
              <w:rPr>
                <w:color w:val="231F20"/>
                <w:sz w:val="18"/>
              </w:rPr>
              <w:t>Actuarial (gain)/loss   . . . . . . . . . . . . . . . . . . . . . . . . . . . . . . . </w:t>
            </w:r>
          </w:p>
        </w:tc>
        <w:tc>
          <w:tcPr>
            <w:tcW w:w="155" w:type="dxa"/>
          </w:tcPr>
          <w:p>
            <w:pPr/>
          </w:p>
        </w:tc>
        <w:tc>
          <w:tcPr>
            <w:tcW w:w="900" w:type="dxa"/>
            <w:tcBorders>
              <w:bottom w:val="single" w:sz="4" w:space="0" w:color="231F20"/>
            </w:tcBorders>
          </w:tcPr>
          <w:p>
            <w:pPr/>
          </w:p>
        </w:tc>
        <w:tc>
          <w:tcPr>
            <w:tcW w:w="500" w:type="dxa"/>
            <w:tcBorders>
              <w:bottom w:val="single" w:sz="4" w:space="0" w:color="231F20"/>
            </w:tcBorders>
          </w:tcPr>
          <w:p>
            <w:pPr>
              <w:pStyle w:val="TableParagraph"/>
              <w:spacing w:before="1"/>
              <w:ind w:right="157"/>
              <w:rPr>
                <w:sz w:val="18"/>
              </w:rPr>
            </w:pPr>
            <w:r>
              <w:rPr>
                <w:color w:val="231F20"/>
                <w:sz w:val="18"/>
              </w:rPr>
              <w:t>5</w:t>
            </w:r>
          </w:p>
        </w:tc>
        <w:tc>
          <w:tcPr>
            <w:tcW w:w="100" w:type="dxa"/>
          </w:tcPr>
          <w:p>
            <w:pPr/>
          </w:p>
        </w:tc>
        <w:tc>
          <w:tcPr>
            <w:tcW w:w="900" w:type="dxa"/>
            <w:tcBorders>
              <w:bottom w:val="single" w:sz="4" w:space="0" w:color="231F20"/>
            </w:tcBorders>
          </w:tcPr>
          <w:p>
            <w:pPr/>
          </w:p>
        </w:tc>
        <w:tc>
          <w:tcPr>
            <w:tcW w:w="450" w:type="dxa"/>
            <w:tcBorders>
              <w:bottom w:val="single" w:sz="4" w:space="0" w:color="231F20"/>
            </w:tcBorders>
          </w:tcPr>
          <w:p>
            <w:pPr>
              <w:pStyle w:val="TableParagraph"/>
              <w:spacing w:before="1"/>
              <w:ind w:right="48"/>
              <w:rPr>
                <w:sz w:val="18"/>
              </w:rPr>
            </w:pPr>
            <w:r>
              <w:rPr>
                <w:color w:val="231F20"/>
                <w:sz w:val="18"/>
              </w:rPr>
              <w:t>(3)</w:t>
            </w:r>
          </w:p>
        </w:tc>
      </w:tr>
      <w:tr>
        <w:trPr>
          <w:trHeight w:val="340" w:hRule="exact"/>
        </w:trPr>
        <w:tc>
          <w:tcPr>
            <w:tcW w:w="4615" w:type="dxa"/>
          </w:tcPr>
          <w:p>
            <w:pPr>
              <w:pStyle w:val="TableParagraph"/>
              <w:spacing w:before="57"/>
              <w:rPr>
                <w:sz w:val="18"/>
              </w:rPr>
            </w:pPr>
            <w:r>
              <w:rPr>
                <w:color w:val="231F20"/>
                <w:sz w:val="18"/>
              </w:rPr>
              <w:t>APBO at end of period   . . . . . . . . . . . . . . . . . . . . . . . . . . . . . . . </w:t>
            </w:r>
          </w:p>
        </w:tc>
        <w:tc>
          <w:tcPr>
            <w:tcW w:w="155" w:type="dxa"/>
          </w:tcPr>
          <w:p>
            <w:pPr/>
          </w:p>
        </w:tc>
        <w:tc>
          <w:tcPr>
            <w:tcW w:w="90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500" w:type="dxa"/>
            <w:tcBorders>
              <w:top w:val="single" w:sz="4" w:space="0" w:color="231F20"/>
              <w:bottom w:val="single" w:sz="4" w:space="0" w:color="231F20"/>
            </w:tcBorders>
          </w:tcPr>
          <w:p>
            <w:pPr>
              <w:pStyle w:val="TableParagraph"/>
              <w:spacing w:before="52"/>
              <w:ind w:left="69"/>
              <w:jc w:val="left"/>
              <w:rPr>
                <w:sz w:val="18"/>
              </w:rPr>
            </w:pPr>
            <w:r>
              <w:rPr>
                <w:color w:val="231F20"/>
                <w:sz w:val="18"/>
              </w:rPr>
              <w:t>148</w:t>
            </w:r>
          </w:p>
        </w:tc>
        <w:tc>
          <w:tcPr>
            <w:tcW w:w="100" w:type="dxa"/>
          </w:tcPr>
          <w:p>
            <w:pPr/>
          </w:p>
        </w:tc>
        <w:tc>
          <w:tcPr>
            <w:tcW w:w="90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50" w:type="dxa"/>
            <w:tcBorders>
              <w:top w:val="single" w:sz="4" w:space="0" w:color="231F20"/>
              <w:bottom w:val="single" w:sz="4" w:space="0" w:color="231F20"/>
            </w:tcBorders>
          </w:tcPr>
          <w:p>
            <w:pPr>
              <w:pStyle w:val="TableParagraph"/>
              <w:spacing w:before="52"/>
              <w:ind w:left="69"/>
              <w:jc w:val="left"/>
              <w:rPr>
                <w:sz w:val="18"/>
              </w:rPr>
            </w:pPr>
            <w:r>
              <w:rPr>
                <w:color w:val="231F20"/>
                <w:sz w:val="18"/>
              </w:rPr>
              <w:t>107</w:t>
            </w:r>
          </w:p>
        </w:tc>
      </w:tr>
    </w:tbl>
    <w:p>
      <w:pPr>
        <w:pStyle w:val="BodyText"/>
        <w:rPr>
          <w:sz w:val="25"/>
        </w:rPr>
      </w:pPr>
    </w:p>
    <w:p>
      <w:pPr>
        <w:pStyle w:val="BodyText"/>
        <w:spacing w:line="249" w:lineRule="auto" w:before="1"/>
        <w:ind w:left="160" w:right="119" w:firstLine="490"/>
      </w:pPr>
      <w:r>
        <w:rPr/>
        <w:pict>
          <v:line style="position:absolute;mso-position-horizontal-relative:page;mso-position-vertical-relative:paragraph;z-index:-351112" from="305pt,-16.864063pt" to="370pt,-16.864063pt" stroked="true" strokeweight=".5pt" strokecolor="#231f20">
            <v:stroke dashstyle="solid"/>
            <w10:wrap type="none"/>
          </v:line>
        </w:pict>
      </w:r>
      <w:r>
        <w:rPr/>
        <w:pict>
          <v:line style="position:absolute;mso-position-horizontal-relative:page;mso-position-vertical-relative:paragraph;z-index:-351088" from="380pt,-16.864063pt" to="445pt,-16.864063pt" stroked="true" strokeweight=".5pt" strokecolor="#231f20">
            <v:stroke dashstyle="solid"/>
            <w10:wrap type="none"/>
          </v:line>
        </w:pict>
      </w:r>
      <w:r>
        <w:rPr>
          <w:color w:val="231F20"/>
        </w:rPr>
        <w:t>Pursuant to the Merger Agreement between AirTran and Southwest, Southwest Employees that were former AirTran employees are to be given credit for their service with AirTran for purposes of determining eligibility for retiree benefits. This service credit requirement resulted in a $17 million increase to the APBO, which is being accounted for as prior service cost to be amortized over the average future service of active AirTran employees.</w:t>
      </w:r>
    </w:p>
    <w:p>
      <w:pPr>
        <w:pStyle w:val="BodyText"/>
        <w:spacing w:before="11"/>
      </w:pPr>
    </w:p>
    <w:p>
      <w:pPr>
        <w:pStyle w:val="BodyText"/>
        <w:spacing w:line="249" w:lineRule="auto"/>
        <w:ind w:left="160" w:right="119" w:firstLine="490"/>
      </w:pPr>
      <w:r>
        <w:rPr>
          <w:color w:val="231F20"/>
        </w:rPr>
        <w:t>The assumed healthcare cost trend rates have a significant effect on the amounts reported for the consolidated postretirement plans. A one percent change in all healthcare cost trend rates used in measuring the APBO at December 31, 2012, would have the following effects:</w:t>
      </w:r>
    </w:p>
    <w:p>
      <w:pPr>
        <w:pStyle w:val="BodyText"/>
        <w:spacing w:before="3"/>
        <w:rPr>
          <w:sz w:val="17"/>
        </w:rPr>
      </w:pPr>
    </w:p>
    <w:p>
      <w:pPr>
        <w:tabs>
          <w:tab w:pos="5036" w:val="left" w:leader="none"/>
          <w:tab w:pos="6521" w:val="left" w:leader="none"/>
        </w:tabs>
        <w:spacing w:before="1" w:after="21"/>
        <w:ind w:left="160" w:right="0" w:firstLine="0"/>
        <w:jc w:val="left"/>
        <w:rPr>
          <w:b/>
          <w:sz w:val="18"/>
        </w:rPr>
      </w:pPr>
      <w:r>
        <w:rPr>
          <w:b/>
          <w:color w:val="231F20"/>
          <w:sz w:val="18"/>
        </w:rPr>
        <w:t>(in</w:t>
      </w:r>
      <w:r>
        <w:rPr>
          <w:b/>
          <w:color w:val="231F20"/>
          <w:spacing w:val="-1"/>
          <w:sz w:val="18"/>
        </w:rPr>
        <w:t> </w:t>
      </w:r>
      <w:r>
        <w:rPr>
          <w:b/>
          <w:color w:val="231F20"/>
          <w:sz w:val="18"/>
        </w:rPr>
        <w:t>millions)</w:t>
        <w:tab/>
        <w:t>1% increase</w:t>
        <w:tab/>
        <w:t>1% decrease</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939" w:val="left" w:leader="none"/>
          <w:tab w:pos="6029" w:val="left" w:leader="none"/>
          <w:tab w:pos="6339" w:val="left" w:leader="none"/>
          <w:tab w:pos="7379" w:val="left" w:leader="none"/>
          <w:tab w:pos="7469" w:val="left" w:leader="none"/>
        </w:tabs>
        <w:spacing w:line="254" w:lineRule="auto" w:before="52"/>
        <w:ind w:left="160" w:right="1658" w:firstLine="0"/>
        <w:jc w:val="left"/>
        <w:rPr>
          <w:sz w:val="18"/>
        </w:rPr>
      </w:pPr>
      <w:r>
        <w:rPr>
          <w:color w:val="231F20"/>
          <w:sz w:val="18"/>
        </w:rPr>
        <w:t>Increase (decrease) in total service and interest costs  . . . . . . .</w:t>
      </w:r>
      <w:r>
        <w:rPr>
          <w:color w:val="231F20"/>
          <w:spacing w:val="-22"/>
          <w:sz w:val="18"/>
        </w:rPr>
        <w:t> </w:t>
      </w:r>
      <w:r>
        <w:rPr>
          <w:color w:val="231F20"/>
          <w:sz w:val="18"/>
        </w:rPr>
        <w:t>.  </w:t>
      </w:r>
      <w:r>
        <w:rPr>
          <w:color w:val="231F20"/>
          <w:spacing w:val="25"/>
          <w:sz w:val="18"/>
        </w:rPr>
        <w:t> </w:t>
      </w:r>
      <w:r>
        <w:rPr>
          <w:color w:val="231F20"/>
          <w:sz w:val="18"/>
        </w:rPr>
        <w:t>$</w:t>
        <w:tab/>
        <w:tab/>
        <w:t>3</w:t>
        <w:tab/>
        <w:t>$</w:t>
        <w:tab/>
        <w:tab/>
        <w:t>(3) Increase (decrease) in the APBO . . . . . . . . . . . . . . . . . . . . . . .</w:t>
      </w:r>
      <w:r>
        <w:rPr>
          <w:color w:val="231F20"/>
          <w:spacing w:val="-2"/>
          <w:sz w:val="18"/>
        </w:rPr>
        <w:t> </w:t>
      </w:r>
      <w:r>
        <w:rPr>
          <w:color w:val="231F20"/>
          <w:sz w:val="18"/>
        </w:rPr>
        <w:t>.  </w:t>
      </w:r>
      <w:r>
        <w:rPr>
          <w:color w:val="231F20"/>
          <w:spacing w:val="25"/>
          <w:sz w:val="18"/>
        </w:rPr>
        <w:t> </w:t>
      </w:r>
      <w:r>
        <w:rPr>
          <w:color w:val="231F20"/>
          <w:sz w:val="18"/>
        </w:rPr>
        <w:t>$</w:t>
        <w:tab/>
        <w:t>11</w:t>
        <w:tab/>
        <w:t>$</w:t>
        <w:tab/>
        <w:t>(10)</w:t>
      </w:r>
    </w:p>
    <w:p>
      <w:pPr>
        <w:pStyle w:val="BodyText"/>
        <w:rPr>
          <w:sz w:val="21"/>
        </w:rPr>
      </w:pPr>
    </w:p>
    <w:p>
      <w:pPr>
        <w:pStyle w:val="BodyText"/>
        <w:spacing w:line="249" w:lineRule="auto" w:before="1"/>
        <w:ind w:left="160" w:right="135" w:firstLine="490"/>
      </w:pPr>
      <w:r>
        <w:rPr>
          <w:color w:val="231F20"/>
        </w:rPr>
        <w:t>All plans are unfunded, and benefits are paid as they become due. Estimated future benefit payments expected to be paid for each of the next five years and the five years thereafter are $6 million in 2013, $8 million in 2014, $11 million in 2015, $14 million in 2016, $17 million in 2017, and $136 million for the next five years thereafter.</w:t>
      </w:r>
    </w:p>
    <w:p>
      <w:pPr>
        <w:pStyle w:val="BodyText"/>
        <w:spacing w:before="11"/>
      </w:pPr>
    </w:p>
    <w:p>
      <w:pPr>
        <w:pStyle w:val="BodyText"/>
        <w:spacing w:line="249" w:lineRule="auto"/>
        <w:ind w:left="160" w:right="107" w:firstLine="490"/>
      </w:pPr>
      <w:r>
        <w:rPr>
          <w:color w:val="231F20"/>
        </w:rPr>
        <w:t>The funded status (i.e.,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2012 and 2011.</w:t>
      </w:r>
    </w:p>
    <w:p>
      <w:pPr>
        <w:pStyle w:val="BodyText"/>
        <w:spacing w:before="4"/>
        <w:rPr>
          <w:sz w:val="17"/>
        </w:rPr>
      </w:pPr>
    </w:p>
    <w:p>
      <w:pPr>
        <w:tabs>
          <w:tab w:pos="5329" w:val="left" w:leader="none"/>
          <w:tab w:pos="6829" w:val="left" w:leader="none"/>
        </w:tabs>
        <w:spacing w:before="0" w:after="19"/>
        <w:ind w:left="160" w:right="0" w:firstLine="0"/>
        <w:jc w:val="left"/>
        <w:rPr>
          <w:b/>
          <w:sz w:val="18"/>
        </w:rPr>
      </w:pPr>
      <w:r>
        <w:rPr>
          <w:b/>
          <w:color w:val="231F20"/>
          <w:sz w:val="18"/>
        </w:rPr>
        <w:t>(in</w:t>
      </w:r>
      <w:r>
        <w:rPr>
          <w:b/>
          <w:color w:val="231F20"/>
          <w:spacing w:val="-1"/>
          <w:sz w:val="18"/>
        </w:rPr>
        <w:t> </w:t>
      </w:r>
      <w:r>
        <w:rPr>
          <w:b/>
          <w:color w:val="231F20"/>
          <w:sz w:val="18"/>
        </w:rPr>
        <w:t>millions)</w:t>
        <w:tab/>
        <w:t>2012</w:t>
        <w:tab/>
        <w:t>2011</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849" w:val="left" w:leader="none"/>
          <w:tab w:pos="7349" w:val="left" w:leader="none"/>
        </w:tabs>
        <w:spacing w:before="52"/>
        <w:ind w:left="160" w:right="0" w:firstLine="0"/>
        <w:jc w:val="left"/>
        <w:rPr>
          <w:sz w:val="18"/>
        </w:rPr>
      </w:pPr>
      <w:r>
        <w:rPr>
          <w:color w:val="231F20"/>
          <w:sz w:val="18"/>
        </w:rPr>
        <w:t>Funded status . . . . . . . . . . . . . . . . . . . . . . . . . . . . . . . . . . . . . .</w:t>
      </w:r>
      <w:r>
        <w:rPr>
          <w:color w:val="231F20"/>
          <w:spacing w:val="14"/>
          <w:sz w:val="18"/>
        </w:rPr>
        <w:t> </w:t>
      </w:r>
      <w:r>
        <w:rPr>
          <w:color w:val="231F20"/>
          <w:sz w:val="18"/>
        </w:rPr>
        <w:t>.  </w:t>
      </w:r>
      <w:r>
        <w:rPr>
          <w:color w:val="231F20"/>
          <w:spacing w:val="25"/>
          <w:sz w:val="18"/>
        </w:rPr>
        <w:t> </w:t>
      </w:r>
      <w:r>
        <w:rPr>
          <w:color w:val="231F20"/>
          <w:sz w:val="18"/>
        </w:rPr>
        <w:t>$</w:t>
        <w:tab/>
        <w:t>(148) </w:t>
      </w:r>
      <w:r>
        <w:rPr>
          <w:color w:val="231F20"/>
          <w:spacing w:val="10"/>
          <w:sz w:val="18"/>
        </w:rPr>
        <w:t> </w:t>
      </w:r>
      <w:r>
        <w:rPr>
          <w:color w:val="231F20"/>
          <w:sz w:val="18"/>
        </w:rPr>
        <w:t>$</w:t>
        <w:tab/>
        <w:t>(107)</w:t>
      </w:r>
    </w:p>
    <w:p>
      <w:pPr>
        <w:tabs>
          <w:tab w:pos="5939" w:val="left" w:leader="none"/>
          <w:tab w:pos="7439" w:val="left" w:leader="none"/>
        </w:tabs>
        <w:spacing w:before="13"/>
        <w:ind w:left="160" w:right="0" w:firstLine="0"/>
        <w:jc w:val="left"/>
        <w:rPr>
          <w:sz w:val="18"/>
        </w:rPr>
      </w:pPr>
      <w:r>
        <w:rPr>
          <w:color w:val="231F20"/>
          <w:sz w:val="18"/>
        </w:rPr>
        <w:t>Unrecognized net actuarial gain  . . . . . . . . . . . . . . . . . . . . . .</w:t>
      </w:r>
      <w:r>
        <w:rPr>
          <w:color w:val="231F20"/>
          <w:spacing w:val="20"/>
          <w:sz w:val="18"/>
        </w:rPr>
        <w:t> </w:t>
      </w:r>
      <w:r>
        <w:rPr>
          <w:color w:val="231F20"/>
          <w:sz w:val="18"/>
        </w:rPr>
        <w:t>. .</w:t>
        <w:tab/>
        <w:t>(44)</w:t>
        <w:tab/>
        <w:t>(53)</w:t>
      </w:r>
    </w:p>
    <w:p>
      <w:pPr>
        <w:tabs>
          <w:tab w:pos="5999" w:val="left" w:leader="none"/>
          <w:tab w:pos="7679" w:val="right" w:leader="none"/>
        </w:tabs>
        <w:spacing w:before="13"/>
        <w:ind w:left="160" w:right="0" w:firstLine="0"/>
        <w:jc w:val="left"/>
        <w:rPr>
          <w:sz w:val="18"/>
        </w:rPr>
      </w:pPr>
      <w:r>
        <w:rPr>
          <w:color w:val="231F20"/>
          <w:sz w:val="18"/>
        </w:rPr>
        <w:t>Unrecognized prior service cost  . . . . . . . . . . . . . . . . . . . . . .</w:t>
      </w:r>
      <w:r>
        <w:rPr>
          <w:color w:val="231F20"/>
          <w:spacing w:val="20"/>
          <w:sz w:val="18"/>
        </w:rPr>
        <w:t> </w:t>
      </w:r>
      <w:r>
        <w:rPr>
          <w:color w:val="231F20"/>
          <w:sz w:val="18"/>
        </w:rPr>
        <w:t>. .</w:t>
        <w:tab/>
        <w:t>18</w:t>
        <w:tab/>
        <w:t>1</w:t>
      </w:r>
    </w:p>
    <w:p>
      <w:pPr>
        <w:tabs>
          <w:tab w:pos="5999" w:val="left" w:leader="none"/>
          <w:tab w:pos="7679" w:val="right" w:leader="none"/>
        </w:tabs>
        <w:spacing w:before="13"/>
        <w:ind w:left="160" w:right="0" w:firstLine="0"/>
        <w:jc w:val="left"/>
        <w:rPr>
          <w:sz w:val="18"/>
        </w:rPr>
      </w:pPr>
      <w:r>
        <w:rPr/>
        <w:pict>
          <v:line style="position:absolute;mso-position-horizontal-relative:page;mso-position-vertical-relative:paragraph;z-index:7552" from="303pt,12.802938pt" to="370pt,12.802938pt" stroked="true" strokeweight=".5pt" strokecolor="#231f20">
            <v:stroke dashstyle="solid"/>
            <w10:wrap type="none"/>
          </v:line>
        </w:pict>
      </w:r>
      <w:r>
        <w:rPr/>
        <w:pict>
          <v:line style="position:absolute;mso-position-horizontal-relative:page;mso-position-vertical-relative:paragraph;z-index:7576" from="378pt,12.802938pt" to="445pt,12.802938pt" stroked="true" strokeweight=".5pt" strokecolor="#231f20">
            <v:stroke dashstyle="solid"/>
            <w10:wrap type="none"/>
          </v:line>
        </w:pict>
      </w:r>
      <w:r>
        <w:rPr>
          <w:color w:val="231F20"/>
          <w:sz w:val="18"/>
        </w:rPr>
        <w:t>Accumulated other comprehensive income   . . . . . . . . . . . . .</w:t>
      </w:r>
      <w:r>
        <w:rPr>
          <w:color w:val="231F20"/>
          <w:spacing w:val="-5"/>
          <w:sz w:val="18"/>
        </w:rPr>
        <w:t> </w:t>
      </w:r>
      <w:r>
        <w:rPr>
          <w:color w:val="231F20"/>
          <w:sz w:val="18"/>
        </w:rPr>
        <w:t>. .</w:t>
        <w:tab/>
        <w:t>26</w:t>
        <w:tab/>
        <w:t>52</w:t>
      </w:r>
    </w:p>
    <w:p>
      <w:pPr>
        <w:tabs>
          <w:tab w:pos="5849" w:val="left" w:leader="none"/>
          <w:tab w:pos="7349" w:val="left" w:leader="none"/>
        </w:tabs>
        <w:spacing w:before="93"/>
        <w:ind w:left="160" w:right="0" w:firstLine="0"/>
        <w:jc w:val="left"/>
        <w:rPr>
          <w:sz w:val="18"/>
        </w:rPr>
      </w:pPr>
      <w:r>
        <w:rPr/>
        <w:pict>
          <v:group style="position:absolute;margin-left:302.75pt;margin-top:16.552343pt;width:67.5pt;height:2.5pt;mso-position-horizontal-relative:page;mso-position-vertical-relative:paragraph;z-index:7456;mso-wrap-distance-left:0;mso-wrap-distance-right:0" coordorigin="6055,331" coordsize="1350,50">
            <v:line style="position:absolute" from="6060,336" to="7400,336" stroked="true" strokeweight=".5pt" strokecolor="#231f20">
              <v:stroke dashstyle="solid"/>
            </v:line>
            <v:line style="position:absolute" from="6060,376" to="7400,376" stroked="true" strokeweight=".5pt" strokecolor="#231f20">
              <v:stroke dashstyle="solid"/>
            </v:line>
            <w10:wrap type="topAndBottom"/>
          </v:group>
        </w:pict>
      </w:r>
      <w:r>
        <w:rPr/>
        <w:pict>
          <v:group style="position:absolute;margin-left:377.75pt;margin-top:16.552343pt;width:67.5pt;height:2.5pt;mso-position-horizontal-relative:page;mso-position-vertical-relative:paragraph;z-index:7480;mso-wrap-distance-left:0;mso-wrap-distance-right:0" coordorigin="7555,331" coordsize="1350,50">
            <v:line style="position:absolute" from="7560,336" to="8900,336" stroked="true" strokeweight=".5pt" strokecolor="#231f20">
              <v:stroke dashstyle="solid"/>
            </v:line>
            <v:line style="position:absolute" from="7560,376" to="8900,376" stroked="true" strokeweight=".5pt" strokecolor="#231f20">
              <v:stroke dashstyle="solid"/>
            </v:line>
            <w10:wrap type="topAndBottom"/>
          </v:group>
        </w:pict>
      </w:r>
      <w:r>
        <w:rPr>
          <w:color w:val="231F20"/>
          <w:sz w:val="18"/>
        </w:rPr>
        <w:t>Cost recognized on Consolidated Balance Sheet   . . . . . . . . . .</w:t>
      </w:r>
      <w:r>
        <w:rPr>
          <w:color w:val="231F20"/>
          <w:spacing w:val="-17"/>
          <w:sz w:val="18"/>
        </w:rPr>
        <w:t> </w:t>
      </w:r>
      <w:r>
        <w:rPr>
          <w:color w:val="231F20"/>
          <w:sz w:val="18"/>
        </w:rPr>
        <w:t>.  </w:t>
      </w:r>
      <w:r>
        <w:rPr>
          <w:color w:val="231F20"/>
          <w:spacing w:val="25"/>
          <w:sz w:val="18"/>
        </w:rPr>
        <w:t> </w:t>
      </w:r>
      <w:r>
        <w:rPr>
          <w:color w:val="231F20"/>
          <w:sz w:val="18"/>
        </w:rPr>
        <w:t>$</w:t>
        <w:tab/>
        <w:t>(148) </w:t>
      </w:r>
      <w:r>
        <w:rPr>
          <w:color w:val="231F20"/>
          <w:spacing w:val="10"/>
          <w:sz w:val="18"/>
        </w:rPr>
        <w:t> </w:t>
      </w:r>
      <w:r>
        <w:rPr>
          <w:color w:val="231F20"/>
          <w:sz w:val="18"/>
        </w:rPr>
        <w:t>$</w:t>
        <w:tab/>
        <w:t>(107)</w:t>
      </w:r>
    </w:p>
    <w:p>
      <w:pPr>
        <w:spacing w:after="0"/>
        <w:jc w:val="left"/>
        <w:rPr>
          <w:sz w:val="18"/>
        </w:rPr>
        <w:sectPr>
          <w:pgSz w:w="11880" w:h="15480"/>
          <w:pgMar w:header="0" w:footer="1253" w:top="1240" w:bottom="1440" w:left="1220" w:right="1320"/>
        </w:sectPr>
      </w:pPr>
    </w:p>
    <w:p>
      <w:pPr>
        <w:pStyle w:val="BodyText"/>
        <w:spacing w:line="249" w:lineRule="auto" w:before="73"/>
        <w:ind w:left="160" w:right="432" w:firstLine="400"/>
      </w:pPr>
      <w:r>
        <w:rPr>
          <w:color w:val="231F20"/>
        </w:rPr>
        <w:t>The consolidated periodic postretirement benefit cost for the years ended December 31, 2012, 2011, and 2010, included the following:</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15"/>
        <w:gridCol w:w="115"/>
        <w:gridCol w:w="730"/>
        <w:gridCol w:w="310"/>
        <w:gridCol w:w="160"/>
        <w:gridCol w:w="730"/>
        <w:gridCol w:w="310"/>
        <w:gridCol w:w="160"/>
        <w:gridCol w:w="730"/>
        <w:gridCol w:w="310"/>
      </w:tblGrid>
      <w:tr>
        <w:trPr>
          <w:trHeight w:val="230" w:hRule="exact"/>
        </w:trPr>
        <w:tc>
          <w:tcPr>
            <w:tcW w:w="52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310" w:type="dxa"/>
            <w:tcBorders>
              <w:bottom w:val="single" w:sz="8" w:space="0" w:color="231F20"/>
            </w:tcBorders>
          </w:tcPr>
          <w:p>
            <w:pPr/>
          </w:p>
        </w:tc>
        <w:tc>
          <w:tcPr>
            <w:tcW w:w="160"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2011</w:t>
            </w:r>
          </w:p>
        </w:tc>
        <w:tc>
          <w:tcPr>
            <w:tcW w:w="310" w:type="dxa"/>
            <w:tcBorders>
              <w:bottom w:val="single" w:sz="8" w:space="0" w:color="231F20"/>
            </w:tcBorders>
          </w:tcPr>
          <w:p>
            <w:pPr/>
          </w:p>
        </w:tc>
        <w:tc>
          <w:tcPr>
            <w:tcW w:w="160"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2010</w:t>
            </w:r>
          </w:p>
        </w:tc>
        <w:tc>
          <w:tcPr>
            <w:tcW w:w="310" w:type="dxa"/>
            <w:tcBorders>
              <w:bottom w:val="single" w:sz="8" w:space="0" w:color="231F20"/>
            </w:tcBorders>
          </w:tcPr>
          <w:p>
            <w:pPr/>
          </w:p>
        </w:tc>
      </w:tr>
      <w:tr>
        <w:trPr>
          <w:trHeight w:val="280" w:hRule="exact"/>
        </w:trPr>
        <w:tc>
          <w:tcPr>
            <w:tcW w:w="5215" w:type="dxa"/>
            <w:tcBorders>
              <w:top w:val="single" w:sz="8" w:space="0" w:color="231F20"/>
            </w:tcBorders>
          </w:tcPr>
          <w:p>
            <w:pPr>
              <w:pStyle w:val="TableParagraph"/>
              <w:spacing w:before="52"/>
              <w:ind w:left="50"/>
              <w:jc w:val="left"/>
              <w:rPr>
                <w:sz w:val="18"/>
              </w:rPr>
            </w:pPr>
            <w:r>
              <w:rPr>
                <w:color w:val="231F20"/>
                <w:sz w:val="18"/>
              </w:rPr>
              <w:t>Service cost . . . . . . . . . . . . . . . . . . . . . . . . . . . . . . . . . . . . . . . . . . . . . . . </w:t>
            </w:r>
          </w:p>
        </w:tc>
        <w:tc>
          <w:tcPr>
            <w:tcW w:w="115"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20</w:t>
            </w:r>
          </w:p>
        </w:tc>
        <w:tc>
          <w:tcPr>
            <w:tcW w:w="160"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17</w:t>
            </w:r>
          </w:p>
        </w:tc>
        <w:tc>
          <w:tcPr>
            <w:tcW w:w="160"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16</w:t>
            </w:r>
          </w:p>
        </w:tc>
      </w:tr>
      <w:tr>
        <w:trPr>
          <w:trHeight w:val="220" w:hRule="exact"/>
        </w:trPr>
        <w:tc>
          <w:tcPr>
            <w:tcW w:w="5215" w:type="dxa"/>
          </w:tcPr>
          <w:p>
            <w:pPr>
              <w:pStyle w:val="TableParagraph"/>
              <w:spacing w:before="1"/>
              <w:ind w:left="50"/>
              <w:jc w:val="left"/>
              <w:rPr>
                <w:sz w:val="18"/>
              </w:rPr>
            </w:pPr>
            <w:r>
              <w:rPr>
                <w:color w:val="231F20"/>
                <w:sz w:val="18"/>
              </w:rPr>
              <w:t>Interest cost . . . . . . . . . . . . . . . . . . . . . . . . . . . . . . . . . . . . . . . . . . . . . . . </w:t>
            </w:r>
          </w:p>
        </w:tc>
        <w:tc>
          <w:tcPr>
            <w:tcW w:w="115" w:type="dxa"/>
          </w:tcPr>
          <w:p>
            <w:pPr/>
          </w:p>
        </w:tc>
        <w:tc>
          <w:tcPr>
            <w:tcW w:w="730" w:type="dxa"/>
          </w:tcPr>
          <w:p>
            <w:pPr/>
          </w:p>
        </w:tc>
        <w:tc>
          <w:tcPr>
            <w:tcW w:w="310" w:type="dxa"/>
          </w:tcPr>
          <w:p>
            <w:pPr>
              <w:pStyle w:val="TableParagraph"/>
              <w:spacing w:before="1"/>
              <w:ind w:left="119"/>
              <w:jc w:val="left"/>
              <w:rPr>
                <w:sz w:val="18"/>
              </w:rPr>
            </w:pPr>
            <w:r>
              <w:rPr>
                <w:color w:val="231F20"/>
                <w:sz w:val="18"/>
              </w:rPr>
              <w:t>4</w:t>
            </w:r>
          </w:p>
        </w:tc>
        <w:tc>
          <w:tcPr>
            <w:tcW w:w="160" w:type="dxa"/>
          </w:tcPr>
          <w:p>
            <w:pPr/>
          </w:p>
        </w:tc>
        <w:tc>
          <w:tcPr>
            <w:tcW w:w="730" w:type="dxa"/>
          </w:tcPr>
          <w:p>
            <w:pPr/>
          </w:p>
        </w:tc>
        <w:tc>
          <w:tcPr>
            <w:tcW w:w="310" w:type="dxa"/>
          </w:tcPr>
          <w:p>
            <w:pPr>
              <w:pStyle w:val="TableParagraph"/>
              <w:spacing w:before="1"/>
              <w:ind w:left="120"/>
              <w:jc w:val="left"/>
              <w:rPr>
                <w:sz w:val="18"/>
              </w:rPr>
            </w:pPr>
            <w:r>
              <w:rPr>
                <w:color w:val="231F20"/>
                <w:sz w:val="18"/>
              </w:rPr>
              <w:t>4</w:t>
            </w:r>
          </w:p>
        </w:tc>
        <w:tc>
          <w:tcPr>
            <w:tcW w:w="160" w:type="dxa"/>
          </w:tcPr>
          <w:p>
            <w:pPr/>
          </w:p>
        </w:tc>
        <w:tc>
          <w:tcPr>
            <w:tcW w:w="730" w:type="dxa"/>
          </w:tcPr>
          <w:p>
            <w:pPr/>
          </w:p>
        </w:tc>
        <w:tc>
          <w:tcPr>
            <w:tcW w:w="310" w:type="dxa"/>
          </w:tcPr>
          <w:p>
            <w:pPr>
              <w:pStyle w:val="TableParagraph"/>
              <w:spacing w:before="1"/>
              <w:ind w:left="120"/>
              <w:jc w:val="left"/>
              <w:rPr>
                <w:sz w:val="18"/>
              </w:rPr>
            </w:pPr>
            <w:r>
              <w:rPr>
                <w:color w:val="231F20"/>
                <w:sz w:val="18"/>
              </w:rPr>
              <w:t>4</w:t>
            </w:r>
          </w:p>
        </w:tc>
      </w:tr>
      <w:tr>
        <w:trPr>
          <w:trHeight w:val="245" w:hRule="exact"/>
        </w:trPr>
        <w:tc>
          <w:tcPr>
            <w:tcW w:w="5215" w:type="dxa"/>
          </w:tcPr>
          <w:p>
            <w:pPr>
              <w:pStyle w:val="TableParagraph"/>
              <w:spacing w:before="1"/>
              <w:ind w:left="50"/>
              <w:jc w:val="left"/>
              <w:rPr>
                <w:sz w:val="18"/>
              </w:rPr>
            </w:pPr>
            <w:r>
              <w:rPr>
                <w:color w:val="231F20"/>
                <w:sz w:val="18"/>
              </w:rPr>
              <w:t>Recognized actuarial gain . . . . . . . . . . . . . . . . . . . . . . . . . . . . . . . . . . . . </w:t>
            </w:r>
          </w:p>
        </w:tc>
        <w:tc>
          <w:tcPr>
            <w:tcW w:w="115"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(5)</w:t>
            </w:r>
          </w:p>
        </w:tc>
        <w:tc>
          <w:tcPr>
            <w:tcW w:w="160"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(6)</w:t>
            </w:r>
          </w:p>
        </w:tc>
        <w:tc>
          <w:tcPr>
            <w:tcW w:w="160"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(5)</w:t>
            </w:r>
          </w:p>
        </w:tc>
      </w:tr>
      <w:tr>
        <w:trPr>
          <w:trHeight w:val="340" w:hRule="exact"/>
        </w:trPr>
        <w:tc>
          <w:tcPr>
            <w:tcW w:w="5215" w:type="dxa"/>
          </w:tcPr>
          <w:p>
            <w:pPr>
              <w:pStyle w:val="TableParagraph"/>
              <w:spacing w:before="57"/>
              <w:ind w:left="50"/>
              <w:jc w:val="left"/>
              <w:rPr>
                <w:sz w:val="18"/>
              </w:rPr>
            </w:pPr>
            <w:r>
              <w:rPr>
                <w:color w:val="231F20"/>
                <w:sz w:val="18"/>
              </w:rPr>
              <w:t>Net periodic postretirement benefit cost . . . . . . . . . . . . . . . . . . . . . . . . . </w:t>
            </w:r>
          </w:p>
        </w:tc>
        <w:tc>
          <w:tcPr>
            <w:tcW w:w="115"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19</w:t>
            </w:r>
          </w:p>
        </w:tc>
        <w:tc>
          <w:tcPr>
            <w:tcW w:w="160"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15</w:t>
            </w:r>
          </w:p>
        </w:tc>
        <w:tc>
          <w:tcPr>
            <w:tcW w:w="160"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15</w:t>
            </w:r>
          </w:p>
        </w:tc>
      </w:tr>
    </w:tbl>
    <w:p>
      <w:pPr>
        <w:pStyle w:val="BodyText"/>
        <w:rPr>
          <w:sz w:val="25"/>
        </w:rPr>
      </w:pPr>
    </w:p>
    <w:p>
      <w:pPr>
        <w:pStyle w:val="BodyText"/>
        <w:spacing w:line="249" w:lineRule="auto" w:before="1"/>
        <w:ind w:left="160" w:right="98" w:firstLine="490"/>
      </w:pPr>
      <w:r>
        <w:rPr/>
        <w:pict>
          <v:line style="position:absolute;mso-position-horizontal-relative:page;mso-position-vertical-relative:paragraph;z-index:-351016" from="333pt,-16.864063pt" to="385pt,-16.864063pt" stroked="true" strokeweight=".5pt" strokecolor="#231f20">
            <v:stroke dashstyle="solid"/>
            <w10:wrap type="none"/>
          </v:line>
        </w:pict>
      </w:r>
      <w:r>
        <w:rPr/>
        <w:pict>
          <v:line style="position:absolute;mso-position-horizontal-relative:page;mso-position-vertical-relative:paragraph;z-index:-350992" from="393pt,-16.864063pt" to="445pt,-16.864063pt" stroked="true" strokeweight=".5pt" strokecolor="#231f20">
            <v:stroke dashstyle="solid"/>
            <w10:wrap type="none"/>
          </v:line>
        </w:pict>
      </w:r>
      <w:r>
        <w:rPr/>
        <w:pict>
          <v:line style="position:absolute;mso-position-horizontal-relative:page;mso-position-vertical-relative:paragraph;z-index:-350968" from="453pt,-16.864063pt" to="505pt,-16.864063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w:t>
      </w:r>
    </w:p>
    <w:p>
      <w:pPr>
        <w:pStyle w:val="BodyText"/>
        <w:spacing w:before="1"/>
        <w:rPr>
          <w:sz w:val="18"/>
        </w:rPr>
      </w:pPr>
    </w:p>
    <w:tbl>
      <w:tblPr>
        <w:tblW w:w="0" w:type="auto"/>
        <w:jc w:val="left"/>
        <w:tblInd w:w="5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0"/>
        <w:gridCol w:w="1040"/>
        <w:gridCol w:w="160"/>
        <w:gridCol w:w="1040"/>
        <w:gridCol w:w="160"/>
        <w:gridCol w:w="1040"/>
      </w:tblGrid>
      <w:tr>
        <w:trPr>
          <w:trHeight w:val="230" w:hRule="exact"/>
        </w:trPr>
        <w:tc>
          <w:tcPr>
            <w:tcW w:w="4930" w:type="dxa"/>
          </w:tcPr>
          <w:p>
            <w:pPr/>
          </w:p>
        </w:tc>
        <w:tc>
          <w:tcPr>
            <w:tcW w:w="1040" w:type="dxa"/>
            <w:tcBorders>
              <w:bottom w:val="single" w:sz="8" w:space="0" w:color="231F20"/>
            </w:tcBorders>
          </w:tcPr>
          <w:p>
            <w:pPr>
              <w:pStyle w:val="TableParagraph"/>
              <w:spacing w:line="199" w:lineRule="exact"/>
              <w:ind w:right="233"/>
              <w:rPr>
                <w:b/>
                <w:sz w:val="18"/>
              </w:rPr>
            </w:pPr>
            <w:r>
              <w:rPr>
                <w:b/>
                <w:color w:val="231F20"/>
                <w:sz w:val="18"/>
              </w:rPr>
              <w:t>2012(2)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2010</w:t>
            </w:r>
          </w:p>
        </w:tc>
      </w:tr>
      <w:tr>
        <w:trPr>
          <w:trHeight w:val="280" w:hRule="exact"/>
        </w:trPr>
        <w:tc>
          <w:tcPr>
            <w:tcW w:w="4930" w:type="dxa"/>
          </w:tcPr>
          <w:p>
            <w:pPr>
              <w:pStyle w:val="TableParagraph"/>
              <w:spacing w:before="62"/>
              <w:ind w:left="50"/>
              <w:jc w:val="left"/>
              <w:rPr>
                <w:sz w:val="18"/>
              </w:rPr>
            </w:pPr>
            <w:r>
              <w:rPr>
                <w:color w:val="231F20"/>
                <w:sz w:val="18"/>
              </w:rPr>
              <w:t>Wtd-average discount rate  . . . . . . . . . . . . . . . . . . . . . . . . . . . . . . . </w:t>
            </w:r>
          </w:p>
        </w:tc>
        <w:tc>
          <w:tcPr>
            <w:tcW w:w="1040" w:type="dxa"/>
            <w:tcBorders>
              <w:top w:val="single" w:sz="8" w:space="0" w:color="231F20"/>
            </w:tcBorders>
          </w:tcPr>
          <w:p>
            <w:pPr>
              <w:pStyle w:val="TableParagraph"/>
              <w:spacing w:before="52"/>
              <w:ind w:right="188"/>
              <w:rPr>
                <w:sz w:val="18"/>
              </w:rPr>
            </w:pPr>
            <w:r>
              <w:rPr>
                <w:color w:val="231F20"/>
                <w:sz w:val="18"/>
              </w:rPr>
              <w:t>2.90 %</w:t>
            </w:r>
          </w:p>
        </w:tc>
        <w:tc>
          <w:tcPr>
            <w:tcW w:w="160" w:type="dxa"/>
          </w:tcPr>
          <w:p>
            <w:pPr/>
          </w:p>
        </w:tc>
        <w:tc>
          <w:tcPr>
            <w:tcW w:w="1040" w:type="dxa"/>
            <w:tcBorders>
              <w:top w:val="single" w:sz="8" w:space="0" w:color="231F20"/>
            </w:tcBorders>
          </w:tcPr>
          <w:p>
            <w:pPr>
              <w:pStyle w:val="TableParagraph"/>
              <w:spacing w:before="52"/>
              <w:ind w:left="340"/>
              <w:jc w:val="left"/>
              <w:rPr>
                <w:sz w:val="18"/>
              </w:rPr>
            </w:pPr>
            <w:r>
              <w:rPr>
                <w:color w:val="231F20"/>
                <w:sz w:val="18"/>
              </w:rPr>
              <w:t>4.05 %</w:t>
            </w:r>
          </w:p>
        </w:tc>
        <w:tc>
          <w:tcPr>
            <w:tcW w:w="160" w:type="dxa"/>
          </w:tcPr>
          <w:p>
            <w:pPr/>
          </w:p>
        </w:tc>
        <w:tc>
          <w:tcPr>
            <w:tcW w:w="1040" w:type="dxa"/>
            <w:tcBorders>
              <w:top w:val="single" w:sz="8" w:space="0" w:color="231F20"/>
            </w:tcBorders>
          </w:tcPr>
          <w:p>
            <w:pPr>
              <w:pStyle w:val="TableParagraph"/>
              <w:spacing w:before="52"/>
              <w:ind w:left="340"/>
              <w:jc w:val="left"/>
              <w:rPr>
                <w:sz w:val="18"/>
              </w:rPr>
            </w:pPr>
            <w:r>
              <w:rPr>
                <w:color w:val="231F20"/>
                <w:sz w:val="18"/>
              </w:rPr>
              <w:t>4.30 %</w:t>
            </w:r>
          </w:p>
        </w:tc>
      </w:tr>
      <w:tr>
        <w:trPr>
          <w:trHeight w:val="208" w:hRule="exact"/>
        </w:trPr>
        <w:tc>
          <w:tcPr>
            <w:tcW w:w="4930" w:type="dxa"/>
          </w:tcPr>
          <w:p>
            <w:pPr>
              <w:pStyle w:val="TableParagraph"/>
              <w:spacing w:before="1"/>
              <w:ind w:left="50"/>
              <w:jc w:val="left"/>
              <w:rPr>
                <w:sz w:val="18"/>
              </w:rPr>
            </w:pPr>
            <w:r>
              <w:rPr>
                <w:color w:val="231F20"/>
                <w:sz w:val="18"/>
              </w:rPr>
              <w:t>Assumed healthcare cost trend rate(1) . . . . . . . . . . . . . . . . . . . . . . </w:t>
            </w:r>
          </w:p>
        </w:tc>
        <w:tc>
          <w:tcPr>
            <w:tcW w:w="1040" w:type="dxa"/>
          </w:tcPr>
          <w:p>
            <w:pPr>
              <w:pStyle w:val="TableParagraph"/>
              <w:spacing w:before="1"/>
              <w:ind w:right="188"/>
              <w:rPr>
                <w:sz w:val="18"/>
              </w:rPr>
            </w:pPr>
            <w:r>
              <w:rPr>
                <w:color w:val="231F20"/>
                <w:sz w:val="18"/>
              </w:rPr>
              <w:t>8.00 %</w:t>
            </w:r>
          </w:p>
        </w:tc>
        <w:tc>
          <w:tcPr>
            <w:tcW w:w="160" w:type="dxa"/>
          </w:tcPr>
          <w:p>
            <w:pPr/>
          </w:p>
        </w:tc>
        <w:tc>
          <w:tcPr>
            <w:tcW w:w="1040" w:type="dxa"/>
          </w:tcPr>
          <w:p>
            <w:pPr>
              <w:pStyle w:val="TableParagraph"/>
              <w:spacing w:before="1"/>
              <w:ind w:left="340"/>
              <w:jc w:val="left"/>
              <w:rPr>
                <w:sz w:val="18"/>
              </w:rPr>
            </w:pPr>
            <w:r>
              <w:rPr>
                <w:color w:val="231F20"/>
                <w:sz w:val="18"/>
              </w:rPr>
              <w:t>7.50 %</w:t>
            </w:r>
          </w:p>
        </w:tc>
        <w:tc>
          <w:tcPr>
            <w:tcW w:w="160" w:type="dxa"/>
          </w:tcPr>
          <w:p>
            <w:pPr/>
          </w:p>
        </w:tc>
        <w:tc>
          <w:tcPr>
            <w:tcW w:w="1040" w:type="dxa"/>
          </w:tcPr>
          <w:p>
            <w:pPr>
              <w:pStyle w:val="TableParagraph"/>
              <w:spacing w:before="1"/>
              <w:ind w:left="340"/>
              <w:jc w:val="left"/>
              <w:rPr>
                <w:sz w:val="18"/>
              </w:rPr>
            </w:pPr>
            <w:r>
              <w:rPr>
                <w:color w:val="231F20"/>
                <w:sz w:val="18"/>
              </w:rPr>
              <w:t>7.50 %</w:t>
            </w:r>
          </w:p>
        </w:tc>
      </w:tr>
    </w:tbl>
    <w:p>
      <w:pPr>
        <w:pStyle w:val="BodyText"/>
        <w:spacing w:before="1"/>
        <w:rPr>
          <w:sz w:val="22"/>
        </w:rPr>
      </w:pPr>
    </w:p>
    <w:p>
      <w:pPr>
        <w:pStyle w:val="ListParagraph"/>
        <w:numPr>
          <w:ilvl w:val="0"/>
          <w:numId w:val="21"/>
        </w:numPr>
        <w:tabs>
          <w:tab w:pos="560" w:val="left" w:leader="none"/>
        </w:tabs>
        <w:spacing w:line="249" w:lineRule="auto" w:before="0" w:after="0"/>
        <w:ind w:left="560" w:right="467" w:hanging="400"/>
        <w:jc w:val="left"/>
        <w:rPr>
          <w:sz w:val="20"/>
        </w:rPr>
      </w:pPr>
      <w:r>
        <w:rPr>
          <w:color w:val="231F20"/>
          <w:sz w:val="20"/>
        </w:rPr>
        <w:t>The assumed healthcare cost trend rate is assumed to remain at 8.0% for 2013, then decline gradually to 5.0% by 2024 and remain level</w:t>
      </w:r>
      <w:r>
        <w:rPr>
          <w:color w:val="231F20"/>
          <w:spacing w:val="2"/>
          <w:sz w:val="20"/>
        </w:rPr>
        <w:t> </w:t>
      </w:r>
      <w:r>
        <w:rPr>
          <w:color w:val="231F20"/>
          <w:sz w:val="20"/>
        </w:rPr>
        <w:t>thereafter.</w:t>
      </w:r>
    </w:p>
    <w:p>
      <w:pPr>
        <w:pStyle w:val="ListParagraph"/>
        <w:numPr>
          <w:ilvl w:val="0"/>
          <w:numId w:val="21"/>
        </w:numPr>
        <w:tabs>
          <w:tab w:pos="560" w:val="left" w:leader="none"/>
        </w:tabs>
        <w:spacing w:line="240" w:lineRule="auto" w:before="0" w:after="0"/>
        <w:ind w:left="56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7"/>
        <w:rPr>
          <w:sz w:val="21"/>
        </w:rPr>
      </w:pPr>
    </w:p>
    <w:p>
      <w:pPr>
        <w:pStyle w:val="BodyText"/>
        <w:spacing w:line="249" w:lineRule="auto" w:before="1"/>
        <w:ind w:left="160" w:right="253"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spacing w:after="0" w:line="249" w:lineRule="auto"/>
        <w:sectPr>
          <w:pgSz w:w="11880" w:h="15480"/>
          <w:pgMar w:header="0" w:footer="1253" w:top="1240" w:bottom="1440" w:left="1220" w:right="1300"/>
        </w:sectPr>
      </w:pPr>
    </w:p>
    <w:p>
      <w:pPr>
        <w:pStyle w:val="Heading3"/>
        <w:numPr>
          <w:ilvl w:val="0"/>
          <w:numId w:val="13"/>
        </w:numPr>
        <w:tabs>
          <w:tab w:pos="460" w:val="left" w:leader="none"/>
        </w:tabs>
        <w:spacing w:line="240" w:lineRule="auto" w:before="73" w:after="0"/>
        <w:ind w:left="460" w:right="0" w:hanging="300"/>
        <w:jc w:val="left"/>
      </w:pPr>
      <w:r>
        <w:rPr>
          <w:color w:val="231F20"/>
        </w:rPr>
        <w:t>INCOME</w:t>
      </w:r>
      <w:r>
        <w:rPr>
          <w:color w:val="231F20"/>
          <w:spacing w:val="-2"/>
        </w:rPr>
        <w:t> </w:t>
      </w:r>
      <w:r>
        <w:rPr>
          <w:color w:val="231F20"/>
        </w:rPr>
        <w:t>TAXES</w:t>
      </w:r>
    </w:p>
    <w:p>
      <w:pPr>
        <w:pStyle w:val="BodyText"/>
        <w:spacing w:line="249" w:lineRule="auto" w:before="129"/>
        <w:ind w:left="160"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2012 and 2011, are as follows:</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5"/>
        <w:gridCol w:w="115"/>
        <w:gridCol w:w="1040"/>
        <w:gridCol w:w="160"/>
        <w:gridCol w:w="1040"/>
      </w:tblGrid>
      <w:tr>
        <w:trPr>
          <w:trHeight w:val="230" w:hRule="exact"/>
        </w:trPr>
        <w:tc>
          <w:tcPr>
            <w:tcW w:w="60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r>
      <w:tr>
        <w:trPr>
          <w:trHeight w:val="500" w:hRule="exact"/>
        </w:trPr>
        <w:tc>
          <w:tcPr>
            <w:tcW w:w="6015" w:type="dxa"/>
            <w:tcBorders>
              <w:top w:val="single" w:sz="8" w:space="0" w:color="231F20"/>
            </w:tcBorders>
          </w:tcPr>
          <w:p>
            <w:pPr>
              <w:pStyle w:val="TableParagraph"/>
              <w:spacing w:before="52"/>
              <w:ind w:left="50"/>
              <w:jc w:val="left"/>
              <w:rPr>
                <w:b/>
                <w:sz w:val="18"/>
              </w:rPr>
            </w:pPr>
            <w:r>
              <w:rPr>
                <w:b/>
                <w:color w:val="231F20"/>
                <w:sz w:val="18"/>
              </w:rPr>
              <w:t>DEFERRED TAX LIABILITIES:</w:t>
            </w:r>
          </w:p>
          <w:p>
            <w:pPr>
              <w:pStyle w:val="TableParagraph"/>
              <w:spacing w:before="13"/>
              <w:ind w:left="230"/>
              <w:jc w:val="left"/>
              <w:rPr>
                <w:sz w:val="18"/>
              </w:rPr>
            </w:pPr>
            <w:r>
              <w:rPr>
                <w:color w:val="231F20"/>
                <w:sz w:val="18"/>
              </w:rPr>
              <w:t>Accelerated depreciation   . . . . . . . . . . . . . . . . . . . . . . . . . . . . . . . . . . . . . . . . . . . </w:t>
            </w:r>
          </w:p>
        </w:tc>
        <w:tc>
          <w:tcPr>
            <w:tcW w:w="115" w:type="dxa"/>
          </w:tcPr>
          <w:p>
            <w:pPr/>
          </w:p>
        </w:tc>
        <w:tc>
          <w:tcPr>
            <w:tcW w:w="1040" w:type="dxa"/>
            <w:tcBorders>
              <w:top w:val="single" w:sz="8" w:space="0" w:color="231F20"/>
            </w:tcBorders>
          </w:tcPr>
          <w:p>
            <w:pPr>
              <w:pStyle w:val="TableParagraph"/>
              <w:spacing w:before="7"/>
              <w:jc w:val="left"/>
              <w:rPr>
                <w:sz w:val="23"/>
              </w:rPr>
            </w:pPr>
          </w:p>
          <w:p>
            <w:pPr>
              <w:pStyle w:val="TableParagraph"/>
              <w:tabs>
                <w:tab w:pos="594" w:val="left" w:leader="none"/>
              </w:tabs>
              <w:ind w:right="38"/>
              <w:rPr>
                <w:sz w:val="18"/>
              </w:rPr>
            </w:pPr>
            <w:r>
              <w:rPr>
                <w:color w:val="231F20"/>
                <w:sz w:val="18"/>
              </w:rPr>
              <w:t>$</w:t>
              <w:tab/>
            </w:r>
            <w:r>
              <w:rPr>
                <w:color w:val="231F20"/>
                <w:spacing w:val="-1"/>
                <w:sz w:val="18"/>
              </w:rPr>
              <w:t>3,812</w:t>
            </w:r>
          </w:p>
        </w:tc>
        <w:tc>
          <w:tcPr>
            <w:tcW w:w="160" w:type="dxa"/>
          </w:tcPr>
          <w:p>
            <w:pPr/>
          </w:p>
        </w:tc>
        <w:tc>
          <w:tcPr>
            <w:tcW w:w="1040" w:type="dxa"/>
            <w:tcBorders>
              <w:top w:val="single" w:sz="8" w:space="0" w:color="231F20"/>
            </w:tcBorders>
          </w:tcPr>
          <w:p>
            <w:pPr>
              <w:pStyle w:val="TableParagraph"/>
              <w:spacing w:before="7"/>
              <w:jc w:val="left"/>
              <w:rPr>
                <w:sz w:val="23"/>
              </w:rPr>
            </w:pPr>
          </w:p>
          <w:p>
            <w:pPr>
              <w:pStyle w:val="TableParagraph"/>
              <w:tabs>
                <w:tab w:pos="594" w:val="left" w:leader="none"/>
              </w:tabs>
              <w:ind w:right="39"/>
              <w:rPr>
                <w:sz w:val="18"/>
              </w:rPr>
            </w:pPr>
            <w:r>
              <w:rPr>
                <w:color w:val="231F20"/>
                <w:sz w:val="18"/>
              </w:rPr>
              <w:t>$</w:t>
              <w:tab/>
            </w:r>
            <w:r>
              <w:rPr>
                <w:color w:val="231F20"/>
                <w:spacing w:val="-1"/>
                <w:sz w:val="18"/>
              </w:rPr>
              <w:t>3,537</w:t>
            </w:r>
          </w:p>
        </w:tc>
      </w:tr>
      <w:tr>
        <w:trPr>
          <w:trHeight w:val="220" w:hRule="exact"/>
        </w:trPr>
        <w:tc>
          <w:tcPr>
            <w:tcW w:w="6015" w:type="dxa"/>
          </w:tcPr>
          <w:p>
            <w:pPr>
              <w:pStyle w:val="TableParagraph"/>
              <w:spacing w:before="1"/>
              <w:rPr>
                <w:sz w:val="18"/>
              </w:rPr>
            </w:pPr>
            <w:r>
              <w:rPr>
                <w:color w:val="231F20"/>
                <w:sz w:val="18"/>
              </w:rPr>
              <w:t>Fuel derivative instruments   . . . . . . . . . . . . . . . . . . . . . . . . . . . . . . . . . . . . . . . . . </w:t>
            </w:r>
          </w:p>
        </w:tc>
        <w:tc>
          <w:tcPr>
            <w:tcW w:w="115" w:type="dxa"/>
          </w:tcPr>
          <w:p>
            <w:pPr/>
          </w:p>
        </w:tc>
        <w:tc>
          <w:tcPr>
            <w:tcW w:w="1040" w:type="dxa"/>
          </w:tcPr>
          <w:p>
            <w:pPr>
              <w:pStyle w:val="TableParagraph"/>
              <w:spacing w:before="1"/>
              <w:ind w:right="38"/>
              <w:rPr>
                <w:sz w:val="18"/>
              </w:rPr>
            </w:pPr>
            <w:r>
              <w:rPr>
                <w:color w:val="231F20"/>
                <w:sz w:val="18"/>
              </w:rPr>
              <w:t>33</w:t>
            </w:r>
          </w:p>
        </w:tc>
        <w:tc>
          <w:tcPr>
            <w:tcW w:w="160" w:type="dxa"/>
          </w:tcPr>
          <w:p>
            <w:pPr/>
          </w:p>
        </w:tc>
        <w:tc>
          <w:tcPr>
            <w:tcW w:w="1040" w:type="dxa"/>
          </w:tcPr>
          <w:p>
            <w:pPr>
              <w:pStyle w:val="TableParagraph"/>
              <w:spacing w:before="1"/>
              <w:ind w:right="129"/>
              <w:rPr>
                <w:sz w:val="18"/>
              </w:rPr>
            </w:pPr>
            <w:r>
              <w:rPr>
                <w:color w:val="231F20"/>
                <w:sz w:val="18"/>
              </w:rPr>
              <w:t>—</w:t>
            </w:r>
          </w:p>
        </w:tc>
      </w:tr>
      <w:tr>
        <w:trPr>
          <w:trHeight w:val="245" w:hRule="exact"/>
        </w:trPr>
        <w:tc>
          <w:tcPr>
            <w:tcW w:w="6015" w:type="dxa"/>
          </w:tcPr>
          <w:p>
            <w:pPr>
              <w:pStyle w:val="TableParagraph"/>
              <w:spacing w:before="1"/>
              <w:rPr>
                <w:sz w:val="18"/>
              </w:rPr>
            </w:pPr>
            <w:r>
              <w:rPr>
                <w:color w:val="231F20"/>
                <w:sz w:val="18"/>
              </w:rPr>
              <w:t>Other . . . . . . . . . . . . . . . . . . . . . . . . . . . . . . . . . . . . . . . . . . . . . . . . . . . . . . . . . . . </w:t>
            </w:r>
          </w:p>
        </w:tc>
        <w:tc>
          <w:tcPr>
            <w:tcW w:w="115" w:type="dxa"/>
          </w:tcPr>
          <w:p>
            <w:pPr/>
          </w:p>
        </w:tc>
        <w:tc>
          <w:tcPr>
            <w:tcW w:w="1040" w:type="dxa"/>
            <w:tcBorders>
              <w:bottom w:val="single" w:sz="4" w:space="0" w:color="231F20"/>
            </w:tcBorders>
          </w:tcPr>
          <w:p>
            <w:pPr>
              <w:pStyle w:val="TableParagraph"/>
              <w:spacing w:before="1"/>
              <w:ind w:right="38"/>
              <w:rPr>
                <w:sz w:val="18"/>
              </w:rPr>
            </w:pPr>
            <w:r>
              <w:rPr>
                <w:color w:val="231F20"/>
                <w:sz w:val="18"/>
              </w:rPr>
              <w:t>70</w:t>
            </w:r>
          </w:p>
        </w:tc>
        <w:tc>
          <w:tcPr>
            <w:tcW w:w="160" w:type="dxa"/>
          </w:tcPr>
          <w:p>
            <w:pPr/>
          </w:p>
        </w:tc>
        <w:tc>
          <w:tcPr>
            <w:tcW w:w="1040" w:type="dxa"/>
            <w:tcBorders>
              <w:bottom w:val="single" w:sz="4" w:space="0" w:color="231F20"/>
            </w:tcBorders>
          </w:tcPr>
          <w:p>
            <w:pPr>
              <w:pStyle w:val="TableParagraph"/>
              <w:spacing w:before="1"/>
              <w:ind w:right="39"/>
              <w:rPr>
                <w:sz w:val="18"/>
              </w:rPr>
            </w:pPr>
            <w:r>
              <w:rPr>
                <w:color w:val="231F20"/>
                <w:sz w:val="18"/>
              </w:rPr>
              <w:t>84</w:t>
            </w:r>
          </w:p>
        </w:tc>
      </w:tr>
      <w:tr>
        <w:trPr>
          <w:trHeight w:val="264" w:hRule="exact"/>
        </w:trPr>
        <w:tc>
          <w:tcPr>
            <w:tcW w:w="6015" w:type="dxa"/>
          </w:tcPr>
          <w:p>
            <w:pPr>
              <w:pStyle w:val="TableParagraph"/>
              <w:spacing w:before="57"/>
              <w:rPr>
                <w:sz w:val="18"/>
              </w:rPr>
            </w:pPr>
            <w:r>
              <w:rPr>
                <w:color w:val="231F20"/>
                <w:sz w:val="18"/>
              </w:rPr>
              <w:t>Total deferred tax liabilities  . . . . . . . . . . . . . . . . . . . . . . . . . . . . . . . . . . . . . . . </w:t>
            </w:r>
          </w:p>
        </w:tc>
        <w:tc>
          <w:tcPr>
            <w:tcW w:w="115" w:type="dxa"/>
          </w:tcPr>
          <w:p>
            <w:pPr/>
          </w:p>
        </w:tc>
        <w:tc>
          <w:tcPr>
            <w:tcW w:w="1040" w:type="dxa"/>
            <w:tcBorders>
              <w:top w:val="single" w:sz="4" w:space="0" w:color="231F20"/>
            </w:tcBorders>
          </w:tcPr>
          <w:p>
            <w:pPr>
              <w:pStyle w:val="TableParagraph"/>
              <w:spacing w:before="52"/>
              <w:ind w:right="38"/>
              <w:rPr>
                <w:sz w:val="18"/>
              </w:rPr>
            </w:pPr>
            <w:r>
              <w:rPr>
                <w:color w:val="231F20"/>
                <w:sz w:val="18"/>
              </w:rPr>
              <w:t>3,915</w:t>
            </w:r>
          </w:p>
        </w:tc>
        <w:tc>
          <w:tcPr>
            <w:tcW w:w="160" w:type="dxa"/>
          </w:tcPr>
          <w:p>
            <w:pPr/>
          </w:p>
        </w:tc>
        <w:tc>
          <w:tcPr>
            <w:tcW w:w="1040" w:type="dxa"/>
            <w:tcBorders>
              <w:top w:val="single" w:sz="4" w:space="0" w:color="231F20"/>
            </w:tcBorders>
          </w:tcPr>
          <w:p>
            <w:pPr>
              <w:pStyle w:val="TableParagraph"/>
              <w:spacing w:before="52"/>
              <w:ind w:right="38"/>
              <w:rPr>
                <w:sz w:val="18"/>
              </w:rPr>
            </w:pPr>
            <w:r>
              <w:rPr>
                <w:color w:val="231F20"/>
                <w:sz w:val="18"/>
              </w:rPr>
              <w:t>3,621</w:t>
            </w:r>
          </w:p>
        </w:tc>
      </w:tr>
    </w:tbl>
    <w:p>
      <w:pPr>
        <w:spacing w:before="13"/>
        <w:ind w:left="160" w:right="0" w:firstLine="0"/>
        <w:jc w:val="left"/>
        <w:rPr>
          <w:b/>
          <w:sz w:val="18"/>
        </w:rPr>
      </w:pPr>
      <w:r>
        <w:rPr>
          <w:b/>
          <w:color w:val="231F20"/>
          <w:sz w:val="18"/>
        </w:rPr>
        <w:t>DEFERRED TAX ASSETS:</w:t>
      </w:r>
    </w:p>
    <w:p>
      <w:pPr>
        <w:tabs>
          <w:tab w:pos="7059" w:val="left" w:leader="none"/>
          <w:tab w:pos="8439" w:val="right" w:leader="none"/>
        </w:tabs>
        <w:spacing w:before="13"/>
        <w:ind w:left="340" w:right="0" w:firstLine="0"/>
        <w:jc w:val="left"/>
        <w:rPr>
          <w:sz w:val="18"/>
        </w:rPr>
      </w:pPr>
      <w:r>
        <w:rPr>
          <w:color w:val="231F20"/>
          <w:sz w:val="18"/>
        </w:rPr>
        <w:t>Fuel derivative instruments   . . . . . . . . . . . . . . . . . . . . . . . . . . . . . . . . . . . . . . .</w:t>
      </w:r>
      <w:r>
        <w:rPr>
          <w:color w:val="231F20"/>
          <w:spacing w:val="-12"/>
          <w:sz w:val="18"/>
        </w:rPr>
        <w:t> </w:t>
      </w:r>
      <w:r>
        <w:rPr>
          <w:color w:val="231F20"/>
          <w:sz w:val="18"/>
        </w:rPr>
        <w:t>. .</w:t>
        <w:tab/>
        <w:t>40</w:t>
        <w:tab/>
        <w:t>155</w:t>
      </w:r>
    </w:p>
    <w:p>
      <w:pPr>
        <w:tabs>
          <w:tab w:pos="7059" w:val="left" w:leader="none"/>
          <w:tab w:pos="8439" w:val="right" w:leader="none"/>
        </w:tabs>
        <w:spacing w:before="13"/>
        <w:ind w:left="340" w:right="0" w:firstLine="0"/>
        <w:jc w:val="left"/>
        <w:rPr>
          <w:sz w:val="18"/>
        </w:rPr>
      </w:pPr>
      <w:r>
        <w:rPr>
          <w:color w:val="231F20"/>
          <w:sz w:val="18"/>
        </w:rPr>
        <w:t>Deferred gains from sale and leaseback of aircraft   . . . . . . . . . . . . . . . . . . . . .</w:t>
      </w:r>
      <w:r>
        <w:rPr>
          <w:color w:val="231F20"/>
          <w:spacing w:val="-15"/>
          <w:sz w:val="18"/>
        </w:rPr>
        <w:t> </w:t>
      </w:r>
      <w:r>
        <w:rPr>
          <w:color w:val="231F20"/>
          <w:sz w:val="18"/>
        </w:rPr>
        <w:t>. .</w:t>
        <w:tab/>
        <w:t>24</w:t>
        <w:tab/>
        <w:t>44</w:t>
      </w:r>
    </w:p>
    <w:p>
      <w:pPr>
        <w:tabs>
          <w:tab w:pos="6969" w:val="left" w:leader="none"/>
          <w:tab w:pos="8439" w:val="right" w:leader="none"/>
        </w:tabs>
        <w:spacing w:before="13"/>
        <w:ind w:left="339" w:right="0" w:firstLine="0"/>
        <w:jc w:val="left"/>
        <w:rPr>
          <w:sz w:val="18"/>
        </w:rPr>
      </w:pPr>
      <w:r>
        <w:rPr>
          <w:color w:val="231F20"/>
          <w:sz w:val="18"/>
        </w:rPr>
        <w:t>Capital and operating leases  . . . . . . . . . . . . . . . . . . . . . . . . . . . . . . . . . . . . . . .</w:t>
      </w:r>
      <w:r>
        <w:rPr>
          <w:color w:val="231F20"/>
          <w:spacing w:val="-20"/>
          <w:sz w:val="18"/>
        </w:rPr>
        <w:t> </w:t>
      </w:r>
      <w:r>
        <w:rPr>
          <w:color w:val="231F20"/>
          <w:sz w:val="18"/>
        </w:rPr>
        <w:t>. .</w:t>
        <w:tab/>
        <w:t>179</w:t>
        <w:tab/>
        <w:t>141</w:t>
      </w:r>
    </w:p>
    <w:p>
      <w:pPr>
        <w:tabs>
          <w:tab w:pos="7059" w:val="left" w:leader="none"/>
          <w:tab w:pos="8439" w:val="right" w:leader="none"/>
        </w:tabs>
        <w:spacing w:before="13"/>
        <w:ind w:left="339" w:right="0" w:firstLine="0"/>
        <w:jc w:val="left"/>
        <w:rPr>
          <w:sz w:val="18"/>
        </w:rPr>
      </w:pPr>
      <w:r>
        <w:rPr>
          <w:color w:val="231F20"/>
          <w:sz w:val="18"/>
        </w:rPr>
        <w:t>Accrued engine maintenance  . . . . . . . . . . . . . . . . . . . . . . . . . . . . . . . . . . . . . .</w:t>
      </w:r>
      <w:r>
        <w:rPr>
          <w:color w:val="231F20"/>
          <w:spacing w:val="5"/>
          <w:sz w:val="18"/>
        </w:rPr>
        <w:t> </w:t>
      </w:r>
      <w:r>
        <w:rPr>
          <w:color w:val="231F20"/>
          <w:sz w:val="18"/>
        </w:rPr>
        <w:t>. .</w:t>
        <w:tab/>
        <w:t>84</w:t>
        <w:tab/>
        <w:t>43</w:t>
      </w:r>
    </w:p>
    <w:p>
      <w:pPr>
        <w:tabs>
          <w:tab w:pos="6969" w:val="left" w:leader="none"/>
          <w:tab w:pos="8439" w:val="right" w:leader="none"/>
        </w:tabs>
        <w:spacing w:before="13"/>
        <w:ind w:left="339" w:right="0" w:firstLine="0"/>
        <w:jc w:val="left"/>
        <w:rPr>
          <w:sz w:val="18"/>
        </w:rPr>
      </w:pPr>
      <w:r>
        <w:rPr>
          <w:color w:val="231F20"/>
          <w:sz w:val="18"/>
        </w:rPr>
        <w:t>Accrued employee benefits   . . . . . . . . . . . . . . . . . . . . . . . . . . . . . . . . . . . . . . .</w:t>
      </w:r>
      <w:r>
        <w:rPr>
          <w:color w:val="231F20"/>
          <w:spacing w:val="-10"/>
          <w:sz w:val="18"/>
        </w:rPr>
        <w:t> </w:t>
      </w:r>
      <w:r>
        <w:rPr>
          <w:color w:val="231F20"/>
          <w:sz w:val="18"/>
        </w:rPr>
        <w:t>. .</w:t>
        <w:tab/>
        <w:t>281</w:t>
        <w:tab/>
        <w:t>267</w:t>
      </w:r>
    </w:p>
    <w:p>
      <w:pPr>
        <w:tabs>
          <w:tab w:pos="7059" w:val="left" w:leader="none"/>
          <w:tab w:pos="8439" w:val="right" w:leader="none"/>
        </w:tabs>
        <w:spacing w:before="13"/>
        <w:ind w:left="339" w:right="0" w:firstLine="0"/>
        <w:jc w:val="left"/>
        <w:rPr>
          <w:sz w:val="18"/>
        </w:rPr>
      </w:pPr>
      <w:r>
        <w:rPr>
          <w:color w:val="231F20"/>
          <w:sz w:val="18"/>
        </w:rPr>
        <w:t>State taxes . . . . . . . . . . . . . . . . . . . . . . . . . . . . . . . . . . . . . . . . . . . . . . . . . . . . .</w:t>
      </w:r>
      <w:r>
        <w:rPr>
          <w:color w:val="231F20"/>
          <w:spacing w:val="15"/>
          <w:sz w:val="18"/>
        </w:rPr>
        <w:t> </w:t>
      </w:r>
      <w:r>
        <w:rPr>
          <w:color w:val="231F20"/>
          <w:sz w:val="18"/>
        </w:rPr>
        <w:t>. .</w:t>
        <w:tab/>
        <w:t>77</w:t>
        <w:tab/>
        <w:t>78</w:t>
      </w:r>
    </w:p>
    <w:p>
      <w:pPr>
        <w:tabs>
          <w:tab w:pos="6969" w:val="left" w:leader="none"/>
          <w:tab w:pos="8439" w:val="right" w:leader="none"/>
        </w:tabs>
        <w:spacing w:before="13"/>
        <w:ind w:left="339" w:right="0" w:firstLine="0"/>
        <w:jc w:val="left"/>
        <w:rPr>
          <w:sz w:val="18"/>
        </w:rPr>
      </w:pPr>
      <w:r>
        <w:rPr>
          <w:color w:val="231F20"/>
          <w:sz w:val="18"/>
        </w:rPr>
        <w:t>Business partner income . . . . . . . . . . . . . . . . . . . . . . . . . . . . . . . . . . . . . . . . . .</w:t>
      </w:r>
      <w:r>
        <w:rPr>
          <w:color w:val="231F20"/>
          <w:spacing w:val="9"/>
          <w:sz w:val="18"/>
        </w:rPr>
        <w:t> </w:t>
      </w:r>
      <w:r>
        <w:rPr>
          <w:color w:val="231F20"/>
          <w:sz w:val="18"/>
        </w:rPr>
        <w:t>. .</w:t>
        <w:tab/>
        <w:t>339</w:t>
        <w:tab/>
        <w:t>207</w:t>
      </w:r>
    </w:p>
    <w:p>
      <w:pPr>
        <w:tabs>
          <w:tab w:pos="7059" w:val="left" w:leader="none"/>
          <w:tab w:pos="8439" w:val="right" w:leader="none"/>
        </w:tabs>
        <w:spacing w:before="13"/>
        <w:ind w:left="339" w:right="0" w:firstLine="0"/>
        <w:jc w:val="left"/>
        <w:rPr>
          <w:sz w:val="18"/>
        </w:rPr>
      </w:pPr>
      <w:r>
        <w:rPr>
          <w:color w:val="231F20"/>
          <w:sz w:val="18"/>
        </w:rPr>
        <w:t>Net operating losses and credit carrybacks   . . . . . . . . . . . . . . . . . . . . . . . . . . .</w:t>
      </w:r>
      <w:r>
        <w:rPr>
          <w:color w:val="231F20"/>
          <w:spacing w:val="-5"/>
          <w:sz w:val="18"/>
        </w:rPr>
        <w:t> </w:t>
      </w:r>
      <w:r>
        <w:rPr>
          <w:color w:val="231F20"/>
          <w:sz w:val="18"/>
        </w:rPr>
        <w:t>. .</w:t>
        <w:tab/>
        <w:t>83</w:t>
        <w:tab/>
        <w:t>212</w:t>
      </w:r>
    </w:p>
    <w:p>
      <w:pPr>
        <w:tabs>
          <w:tab w:pos="6969" w:val="left" w:leader="none"/>
          <w:tab w:pos="8439" w:val="right" w:leader="none"/>
        </w:tabs>
        <w:spacing w:before="13"/>
        <w:ind w:left="339" w:right="0" w:firstLine="0"/>
        <w:jc w:val="left"/>
        <w:rPr>
          <w:sz w:val="18"/>
        </w:rPr>
      </w:pPr>
      <w:r>
        <w:rPr/>
        <w:pict>
          <v:line style="position:absolute;mso-position-horizontal-relative:page;mso-position-vertical-relative:paragraph;z-index:7672" from="373pt,12.804358pt" to="425pt,12.804358pt" stroked="true" strokeweight=".5pt" strokecolor="#231f20">
            <v:stroke dashstyle="solid"/>
            <w10:wrap type="none"/>
          </v:line>
        </w:pict>
      </w:r>
      <w:r>
        <w:rPr/>
        <w:pict>
          <v:line style="position:absolute;mso-position-horizontal-relative:page;mso-position-vertical-relative:paragraph;z-index:7696" from="433pt,12.804358pt" to="485pt,12.804358pt" stroked="true" strokeweight=".5pt" strokecolor="#231f20">
            <v:stroke dashstyle="solid"/>
            <w10:wrap type="none"/>
          </v:line>
        </w:pict>
      </w:r>
      <w:r>
        <w:rPr>
          <w:color w:val="231F20"/>
          <w:sz w:val="18"/>
        </w:rPr>
        <w:t>Other . . . . . . . . . . . . . . . . . . . . . . . . . . . . . . . . . . . . . . . . . . . . . . . . . . . . . . . . .</w:t>
      </w:r>
      <w:r>
        <w:rPr>
          <w:color w:val="231F20"/>
          <w:spacing w:val="20"/>
          <w:sz w:val="18"/>
        </w:rPr>
        <w:t> </w:t>
      </w:r>
      <w:r>
        <w:rPr>
          <w:color w:val="231F20"/>
          <w:sz w:val="18"/>
        </w:rPr>
        <w:t>. .</w:t>
        <w:tab/>
        <w:t>170</w:t>
        <w:tab/>
        <w:t>171</w:t>
      </w:r>
    </w:p>
    <w:p>
      <w:pPr>
        <w:tabs>
          <w:tab w:pos="6314" w:val="left" w:leader="none"/>
          <w:tab w:pos="7514" w:val="left" w:leader="none"/>
        </w:tabs>
        <w:spacing w:before="93"/>
        <w:ind w:left="0" w:right="418" w:firstLine="0"/>
        <w:jc w:val="center"/>
        <w:rPr>
          <w:sz w:val="18"/>
        </w:rPr>
      </w:pPr>
      <w:r>
        <w:rPr/>
        <w:pict>
          <v:line style="position:absolute;mso-position-horizontal-relative:page;mso-position-vertical-relative:paragraph;z-index:7720" from="373pt,16.802343pt" to="425pt,16.802343pt" stroked="true" strokeweight=".5pt" strokecolor="#231f20">
            <v:stroke dashstyle="solid"/>
            <w10:wrap type="none"/>
          </v:line>
        </w:pict>
      </w:r>
      <w:r>
        <w:rPr/>
        <w:pict>
          <v:line style="position:absolute;mso-position-horizontal-relative:page;mso-position-vertical-relative:paragraph;z-index:7744" from="433pt,16.802343pt" to="485pt,16.802343pt" stroked="true" strokeweight=".5pt" strokecolor="#231f20">
            <v:stroke dashstyle="solid"/>
            <w10:wrap type="none"/>
          </v:line>
        </w:pict>
      </w:r>
      <w:r>
        <w:rPr>
          <w:color w:val="231F20"/>
          <w:sz w:val="18"/>
        </w:rPr>
        <w:t>Total deferred tax assets  . . . . . . . . . . . . . . . . . . . . . . . . . . . . . . . . . . . . . . . .</w:t>
      </w:r>
      <w:r>
        <w:rPr>
          <w:color w:val="231F20"/>
          <w:spacing w:val="-20"/>
          <w:sz w:val="18"/>
        </w:rPr>
        <w:t> </w:t>
      </w:r>
      <w:r>
        <w:rPr>
          <w:color w:val="231F20"/>
          <w:sz w:val="18"/>
        </w:rPr>
        <w:t>. .</w:t>
        <w:tab/>
        <w:t>1,277</w:t>
        <w:tab/>
        <w:t>1,318</w:t>
      </w:r>
    </w:p>
    <w:p>
      <w:pPr>
        <w:tabs>
          <w:tab w:pos="6314" w:val="left" w:leader="none"/>
          <w:tab w:pos="7514" w:val="left" w:leader="none"/>
        </w:tabs>
        <w:spacing w:before="93"/>
        <w:ind w:left="0" w:right="419" w:firstLine="0"/>
        <w:jc w:val="center"/>
        <w:rPr>
          <w:sz w:val="18"/>
        </w:rPr>
      </w:pPr>
      <w:r>
        <w:rPr/>
        <w:pict>
          <v:shape style="position:absolute;margin-left:373pt;margin-top:16.802343pt;width:52pt;height:2pt;mso-position-horizontal-relative:page;mso-position-vertical-relative:paragraph;z-index:7768" coordorigin="7460,336" coordsize="1040,40" path="m7460,336l8500,336m7460,376l8500,376e" filled="false" stroked="true" strokeweight=".5pt" strokecolor="#231f20">
            <v:path arrowok="t"/>
            <v:stroke dashstyle="solid"/>
            <w10:wrap type="none"/>
          </v:shape>
        </w:pict>
      </w:r>
      <w:r>
        <w:rPr/>
        <w:pict>
          <v:shape style="position:absolute;margin-left:433pt;margin-top:16.802343pt;width:52pt;height:2pt;mso-position-horizontal-relative:page;mso-position-vertical-relative:paragraph;z-index:7792" coordorigin="8660,336" coordsize="1040,40" path="m8660,336l9700,336m8660,376l9700,376e" filled="false" stroked="true" strokeweight=".5pt" strokecolor="#231f20">
            <v:path arrowok="t"/>
            <v:stroke dashstyle="solid"/>
            <w10:wrap type="none"/>
          </v:shape>
        </w:pict>
      </w:r>
      <w:r>
        <w:rPr>
          <w:color w:val="231F20"/>
          <w:sz w:val="18"/>
        </w:rPr>
        <w:t>Net deferred tax liability . . . . . . . . . . . . . . . . . . . . . . . . . . . . . . . . . . . . . . . . .</w:t>
      </w:r>
      <w:r>
        <w:rPr>
          <w:color w:val="231F20"/>
          <w:spacing w:val="4"/>
          <w:sz w:val="18"/>
        </w:rPr>
        <w:t> </w:t>
      </w:r>
      <w:r>
        <w:rPr>
          <w:color w:val="231F20"/>
          <w:sz w:val="18"/>
        </w:rPr>
        <w:t>.  </w:t>
      </w:r>
      <w:r>
        <w:rPr>
          <w:color w:val="231F20"/>
          <w:spacing w:val="25"/>
          <w:sz w:val="18"/>
        </w:rPr>
        <w:t> </w:t>
      </w:r>
      <w:r>
        <w:rPr>
          <w:color w:val="231F20"/>
          <w:sz w:val="18"/>
        </w:rPr>
        <w:t>$</w:t>
        <w:tab/>
        <w:t>2,638   </w:t>
      </w:r>
      <w:r>
        <w:rPr>
          <w:color w:val="231F20"/>
          <w:spacing w:val="20"/>
          <w:sz w:val="18"/>
        </w:rPr>
        <w:t> </w:t>
      </w:r>
      <w:r>
        <w:rPr>
          <w:color w:val="231F20"/>
          <w:sz w:val="18"/>
        </w:rPr>
        <w:t>$</w:t>
        <w:tab/>
        <w:t>2,303</w:t>
      </w:r>
    </w:p>
    <w:p>
      <w:pPr>
        <w:pStyle w:val="BodyText"/>
        <w:spacing w:before="374"/>
        <w:ind w:left="650"/>
      </w:pPr>
      <w:r>
        <w:rPr>
          <w:color w:val="231F20"/>
        </w:rPr>
        <w:t>The provision for income taxes is composed of the following:</w:t>
      </w:r>
    </w:p>
    <w:p>
      <w:pPr>
        <w:pStyle w:val="BodyText"/>
        <w:spacing w:before="9"/>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15"/>
        <w:gridCol w:w="115"/>
        <w:gridCol w:w="1040"/>
        <w:gridCol w:w="80"/>
        <w:gridCol w:w="80"/>
        <w:gridCol w:w="1040"/>
        <w:gridCol w:w="160"/>
        <w:gridCol w:w="1040"/>
      </w:tblGrid>
      <w:tr>
        <w:trPr>
          <w:trHeight w:val="230" w:hRule="exact"/>
        </w:trPr>
        <w:tc>
          <w:tcPr>
            <w:tcW w:w="48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120" w:type="dxa"/>
            <w:gridSpan w:val="2"/>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120" w:type="dxa"/>
            <w:gridSpan w:val="2"/>
            <w:tcBorders>
              <w:bottom w:val="single" w:sz="8" w:space="0" w:color="231F20"/>
            </w:tcBorders>
          </w:tcPr>
          <w:p>
            <w:pPr>
              <w:pStyle w:val="TableParagraph"/>
              <w:spacing w:line="199" w:lineRule="exact"/>
              <w:ind w:left="420"/>
              <w:jc w:val="left"/>
              <w:rPr>
                <w:b/>
                <w:sz w:val="18"/>
              </w:rPr>
            </w:pPr>
            <w:r>
              <w:rPr>
                <w:b/>
                <w:color w:val="231F20"/>
                <w:sz w:val="18"/>
              </w:rPr>
              <w:t>2011</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2010</w:t>
            </w:r>
          </w:p>
        </w:tc>
      </w:tr>
      <w:tr>
        <w:trPr>
          <w:trHeight w:val="500" w:hRule="exact"/>
        </w:trPr>
        <w:tc>
          <w:tcPr>
            <w:tcW w:w="4815" w:type="dxa"/>
            <w:tcBorders>
              <w:top w:val="single" w:sz="8" w:space="0" w:color="231F20"/>
            </w:tcBorders>
          </w:tcPr>
          <w:p>
            <w:pPr>
              <w:pStyle w:val="TableParagraph"/>
              <w:spacing w:before="52"/>
              <w:ind w:left="50"/>
              <w:jc w:val="left"/>
              <w:rPr>
                <w:b/>
                <w:sz w:val="18"/>
              </w:rPr>
            </w:pPr>
            <w:r>
              <w:rPr>
                <w:b/>
                <w:color w:val="231F20"/>
                <w:sz w:val="18"/>
              </w:rPr>
              <w:t>CURRENT:</w:t>
            </w:r>
          </w:p>
          <w:p>
            <w:pPr>
              <w:pStyle w:val="TableParagraph"/>
              <w:spacing w:before="13"/>
              <w:ind w:left="230"/>
              <w:jc w:val="left"/>
              <w:rPr>
                <w:sz w:val="18"/>
              </w:rPr>
            </w:pPr>
            <w:r>
              <w:rPr>
                <w:color w:val="231F20"/>
                <w:sz w:val="18"/>
              </w:rPr>
              <w:t>Federal  . . . . . . . . . . . . . . . . . . . . . . . . . . . . . . . . . . . . . . . . . . . . </w:t>
            </w:r>
          </w:p>
        </w:tc>
        <w:tc>
          <w:tcPr>
            <w:tcW w:w="115" w:type="dxa"/>
          </w:tcPr>
          <w:p>
            <w:pPr/>
          </w:p>
        </w:tc>
        <w:tc>
          <w:tcPr>
            <w:tcW w:w="1120" w:type="dxa"/>
            <w:gridSpan w:val="2"/>
            <w:tcBorders>
              <w:top w:val="single" w:sz="8" w:space="0" w:color="231F20"/>
            </w:tcBorders>
          </w:tcPr>
          <w:p>
            <w:pPr>
              <w:pStyle w:val="TableParagraph"/>
              <w:spacing w:before="7"/>
              <w:jc w:val="left"/>
              <w:rPr>
                <w:sz w:val="23"/>
              </w:rPr>
            </w:pPr>
          </w:p>
          <w:p>
            <w:pPr>
              <w:pStyle w:val="TableParagraph"/>
              <w:tabs>
                <w:tab w:pos="739" w:val="left" w:leader="none"/>
              </w:tabs>
              <w:jc w:val="left"/>
              <w:rPr>
                <w:sz w:val="18"/>
              </w:rPr>
            </w:pPr>
            <w:r>
              <w:rPr>
                <w:color w:val="231F20"/>
                <w:sz w:val="18"/>
              </w:rPr>
              <w:t>$</w:t>
              <w:tab/>
              <w:t>(45)</w:t>
            </w:r>
          </w:p>
        </w:tc>
        <w:tc>
          <w:tcPr>
            <w:tcW w:w="1120" w:type="dxa"/>
            <w:gridSpan w:val="2"/>
            <w:tcBorders>
              <w:top w:val="single" w:sz="8" w:space="0" w:color="231F20"/>
            </w:tcBorders>
          </w:tcPr>
          <w:p>
            <w:pPr>
              <w:pStyle w:val="TableParagraph"/>
              <w:spacing w:before="7"/>
              <w:jc w:val="left"/>
              <w:rPr>
                <w:sz w:val="23"/>
              </w:rPr>
            </w:pPr>
          </w:p>
          <w:p>
            <w:pPr>
              <w:pStyle w:val="TableParagraph"/>
              <w:tabs>
                <w:tab w:pos="969" w:val="left" w:leader="none"/>
              </w:tabs>
              <w:ind w:left="80"/>
              <w:jc w:val="left"/>
              <w:rPr>
                <w:sz w:val="18"/>
              </w:rPr>
            </w:pPr>
            <w:r>
              <w:rPr>
                <w:color w:val="231F20"/>
                <w:sz w:val="18"/>
              </w:rPr>
              <w:t>$</w:t>
              <w:tab/>
              <w:t>4</w:t>
            </w:r>
          </w:p>
        </w:tc>
        <w:tc>
          <w:tcPr>
            <w:tcW w:w="160" w:type="dxa"/>
          </w:tcPr>
          <w:p>
            <w:pPr/>
          </w:p>
        </w:tc>
        <w:tc>
          <w:tcPr>
            <w:tcW w:w="1040" w:type="dxa"/>
            <w:tcBorders>
              <w:top w:val="single" w:sz="8" w:space="0" w:color="231F20"/>
            </w:tcBorders>
          </w:tcPr>
          <w:p>
            <w:pPr>
              <w:pStyle w:val="TableParagraph"/>
              <w:spacing w:before="7"/>
              <w:jc w:val="left"/>
              <w:rPr>
                <w:sz w:val="23"/>
              </w:rPr>
            </w:pPr>
          </w:p>
          <w:p>
            <w:pPr>
              <w:pStyle w:val="TableParagraph"/>
              <w:tabs>
                <w:tab w:pos="709" w:val="left" w:leader="none"/>
              </w:tabs>
              <w:ind w:right="58"/>
              <w:rPr>
                <w:sz w:val="18"/>
              </w:rPr>
            </w:pPr>
            <w:r>
              <w:rPr>
                <w:color w:val="231F20"/>
                <w:sz w:val="18"/>
              </w:rPr>
              <w:t>$</w:t>
              <w:tab/>
              <w:t>198</w:t>
            </w:r>
          </w:p>
        </w:tc>
      </w:tr>
      <w:tr>
        <w:trPr>
          <w:trHeight w:val="245" w:hRule="exact"/>
        </w:trPr>
        <w:tc>
          <w:tcPr>
            <w:tcW w:w="4815" w:type="dxa"/>
          </w:tcPr>
          <w:p>
            <w:pPr>
              <w:pStyle w:val="TableParagraph"/>
              <w:spacing w:before="1"/>
              <w:rPr>
                <w:sz w:val="18"/>
              </w:rPr>
            </w:pPr>
            <w:r>
              <w:rPr>
                <w:color w:val="231F20"/>
                <w:sz w:val="18"/>
              </w:rPr>
              <w:t>State  . . . . . . . . . . . . . . . . . . . . . . . . . . . . . . . . . . . . . . . . . . . . . . </w:t>
            </w:r>
          </w:p>
        </w:tc>
        <w:tc>
          <w:tcPr>
            <w:tcW w:w="115" w:type="dxa"/>
          </w:tcPr>
          <w:p>
            <w:pPr/>
          </w:p>
        </w:tc>
        <w:tc>
          <w:tcPr>
            <w:tcW w:w="1120" w:type="dxa"/>
            <w:gridSpan w:val="2"/>
            <w:tcBorders>
              <w:bottom w:val="single" w:sz="4" w:space="0" w:color="231F20"/>
            </w:tcBorders>
          </w:tcPr>
          <w:p>
            <w:pPr>
              <w:pStyle w:val="TableParagraph"/>
              <w:spacing w:before="1"/>
              <w:ind w:right="137"/>
              <w:rPr>
                <w:sz w:val="18"/>
              </w:rPr>
            </w:pPr>
            <w:r>
              <w:rPr>
                <w:color w:val="231F20"/>
                <w:sz w:val="18"/>
              </w:rPr>
              <w:t>12</w:t>
            </w:r>
          </w:p>
        </w:tc>
        <w:tc>
          <w:tcPr>
            <w:tcW w:w="1120" w:type="dxa"/>
            <w:gridSpan w:val="2"/>
            <w:tcBorders>
              <w:bottom w:val="single" w:sz="4" w:space="0" w:color="231F20"/>
            </w:tcBorders>
          </w:tcPr>
          <w:p>
            <w:pPr>
              <w:pStyle w:val="TableParagraph"/>
              <w:spacing w:before="1"/>
              <w:ind w:right="58"/>
              <w:rPr>
                <w:sz w:val="18"/>
              </w:rPr>
            </w:pPr>
            <w:r>
              <w:rPr>
                <w:color w:val="231F20"/>
                <w:sz w:val="18"/>
              </w:rPr>
              <w:t>13</w:t>
            </w:r>
          </w:p>
        </w:tc>
        <w:tc>
          <w:tcPr>
            <w:tcW w:w="160" w:type="dxa"/>
          </w:tcPr>
          <w:p>
            <w:pPr/>
          </w:p>
        </w:tc>
        <w:tc>
          <w:tcPr>
            <w:tcW w:w="1040" w:type="dxa"/>
            <w:tcBorders>
              <w:bottom w:val="single" w:sz="4" w:space="0" w:color="231F20"/>
            </w:tcBorders>
          </w:tcPr>
          <w:p>
            <w:pPr>
              <w:pStyle w:val="TableParagraph"/>
              <w:spacing w:before="1"/>
              <w:ind w:right="59"/>
              <w:rPr>
                <w:sz w:val="18"/>
              </w:rPr>
            </w:pPr>
            <w:r>
              <w:rPr>
                <w:color w:val="231F20"/>
                <w:sz w:val="18"/>
              </w:rPr>
              <w:t>19</w:t>
            </w:r>
          </w:p>
        </w:tc>
      </w:tr>
      <w:tr>
        <w:trPr>
          <w:trHeight w:val="496" w:hRule="exact"/>
        </w:trPr>
        <w:tc>
          <w:tcPr>
            <w:tcW w:w="4815" w:type="dxa"/>
          </w:tcPr>
          <w:p>
            <w:pPr>
              <w:pStyle w:val="TableParagraph"/>
              <w:spacing w:before="57"/>
              <w:ind w:left="410"/>
              <w:jc w:val="left"/>
              <w:rPr>
                <w:sz w:val="18"/>
              </w:rPr>
            </w:pPr>
            <w:r>
              <w:rPr>
                <w:color w:val="231F20"/>
                <w:sz w:val="18"/>
              </w:rPr>
              <w:t>Total current . . . . . . . . . . . . . . . . . . . . . . . . . . . . . . . . . . . . . . </w:t>
            </w:r>
          </w:p>
          <w:p>
            <w:pPr>
              <w:pStyle w:val="TableParagraph"/>
              <w:spacing w:before="13"/>
              <w:ind w:left="50"/>
              <w:jc w:val="left"/>
              <w:rPr>
                <w:b/>
                <w:sz w:val="18"/>
              </w:rPr>
            </w:pPr>
            <w:r>
              <w:rPr>
                <w:b/>
                <w:color w:val="231F20"/>
                <w:sz w:val="18"/>
              </w:rPr>
              <w:t>DEFERRED:</w:t>
            </w:r>
          </w:p>
        </w:tc>
        <w:tc>
          <w:tcPr>
            <w:tcW w:w="115" w:type="dxa"/>
          </w:tcPr>
          <w:p>
            <w:pPr/>
          </w:p>
        </w:tc>
        <w:tc>
          <w:tcPr>
            <w:tcW w:w="1120" w:type="dxa"/>
            <w:gridSpan w:val="2"/>
            <w:tcBorders>
              <w:top w:val="single" w:sz="4" w:space="0" w:color="231F20"/>
            </w:tcBorders>
          </w:tcPr>
          <w:p>
            <w:pPr>
              <w:pStyle w:val="TableParagraph"/>
              <w:spacing w:before="52"/>
              <w:ind w:left="739"/>
              <w:jc w:val="left"/>
              <w:rPr>
                <w:sz w:val="18"/>
              </w:rPr>
            </w:pPr>
            <w:r>
              <w:rPr>
                <w:color w:val="231F20"/>
                <w:sz w:val="18"/>
              </w:rPr>
              <w:t>(33)</w:t>
            </w:r>
          </w:p>
        </w:tc>
        <w:tc>
          <w:tcPr>
            <w:tcW w:w="1120" w:type="dxa"/>
            <w:gridSpan w:val="2"/>
            <w:tcBorders>
              <w:top w:val="single" w:sz="4" w:space="0" w:color="231F20"/>
            </w:tcBorders>
          </w:tcPr>
          <w:p>
            <w:pPr>
              <w:pStyle w:val="TableParagraph"/>
              <w:spacing w:before="52"/>
              <w:ind w:right="58"/>
              <w:rPr>
                <w:sz w:val="18"/>
              </w:rPr>
            </w:pPr>
            <w:r>
              <w:rPr>
                <w:color w:val="231F20"/>
                <w:sz w:val="18"/>
              </w:rPr>
              <w:t>17</w:t>
            </w:r>
          </w:p>
        </w:tc>
        <w:tc>
          <w:tcPr>
            <w:tcW w:w="160" w:type="dxa"/>
          </w:tcPr>
          <w:p>
            <w:pPr/>
          </w:p>
        </w:tc>
        <w:tc>
          <w:tcPr>
            <w:tcW w:w="1040" w:type="dxa"/>
            <w:tcBorders>
              <w:top w:val="single" w:sz="4" w:space="0" w:color="231F20"/>
            </w:tcBorders>
          </w:tcPr>
          <w:p>
            <w:pPr>
              <w:pStyle w:val="TableParagraph"/>
              <w:spacing w:before="52"/>
              <w:ind w:right="59"/>
              <w:rPr>
                <w:sz w:val="18"/>
              </w:rPr>
            </w:pPr>
            <w:r>
              <w:rPr>
                <w:color w:val="231F20"/>
                <w:sz w:val="18"/>
              </w:rPr>
              <w:t>217</w:t>
            </w:r>
          </w:p>
        </w:tc>
      </w:tr>
      <w:tr>
        <w:trPr>
          <w:trHeight w:val="219" w:hRule="exact"/>
        </w:trPr>
        <w:tc>
          <w:tcPr>
            <w:tcW w:w="4815" w:type="dxa"/>
          </w:tcPr>
          <w:p>
            <w:pPr>
              <w:pStyle w:val="TableParagraph"/>
              <w:spacing w:line="197" w:lineRule="exact"/>
              <w:rPr>
                <w:sz w:val="18"/>
              </w:rPr>
            </w:pPr>
            <w:r>
              <w:rPr>
                <w:color w:val="231F20"/>
                <w:sz w:val="18"/>
              </w:rPr>
              <w:t>Federal  . . . . . . . . . . . . . . . . . . . . . . . . . . . . . . . . . . . . . . . . . . . . </w:t>
            </w:r>
          </w:p>
        </w:tc>
        <w:tc>
          <w:tcPr>
            <w:tcW w:w="1155" w:type="dxa"/>
            <w:gridSpan w:val="2"/>
          </w:tcPr>
          <w:p>
            <w:pPr>
              <w:pStyle w:val="TableParagraph"/>
              <w:spacing w:line="197" w:lineRule="exact"/>
              <w:ind w:right="58"/>
              <w:rPr>
                <w:sz w:val="18"/>
              </w:rPr>
            </w:pPr>
            <w:r>
              <w:rPr>
                <w:color w:val="231F20"/>
                <w:sz w:val="18"/>
              </w:rPr>
              <w:t>287</w:t>
            </w:r>
          </w:p>
        </w:tc>
        <w:tc>
          <w:tcPr>
            <w:tcW w:w="160" w:type="dxa"/>
            <w:gridSpan w:val="2"/>
          </w:tcPr>
          <w:p>
            <w:pPr/>
          </w:p>
        </w:tc>
        <w:tc>
          <w:tcPr>
            <w:tcW w:w="1040" w:type="dxa"/>
          </w:tcPr>
          <w:p>
            <w:pPr>
              <w:pStyle w:val="TableParagraph"/>
              <w:spacing w:line="197" w:lineRule="exact"/>
              <w:ind w:right="58"/>
              <w:rPr>
                <w:sz w:val="18"/>
              </w:rPr>
            </w:pPr>
            <w:r>
              <w:rPr>
                <w:color w:val="231F20"/>
                <w:sz w:val="18"/>
              </w:rPr>
              <w:t>122</w:t>
            </w:r>
          </w:p>
        </w:tc>
        <w:tc>
          <w:tcPr>
            <w:tcW w:w="160" w:type="dxa"/>
          </w:tcPr>
          <w:p>
            <w:pPr/>
          </w:p>
        </w:tc>
        <w:tc>
          <w:tcPr>
            <w:tcW w:w="1040" w:type="dxa"/>
          </w:tcPr>
          <w:p>
            <w:pPr>
              <w:pStyle w:val="TableParagraph"/>
              <w:spacing w:line="197" w:lineRule="exact"/>
              <w:ind w:right="59"/>
              <w:rPr>
                <w:sz w:val="18"/>
              </w:rPr>
            </w:pPr>
            <w:r>
              <w:rPr>
                <w:color w:val="231F20"/>
                <w:sz w:val="18"/>
              </w:rPr>
              <w:t>61</w:t>
            </w:r>
          </w:p>
        </w:tc>
      </w:tr>
      <w:tr>
        <w:trPr>
          <w:trHeight w:val="245" w:hRule="exact"/>
        </w:trPr>
        <w:tc>
          <w:tcPr>
            <w:tcW w:w="4815" w:type="dxa"/>
          </w:tcPr>
          <w:p>
            <w:pPr>
              <w:pStyle w:val="TableParagraph"/>
              <w:spacing w:before="1"/>
              <w:rPr>
                <w:sz w:val="18"/>
              </w:rPr>
            </w:pPr>
            <w:r>
              <w:rPr>
                <w:color w:val="231F20"/>
                <w:sz w:val="18"/>
              </w:rPr>
              <w:t>State  . . . . . . . . . . . . . . . . . . . . . . . . . . . . . . . . . . . . . . . . . . . . . . </w:t>
            </w:r>
          </w:p>
        </w:tc>
        <w:tc>
          <w:tcPr>
            <w:tcW w:w="1155" w:type="dxa"/>
            <w:gridSpan w:val="2"/>
            <w:tcBorders>
              <w:bottom w:val="single" w:sz="4" w:space="0" w:color="231F20"/>
            </w:tcBorders>
          </w:tcPr>
          <w:p>
            <w:pPr>
              <w:pStyle w:val="TableParagraph"/>
              <w:spacing w:before="1"/>
              <w:ind w:right="58"/>
              <w:rPr>
                <w:sz w:val="18"/>
              </w:rPr>
            </w:pPr>
            <w:r>
              <w:rPr>
                <w:color w:val="231F20"/>
                <w:sz w:val="18"/>
              </w:rPr>
              <w:t>10</w:t>
            </w:r>
          </w:p>
        </w:tc>
        <w:tc>
          <w:tcPr>
            <w:tcW w:w="160" w:type="dxa"/>
            <w:gridSpan w:val="2"/>
          </w:tcPr>
          <w:p>
            <w:pPr/>
          </w:p>
        </w:tc>
        <w:tc>
          <w:tcPr>
            <w:tcW w:w="1040" w:type="dxa"/>
            <w:tcBorders>
              <w:bottom w:val="single" w:sz="4" w:space="0" w:color="231F20"/>
            </w:tcBorders>
          </w:tcPr>
          <w:p>
            <w:pPr>
              <w:pStyle w:val="TableParagraph"/>
              <w:spacing w:before="1"/>
              <w:ind w:right="58"/>
              <w:rPr>
                <w:sz w:val="18"/>
              </w:rPr>
            </w:pPr>
            <w:r>
              <w:rPr>
                <w:color w:val="231F20"/>
                <w:sz w:val="18"/>
              </w:rPr>
              <w:t>6</w:t>
            </w:r>
          </w:p>
        </w:tc>
        <w:tc>
          <w:tcPr>
            <w:tcW w:w="160" w:type="dxa"/>
          </w:tcPr>
          <w:p>
            <w:pPr/>
          </w:p>
        </w:tc>
        <w:tc>
          <w:tcPr>
            <w:tcW w:w="1040" w:type="dxa"/>
            <w:tcBorders>
              <w:bottom w:val="single" w:sz="4" w:space="0" w:color="231F20"/>
            </w:tcBorders>
          </w:tcPr>
          <w:p>
            <w:pPr>
              <w:pStyle w:val="TableParagraph"/>
              <w:spacing w:before="1"/>
              <w:ind w:right="59"/>
              <w:rPr>
                <w:sz w:val="18"/>
              </w:rPr>
            </w:pPr>
            <w:r>
              <w:rPr>
                <w:color w:val="231F20"/>
                <w:sz w:val="18"/>
              </w:rPr>
              <w:t>8</w:t>
            </w:r>
          </w:p>
        </w:tc>
      </w:tr>
      <w:tr>
        <w:trPr>
          <w:trHeight w:val="300" w:hRule="exact"/>
        </w:trPr>
        <w:tc>
          <w:tcPr>
            <w:tcW w:w="4815" w:type="dxa"/>
          </w:tcPr>
          <w:p>
            <w:pPr>
              <w:pStyle w:val="TableParagraph"/>
              <w:spacing w:before="57"/>
              <w:rPr>
                <w:sz w:val="18"/>
              </w:rPr>
            </w:pPr>
            <w:r>
              <w:rPr>
                <w:color w:val="231F20"/>
                <w:sz w:val="18"/>
              </w:rPr>
              <w:t>Total deferred . . . . . . . . . . . . . . . . . . . . . . . . . . . . . . . . . . . . . </w:t>
            </w:r>
          </w:p>
        </w:tc>
        <w:tc>
          <w:tcPr>
            <w:tcW w:w="1155" w:type="dxa"/>
            <w:gridSpan w:val="2"/>
            <w:tcBorders>
              <w:top w:val="single" w:sz="4" w:space="0" w:color="231F20"/>
              <w:bottom w:val="single" w:sz="4" w:space="0" w:color="231F20"/>
            </w:tcBorders>
          </w:tcPr>
          <w:p>
            <w:pPr>
              <w:pStyle w:val="TableParagraph"/>
              <w:spacing w:before="52"/>
              <w:ind w:right="58"/>
              <w:rPr>
                <w:sz w:val="18"/>
              </w:rPr>
            </w:pPr>
            <w:r>
              <w:rPr>
                <w:color w:val="231F20"/>
                <w:sz w:val="18"/>
              </w:rPr>
              <w:t>297</w:t>
            </w:r>
          </w:p>
        </w:tc>
        <w:tc>
          <w:tcPr>
            <w:tcW w:w="160" w:type="dxa"/>
            <w:gridSpan w:val="2"/>
          </w:tcPr>
          <w:p>
            <w:pPr/>
          </w:p>
        </w:tc>
        <w:tc>
          <w:tcPr>
            <w:tcW w:w="1040" w:type="dxa"/>
            <w:tcBorders>
              <w:top w:val="single" w:sz="4" w:space="0" w:color="231F20"/>
              <w:bottom w:val="single" w:sz="4" w:space="0" w:color="231F20"/>
            </w:tcBorders>
          </w:tcPr>
          <w:p>
            <w:pPr>
              <w:pStyle w:val="TableParagraph"/>
              <w:spacing w:before="52"/>
              <w:ind w:right="58"/>
              <w:rPr>
                <w:sz w:val="18"/>
              </w:rPr>
            </w:pPr>
            <w:r>
              <w:rPr>
                <w:color w:val="231F20"/>
                <w:sz w:val="18"/>
              </w:rPr>
              <w:t>128</w:t>
            </w:r>
          </w:p>
        </w:tc>
        <w:tc>
          <w:tcPr>
            <w:tcW w:w="160" w:type="dxa"/>
          </w:tcPr>
          <w:p>
            <w:pPr/>
          </w:p>
        </w:tc>
        <w:tc>
          <w:tcPr>
            <w:tcW w:w="1040" w:type="dxa"/>
            <w:tcBorders>
              <w:top w:val="single" w:sz="4" w:space="0" w:color="231F20"/>
              <w:bottom w:val="single" w:sz="4" w:space="0" w:color="231F20"/>
            </w:tcBorders>
          </w:tcPr>
          <w:p>
            <w:pPr>
              <w:pStyle w:val="TableParagraph"/>
              <w:spacing w:before="52"/>
              <w:ind w:right="59"/>
              <w:rPr>
                <w:sz w:val="18"/>
              </w:rPr>
            </w:pPr>
            <w:r>
              <w:rPr>
                <w:color w:val="231F20"/>
                <w:sz w:val="18"/>
              </w:rPr>
              <w:t>69</w:t>
            </w:r>
          </w:p>
        </w:tc>
      </w:tr>
      <w:tr>
        <w:trPr>
          <w:trHeight w:val="340" w:hRule="exact"/>
        </w:trPr>
        <w:tc>
          <w:tcPr>
            <w:tcW w:w="4815" w:type="dxa"/>
          </w:tcPr>
          <w:p>
            <w:pPr/>
          </w:p>
        </w:tc>
        <w:tc>
          <w:tcPr>
            <w:tcW w:w="1155" w:type="dxa"/>
            <w:gridSpan w:val="2"/>
            <w:tcBorders>
              <w:top w:val="single" w:sz="4" w:space="0" w:color="231F20"/>
              <w:bottom w:val="single" w:sz="4" w:space="0" w:color="231F20"/>
            </w:tcBorders>
          </w:tcPr>
          <w:p>
            <w:pPr>
              <w:pStyle w:val="TableParagraph"/>
              <w:tabs>
                <w:tab w:pos="824" w:val="left" w:leader="none"/>
              </w:tabs>
              <w:spacing w:before="52"/>
              <w:ind w:left="115"/>
              <w:jc w:val="left"/>
              <w:rPr>
                <w:sz w:val="18"/>
              </w:rPr>
            </w:pPr>
            <w:r>
              <w:rPr>
                <w:color w:val="231F20"/>
                <w:sz w:val="18"/>
              </w:rPr>
              <w:t>$</w:t>
              <w:tab/>
              <w:t>264</w:t>
            </w:r>
          </w:p>
        </w:tc>
        <w:tc>
          <w:tcPr>
            <w:tcW w:w="160" w:type="dxa"/>
            <w:gridSpan w:val="2"/>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145</w:t>
            </w:r>
          </w:p>
        </w:tc>
        <w:tc>
          <w:tcPr>
            <w:tcW w:w="160" w:type="dxa"/>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286</w:t>
            </w:r>
          </w:p>
        </w:tc>
      </w:tr>
    </w:tbl>
    <w:p>
      <w:pPr>
        <w:pStyle w:val="BodyText"/>
        <w:rPr>
          <w:sz w:val="25"/>
        </w:rPr>
      </w:pPr>
    </w:p>
    <w:p>
      <w:pPr>
        <w:pStyle w:val="BodyText"/>
        <w:spacing w:line="249" w:lineRule="auto" w:before="1"/>
        <w:ind w:left="160" w:firstLine="490"/>
      </w:pPr>
      <w:r>
        <w:rPr/>
        <w:pict>
          <v:line style="position:absolute;mso-position-horizontal-relative:page;mso-position-vertical-relative:paragraph;z-index:-350800" from="313pt,-16.864063pt" to="365pt,-16.864063pt" stroked="true" strokeweight=".5pt" strokecolor="#231f20">
            <v:stroke dashstyle="solid"/>
            <w10:wrap type="none"/>
          </v:line>
        </w:pict>
      </w:r>
      <w:r>
        <w:rPr/>
        <w:pict>
          <v:line style="position:absolute;mso-position-horizontal-relative:page;mso-position-vertical-relative:paragraph;z-index:-350776" from="373pt,-16.864063pt" to="425pt,-16.864063pt" stroked="true" strokeweight=".5pt" strokecolor="#231f20">
            <v:stroke dashstyle="solid"/>
            <w10:wrap type="none"/>
          </v:line>
        </w:pict>
      </w:r>
      <w:r>
        <w:rPr/>
        <w:pict>
          <v:line style="position:absolute;mso-position-horizontal-relative:page;mso-position-vertical-relative:paragraph;z-index:-350752" from="433pt,-16.864063pt" to="485pt,-16.864063pt" stroked="true" strokeweight=".5pt" strokecolor="#231f20">
            <v:stroke dashstyle="solid"/>
            <w10:wrap type="none"/>
          </v:line>
        </w:pict>
      </w:r>
      <w:r>
        <w:rPr/>
        <w:pict>
          <v:line style="position:absolute;mso-position-horizontal-relative:page;mso-position-vertical-relative:paragraph;z-index:-350728" from="313pt,120.135941pt" to="365pt,120.135941pt" stroked="true" strokeweight=".5pt" strokecolor="#231f20">
            <v:stroke dashstyle="solid"/>
            <w10:wrap type="none"/>
          </v:line>
        </w:pict>
      </w:r>
      <w:r>
        <w:rPr/>
        <w:pict>
          <v:line style="position:absolute;mso-position-horizontal-relative:page;mso-position-vertical-relative:paragraph;z-index:-350704" from="373pt,120.135941pt" to="425pt,120.135941pt" stroked="true" strokeweight=".5pt" strokecolor="#231f20">
            <v:stroke dashstyle="solid"/>
            <w10:wrap type="none"/>
          </v:line>
        </w:pict>
      </w:r>
      <w:r>
        <w:rPr/>
        <w:pict>
          <v:line style="position:absolute;mso-position-horizontal-relative:page;mso-position-vertical-relative:paragraph;z-index:-350680" from="433pt,120.135941pt" to="485pt,120.135941pt" stroked="true" strokeweight=".5pt" strokecolor="#231f20">
            <v:stroke dashstyle="solid"/>
            <w10:wrap type="none"/>
          </v:line>
        </w:pict>
      </w:r>
      <w:r>
        <w:rPr>
          <w:color w:val="231F20"/>
        </w:rPr>
        <w:t>The effective tax rate on income before income taxes differed from the federal income tax statutory rate for the following reasons:</w:t>
      </w:r>
    </w:p>
    <w:p>
      <w:pPr>
        <w:pStyle w:val="BodyText"/>
        <w:spacing w:before="1"/>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15"/>
        <w:gridCol w:w="115"/>
        <w:gridCol w:w="1120"/>
        <w:gridCol w:w="1200"/>
        <w:gridCol w:w="1180"/>
      </w:tblGrid>
      <w:tr>
        <w:trPr>
          <w:trHeight w:val="230" w:hRule="exact"/>
        </w:trPr>
        <w:tc>
          <w:tcPr>
            <w:tcW w:w="48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12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200" w:type="dxa"/>
            <w:tcBorders>
              <w:bottom w:val="single" w:sz="8" w:space="0" w:color="231F20"/>
            </w:tcBorders>
          </w:tcPr>
          <w:p>
            <w:pPr>
              <w:pStyle w:val="TableParagraph"/>
              <w:spacing w:line="199" w:lineRule="exact"/>
              <w:ind w:left="400" w:right="400"/>
              <w:jc w:val="center"/>
              <w:rPr>
                <w:b/>
                <w:sz w:val="18"/>
              </w:rPr>
            </w:pPr>
            <w:r>
              <w:rPr>
                <w:b/>
                <w:color w:val="231F20"/>
                <w:sz w:val="18"/>
              </w:rPr>
              <w:t>2011</w:t>
            </w:r>
          </w:p>
        </w:tc>
        <w:tc>
          <w:tcPr>
            <w:tcW w:w="1180" w:type="dxa"/>
            <w:tcBorders>
              <w:bottom w:val="single" w:sz="8" w:space="0" w:color="231F20"/>
            </w:tcBorders>
          </w:tcPr>
          <w:p>
            <w:pPr>
              <w:pStyle w:val="TableParagraph"/>
              <w:spacing w:line="199" w:lineRule="exact"/>
              <w:ind w:left="399" w:right="379"/>
              <w:jc w:val="center"/>
              <w:rPr>
                <w:b/>
                <w:sz w:val="18"/>
              </w:rPr>
            </w:pPr>
            <w:r>
              <w:rPr>
                <w:b/>
                <w:color w:val="231F20"/>
                <w:sz w:val="18"/>
              </w:rPr>
              <w:t>2010</w:t>
            </w:r>
          </w:p>
        </w:tc>
      </w:tr>
      <w:tr>
        <w:trPr>
          <w:trHeight w:val="500" w:hRule="exact"/>
        </w:trPr>
        <w:tc>
          <w:tcPr>
            <w:tcW w:w="4815" w:type="dxa"/>
            <w:tcBorders>
              <w:top w:val="single" w:sz="8" w:space="0" w:color="231F20"/>
            </w:tcBorders>
          </w:tcPr>
          <w:p>
            <w:pPr>
              <w:pStyle w:val="TableParagraph"/>
              <w:spacing w:before="52"/>
              <w:ind w:left="50"/>
              <w:jc w:val="left"/>
              <w:rPr>
                <w:sz w:val="18"/>
              </w:rPr>
            </w:pPr>
            <w:r>
              <w:rPr>
                <w:color w:val="231F20"/>
                <w:sz w:val="18"/>
              </w:rPr>
              <w:t>Tax at statutory</w:t>
            </w:r>
          </w:p>
          <w:p>
            <w:pPr>
              <w:pStyle w:val="TableParagraph"/>
              <w:spacing w:before="13"/>
              <w:ind w:left="230"/>
              <w:jc w:val="left"/>
              <w:rPr>
                <w:sz w:val="18"/>
              </w:rPr>
            </w:pPr>
            <w:r>
              <w:rPr>
                <w:color w:val="231F20"/>
                <w:sz w:val="18"/>
              </w:rPr>
              <w:t>U.S. tax rates  . . . . . . . . . . . . . . . . . . . . . . . . . . . . . . . . . . . . . . . </w:t>
            </w:r>
          </w:p>
        </w:tc>
        <w:tc>
          <w:tcPr>
            <w:tcW w:w="115" w:type="dxa"/>
          </w:tcPr>
          <w:p>
            <w:pPr/>
          </w:p>
        </w:tc>
        <w:tc>
          <w:tcPr>
            <w:tcW w:w="1120" w:type="dxa"/>
            <w:tcBorders>
              <w:top w:val="single" w:sz="8" w:space="0" w:color="231F20"/>
            </w:tcBorders>
          </w:tcPr>
          <w:p>
            <w:pPr>
              <w:pStyle w:val="TableParagraph"/>
              <w:spacing w:before="7"/>
              <w:jc w:val="left"/>
              <w:rPr>
                <w:sz w:val="23"/>
              </w:rPr>
            </w:pPr>
          </w:p>
          <w:p>
            <w:pPr>
              <w:pStyle w:val="TableParagraph"/>
              <w:tabs>
                <w:tab w:pos="769" w:val="left" w:leader="none"/>
              </w:tabs>
              <w:ind w:right="78"/>
              <w:rPr>
                <w:sz w:val="18"/>
              </w:rPr>
            </w:pPr>
            <w:r>
              <w:rPr>
                <w:color w:val="231F20"/>
                <w:sz w:val="18"/>
              </w:rPr>
              <w:t>$</w:t>
              <w:tab/>
              <w:t>240</w:t>
            </w:r>
          </w:p>
        </w:tc>
        <w:tc>
          <w:tcPr>
            <w:tcW w:w="1200" w:type="dxa"/>
            <w:tcBorders>
              <w:top w:val="single" w:sz="8" w:space="0" w:color="231F20"/>
            </w:tcBorders>
          </w:tcPr>
          <w:p>
            <w:pPr>
              <w:pStyle w:val="TableParagraph"/>
              <w:spacing w:before="7"/>
              <w:jc w:val="left"/>
              <w:rPr>
                <w:sz w:val="23"/>
              </w:rPr>
            </w:pPr>
          </w:p>
          <w:p>
            <w:pPr>
              <w:pStyle w:val="TableParagraph"/>
              <w:tabs>
                <w:tab w:pos="769" w:val="left" w:leader="none"/>
              </w:tabs>
              <w:ind w:right="78"/>
              <w:rPr>
                <w:sz w:val="18"/>
              </w:rPr>
            </w:pPr>
            <w:r>
              <w:rPr>
                <w:color w:val="231F20"/>
                <w:sz w:val="18"/>
              </w:rPr>
              <w:t>$</w:t>
              <w:tab/>
              <w:t>114</w:t>
            </w:r>
          </w:p>
        </w:tc>
        <w:tc>
          <w:tcPr>
            <w:tcW w:w="1180" w:type="dxa"/>
            <w:tcBorders>
              <w:top w:val="single" w:sz="8" w:space="0" w:color="231F20"/>
            </w:tcBorders>
          </w:tcPr>
          <w:p>
            <w:pPr>
              <w:pStyle w:val="TableParagraph"/>
              <w:spacing w:before="7"/>
              <w:jc w:val="left"/>
              <w:rPr>
                <w:sz w:val="23"/>
              </w:rPr>
            </w:pPr>
          </w:p>
          <w:p>
            <w:pPr>
              <w:pStyle w:val="TableParagraph"/>
              <w:tabs>
                <w:tab w:pos="769" w:val="left" w:leader="none"/>
              </w:tabs>
              <w:ind w:right="57"/>
              <w:rPr>
                <w:sz w:val="18"/>
              </w:rPr>
            </w:pPr>
            <w:r>
              <w:rPr>
                <w:color w:val="231F20"/>
                <w:sz w:val="18"/>
              </w:rPr>
              <w:t>$</w:t>
              <w:tab/>
              <w:t>261</w:t>
            </w:r>
          </w:p>
        </w:tc>
      </w:tr>
      <w:tr>
        <w:trPr>
          <w:trHeight w:val="220" w:hRule="exact"/>
        </w:trPr>
        <w:tc>
          <w:tcPr>
            <w:tcW w:w="4815" w:type="dxa"/>
          </w:tcPr>
          <w:p>
            <w:pPr>
              <w:pStyle w:val="TableParagraph"/>
              <w:spacing w:before="1"/>
              <w:rPr>
                <w:sz w:val="18"/>
              </w:rPr>
            </w:pPr>
            <w:r>
              <w:rPr>
                <w:color w:val="231F20"/>
                <w:sz w:val="18"/>
              </w:rPr>
              <w:t>Nondeductible items   . . . . . . . . . . . . . . . . . . . . . . . . . . . . . . . . . . . </w:t>
            </w:r>
          </w:p>
        </w:tc>
        <w:tc>
          <w:tcPr>
            <w:tcW w:w="115" w:type="dxa"/>
          </w:tcPr>
          <w:p>
            <w:pPr/>
          </w:p>
        </w:tc>
        <w:tc>
          <w:tcPr>
            <w:tcW w:w="1120" w:type="dxa"/>
          </w:tcPr>
          <w:p>
            <w:pPr>
              <w:pStyle w:val="TableParagraph"/>
              <w:spacing w:before="1"/>
              <w:ind w:right="78"/>
              <w:rPr>
                <w:sz w:val="18"/>
              </w:rPr>
            </w:pPr>
            <w:r>
              <w:rPr>
                <w:color w:val="231F20"/>
                <w:sz w:val="18"/>
              </w:rPr>
              <w:t>10</w:t>
            </w:r>
          </w:p>
        </w:tc>
        <w:tc>
          <w:tcPr>
            <w:tcW w:w="1200" w:type="dxa"/>
          </w:tcPr>
          <w:p>
            <w:pPr>
              <w:pStyle w:val="TableParagraph"/>
              <w:spacing w:before="1"/>
              <w:ind w:right="78"/>
              <w:rPr>
                <w:sz w:val="18"/>
              </w:rPr>
            </w:pPr>
            <w:r>
              <w:rPr>
                <w:color w:val="231F20"/>
                <w:sz w:val="18"/>
              </w:rPr>
              <w:t>13</w:t>
            </w:r>
          </w:p>
        </w:tc>
        <w:tc>
          <w:tcPr>
            <w:tcW w:w="1180" w:type="dxa"/>
          </w:tcPr>
          <w:p>
            <w:pPr>
              <w:pStyle w:val="TableParagraph"/>
              <w:spacing w:before="1"/>
              <w:ind w:right="57"/>
              <w:rPr>
                <w:sz w:val="18"/>
              </w:rPr>
            </w:pPr>
            <w:r>
              <w:rPr>
                <w:color w:val="231F20"/>
                <w:sz w:val="18"/>
              </w:rPr>
              <w:t>8</w:t>
            </w:r>
          </w:p>
        </w:tc>
      </w:tr>
      <w:tr>
        <w:trPr>
          <w:trHeight w:val="220" w:hRule="exact"/>
        </w:trPr>
        <w:tc>
          <w:tcPr>
            <w:tcW w:w="4815" w:type="dxa"/>
          </w:tcPr>
          <w:p>
            <w:pPr>
              <w:pStyle w:val="TableParagraph"/>
              <w:spacing w:before="1"/>
              <w:rPr>
                <w:sz w:val="18"/>
              </w:rPr>
            </w:pPr>
            <w:r>
              <w:rPr>
                <w:color w:val="231F20"/>
                <w:sz w:val="18"/>
              </w:rPr>
              <w:t>State income taxes, net of federal benefit  . . . . . . . . . . . . . . . . . . . </w:t>
            </w:r>
          </w:p>
        </w:tc>
        <w:tc>
          <w:tcPr>
            <w:tcW w:w="115" w:type="dxa"/>
          </w:tcPr>
          <w:p>
            <w:pPr/>
          </w:p>
        </w:tc>
        <w:tc>
          <w:tcPr>
            <w:tcW w:w="1120" w:type="dxa"/>
          </w:tcPr>
          <w:p>
            <w:pPr>
              <w:pStyle w:val="TableParagraph"/>
              <w:spacing w:before="1"/>
              <w:ind w:right="78"/>
              <w:rPr>
                <w:sz w:val="18"/>
              </w:rPr>
            </w:pPr>
            <w:r>
              <w:rPr>
                <w:color w:val="231F20"/>
                <w:sz w:val="18"/>
              </w:rPr>
              <w:t>14</w:t>
            </w:r>
          </w:p>
        </w:tc>
        <w:tc>
          <w:tcPr>
            <w:tcW w:w="1200" w:type="dxa"/>
          </w:tcPr>
          <w:p>
            <w:pPr>
              <w:pStyle w:val="TableParagraph"/>
              <w:spacing w:before="1"/>
              <w:ind w:right="78"/>
              <w:rPr>
                <w:sz w:val="18"/>
              </w:rPr>
            </w:pPr>
            <w:r>
              <w:rPr>
                <w:color w:val="231F20"/>
                <w:sz w:val="18"/>
              </w:rPr>
              <w:t>13</w:t>
            </w:r>
          </w:p>
        </w:tc>
        <w:tc>
          <w:tcPr>
            <w:tcW w:w="1180" w:type="dxa"/>
          </w:tcPr>
          <w:p>
            <w:pPr>
              <w:pStyle w:val="TableParagraph"/>
              <w:spacing w:before="1"/>
              <w:ind w:right="57"/>
              <w:rPr>
                <w:sz w:val="18"/>
              </w:rPr>
            </w:pPr>
            <w:r>
              <w:rPr>
                <w:color w:val="231F20"/>
                <w:sz w:val="18"/>
              </w:rPr>
              <w:t>18</w:t>
            </w:r>
          </w:p>
        </w:tc>
      </w:tr>
      <w:tr>
        <w:trPr>
          <w:trHeight w:val="245" w:hRule="exact"/>
        </w:trPr>
        <w:tc>
          <w:tcPr>
            <w:tcW w:w="4815" w:type="dxa"/>
          </w:tcPr>
          <w:p>
            <w:pPr>
              <w:pStyle w:val="TableParagraph"/>
              <w:spacing w:before="1"/>
              <w:rPr>
                <w:sz w:val="18"/>
              </w:rPr>
            </w:pPr>
            <w:r>
              <w:rPr>
                <w:color w:val="231F20"/>
                <w:sz w:val="18"/>
              </w:rPr>
              <w:t>Other, net  . . . . . . . . . . . . . . . . . . . . . . . . . . . . . . . . . . . . . . . . . . . . </w:t>
            </w:r>
          </w:p>
        </w:tc>
        <w:tc>
          <w:tcPr>
            <w:tcW w:w="115" w:type="dxa"/>
          </w:tcPr>
          <w:p>
            <w:pPr/>
          </w:p>
        </w:tc>
        <w:tc>
          <w:tcPr>
            <w:tcW w:w="1120" w:type="dxa"/>
            <w:tcBorders>
              <w:bottom w:val="single" w:sz="4" w:space="0" w:color="231F20"/>
            </w:tcBorders>
          </w:tcPr>
          <w:p>
            <w:pPr>
              <w:pStyle w:val="TableParagraph"/>
              <w:spacing w:before="1"/>
              <w:ind w:right="168"/>
              <w:rPr>
                <w:sz w:val="18"/>
              </w:rPr>
            </w:pPr>
            <w:r>
              <w:rPr>
                <w:color w:val="231F20"/>
                <w:sz w:val="18"/>
              </w:rPr>
              <w:t>—</w:t>
            </w:r>
          </w:p>
        </w:tc>
        <w:tc>
          <w:tcPr>
            <w:tcW w:w="1200" w:type="dxa"/>
            <w:tcBorders>
              <w:bottom w:val="single" w:sz="4" w:space="0" w:color="231F20"/>
            </w:tcBorders>
          </w:tcPr>
          <w:p>
            <w:pPr>
              <w:pStyle w:val="TableParagraph"/>
              <w:spacing w:before="1"/>
              <w:ind w:right="78"/>
              <w:rPr>
                <w:sz w:val="18"/>
              </w:rPr>
            </w:pPr>
            <w:r>
              <w:rPr>
                <w:color w:val="231F20"/>
                <w:sz w:val="18"/>
              </w:rPr>
              <w:t>5</w:t>
            </w:r>
          </w:p>
        </w:tc>
        <w:tc>
          <w:tcPr>
            <w:tcW w:w="1180" w:type="dxa"/>
            <w:tcBorders>
              <w:bottom w:val="single" w:sz="4" w:space="0" w:color="231F20"/>
            </w:tcBorders>
          </w:tcPr>
          <w:p>
            <w:pPr>
              <w:pStyle w:val="TableParagraph"/>
              <w:spacing w:before="1"/>
              <w:rPr>
                <w:sz w:val="18"/>
              </w:rPr>
            </w:pPr>
            <w:r>
              <w:rPr>
                <w:color w:val="231F20"/>
                <w:sz w:val="18"/>
              </w:rPr>
              <w:t>(1)</w:t>
            </w:r>
          </w:p>
        </w:tc>
      </w:tr>
      <w:tr>
        <w:trPr>
          <w:trHeight w:val="340" w:hRule="exact"/>
        </w:trPr>
        <w:tc>
          <w:tcPr>
            <w:tcW w:w="4815" w:type="dxa"/>
          </w:tcPr>
          <w:p>
            <w:pPr>
              <w:pStyle w:val="TableParagraph"/>
              <w:spacing w:before="57"/>
              <w:rPr>
                <w:sz w:val="18"/>
              </w:rPr>
            </w:pPr>
            <w:r>
              <w:rPr>
                <w:color w:val="231F20"/>
                <w:sz w:val="18"/>
              </w:rPr>
              <w:t>Total income tax provision   . . . . . . . . . . . . . . . . . . . . . . . . . . . . </w:t>
            </w:r>
          </w:p>
        </w:tc>
        <w:tc>
          <w:tcPr>
            <w:tcW w:w="115" w:type="dxa"/>
          </w:tcPr>
          <w:p>
            <w:pPr/>
          </w:p>
        </w:tc>
        <w:tc>
          <w:tcPr>
            <w:tcW w:w="1120" w:type="dxa"/>
            <w:tcBorders>
              <w:top w:val="single" w:sz="4" w:space="0" w:color="231F20"/>
              <w:bottom w:val="single" w:sz="4" w:space="0" w:color="231F20"/>
            </w:tcBorders>
          </w:tcPr>
          <w:p>
            <w:pPr>
              <w:pStyle w:val="TableParagraph"/>
              <w:tabs>
                <w:tab w:pos="769" w:val="left" w:leader="none"/>
              </w:tabs>
              <w:spacing w:before="52"/>
              <w:ind w:right="78"/>
              <w:rPr>
                <w:sz w:val="18"/>
              </w:rPr>
            </w:pPr>
            <w:r>
              <w:rPr>
                <w:color w:val="231F20"/>
                <w:sz w:val="18"/>
              </w:rPr>
              <w:t>$</w:t>
              <w:tab/>
              <w:t>264</w:t>
            </w:r>
          </w:p>
        </w:tc>
        <w:tc>
          <w:tcPr>
            <w:tcW w:w="1200" w:type="dxa"/>
            <w:tcBorders>
              <w:top w:val="single" w:sz="4" w:space="0" w:color="231F20"/>
              <w:bottom w:val="single" w:sz="4" w:space="0" w:color="231F20"/>
            </w:tcBorders>
          </w:tcPr>
          <w:p>
            <w:pPr>
              <w:pStyle w:val="TableParagraph"/>
              <w:tabs>
                <w:tab w:pos="769" w:val="left" w:leader="none"/>
              </w:tabs>
              <w:spacing w:before="52"/>
              <w:ind w:right="78"/>
              <w:rPr>
                <w:sz w:val="18"/>
              </w:rPr>
            </w:pPr>
            <w:r>
              <w:rPr>
                <w:color w:val="231F20"/>
                <w:sz w:val="18"/>
              </w:rPr>
              <w:t>$</w:t>
              <w:tab/>
              <w:t>145</w:t>
            </w:r>
          </w:p>
        </w:tc>
        <w:tc>
          <w:tcPr>
            <w:tcW w:w="1180" w:type="dxa"/>
            <w:tcBorders>
              <w:top w:val="single" w:sz="4" w:space="0" w:color="231F20"/>
              <w:bottom w:val="single" w:sz="4" w:space="0" w:color="231F20"/>
            </w:tcBorders>
          </w:tcPr>
          <w:p>
            <w:pPr>
              <w:pStyle w:val="TableParagraph"/>
              <w:tabs>
                <w:tab w:pos="769" w:val="left" w:leader="none"/>
              </w:tabs>
              <w:spacing w:before="52"/>
              <w:ind w:right="57"/>
              <w:rPr>
                <w:sz w:val="18"/>
              </w:rPr>
            </w:pPr>
            <w:r>
              <w:rPr>
                <w:color w:val="231F20"/>
                <w:sz w:val="18"/>
              </w:rPr>
              <w:t>$</w:t>
              <w:tab/>
              <w:t>286</w:t>
            </w:r>
          </w:p>
        </w:tc>
      </w:tr>
    </w:tbl>
    <w:p>
      <w:pPr>
        <w:spacing w:after="0"/>
        <w:rPr>
          <w:sz w:val="18"/>
        </w:rPr>
        <w:sectPr>
          <w:pgSz w:w="11880" w:h="15480"/>
          <w:pgMar w:header="0" w:footer="1253" w:top="1240" w:bottom="1440" w:left="1220" w:right="1280"/>
        </w:sectPr>
      </w:pPr>
    </w:p>
    <w:p>
      <w:pPr>
        <w:pStyle w:val="BodyText"/>
        <w:spacing w:line="249" w:lineRule="auto" w:before="73"/>
        <w:ind w:left="100" w:right="102" w:firstLine="490"/>
      </w:pPr>
      <w:r>
        <w:rPr>
          <w:color w:val="231F20"/>
        </w:rPr>
        <w:t>During 2012, the Company continues to maintain and did not adjust, a $5 million liability for unrecognized tax benefits, the majority of which related to AirTran’s prior years’ tax positions.</w:t>
      </w:r>
    </w:p>
    <w:p>
      <w:pPr>
        <w:pStyle w:val="BodyText"/>
        <w:spacing w:before="10"/>
      </w:pPr>
    </w:p>
    <w:p>
      <w:pPr>
        <w:pStyle w:val="BodyText"/>
        <w:spacing w:before="1"/>
        <w:ind w:left="590"/>
      </w:pPr>
      <w:r>
        <w:rPr>
          <w:color w:val="231F20"/>
        </w:rPr>
        <w:t>As of December 31, 2012, the Company had net operating loss (“NOL”) carryforwards of approximately</w:t>
      </w:r>
    </w:p>
    <w:p>
      <w:pPr>
        <w:pStyle w:val="BodyText"/>
        <w:spacing w:line="249" w:lineRule="auto" w:before="10"/>
        <w:ind w:left="100" w:right="121"/>
      </w:pPr>
      <w:r>
        <w:rPr>
          <w:color w:val="231F20"/>
        </w:rPr>
        <w:t>$230 million from its federal tax return. These NOL’s are available to offset future taxable income. At a 35 percent federal statutory tax rate, these NOL’s result in a deferred tax asset of $81 million, as of December 31, 2012, which represents the expected future tax benefit of the NOL’s, and which is netted against the Company’s Deferred income tax liability in the Consolidated Balance Sheet. These NOL’s will expire from 2017 to 2031 if not utilized. No valuation allowance was necessary. See Note 2 for further information on the acquisition of AirTran. The only periods subject to examination for the Company’s federal tax return are the 2011 and 2012 tax years.</w:t>
      </w:r>
    </w:p>
    <w:p>
      <w:pPr>
        <w:spacing w:after="0" w:line="249" w:lineRule="auto"/>
        <w:sectPr>
          <w:pgSz w:w="11880" w:h="15480"/>
          <w:pgMar w:header="0" w:footer="1253" w:top="1240" w:bottom="1440" w:left="1280" w:right="130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384" w:firstLine="490"/>
      </w:pPr>
      <w:r>
        <w:rPr>
          <w:color w:val="231F20"/>
        </w:rPr>
        <w:t>We have audited the accompanying consolidated balance sheet of Southwest Airlines Co. as of December 31, 2012 and 2011, and the related consolidated statements of income, comprehensive income, stockholders’ equity, and cash flows for each of the three years in the period ended December 31, 2012.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before="1"/>
        <w:ind w:left="100" w:right="283" w:firstLine="490"/>
      </w:pPr>
      <w:r>
        <w:rPr>
          <w:color w:val="231F20"/>
        </w:rPr>
        <w:t>In our opinion, the financial statements referred to above present fairly, in all material respects, the consolidated financial position of Southwest Airlines Co. at December 31, 2012 and 2011, and the consolidated results of its operations and its cash flows for each of the three years in the period ended December 31, 2012, in conformity with U.S. generally accepted accounting principles.</w:t>
      </w:r>
    </w:p>
    <w:p>
      <w:pPr>
        <w:pStyle w:val="BodyText"/>
        <w:spacing w:before="11"/>
      </w:pPr>
    </w:p>
    <w:p>
      <w:pPr>
        <w:pStyle w:val="BodyText"/>
        <w:spacing w:line="249" w:lineRule="auto"/>
        <w:ind w:left="100" w:right="549" w:firstLine="490"/>
      </w:pPr>
      <w:r>
        <w:rPr>
          <w:color w:val="231F20"/>
        </w:rPr>
        <w:t>We also have audited, in accordance with the standards of the Public Company Accounting Oversight Board (United States), Southwest Airlines Co.’s internal control over financial reporting as of December 31, 2012, based on criteria established in Internal Control-Integrated Framework issued by the Committee of Sponsoring Organizations of the Treadway Commission and our report dated February 6, 2013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6, 2013</w:t>
      </w:r>
    </w:p>
    <w:p>
      <w:pPr>
        <w:spacing w:after="0" w:line="249" w:lineRule="auto"/>
        <w:sectPr>
          <w:pgSz w:w="11880" w:h="15480"/>
          <w:pgMar w:header="0" w:footer="1253" w:top="1240" w:bottom="1440" w:left="1280" w:right="126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116" w:firstLine="490"/>
      </w:pPr>
      <w:r>
        <w:rPr>
          <w:color w:val="231F20"/>
        </w:rPr>
        <w:t>We have audited Southwest Airlines Co.’s internal control over financial reporting as of December 31, 2012,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1"/>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217"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2"/>
        </w:numPr>
        <w:tabs>
          <w:tab w:pos="384" w:val="left" w:leader="none"/>
        </w:tabs>
        <w:spacing w:line="249" w:lineRule="auto" w:before="1"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before="1"/>
        <w:ind w:left="100" w:right="119"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1"/>
      </w:pPr>
    </w:p>
    <w:p>
      <w:pPr>
        <w:pStyle w:val="BodyText"/>
        <w:spacing w:line="249" w:lineRule="auto"/>
        <w:ind w:left="100" w:right="119" w:firstLine="490"/>
      </w:pPr>
      <w:r>
        <w:rPr>
          <w:color w:val="231F20"/>
        </w:rPr>
        <w:t>In our opinion, Southwest Airlines Co. maintained, in all material respects, effective internal control over financial reporting as of December 31, 2012, based on the COSO criteria.</w:t>
      </w:r>
    </w:p>
    <w:p>
      <w:pPr>
        <w:pStyle w:val="BodyText"/>
        <w:spacing w:before="10"/>
      </w:pPr>
    </w:p>
    <w:p>
      <w:pPr>
        <w:pStyle w:val="BodyText"/>
        <w:spacing w:line="249" w:lineRule="auto" w:before="1"/>
        <w:ind w:left="100" w:right="261" w:firstLine="490"/>
      </w:pPr>
      <w:r>
        <w:rPr>
          <w:color w:val="231F20"/>
        </w:rPr>
        <w:t>We also have audited, in accordance with the standards of the Public Company Accounting Oversight Board (United States), the consolidated balance sheet of Southwest Airlines Co. as of December 31, 2012 and 2011, and the related consolidated statements of income, comprehensive income, stockholders’ equity, and cash flows for the each of the three years in the period ended December 31, 2012 and our report dated February 6, 2013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6, 2013</w:t>
      </w:r>
    </w:p>
    <w:p>
      <w:pPr>
        <w:spacing w:after="0" w:line="249" w:lineRule="auto"/>
        <w:sectPr>
          <w:pgSz w:w="11880" w:h="15480"/>
          <w:pgMar w:header="0" w:footer="1253" w:top="1240" w:bottom="1440" w:left="1280" w:right="1260"/>
        </w:sectPr>
      </w:pPr>
    </w:p>
    <w:p>
      <w:pPr>
        <w:pStyle w:val="Heading3"/>
        <w:spacing w:before="73"/>
        <w:ind w:left="0"/>
        <w:jc w:val="center"/>
      </w:pPr>
      <w:r>
        <w:rPr>
          <w:color w:val="231F20"/>
        </w:rPr>
        <w:t>QUARTERLY FINANCIAL DATA</w:t>
      </w:r>
    </w:p>
    <w:p>
      <w:pPr>
        <w:spacing w:before="9"/>
        <w:ind w:left="40" w:right="41" w:firstLine="0"/>
        <w:jc w:val="center"/>
        <w:rPr>
          <w:b/>
          <w:sz w:val="20"/>
        </w:rPr>
      </w:pPr>
      <w:r>
        <w:rPr>
          <w:b/>
          <w:color w:val="231F20"/>
          <w:sz w:val="20"/>
        </w:rPr>
        <w:t>(unaudited)</w:t>
      </w:r>
    </w:p>
    <w:p>
      <w:pPr>
        <w:pStyle w:val="BodyText"/>
        <w:spacing w:before="1"/>
        <w:rPr>
          <w:b/>
          <w:sz w:val="10"/>
        </w:rPr>
      </w:pPr>
    </w:p>
    <w:p>
      <w:pPr>
        <w:spacing w:before="92" w:after="31"/>
        <w:ind w:left="5885" w:right="0" w:firstLine="0"/>
        <w:jc w:val="left"/>
        <w:rPr>
          <w:b/>
          <w:sz w:val="18"/>
        </w:rPr>
      </w:pPr>
      <w:r>
        <w:rPr>
          <w:b/>
          <w:color w:val="231F20"/>
          <w:sz w:val="18"/>
        </w:rPr>
        <w:t>THREE MONTHS ENDED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58"/>
        <w:gridCol w:w="1178"/>
        <w:gridCol w:w="1200"/>
        <w:gridCol w:w="1200"/>
        <w:gridCol w:w="1170"/>
      </w:tblGrid>
      <w:tr>
        <w:trPr>
          <w:trHeight w:val="260" w:hRule="exact"/>
        </w:trPr>
        <w:tc>
          <w:tcPr>
            <w:tcW w:w="4415" w:type="dxa"/>
            <w:tcBorders>
              <w:bottom w:val="single" w:sz="8" w:space="0" w:color="231F20"/>
            </w:tcBorders>
          </w:tcPr>
          <w:p>
            <w:pPr>
              <w:pStyle w:val="TableParagraph"/>
              <w:spacing w:before="22"/>
              <w:ind w:left="50"/>
              <w:jc w:val="left"/>
              <w:rPr>
                <w:b/>
                <w:sz w:val="18"/>
              </w:rPr>
            </w:pPr>
            <w:r>
              <w:rPr>
                <w:b/>
                <w:color w:val="231F20"/>
                <w:sz w:val="18"/>
              </w:rPr>
              <w:t>(in millions except per share amounts)</w:t>
            </w:r>
          </w:p>
        </w:tc>
        <w:tc>
          <w:tcPr>
            <w:tcW w:w="58" w:type="dxa"/>
          </w:tcPr>
          <w:p>
            <w:pPr/>
          </w:p>
        </w:tc>
        <w:tc>
          <w:tcPr>
            <w:tcW w:w="1178" w:type="dxa"/>
            <w:tcBorders>
              <w:top w:val="single" w:sz="8" w:space="0" w:color="231F20"/>
              <w:bottom w:val="single" w:sz="8" w:space="0" w:color="231F20"/>
            </w:tcBorders>
          </w:tcPr>
          <w:p>
            <w:pPr>
              <w:pStyle w:val="TableParagraph"/>
              <w:spacing w:before="12"/>
              <w:ind w:left="204"/>
              <w:jc w:val="left"/>
              <w:rPr>
                <w:b/>
                <w:sz w:val="18"/>
              </w:rPr>
            </w:pPr>
            <w:r>
              <w:rPr>
                <w:b/>
                <w:color w:val="231F20"/>
                <w:sz w:val="18"/>
              </w:rPr>
              <w:t>March 31</w:t>
            </w:r>
          </w:p>
        </w:tc>
        <w:tc>
          <w:tcPr>
            <w:tcW w:w="1200" w:type="dxa"/>
            <w:tcBorders>
              <w:top w:val="single" w:sz="8" w:space="0" w:color="231F20"/>
              <w:bottom w:val="single" w:sz="8" w:space="0" w:color="231F20"/>
            </w:tcBorders>
          </w:tcPr>
          <w:p>
            <w:pPr>
              <w:pStyle w:val="TableParagraph"/>
              <w:spacing w:before="12"/>
              <w:ind w:left="301"/>
              <w:jc w:val="left"/>
              <w:rPr>
                <w:b/>
                <w:sz w:val="18"/>
              </w:rPr>
            </w:pPr>
            <w:r>
              <w:rPr>
                <w:b/>
                <w:color w:val="231F20"/>
                <w:sz w:val="18"/>
              </w:rPr>
              <w:t>June 30</w:t>
            </w:r>
          </w:p>
        </w:tc>
        <w:tc>
          <w:tcPr>
            <w:tcW w:w="1200" w:type="dxa"/>
            <w:tcBorders>
              <w:top w:val="single" w:sz="8" w:space="0" w:color="231F20"/>
              <w:bottom w:val="single" w:sz="8" w:space="0" w:color="231F20"/>
            </w:tcBorders>
          </w:tcPr>
          <w:p>
            <w:pPr>
              <w:pStyle w:val="TableParagraph"/>
              <w:spacing w:before="12"/>
              <w:ind w:left="294"/>
              <w:jc w:val="left"/>
              <w:rPr>
                <w:b/>
                <w:sz w:val="18"/>
              </w:rPr>
            </w:pPr>
            <w:r>
              <w:rPr>
                <w:b/>
                <w:color w:val="231F20"/>
                <w:sz w:val="18"/>
              </w:rPr>
              <w:t>Sept. 30</w:t>
            </w:r>
          </w:p>
        </w:tc>
        <w:tc>
          <w:tcPr>
            <w:tcW w:w="1170" w:type="dxa"/>
            <w:tcBorders>
              <w:top w:val="single" w:sz="8" w:space="0" w:color="231F20"/>
              <w:bottom w:val="single" w:sz="8" w:space="0" w:color="231F20"/>
            </w:tcBorders>
          </w:tcPr>
          <w:p>
            <w:pPr>
              <w:pStyle w:val="TableParagraph"/>
              <w:spacing w:before="12"/>
              <w:ind w:left="319"/>
              <w:jc w:val="left"/>
              <w:rPr>
                <w:b/>
                <w:sz w:val="18"/>
              </w:rPr>
            </w:pPr>
            <w:r>
              <w:rPr>
                <w:b/>
                <w:color w:val="231F20"/>
                <w:sz w:val="18"/>
              </w:rPr>
              <w:t>Dec. 31</w:t>
            </w:r>
          </w:p>
        </w:tc>
      </w:tr>
      <w:tr>
        <w:trPr>
          <w:trHeight w:val="303" w:hRule="exact"/>
        </w:trPr>
        <w:tc>
          <w:tcPr>
            <w:tcW w:w="4415" w:type="dxa"/>
            <w:tcBorders>
              <w:top w:val="single" w:sz="8" w:space="0" w:color="231F20"/>
            </w:tcBorders>
          </w:tcPr>
          <w:p>
            <w:pPr>
              <w:pStyle w:val="TableParagraph"/>
              <w:spacing w:before="53"/>
              <w:ind w:left="50"/>
              <w:jc w:val="left"/>
              <w:rPr>
                <w:b/>
                <w:sz w:val="20"/>
              </w:rPr>
            </w:pPr>
            <w:r>
              <w:rPr>
                <w:b/>
                <w:color w:val="231F20"/>
                <w:sz w:val="20"/>
              </w:rPr>
              <w:t>2012</w:t>
            </w:r>
          </w:p>
        </w:tc>
        <w:tc>
          <w:tcPr>
            <w:tcW w:w="58" w:type="dxa"/>
          </w:tcPr>
          <w:p>
            <w:pPr/>
          </w:p>
        </w:tc>
        <w:tc>
          <w:tcPr>
            <w:tcW w:w="1178" w:type="dxa"/>
            <w:tcBorders>
              <w:top w:val="single" w:sz="8" w:space="0" w:color="231F20"/>
            </w:tcBorders>
          </w:tcPr>
          <w:p>
            <w:pPr/>
          </w:p>
        </w:tc>
        <w:tc>
          <w:tcPr>
            <w:tcW w:w="1200" w:type="dxa"/>
            <w:tcBorders>
              <w:top w:val="single" w:sz="8" w:space="0" w:color="231F20"/>
            </w:tcBorders>
          </w:tcPr>
          <w:p>
            <w:pPr/>
          </w:p>
        </w:tc>
        <w:tc>
          <w:tcPr>
            <w:tcW w:w="1200" w:type="dxa"/>
            <w:tcBorders>
              <w:top w:val="single" w:sz="8" w:space="0" w:color="231F20"/>
            </w:tcBorders>
          </w:tcPr>
          <w:p>
            <w:pPr/>
          </w:p>
        </w:tc>
        <w:tc>
          <w:tcPr>
            <w:tcW w:w="1170" w:type="dxa"/>
            <w:tcBorders>
              <w:top w:val="single" w:sz="8" w:space="0" w:color="231F20"/>
            </w:tcBorders>
          </w:tcPr>
          <w:p>
            <w:pPr/>
          </w:p>
        </w:tc>
      </w:tr>
      <w:tr>
        <w:trPr>
          <w:trHeight w:val="217" w:hRule="exact"/>
        </w:trPr>
        <w:tc>
          <w:tcPr>
            <w:tcW w:w="4415" w:type="dxa"/>
          </w:tcPr>
          <w:p>
            <w:pPr>
              <w:pStyle w:val="TableParagraph"/>
              <w:spacing w:line="205" w:lineRule="exact"/>
              <w:rPr>
                <w:sz w:val="18"/>
              </w:rPr>
            </w:pPr>
            <w:r>
              <w:rPr>
                <w:color w:val="231F20"/>
                <w:sz w:val="18"/>
              </w:rPr>
              <w:t>Operating revenues  . . . . . . . . . . . . . . . . . . . . . . . . . . . . </w:t>
            </w:r>
          </w:p>
        </w:tc>
        <w:tc>
          <w:tcPr>
            <w:tcW w:w="58" w:type="dxa"/>
          </w:tcPr>
          <w:p>
            <w:pPr/>
          </w:p>
        </w:tc>
        <w:tc>
          <w:tcPr>
            <w:tcW w:w="1178"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3,991</w:t>
            </w:r>
          </w:p>
        </w:tc>
        <w:tc>
          <w:tcPr>
            <w:tcW w:w="1200"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4,616</w:t>
            </w:r>
          </w:p>
        </w:tc>
        <w:tc>
          <w:tcPr>
            <w:tcW w:w="1200"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4,309</w:t>
            </w:r>
          </w:p>
        </w:tc>
        <w:tc>
          <w:tcPr>
            <w:tcW w:w="1170" w:type="dxa"/>
          </w:tcPr>
          <w:p>
            <w:pPr>
              <w:pStyle w:val="TableParagraph"/>
              <w:tabs>
                <w:tab w:pos="634" w:val="left" w:leader="none"/>
              </w:tabs>
              <w:spacing w:line="205" w:lineRule="exact"/>
              <w:ind w:right="48"/>
              <w:rPr>
                <w:sz w:val="18"/>
              </w:rPr>
            </w:pPr>
            <w:r>
              <w:rPr>
                <w:color w:val="231F20"/>
                <w:sz w:val="18"/>
              </w:rPr>
              <w:t>$</w:t>
              <w:tab/>
            </w:r>
            <w:r>
              <w:rPr>
                <w:color w:val="231F20"/>
                <w:spacing w:val="-1"/>
                <w:sz w:val="18"/>
              </w:rPr>
              <w:t>4,173</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58" w:type="dxa"/>
          </w:tcPr>
          <w:p>
            <w:pPr/>
          </w:p>
        </w:tc>
        <w:tc>
          <w:tcPr>
            <w:tcW w:w="1178" w:type="dxa"/>
          </w:tcPr>
          <w:p>
            <w:pPr>
              <w:pStyle w:val="TableParagraph"/>
              <w:spacing w:before="1"/>
              <w:ind w:right="78"/>
              <w:rPr>
                <w:sz w:val="18"/>
              </w:rPr>
            </w:pPr>
            <w:r>
              <w:rPr>
                <w:color w:val="231F20"/>
                <w:sz w:val="18"/>
              </w:rPr>
              <w:t>22</w:t>
            </w:r>
          </w:p>
        </w:tc>
        <w:tc>
          <w:tcPr>
            <w:tcW w:w="1200" w:type="dxa"/>
          </w:tcPr>
          <w:p>
            <w:pPr>
              <w:pStyle w:val="TableParagraph"/>
              <w:spacing w:before="1"/>
              <w:ind w:right="78"/>
              <w:rPr>
                <w:sz w:val="18"/>
              </w:rPr>
            </w:pPr>
            <w:r>
              <w:rPr>
                <w:color w:val="231F20"/>
                <w:sz w:val="18"/>
              </w:rPr>
              <w:t>460</w:t>
            </w:r>
          </w:p>
        </w:tc>
        <w:tc>
          <w:tcPr>
            <w:tcW w:w="1200" w:type="dxa"/>
          </w:tcPr>
          <w:p>
            <w:pPr>
              <w:pStyle w:val="TableParagraph"/>
              <w:spacing w:before="1"/>
              <w:ind w:right="78"/>
              <w:rPr>
                <w:sz w:val="18"/>
              </w:rPr>
            </w:pPr>
            <w:r>
              <w:rPr>
                <w:color w:val="231F20"/>
                <w:sz w:val="18"/>
              </w:rPr>
              <w:t>51</w:t>
            </w:r>
          </w:p>
        </w:tc>
        <w:tc>
          <w:tcPr>
            <w:tcW w:w="1170" w:type="dxa"/>
          </w:tcPr>
          <w:p>
            <w:pPr>
              <w:pStyle w:val="TableParagraph"/>
              <w:spacing w:before="1"/>
              <w:ind w:right="48"/>
              <w:rPr>
                <w:sz w:val="18"/>
              </w:rPr>
            </w:pPr>
            <w:r>
              <w:rPr>
                <w:color w:val="231F20"/>
                <w:sz w:val="18"/>
              </w:rPr>
              <w:t>91</w:t>
            </w:r>
          </w:p>
        </w:tc>
      </w:tr>
      <w:tr>
        <w:trPr>
          <w:trHeight w:val="220" w:hRule="exact"/>
        </w:trPr>
        <w:tc>
          <w:tcPr>
            <w:tcW w:w="4415" w:type="dxa"/>
          </w:tcPr>
          <w:p>
            <w:pPr>
              <w:pStyle w:val="TableParagraph"/>
              <w:spacing w:before="1"/>
              <w:rPr>
                <w:sz w:val="18"/>
              </w:rPr>
            </w:pPr>
            <w:r>
              <w:rPr>
                <w:color w:val="231F20"/>
                <w:sz w:val="18"/>
              </w:rPr>
              <w:t>Income before income taxes  . . . . . . . . . . . . . . . . . . . . . </w:t>
            </w:r>
          </w:p>
        </w:tc>
        <w:tc>
          <w:tcPr>
            <w:tcW w:w="58" w:type="dxa"/>
          </w:tcPr>
          <w:p>
            <w:pPr/>
          </w:p>
        </w:tc>
        <w:tc>
          <w:tcPr>
            <w:tcW w:w="1178" w:type="dxa"/>
          </w:tcPr>
          <w:p>
            <w:pPr>
              <w:pStyle w:val="TableParagraph"/>
              <w:spacing w:before="1"/>
              <w:ind w:right="78"/>
              <w:rPr>
                <w:sz w:val="18"/>
              </w:rPr>
            </w:pPr>
            <w:r>
              <w:rPr>
                <w:color w:val="231F20"/>
                <w:sz w:val="18"/>
              </w:rPr>
              <w:t>159</w:t>
            </w:r>
          </w:p>
        </w:tc>
        <w:tc>
          <w:tcPr>
            <w:tcW w:w="1200" w:type="dxa"/>
          </w:tcPr>
          <w:p>
            <w:pPr>
              <w:pStyle w:val="TableParagraph"/>
              <w:spacing w:before="1"/>
              <w:ind w:right="78"/>
              <w:rPr>
                <w:sz w:val="18"/>
              </w:rPr>
            </w:pPr>
            <w:r>
              <w:rPr>
                <w:color w:val="231F20"/>
                <w:sz w:val="18"/>
              </w:rPr>
              <w:t>368</w:t>
            </w:r>
          </w:p>
        </w:tc>
        <w:tc>
          <w:tcPr>
            <w:tcW w:w="1200" w:type="dxa"/>
          </w:tcPr>
          <w:p>
            <w:pPr>
              <w:pStyle w:val="TableParagraph"/>
              <w:spacing w:before="1"/>
              <w:ind w:right="78"/>
              <w:rPr>
                <w:sz w:val="18"/>
              </w:rPr>
            </w:pPr>
            <w:r>
              <w:rPr>
                <w:color w:val="231F20"/>
                <w:sz w:val="18"/>
              </w:rPr>
              <w:t>33</w:t>
            </w:r>
          </w:p>
        </w:tc>
        <w:tc>
          <w:tcPr>
            <w:tcW w:w="1170" w:type="dxa"/>
          </w:tcPr>
          <w:p>
            <w:pPr>
              <w:pStyle w:val="TableParagraph"/>
              <w:spacing w:before="1"/>
              <w:ind w:right="48"/>
              <w:rPr>
                <w:sz w:val="18"/>
              </w:rPr>
            </w:pPr>
            <w:r>
              <w:rPr>
                <w:color w:val="231F20"/>
                <w:sz w:val="18"/>
              </w:rPr>
              <w:t>125</w:t>
            </w:r>
          </w:p>
        </w:tc>
      </w:tr>
      <w:tr>
        <w:trPr>
          <w:trHeight w:val="220" w:hRule="exact"/>
        </w:trPr>
        <w:tc>
          <w:tcPr>
            <w:tcW w:w="4415" w:type="dxa"/>
          </w:tcPr>
          <w:p>
            <w:pPr>
              <w:pStyle w:val="TableParagraph"/>
              <w:spacing w:before="1"/>
              <w:rPr>
                <w:sz w:val="18"/>
              </w:rPr>
            </w:pPr>
            <w:r>
              <w:rPr>
                <w:color w:val="231F20"/>
                <w:sz w:val="18"/>
              </w:rPr>
              <w:t>Net income  . . . . . . . . . . . . . . . . . . . . . . . . . . . . . . . . . . </w:t>
            </w:r>
          </w:p>
        </w:tc>
        <w:tc>
          <w:tcPr>
            <w:tcW w:w="58" w:type="dxa"/>
          </w:tcPr>
          <w:p>
            <w:pPr/>
          </w:p>
        </w:tc>
        <w:tc>
          <w:tcPr>
            <w:tcW w:w="1178" w:type="dxa"/>
          </w:tcPr>
          <w:p>
            <w:pPr>
              <w:pStyle w:val="TableParagraph"/>
              <w:spacing w:before="1"/>
              <w:ind w:right="78"/>
              <w:rPr>
                <w:sz w:val="18"/>
              </w:rPr>
            </w:pPr>
            <w:r>
              <w:rPr>
                <w:color w:val="231F20"/>
                <w:sz w:val="18"/>
              </w:rPr>
              <w:t>98</w:t>
            </w:r>
          </w:p>
        </w:tc>
        <w:tc>
          <w:tcPr>
            <w:tcW w:w="1200" w:type="dxa"/>
          </w:tcPr>
          <w:p>
            <w:pPr>
              <w:pStyle w:val="TableParagraph"/>
              <w:spacing w:before="1"/>
              <w:ind w:right="78"/>
              <w:rPr>
                <w:sz w:val="18"/>
              </w:rPr>
            </w:pPr>
            <w:r>
              <w:rPr>
                <w:color w:val="231F20"/>
                <w:sz w:val="18"/>
              </w:rPr>
              <w:t>228</w:t>
            </w:r>
          </w:p>
        </w:tc>
        <w:tc>
          <w:tcPr>
            <w:tcW w:w="1200" w:type="dxa"/>
          </w:tcPr>
          <w:p>
            <w:pPr>
              <w:pStyle w:val="TableParagraph"/>
              <w:spacing w:before="1"/>
              <w:ind w:right="78"/>
              <w:rPr>
                <w:sz w:val="18"/>
              </w:rPr>
            </w:pPr>
            <w:r>
              <w:rPr>
                <w:color w:val="231F20"/>
                <w:sz w:val="18"/>
              </w:rPr>
              <w:t>16</w:t>
            </w:r>
          </w:p>
        </w:tc>
        <w:tc>
          <w:tcPr>
            <w:tcW w:w="1170" w:type="dxa"/>
          </w:tcPr>
          <w:p>
            <w:pPr>
              <w:pStyle w:val="TableParagraph"/>
              <w:spacing w:before="1"/>
              <w:ind w:right="48"/>
              <w:rPr>
                <w:sz w:val="18"/>
              </w:rPr>
            </w:pPr>
            <w:r>
              <w:rPr>
                <w:color w:val="231F20"/>
                <w:sz w:val="18"/>
              </w:rPr>
              <w:t>78</w:t>
            </w:r>
          </w:p>
        </w:tc>
      </w:tr>
      <w:tr>
        <w:trPr>
          <w:trHeight w:val="220" w:hRule="exact"/>
        </w:trPr>
        <w:tc>
          <w:tcPr>
            <w:tcW w:w="4415" w:type="dxa"/>
          </w:tcPr>
          <w:p>
            <w:pPr>
              <w:pStyle w:val="TableParagraph"/>
              <w:spacing w:before="1"/>
              <w:rPr>
                <w:sz w:val="18"/>
              </w:rPr>
            </w:pPr>
            <w:r>
              <w:rPr>
                <w:color w:val="231F20"/>
                <w:sz w:val="18"/>
              </w:rPr>
              <w:t>Net income per share, basic   . . . . . . . . . . . . . . . . . . . . . </w:t>
            </w:r>
          </w:p>
        </w:tc>
        <w:tc>
          <w:tcPr>
            <w:tcW w:w="58" w:type="dxa"/>
          </w:tcPr>
          <w:p>
            <w:pPr/>
          </w:p>
        </w:tc>
        <w:tc>
          <w:tcPr>
            <w:tcW w:w="1178" w:type="dxa"/>
          </w:tcPr>
          <w:p>
            <w:pPr>
              <w:pStyle w:val="TableParagraph"/>
              <w:spacing w:before="1"/>
              <w:ind w:right="78"/>
              <w:rPr>
                <w:sz w:val="18"/>
              </w:rPr>
            </w:pPr>
            <w:r>
              <w:rPr>
                <w:color w:val="231F20"/>
                <w:sz w:val="18"/>
              </w:rPr>
              <w:t>.13</w:t>
            </w:r>
          </w:p>
        </w:tc>
        <w:tc>
          <w:tcPr>
            <w:tcW w:w="1200" w:type="dxa"/>
          </w:tcPr>
          <w:p>
            <w:pPr>
              <w:pStyle w:val="TableParagraph"/>
              <w:spacing w:before="1"/>
              <w:ind w:right="78"/>
              <w:rPr>
                <w:sz w:val="18"/>
              </w:rPr>
            </w:pPr>
            <w:r>
              <w:rPr>
                <w:color w:val="231F20"/>
                <w:sz w:val="18"/>
              </w:rPr>
              <w:t>.30</w:t>
            </w:r>
          </w:p>
        </w:tc>
        <w:tc>
          <w:tcPr>
            <w:tcW w:w="1200" w:type="dxa"/>
          </w:tcPr>
          <w:p>
            <w:pPr>
              <w:pStyle w:val="TableParagraph"/>
              <w:spacing w:before="1"/>
              <w:ind w:right="78"/>
              <w:rPr>
                <w:sz w:val="18"/>
              </w:rPr>
            </w:pPr>
            <w:r>
              <w:rPr>
                <w:color w:val="231F20"/>
                <w:sz w:val="18"/>
              </w:rPr>
              <w:t>.02</w:t>
            </w:r>
          </w:p>
        </w:tc>
        <w:tc>
          <w:tcPr>
            <w:tcW w:w="1170" w:type="dxa"/>
          </w:tcPr>
          <w:p>
            <w:pPr>
              <w:pStyle w:val="TableParagraph"/>
              <w:spacing w:before="1"/>
              <w:ind w:right="48"/>
              <w:rPr>
                <w:sz w:val="18"/>
              </w:rPr>
            </w:pPr>
            <w:r>
              <w:rPr>
                <w:color w:val="231F20"/>
                <w:sz w:val="18"/>
              </w:rPr>
              <w:t>.11</w:t>
            </w:r>
          </w:p>
        </w:tc>
      </w:tr>
      <w:tr>
        <w:trPr>
          <w:trHeight w:val="208" w:hRule="exact"/>
        </w:trPr>
        <w:tc>
          <w:tcPr>
            <w:tcW w:w="4415" w:type="dxa"/>
          </w:tcPr>
          <w:p>
            <w:pPr>
              <w:pStyle w:val="TableParagraph"/>
              <w:spacing w:before="1"/>
              <w:rPr>
                <w:sz w:val="18"/>
              </w:rPr>
            </w:pPr>
            <w:r>
              <w:rPr>
                <w:color w:val="231F20"/>
                <w:sz w:val="18"/>
              </w:rPr>
              <w:t>Net income per share, diluted  . . . . . . . . . . . . . . . . . . . . </w:t>
            </w:r>
          </w:p>
        </w:tc>
        <w:tc>
          <w:tcPr>
            <w:tcW w:w="58" w:type="dxa"/>
          </w:tcPr>
          <w:p>
            <w:pPr/>
          </w:p>
        </w:tc>
        <w:tc>
          <w:tcPr>
            <w:tcW w:w="1178" w:type="dxa"/>
          </w:tcPr>
          <w:p>
            <w:pPr>
              <w:pStyle w:val="TableParagraph"/>
              <w:spacing w:before="1"/>
              <w:ind w:right="78"/>
              <w:rPr>
                <w:sz w:val="18"/>
              </w:rPr>
            </w:pPr>
            <w:r>
              <w:rPr>
                <w:color w:val="231F20"/>
                <w:sz w:val="18"/>
              </w:rPr>
              <w:t>.13</w:t>
            </w:r>
          </w:p>
        </w:tc>
        <w:tc>
          <w:tcPr>
            <w:tcW w:w="1200" w:type="dxa"/>
          </w:tcPr>
          <w:p>
            <w:pPr>
              <w:pStyle w:val="TableParagraph"/>
              <w:spacing w:before="1"/>
              <w:ind w:right="78"/>
              <w:rPr>
                <w:sz w:val="18"/>
              </w:rPr>
            </w:pPr>
            <w:r>
              <w:rPr>
                <w:color w:val="231F20"/>
                <w:sz w:val="18"/>
              </w:rPr>
              <w:t>.30</w:t>
            </w:r>
          </w:p>
        </w:tc>
        <w:tc>
          <w:tcPr>
            <w:tcW w:w="1200" w:type="dxa"/>
          </w:tcPr>
          <w:p>
            <w:pPr>
              <w:pStyle w:val="TableParagraph"/>
              <w:spacing w:before="1"/>
              <w:ind w:right="78"/>
              <w:rPr>
                <w:sz w:val="18"/>
              </w:rPr>
            </w:pPr>
            <w:r>
              <w:rPr>
                <w:color w:val="231F20"/>
                <w:sz w:val="18"/>
              </w:rPr>
              <w:t>.02</w:t>
            </w:r>
          </w:p>
        </w:tc>
        <w:tc>
          <w:tcPr>
            <w:tcW w:w="1170" w:type="dxa"/>
          </w:tcPr>
          <w:p>
            <w:pPr>
              <w:pStyle w:val="TableParagraph"/>
              <w:spacing w:before="1"/>
              <w:ind w:right="48"/>
              <w:rPr>
                <w:sz w:val="18"/>
              </w:rPr>
            </w:pPr>
            <w:r>
              <w:rPr>
                <w:color w:val="231F20"/>
                <w:sz w:val="18"/>
              </w:rPr>
              <w:t>.11</w:t>
            </w:r>
          </w:p>
        </w:tc>
      </w:tr>
    </w:tbl>
    <w:p>
      <w:pPr>
        <w:pStyle w:val="BodyText"/>
        <w:rPr>
          <w:b/>
          <w:sz w:val="1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80"/>
        <w:gridCol w:w="1040"/>
        <w:gridCol w:w="160"/>
        <w:gridCol w:w="1040"/>
        <w:gridCol w:w="160"/>
        <w:gridCol w:w="1040"/>
        <w:gridCol w:w="160"/>
        <w:gridCol w:w="1090"/>
      </w:tblGrid>
      <w:tr>
        <w:trPr>
          <w:trHeight w:val="212" w:hRule="exact"/>
        </w:trPr>
        <w:tc>
          <w:tcPr>
            <w:tcW w:w="5520" w:type="dxa"/>
            <w:gridSpan w:val="2"/>
          </w:tcPr>
          <w:p>
            <w:pPr>
              <w:pStyle w:val="TableParagraph"/>
              <w:spacing w:line="177" w:lineRule="exact"/>
              <w:ind w:right="188"/>
              <w:rPr>
                <w:b/>
                <w:sz w:val="16"/>
              </w:rPr>
            </w:pPr>
            <w:r>
              <w:rPr>
                <w:b/>
                <w:color w:val="231F20"/>
                <w:sz w:val="16"/>
              </w:rPr>
              <w:t>March 31</w:t>
            </w:r>
          </w:p>
        </w:tc>
        <w:tc>
          <w:tcPr>
            <w:tcW w:w="160" w:type="dxa"/>
          </w:tcPr>
          <w:p>
            <w:pPr/>
          </w:p>
        </w:tc>
        <w:tc>
          <w:tcPr>
            <w:tcW w:w="1040" w:type="dxa"/>
            <w:tcBorders>
              <w:bottom w:val="single" w:sz="8" w:space="0" w:color="231F20"/>
            </w:tcBorders>
          </w:tcPr>
          <w:p>
            <w:pPr>
              <w:pStyle w:val="TableParagraph"/>
              <w:spacing w:line="177" w:lineRule="exact"/>
              <w:ind w:left="255"/>
              <w:jc w:val="left"/>
              <w:rPr>
                <w:b/>
                <w:sz w:val="16"/>
              </w:rPr>
            </w:pPr>
            <w:r>
              <w:rPr>
                <w:b/>
                <w:color w:val="231F20"/>
                <w:sz w:val="16"/>
              </w:rPr>
              <w:t>June 30</w:t>
            </w:r>
          </w:p>
        </w:tc>
        <w:tc>
          <w:tcPr>
            <w:tcW w:w="160" w:type="dxa"/>
          </w:tcPr>
          <w:p>
            <w:pPr/>
          </w:p>
        </w:tc>
        <w:tc>
          <w:tcPr>
            <w:tcW w:w="1040" w:type="dxa"/>
            <w:tcBorders>
              <w:bottom w:val="single" w:sz="8" w:space="0" w:color="231F20"/>
            </w:tcBorders>
          </w:tcPr>
          <w:p>
            <w:pPr>
              <w:pStyle w:val="TableParagraph"/>
              <w:spacing w:line="177" w:lineRule="exact"/>
              <w:ind w:left="248"/>
              <w:jc w:val="left"/>
              <w:rPr>
                <w:b/>
                <w:sz w:val="16"/>
              </w:rPr>
            </w:pPr>
            <w:r>
              <w:rPr>
                <w:b/>
                <w:color w:val="231F20"/>
                <w:sz w:val="16"/>
              </w:rPr>
              <w:t>Sept. 30</w:t>
            </w:r>
          </w:p>
        </w:tc>
        <w:tc>
          <w:tcPr>
            <w:tcW w:w="160" w:type="dxa"/>
          </w:tcPr>
          <w:p>
            <w:pPr/>
          </w:p>
        </w:tc>
        <w:tc>
          <w:tcPr>
            <w:tcW w:w="1090" w:type="dxa"/>
            <w:tcBorders>
              <w:bottom w:val="single" w:sz="8" w:space="0" w:color="231F20"/>
            </w:tcBorders>
          </w:tcPr>
          <w:p>
            <w:pPr>
              <w:pStyle w:val="TableParagraph"/>
              <w:spacing w:line="177" w:lineRule="exact"/>
              <w:ind w:left="271"/>
              <w:jc w:val="left"/>
              <w:rPr>
                <w:b/>
                <w:sz w:val="16"/>
              </w:rPr>
            </w:pPr>
            <w:r>
              <w:rPr>
                <w:b/>
                <w:color w:val="231F20"/>
                <w:sz w:val="16"/>
              </w:rPr>
              <w:t>Dec. 31</w:t>
            </w:r>
          </w:p>
        </w:tc>
      </w:tr>
      <w:tr>
        <w:trPr>
          <w:trHeight w:val="295" w:hRule="exact"/>
        </w:trPr>
        <w:tc>
          <w:tcPr>
            <w:tcW w:w="5520" w:type="dxa"/>
            <w:gridSpan w:val="2"/>
          </w:tcPr>
          <w:p>
            <w:pPr>
              <w:pStyle w:val="TableParagraph"/>
              <w:spacing w:before="63"/>
              <w:jc w:val="left"/>
              <w:rPr>
                <w:b/>
                <w:sz w:val="20"/>
              </w:rPr>
            </w:pPr>
            <w:r>
              <w:rPr>
                <w:b/>
                <w:color w:val="231F20"/>
                <w:sz w:val="20"/>
              </w:rPr>
              <w:t>2011*</w:t>
            </w:r>
          </w:p>
        </w:tc>
        <w:tc>
          <w:tcPr>
            <w:tcW w:w="160" w:type="dxa"/>
          </w:tcPr>
          <w:p>
            <w:pPr/>
          </w:p>
        </w:tc>
        <w:tc>
          <w:tcPr>
            <w:tcW w:w="1040" w:type="dxa"/>
          </w:tcPr>
          <w:p>
            <w:pPr/>
          </w:p>
        </w:tc>
        <w:tc>
          <w:tcPr>
            <w:tcW w:w="160" w:type="dxa"/>
          </w:tcPr>
          <w:p>
            <w:pPr/>
          </w:p>
        </w:tc>
        <w:tc>
          <w:tcPr>
            <w:tcW w:w="1040" w:type="dxa"/>
          </w:tcPr>
          <w:p>
            <w:pPr/>
          </w:p>
        </w:tc>
        <w:tc>
          <w:tcPr>
            <w:tcW w:w="160" w:type="dxa"/>
          </w:tcPr>
          <w:p>
            <w:pPr/>
          </w:p>
        </w:tc>
        <w:tc>
          <w:tcPr>
            <w:tcW w:w="1090" w:type="dxa"/>
          </w:tcPr>
          <w:p>
            <w:pPr/>
          </w:p>
        </w:tc>
      </w:tr>
      <w:tr>
        <w:trPr>
          <w:trHeight w:val="225" w:hRule="exact"/>
        </w:trPr>
        <w:tc>
          <w:tcPr>
            <w:tcW w:w="4480" w:type="dxa"/>
          </w:tcPr>
          <w:p>
            <w:pPr>
              <w:pStyle w:val="TableParagraph"/>
              <w:spacing w:line="197" w:lineRule="exact"/>
              <w:ind w:right="114"/>
              <w:rPr>
                <w:sz w:val="18"/>
              </w:rPr>
            </w:pPr>
            <w:r>
              <w:rPr>
                <w:color w:val="231F20"/>
                <w:sz w:val="18"/>
              </w:rPr>
              <w:t>Operating revenues  . . . . . . . . . . . . . . . . . . . . . . . . . . . . </w:t>
            </w:r>
          </w:p>
        </w:tc>
        <w:tc>
          <w:tcPr>
            <w:tcW w:w="1040" w:type="dxa"/>
          </w:tcPr>
          <w:p>
            <w:pPr>
              <w:pStyle w:val="TableParagraph"/>
              <w:tabs>
                <w:tab w:pos="634" w:val="left" w:leader="none"/>
              </w:tabs>
              <w:spacing w:line="197" w:lineRule="exact"/>
              <w:ind w:right="-1"/>
              <w:rPr>
                <w:sz w:val="18"/>
              </w:rPr>
            </w:pPr>
            <w:r>
              <w:rPr>
                <w:color w:val="231F20"/>
                <w:sz w:val="18"/>
              </w:rPr>
              <w:t>$</w:t>
              <w:tab/>
            </w:r>
            <w:r>
              <w:rPr>
                <w:color w:val="231F20"/>
                <w:spacing w:val="-1"/>
                <w:sz w:val="18"/>
              </w:rPr>
              <w:t>3,103</w:t>
            </w:r>
          </w:p>
        </w:tc>
        <w:tc>
          <w:tcPr>
            <w:tcW w:w="1200" w:type="dxa"/>
            <w:gridSpan w:val="2"/>
          </w:tcPr>
          <w:p>
            <w:pPr>
              <w:pStyle w:val="TableParagraph"/>
              <w:tabs>
                <w:tab w:pos="794" w:val="left" w:leader="none"/>
              </w:tabs>
              <w:spacing w:line="197" w:lineRule="exact"/>
              <w:ind w:left="160" w:right="-1"/>
              <w:jc w:val="left"/>
              <w:rPr>
                <w:sz w:val="18"/>
              </w:rPr>
            </w:pPr>
            <w:r>
              <w:rPr>
                <w:color w:val="231F20"/>
                <w:sz w:val="18"/>
              </w:rPr>
              <w:t>$</w:t>
              <w:tab/>
              <w:t>4,136</w:t>
            </w:r>
          </w:p>
        </w:tc>
        <w:tc>
          <w:tcPr>
            <w:tcW w:w="1200" w:type="dxa"/>
            <w:gridSpan w:val="2"/>
          </w:tcPr>
          <w:p>
            <w:pPr>
              <w:pStyle w:val="TableParagraph"/>
              <w:tabs>
                <w:tab w:pos="794" w:val="left" w:leader="none"/>
              </w:tabs>
              <w:spacing w:line="197" w:lineRule="exact"/>
              <w:ind w:left="160" w:right="-1"/>
              <w:jc w:val="left"/>
              <w:rPr>
                <w:sz w:val="18"/>
              </w:rPr>
            </w:pPr>
            <w:r>
              <w:rPr>
                <w:color w:val="231F20"/>
                <w:sz w:val="18"/>
              </w:rPr>
              <w:t>$</w:t>
              <w:tab/>
              <w:t>4,311</w:t>
            </w:r>
          </w:p>
        </w:tc>
        <w:tc>
          <w:tcPr>
            <w:tcW w:w="1250" w:type="dxa"/>
            <w:gridSpan w:val="2"/>
          </w:tcPr>
          <w:p>
            <w:pPr>
              <w:pStyle w:val="TableParagraph"/>
              <w:tabs>
                <w:tab w:pos="794" w:val="left" w:leader="none"/>
              </w:tabs>
              <w:spacing w:line="197" w:lineRule="exact"/>
              <w:ind w:left="160"/>
              <w:jc w:val="left"/>
              <w:rPr>
                <w:sz w:val="18"/>
              </w:rPr>
            </w:pPr>
            <w:r>
              <w:rPr>
                <w:color w:val="231F20"/>
                <w:sz w:val="18"/>
              </w:rPr>
              <w:t>$</w:t>
              <w:tab/>
              <w:t>4,108</w:t>
            </w:r>
          </w:p>
        </w:tc>
      </w:tr>
      <w:tr>
        <w:trPr>
          <w:trHeight w:val="220" w:hRule="exact"/>
        </w:trPr>
        <w:tc>
          <w:tcPr>
            <w:tcW w:w="4480" w:type="dxa"/>
          </w:tcPr>
          <w:p>
            <w:pPr>
              <w:pStyle w:val="TableParagraph"/>
              <w:spacing w:before="1"/>
              <w:ind w:right="114"/>
              <w:rPr>
                <w:sz w:val="18"/>
              </w:rPr>
            </w:pPr>
            <w:r>
              <w:rPr>
                <w:color w:val="231F20"/>
                <w:sz w:val="18"/>
              </w:rPr>
              <w:t>Operating income  . . . . . . . . . . . . . . . . . . . . . . . . . . . . . </w:t>
            </w:r>
          </w:p>
        </w:tc>
        <w:tc>
          <w:tcPr>
            <w:tcW w:w="1040" w:type="dxa"/>
          </w:tcPr>
          <w:p>
            <w:pPr>
              <w:pStyle w:val="TableParagraph"/>
              <w:spacing w:before="1"/>
              <w:ind w:right="-1"/>
              <w:rPr>
                <w:sz w:val="18"/>
              </w:rPr>
            </w:pPr>
            <w:r>
              <w:rPr>
                <w:color w:val="231F20"/>
                <w:sz w:val="18"/>
              </w:rPr>
              <w:t>114</w:t>
            </w:r>
          </w:p>
        </w:tc>
        <w:tc>
          <w:tcPr>
            <w:tcW w:w="1200" w:type="dxa"/>
            <w:gridSpan w:val="2"/>
          </w:tcPr>
          <w:p>
            <w:pPr>
              <w:pStyle w:val="TableParagraph"/>
              <w:spacing w:before="1"/>
              <w:ind w:right="-1"/>
              <w:rPr>
                <w:sz w:val="18"/>
              </w:rPr>
            </w:pPr>
            <w:r>
              <w:rPr>
                <w:color w:val="231F20"/>
                <w:sz w:val="18"/>
              </w:rPr>
              <w:t>207</w:t>
            </w:r>
          </w:p>
        </w:tc>
        <w:tc>
          <w:tcPr>
            <w:tcW w:w="1200" w:type="dxa"/>
            <w:gridSpan w:val="2"/>
          </w:tcPr>
          <w:p>
            <w:pPr>
              <w:pStyle w:val="TableParagraph"/>
              <w:spacing w:before="1"/>
              <w:ind w:right="-1"/>
              <w:rPr>
                <w:sz w:val="18"/>
              </w:rPr>
            </w:pPr>
            <w:r>
              <w:rPr>
                <w:color w:val="231F20"/>
                <w:sz w:val="18"/>
              </w:rPr>
              <w:t>225</w:t>
            </w:r>
          </w:p>
        </w:tc>
        <w:tc>
          <w:tcPr>
            <w:tcW w:w="1250" w:type="dxa"/>
            <w:gridSpan w:val="2"/>
          </w:tcPr>
          <w:p>
            <w:pPr>
              <w:pStyle w:val="TableParagraph"/>
              <w:spacing w:before="1"/>
              <w:ind w:right="48"/>
              <w:rPr>
                <w:sz w:val="18"/>
              </w:rPr>
            </w:pPr>
            <w:r>
              <w:rPr>
                <w:color w:val="231F20"/>
                <w:sz w:val="18"/>
              </w:rPr>
              <w:t>147</w:t>
            </w:r>
          </w:p>
        </w:tc>
      </w:tr>
      <w:tr>
        <w:trPr>
          <w:trHeight w:val="220" w:hRule="exact"/>
        </w:trPr>
        <w:tc>
          <w:tcPr>
            <w:tcW w:w="4480" w:type="dxa"/>
          </w:tcPr>
          <w:p>
            <w:pPr>
              <w:pStyle w:val="TableParagraph"/>
              <w:spacing w:before="1"/>
              <w:ind w:right="114"/>
              <w:rPr>
                <w:sz w:val="18"/>
              </w:rPr>
            </w:pPr>
            <w:r>
              <w:rPr>
                <w:color w:val="231F20"/>
                <w:sz w:val="18"/>
              </w:rPr>
              <w:t>Income (loss) before income taxes  . . . . . . . . . . . . . . . . </w:t>
            </w:r>
          </w:p>
        </w:tc>
        <w:tc>
          <w:tcPr>
            <w:tcW w:w="1040" w:type="dxa"/>
          </w:tcPr>
          <w:p>
            <w:pPr>
              <w:pStyle w:val="TableParagraph"/>
              <w:spacing w:before="1"/>
              <w:ind w:right="-1"/>
              <w:rPr>
                <w:sz w:val="18"/>
              </w:rPr>
            </w:pPr>
            <w:r>
              <w:rPr>
                <w:color w:val="231F20"/>
                <w:sz w:val="18"/>
              </w:rPr>
              <w:t>18</w:t>
            </w:r>
          </w:p>
        </w:tc>
        <w:tc>
          <w:tcPr>
            <w:tcW w:w="1200" w:type="dxa"/>
            <w:gridSpan w:val="2"/>
          </w:tcPr>
          <w:p>
            <w:pPr>
              <w:pStyle w:val="TableParagraph"/>
              <w:spacing w:before="1"/>
              <w:ind w:right="-1"/>
              <w:rPr>
                <w:sz w:val="18"/>
              </w:rPr>
            </w:pPr>
            <w:r>
              <w:rPr>
                <w:color w:val="231F20"/>
                <w:sz w:val="18"/>
              </w:rPr>
              <w:t>275</w:t>
            </w:r>
          </w:p>
        </w:tc>
        <w:tc>
          <w:tcPr>
            <w:tcW w:w="2450" w:type="dxa"/>
            <w:gridSpan w:val="4"/>
          </w:tcPr>
          <w:p>
            <w:pPr>
              <w:pStyle w:val="TableParagraph"/>
              <w:tabs>
                <w:tab w:pos="2129" w:val="left" w:leader="none"/>
              </w:tabs>
              <w:spacing w:before="1"/>
              <w:ind w:left="870"/>
              <w:jc w:val="left"/>
              <w:rPr>
                <w:sz w:val="18"/>
              </w:rPr>
            </w:pPr>
            <w:r>
              <w:rPr>
                <w:color w:val="231F20"/>
                <w:sz w:val="18"/>
              </w:rPr>
              <w:t>(226)</w:t>
              <w:tab/>
              <w:t>255</w:t>
            </w:r>
          </w:p>
        </w:tc>
      </w:tr>
      <w:tr>
        <w:trPr>
          <w:trHeight w:val="220" w:hRule="exact"/>
        </w:trPr>
        <w:tc>
          <w:tcPr>
            <w:tcW w:w="4480" w:type="dxa"/>
          </w:tcPr>
          <w:p>
            <w:pPr>
              <w:pStyle w:val="TableParagraph"/>
              <w:spacing w:before="1"/>
              <w:ind w:right="114"/>
              <w:rPr>
                <w:sz w:val="18"/>
              </w:rPr>
            </w:pPr>
            <w:r>
              <w:rPr>
                <w:color w:val="231F20"/>
                <w:sz w:val="18"/>
              </w:rPr>
              <w:t>Net income (loss)   . . . . . . . . . . . . . . . . . . . . . . . . . . . . . </w:t>
            </w:r>
          </w:p>
        </w:tc>
        <w:tc>
          <w:tcPr>
            <w:tcW w:w="1040" w:type="dxa"/>
          </w:tcPr>
          <w:p>
            <w:pPr>
              <w:pStyle w:val="TableParagraph"/>
              <w:spacing w:before="1"/>
              <w:ind w:right="-1"/>
              <w:rPr>
                <w:sz w:val="18"/>
              </w:rPr>
            </w:pPr>
            <w:r>
              <w:rPr>
                <w:color w:val="231F20"/>
                <w:sz w:val="18"/>
              </w:rPr>
              <w:t>5</w:t>
            </w:r>
          </w:p>
        </w:tc>
        <w:tc>
          <w:tcPr>
            <w:tcW w:w="1200" w:type="dxa"/>
            <w:gridSpan w:val="2"/>
          </w:tcPr>
          <w:p>
            <w:pPr>
              <w:pStyle w:val="TableParagraph"/>
              <w:spacing w:before="1"/>
              <w:ind w:right="-1"/>
              <w:rPr>
                <w:sz w:val="18"/>
              </w:rPr>
            </w:pPr>
            <w:r>
              <w:rPr>
                <w:color w:val="231F20"/>
                <w:sz w:val="18"/>
              </w:rPr>
              <w:t>161</w:t>
            </w:r>
          </w:p>
        </w:tc>
        <w:tc>
          <w:tcPr>
            <w:tcW w:w="2450" w:type="dxa"/>
            <w:gridSpan w:val="4"/>
          </w:tcPr>
          <w:p>
            <w:pPr>
              <w:pStyle w:val="TableParagraph"/>
              <w:tabs>
                <w:tab w:pos="2129" w:val="left" w:leader="none"/>
              </w:tabs>
              <w:spacing w:before="1"/>
              <w:ind w:left="870"/>
              <w:jc w:val="left"/>
              <w:rPr>
                <w:sz w:val="18"/>
              </w:rPr>
            </w:pPr>
            <w:r>
              <w:rPr>
                <w:color w:val="231F20"/>
                <w:sz w:val="18"/>
              </w:rPr>
              <w:t>(140)</w:t>
              <w:tab/>
              <w:t>152</w:t>
            </w:r>
          </w:p>
        </w:tc>
      </w:tr>
      <w:tr>
        <w:trPr>
          <w:trHeight w:val="220" w:hRule="exact"/>
        </w:trPr>
        <w:tc>
          <w:tcPr>
            <w:tcW w:w="4480" w:type="dxa"/>
          </w:tcPr>
          <w:p>
            <w:pPr>
              <w:pStyle w:val="TableParagraph"/>
              <w:spacing w:before="1"/>
              <w:ind w:right="114"/>
              <w:rPr>
                <w:sz w:val="18"/>
              </w:rPr>
            </w:pPr>
            <w:r>
              <w:rPr>
                <w:color w:val="231F20"/>
                <w:sz w:val="18"/>
              </w:rPr>
              <w:t>Net income (loss) per share, basic   . . . . . . . . . . . . . . . . </w:t>
            </w:r>
          </w:p>
        </w:tc>
        <w:tc>
          <w:tcPr>
            <w:tcW w:w="1040" w:type="dxa"/>
          </w:tcPr>
          <w:p>
            <w:pPr>
              <w:pStyle w:val="TableParagraph"/>
              <w:spacing w:before="1"/>
              <w:ind w:right="-1"/>
              <w:rPr>
                <w:sz w:val="18"/>
              </w:rPr>
            </w:pPr>
            <w:r>
              <w:rPr>
                <w:color w:val="231F20"/>
                <w:sz w:val="18"/>
              </w:rPr>
              <w:t>.01</w:t>
            </w:r>
          </w:p>
        </w:tc>
        <w:tc>
          <w:tcPr>
            <w:tcW w:w="1200" w:type="dxa"/>
            <w:gridSpan w:val="2"/>
          </w:tcPr>
          <w:p>
            <w:pPr>
              <w:pStyle w:val="TableParagraph"/>
              <w:spacing w:before="1"/>
              <w:ind w:right="-1"/>
              <w:rPr>
                <w:sz w:val="18"/>
              </w:rPr>
            </w:pPr>
            <w:r>
              <w:rPr>
                <w:color w:val="231F20"/>
                <w:sz w:val="18"/>
              </w:rPr>
              <w:t>.21</w:t>
            </w:r>
          </w:p>
        </w:tc>
        <w:tc>
          <w:tcPr>
            <w:tcW w:w="2450" w:type="dxa"/>
            <w:gridSpan w:val="4"/>
          </w:tcPr>
          <w:p>
            <w:pPr>
              <w:pStyle w:val="TableParagraph"/>
              <w:tabs>
                <w:tab w:pos="2174" w:val="left" w:leader="none"/>
              </w:tabs>
              <w:spacing w:before="1"/>
              <w:ind w:left="915"/>
              <w:jc w:val="left"/>
              <w:rPr>
                <w:sz w:val="18"/>
              </w:rPr>
            </w:pPr>
            <w:r>
              <w:rPr>
                <w:color w:val="231F20"/>
                <w:sz w:val="18"/>
              </w:rPr>
              <w:t>(.18)</w:t>
              <w:tab/>
              <w:t>.20</w:t>
            </w:r>
          </w:p>
        </w:tc>
      </w:tr>
      <w:tr>
        <w:trPr>
          <w:trHeight w:val="325" w:hRule="exact"/>
        </w:trPr>
        <w:tc>
          <w:tcPr>
            <w:tcW w:w="4480" w:type="dxa"/>
            <w:tcBorders>
              <w:bottom w:val="single" w:sz="4" w:space="0" w:color="231F20"/>
            </w:tcBorders>
          </w:tcPr>
          <w:p>
            <w:pPr>
              <w:pStyle w:val="TableParagraph"/>
              <w:spacing w:before="1"/>
              <w:ind w:right="114"/>
              <w:rPr>
                <w:sz w:val="18"/>
              </w:rPr>
            </w:pPr>
            <w:r>
              <w:rPr>
                <w:color w:val="231F20"/>
                <w:sz w:val="18"/>
              </w:rPr>
              <w:t>Net income (loss) per share, diluted  . . . . . . . . . . . . . . . </w:t>
            </w:r>
          </w:p>
        </w:tc>
        <w:tc>
          <w:tcPr>
            <w:tcW w:w="1040" w:type="dxa"/>
          </w:tcPr>
          <w:p>
            <w:pPr>
              <w:pStyle w:val="TableParagraph"/>
              <w:spacing w:before="1"/>
              <w:ind w:right="-1"/>
              <w:rPr>
                <w:sz w:val="18"/>
              </w:rPr>
            </w:pPr>
            <w:r>
              <w:rPr>
                <w:color w:val="231F20"/>
                <w:sz w:val="18"/>
              </w:rPr>
              <w:t>.01</w:t>
            </w:r>
          </w:p>
        </w:tc>
        <w:tc>
          <w:tcPr>
            <w:tcW w:w="1200" w:type="dxa"/>
            <w:gridSpan w:val="2"/>
          </w:tcPr>
          <w:p>
            <w:pPr>
              <w:pStyle w:val="TableParagraph"/>
              <w:spacing w:before="1"/>
              <w:ind w:right="-1"/>
              <w:rPr>
                <w:sz w:val="18"/>
              </w:rPr>
            </w:pPr>
            <w:r>
              <w:rPr>
                <w:color w:val="231F20"/>
                <w:sz w:val="18"/>
              </w:rPr>
              <w:t>.21</w:t>
            </w:r>
          </w:p>
        </w:tc>
        <w:tc>
          <w:tcPr>
            <w:tcW w:w="2450" w:type="dxa"/>
            <w:gridSpan w:val="4"/>
          </w:tcPr>
          <w:p>
            <w:pPr>
              <w:pStyle w:val="TableParagraph"/>
              <w:tabs>
                <w:tab w:pos="2174" w:val="left" w:leader="none"/>
              </w:tabs>
              <w:spacing w:before="1"/>
              <w:ind w:left="915"/>
              <w:jc w:val="left"/>
              <w:rPr>
                <w:sz w:val="18"/>
              </w:rPr>
            </w:pPr>
            <w:r>
              <w:rPr>
                <w:color w:val="231F20"/>
                <w:sz w:val="18"/>
              </w:rPr>
              <w:t>(.18)</w:t>
              <w:tab/>
              <w:t>.20</w:t>
            </w:r>
          </w:p>
        </w:tc>
      </w:tr>
    </w:tbl>
    <w:p>
      <w:pPr>
        <w:tabs>
          <w:tab w:pos="479" w:val="left" w:leader="none"/>
        </w:tabs>
        <w:spacing w:line="261" w:lineRule="auto" w:before="45"/>
        <w:ind w:left="480" w:right="345" w:hanging="320"/>
        <w:jc w:val="left"/>
        <w:rPr>
          <w:sz w:val="16"/>
        </w:rPr>
      </w:pPr>
      <w:r>
        <w:rPr>
          <w:color w:val="231F20"/>
          <w:sz w:val="16"/>
        </w:rPr>
        <w:t>*</w:t>
        <w:tab/>
        <w:t>Includes the results of AirTran for May 2011 through December 2011. See Note 2 to the Consolidated Financial Statements</w:t>
      </w:r>
      <w:r>
        <w:rPr>
          <w:color w:val="231F20"/>
          <w:spacing w:val="-22"/>
          <w:sz w:val="16"/>
        </w:rPr>
        <w:t> </w:t>
      </w:r>
      <w:r>
        <w:rPr>
          <w:color w:val="231F20"/>
          <w:sz w:val="16"/>
        </w:rPr>
        <w:t>for</w:t>
      </w:r>
      <w:r>
        <w:rPr>
          <w:color w:val="231F20"/>
          <w:spacing w:val="-1"/>
          <w:sz w:val="16"/>
        </w:rPr>
        <w:t> </w:t>
      </w:r>
      <w:r>
        <w:rPr>
          <w:color w:val="231F20"/>
          <w:sz w:val="16"/>
        </w:rPr>
        <w:t>further</w:t>
      </w:r>
      <w:r>
        <w:rPr>
          <w:color w:val="231F20"/>
          <w:w w:val="100"/>
          <w:sz w:val="16"/>
        </w:rPr>
        <w:t> </w:t>
      </w:r>
      <w:r>
        <w:rPr>
          <w:color w:val="231F20"/>
          <w:sz w:val="16"/>
        </w:rPr>
        <w:t>information.</w:t>
      </w:r>
    </w:p>
    <w:p>
      <w:pPr>
        <w:spacing w:after="0" w:line="261" w:lineRule="auto"/>
        <w:jc w:val="left"/>
        <w:rPr>
          <w:sz w:val="16"/>
        </w:rPr>
        <w:sectPr>
          <w:pgSz w:w="11880" w:h="15480"/>
          <w:pgMar w:header="0" w:footer="1253" w:top="1240" w:bottom="1440" w:left="1220" w:right="1220"/>
        </w:sectPr>
      </w:pPr>
    </w:p>
    <w:p>
      <w:pPr>
        <w:pStyle w:val="Heading4"/>
        <w:tabs>
          <w:tab w:pos="1179" w:val="left" w:leader="none"/>
        </w:tabs>
        <w:spacing w:before="73"/>
        <w:ind w:left="100"/>
        <w:rPr>
          <w:i/>
        </w:rPr>
      </w:pPr>
      <w:bookmarkStart w:name="_TOC_250007" w:id="32"/>
      <w:bookmarkStart w:name="Item 9. Changes in and Disagreements Wit"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35"/>
        <w:ind w:left="590"/>
      </w:pPr>
      <w:r>
        <w:rPr>
          <w:color w:val="231F20"/>
        </w:rPr>
        <w:t>None.</w:t>
      </w:r>
    </w:p>
    <w:p>
      <w:pPr>
        <w:pStyle w:val="BodyText"/>
        <w:rPr>
          <w:sz w:val="22"/>
        </w:rPr>
      </w:pPr>
    </w:p>
    <w:p>
      <w:pPr>
        <w:tabs>
          <w:tab w:pos="1179" w:val="left" w:leader="none"/>
        </w:tabs>
        <w:spacing w:before="134"/>
        <w:ind w:left="100" w:right="0" w:firstLine="0"/>
        <w:jc w:val="left"/>
        <w:rPr>
          <w:b/>
          <w:i/>
          <w:sz w:val="20"/>
        </w:rPr>
      </w:pPr>
      <w:bookmarkStart w:name="Item 9A. Controls and Procedures" w:id="34"/>
      <w:bookmarkEnd w:id="34"/>
      <w:r>
        <w:rPr/>
      </w: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35"/>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2012. Based on this evaluation, the Company’s Chief Executive Officer and Chief Financial Officer have concluded that the Company’s disclosure controls and procedures were effective as of December 31, 2012, at the reasonable assurance level.</w:t>
      </w:r>
    </w:p>
    <w:p>
      <w:pPr>
        <w:pStyle w:val="BodyText"/>
        <w:spacing w:before="11"/>
        <w:rPr>
          <w:sz w:val="21"/>
        </w:rPr>
      </w:pPr>
    </w:p>
    <w:p>
      <w:pPr>
        <w:pStyle w:val="BodyText"/>
        <w:spacing w:line="249" w:lineRule="auto"/>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1"/>
        <w:rPr>
          <w:sz w:val="21"/>
        </w:rPr>
      </w:pPr>
    </w:p>
    <w:p>
      <w:pPr>
        <w:pStyle w:val="BodyText"/>
        <w:spacing w:line="249" w:lineRule="auto"/>
        <w:ind w:left="100" w:right="252"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1"/>
        <w:rPr>
          <w:sz w:val="21"/>
        </w:rPr>
      </w:pPr>
    </w:p>
    <w:p>
      <w:pPr>
        <w:pStyle w:val="BodyText"/>
        <w:spacing w:line="249" w:lineRule="auto"/>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2012. In making this assessment, management used the criteria set forth by the Committee of Sponsoring Organizations of the Treadway Commission (COSO) in Internal Control — Integrated Framework. Based on this evaluation, management, with the participation of the Company’s Chief Executive Officer and Chief Financial Officer, concluded that, as of December 31, 2012, the Company’s internal control over financial reporting was effective.</w:t>
      </w:r>
    </w:p>
    <w:p>
      <w:pPr>
        <w:pStyle w:val="BodyText"/>
        <w:spacing w:before="11"/>
        <w:rPr>
          <w:sz w:val="21"/>
        </w:rPr>
      </w:pPr>
    </w:p>
    <w:p>
      <w:pPr>
        <w:pStyle w:val="BodyText"/>
        <w:spacing w:line="249" w:lineRule="auto"/>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1"/>
        <w:rPr>
          <w:sz w:val="21"/>
        </w:rPr>
      </w:pPr>
    </w:p>
    <w:p>
      <w:pPr>
        <w:pStyle w:val="BodyText"/>
        <w:spacing w:line="249" w:lineRule="auto"/>
        <w:ind w:left="100" w:right="272" w:firstLine="49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2012, that have materially affected, or are reasonably likely to materially affect, the Company’s internal control over financial reporting.</w:t>
      </w:r>
    </w:p>
    <w:p>
      <w:pPr>
        <w:pStyle w:val="BodyText"/>
        <w:spacing w:before="10"/>
        <w:rPr>
          <w:sz w:val="32"/>
        </w:rPr>
      </w:pPr>
    </w:p>
    <w:p>
      <w:pPr>
        <w:tabs>
          <w:tab w:pos="1179" w:val="left" w:leader="none"/>
        </w:tabs>
        <w:spacing w:before="1"/>
        <w:ind w:left="100" w:right="0" w:firstLine="0"/>
        <w:jc w:val="left"/>
        <w:rPr>
          <w:b/>
          <w:i/>
          <w:sz w:val="20"/>
        </w:rPr>
      </w:pPr>
      <w:bookmarkStart w:name="Item 9B. Other Information" w:id="35"/>
      <w:bookmarkEnd w:id="35"/>
      <w:r>
        <w:rPr/>
      </w: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line="249" w:lineRule="auto" w:before="136"/>
        <w:ind w:left="100" w:right="380" w:firstLine="490"/>
      </w:pPr>
      <w:r>
        <w:rPr>
          <w:color w:val="231F20"/>
        </w:rPr>
        <w:t>On February 5, 2013, the Company and Laura Wright, the Company’s former Senior Vice President Finance and Chief Financial Officer, entered into an Advisory and Non-Compete/Non-Solicitation Agreement (the “Agreement”) dated February 5, 2013, and effective as of January 31, 2013. Ms. Wright voluntarily terminated her employment with the Company effective as of January 31, 2013. Pursuant to the Agreement,</w:t>
      </w:r>
    </w:p>
    <w:p>
      <w:pPr>
        <w:spacing w:after="0" w:line="249" w:lineRule="auto"/>
        <w:sectPr>
          <w:pgSz w:w="11880" w:h="15480"/>
          <w:pgMar w:header="0" w:footer="1253" w:top="1240" w:bottom="1440" w:left="1280" w:right="1280"/>
        </w:sectPr>
      </w:pPr>
    </w:p>
    <w:p>
      <w:pPr>
        <w:pStyle w:val="BodyText"/>
        <w:spacing w:line="249" w:lineRule="auto" w:before="73"/>
        <w:ind w:left="100" w:right="177"/>
      </w:pPr>
      <w:r>
        <w:rPr>
          <w:color w:val="231F20"/>
        </w:rPr>
        <w:t>through July 31, 2013, Ms. Wright will provide consulting services necessary for the transition of her duties while she was an employee of the Company and on special projects, as requested by the Chief Executive Officer of the Company. In consideration for her services, Ms. Wright will be paid $40,000 per month. In addition, provided that Ms. Wright executes and delivers a binding general release of claims in favor of the Company and its affiliates on or prior to July 31, 2013, the Company will pay Ms. Wright a lump sum amount equal to</w:t>
      </w:r>
    </w:p>
    <w:p>
      <w:pPr>
        <w:pStyle w:val="BodyText"/>
        <w:spacing w:line="249" w:lineRule="auto" w:before="1"/>
        <w:ind w:left="100" w:right="111"/>
      </w:pPr>
      <w:r>
        <w:rPr>
          <w:color w:val="231F20"/>
        </w:rPr>
        <w:t>$1,821,600 on the Company’s first regular pay date in August 2013. Ms. Wright is obligated under the Agreement to not solicit any of the Company’s employees, customers, or customer leads and to not compete with the Company during the consulting period and for a three-year period thereafter. Further, during the consulting period and thereafter, Ms. Wright is obligated to not use or disclose any confidential information of the Company.</w:t>
      </w:r>
    </w:p>
    <w:p>
      <w:pPr>
        <w:spacing w:after="0" w:line="249" w:lineRule="auto"/>
        <w:sectPr>
          <w:pgSz w:w="11880" w:h="15480"/>
          <w:pgMar w:header="0" w:footer="1253" w:top="1240" w:bottom="1440" w:left="1280" w:right="1300"/>
        </w:sectPr>
      </w:pPr>
    </w:p>
    <w:p>
      <w:pPr>
        <w:pStyle w:val="Heading3"/>
        <w:spacing w:before="73"/>
        <w:ind w:right="101"/>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4"/>
        <w:tabs>
          <w:tab w:pos="1179" w:val="left" w:leader="none"/>
        </w:tabs>
        <w:ind w:left="100"/>
        <w:rPr>
          <w:i/>
        </w:rPr>
      </w:pPr>
      <w:bookmarkStart w:name="_TOC_250005" w:id="38"/>
      <w:bookmarkStart w:name="Item 10. Directors Executive Officers an" w:id="39"/>
      <w:r>
        <w:rPr>
          <w:b w:val="0"/>
          <w:i w:val="0"/>
        </w:rPr>
      </w:r>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38"/>
      <w:r>
        <w:rPr>
          <w:i/>
          <w:color w:val="231F20"/>
        </w:rPr>
        <w:t>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252" w:firstLine="490"/>
      </w:pPr>
      <w:r>
        <w:rPr>
          <w:color w:val="231F20"/>
        </w:rPr>
        <w:t>The information required by this Item 10 regarding the Company’s directors will be set forth under the heading “Proposal 1 — Election of Directors” in the Proxy Statement for the Company’s 2013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3"/>
      </w:pPr>
      <w:r>
        <w:rPr>
          <w:color w:val="231F20"/>
        </w:rPr>
        <w:t>Section 16(a) Compliance</w:t>
      </w:r>
    </w:p>
    <w:p>
      <w:pPr>
        <w:pStyle w:val="BodyText"/>
        <w:spacing w:line="249" w:lineRule="auto" w:before="12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2013 Annual Meeting of Shareholders and is incorporated herein by reference.</w:t>
      </w:r>
    </w:p>
    <w:p>
      <w:pPr>
        <w:pStyle w:val="BodyText"/>
        <w:spacing w:before="4"/>
        <w:rPr>
          <w:sz w:val="31"/>
        </w:rPr>
      </w:pPr>
    </w:p>
    <w:p>
      <w:pPr>
        <w:pStyle w:val="Heading3"/>
      </w:pPr>
      <w:r>
        <w:rPr>
          <w:color w:val="231F20"/>
        </w:rPr>
        <w:t>Corporate Governance</w:t>
      </w:r>
    </w:p>
    <w:p>
      <w:pPr>
        <w:pStyle w:val="BodyText"/>
        <w:spacing w:line="249" w:lineRule="auto" w:before="130"/>
        <w:ind w:left="100" w:right="278" w:firstLine="490"/>
      </w:pPr>
      <w:r>
        <w:rPr>
          <w:color w:val="231F20"/>
        </w:rPr>
        <w:t>Except as set forth in the following paragraph, the remaining information required by this Item 10 will be set forth under the heading “Corporate Governance” in the Proxy Statement for the Company’s 2013 Annual Meeting of Shareholders and is incorporated herein by reference.</w:t>
      </w:r>
    </w:p>
    <w:p>
      <w:pPr>
        <w:pStyle w:val="BodyText"/>
        <w:spacing w:before="11"/>
      </w:pPr>
    </w:p>
    <w:p>
      <w:pPr>
        <w:pStyle w:val="BodyText"/>
        <w:spacing w:line="249" w:lineRule="auto"/>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8">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8">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4"/>
        <w:rPr>
          <w:sz w:val="31"/>
        </w:rPr>
      </w:pPr>
    </w:p>
    <w:p>
      <w:pPr>
        <w:tabs>
          <w:tab w:pos="1179" w:val="left" w:leader="none"/>
        </w:tabs>
        <w:spacing w:before="0"/>
        <w:ind w:left="100" w:right="0" w:firstLine="0"/>
        <w:jc w:val="left"/>
        <w:rPr>
          <w:b/>
          <w:i/>
          <w:sz w:val="20"/>
        </w:rPr>
      </w:pPr>
      <w:bookmarkStart w:name="Item 11. Executive Compensation" w:id="40"/>
      <w:bookmarkEnd w:id="40"/>
      <w:r>
        <w:rPr/>
      </w: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29"/>
        <w:ind w:left="100" w:right="201" w:firstLine="490"/>
      </w:pPr>
      <w:r>
        <w:rPr>
          <w:color w:val="231F20"/>
        </w:rPr>
        <w:t>The information required by this Item 11 will be set forth under the headings “Compensation of Executive Officers” and “Compensation of Directors” in the Proxy Statement for the Company’s 2013 Annual Meeting of Shareholders and is incorporated herein by reference.</w:t>
      </w:r>
    </w:p>
    <w:p>
      <w:pPr>
        <w:pStyle w:val="BodyText"/>
        <w:spacing w:before="4"/>
        <w:rPr>
          <w:sz w:val="31"/>
        </w:rPr>
      </w:pPr>
    </w:p>
    <w:p>
      <w:pPr>
        <w:pStyle w:val="Heading4"/>
        <w:tabs>
          <w:tab w:pos="1179" w:val="left" w:leader="none"/>
        </w:tabs>
        <w:spacing w:line="249" w:lineRule="auto"/>
        <w:ind w:left="1180" w:right="465" w:hanging="1080"/>
      </w:pPr>
      <w:bookmarkStart w:name="Item 12. Security Ownership of Certain B" w:id="41"/>
      <w:bookmarkEnd w:id="41"/>
      <w:r>
        <w:rPr>
          <w:b w:val="0"/>
          <w:i w:val="0"/>
        </w:rPr>
      </w: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21"/>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2013 Annual Meeting of Shareholders and is incorporated herein by reference.</w:t>
      </w:r>
    </w:p>
    <w:p>
      <w:pPr>
        <w:spacing w:after="0" w:line="249" w:lineRule="auto"/>
        <w:sectPr>
          <w:pgSz w:w="11880" w:h="15480"/>
          <w:pgMar w:header="0" w:footer="1253" w:top="1240" w:bottom="1440" w:left="1280" w:right="1280"/>
        </w:sectPr>
      </w:pPr>
    </w:p>
    <w:p>
      <w:pPr>
        <w:pStyle w:val="Heading3"/>
        <w:spacing w:before="73"/>
        <w:ind w:left="160"/>
      </w:pPr>
      <w:r>
        <w:rPr>
          <w:color w:val="231F20"/>
        </w:rPr>
        <w:t>Securities Authorized for Issuance under Equity Compensation Plans</w:t>
      </w:r>
    </w:p>
    <w:p>
      <w:pPr>
        <w:pStyle w:val="BodyText"/>
        <w:spacing w:line="249" w:lineRule="auto" w:before="105"/>
        <w:ind w:left="160" w:right="376" w:firstLine="490"/>
      </w:pPr>
      <w:r>
        <w:rPr>
          <w:color w:val="231F20"/>
        </w:rPr>
        <w:t>The following table provides information as of December 31, 2012, regarding compensation plans (including individual compensation arrangements) under which equity securities of the Company are authorized for issuance.</w:t>
      </w:r>
    </w:p>
    <w:p>
      <w:pPr>
        <w:pStyle w:val="BodyText"/>
        <w:spacing w:before="10"/>
        <w:rPr>
          <w:sz w:val="8"/>
        </w:rPr>
      </w:pPr>
    </w:p>
    <w:p>
      <w:pPr>
        <w:pStyle w:val="Heading3"/>
        <w:spacing w:before="91"/>
        <w:ind w:left="3021"/>
      </w:pPr>
      <w:r>
        <w:rPr>
          <w:color w:val="231F20"/>
        </w:rPr>
        <w:t>Equity Compensation Plan Information</w:t>
      </w:r>
    </w:p>
    <w:p>
      <w:pPr>
        <w:spacing w:after="0"/>
        <w:sectPr>
          <w:pgSz w:w="11880" w:h="15480"/>
          <w:pgMar w:header="0" w:footer="1253" w:top="1240" w:bottom="1440" w:left="1220" w:right="114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
        <w:rPr>
          <w:b/>
          <w:sz w:val="17"/>
        </w:rPr>
      </w:pPr>
    </w:p>
    <w:p>
      <w:pPr>
        <w:spacing w:before="0"/>
        <w:ind w:left="160" w:right="0" w:firstLine="0"/>
        <w:jc w:val="left"/>
        <w:rPr>
          <w:b/>
          <w:sz w:val="16"/>
        </w:rPr>
      </w:pPr>
      <w:r>
        <w:rPr/>
        <w:pict>
          <v:line style="position:absolute;mso-position-horizontal-relative:page;mso-position-vertical-relative:paragraph;z-index:7984" from="69pt,10.968775pt" to="265.1pt,10.968775pt" stroked="true" strokeweight="1pt" strokecolor="#231f20">
            <v:stroke dashstyle="solid"/>
            <w10:wrap type="none"/>
          </v:line>
        </w:pict>
      </w:r>
      <w:r>
        <w:rPr>
          <w:b/>
          <w:color w:val="231F20"/>
          <w:sz w:val="16"/>
        </w:rPr>
        <w:t>Plan Category</w:t>
      </w:r>
    </w:p>
    <w:p>
      <w:pPr>
        <w:pStyle w:val="BodyText"/>
        <w:spacing w:before="98"/>
        <w:ind w:left="160"/>
      </w:pPr>
      <w:r>
        <w:rPr>
          <w:color w:val="231F20"/>
        </w:rPr>
        <w:t>Equity Compensation Plans Approved by</w:t>
      </w:r>
    </w:p>
    <w:p>
      <w:pPr>
        <w:pStyle w:val="BodyText"/>
        <w:spacing w:before="1"/>
        <w:rPr>
          <w:sz w:val="16"/>
        </w:rPr>
      </w:pPr>
      <w:r>
        <w:rPr/>
        <w:br w:type="column"/>
      </w:r>
      <w:r>
        <w:rPr>
          <w:sz w:val="16"/>
        </w:rPr>
      </w:r>
    </w:p>
    <w:p>
      <w:pPr>
        <w:spacing w:line="180" w:lineRule="exact" w:before="0"/>
        <w:ind w:left="160" w:right="0" w:firstLine="0"/>
        <w:jc w:val="center"/>
        <w:rPr>
          <w:b/>
          <w:sz w:val="16"/>
        </w:rPr>
      </w:pP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180" w:lineRule="exact" w:before="0"/>
        <w:ind w:left="380" w:right="221" w:firstLine="0"/>
        <w:jc w:val="center"/>
        <w:rPr>
          <w:b/>
          <w:sz w:val="16"/>
        </w:rPr>
      </w:pPr>
      <w:r>
        <w:rPr>
          <w:b/>
          <w:color w:val="231F20"/>
          <w:sz w:val="16"/>
        </w:rPr>
        <w:t>Warrants, and Rights</w:t>
      </w:r>
    </w:p>
    <w:p>
      <w:pPr>
        <w:spacing w:line="179" w:lineRule="exact" w:before="0"/>
        <w:ind w:left="378" w:right="221" w:firstLine="0"/>
        <w:jc w:val="center"/>
        <w:rPr>
          <w:b/>
          <w:sz w:val="16"/>
        </w:rPr>
      </w:pPr>
      <w:r>
        <w:rPr/>
        <w:pict>
          <v:line style="position:absolute;mso-position-horizontal-relative:page;mso-position-vertical-relative:paragraph;z-index:8008" from="271.100006pt,10.700025pt" to="343.450006pt,10.700025pt" stroked="true" strokeweight="1pt" strokecolor="#231f20">
            <v:stroke dashstyle="solid"/>
            <w10:wrap type="none"/>
          </v:line>
        </w:pict>
      </w:r>
      <w:r>
        <w:rPr>
          <w:b/>
          <w:color w:val="231F20"/>
          <w:sz w:val="16"/>
        </w:rPr>
        <w:t>(a)</w:t>
      </w:r>
    </w:p>
    <w:p>
      <w:pPr>
        <w:pStyle w:val="BodyText"/>
        <w:rPr>
          <w:b/>
          <w:sz w:val="18"/>
        </w:rPr>
      </w:pPr>
      <w:r>
        <w:rPr/>
        <w:br w:type="column"/>
      </w:r>
      <w:r>
        <w:rPr>
          <w:b/>
          <w:sz w:val="18"/>
        </w:rPr>
      </w:r>
    </w:p>
    <w:p>
      <w:pPr>
        <w:pStyle w:val="BodyText"/>
        <w:rPr>
          <w:b/>
          <w:sz w:val="18"/>
        </w:rPr>
      </w:pPr>
    </w:p>
    <w:p>
      <w:pPr>
        <w:spacing w:line="180" w:lineRule="exact" w:before="131"/>
        <w:ind w:left="16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79" w:lineRule="exact" w:before="0"/>
        <w:ind w:left="779" w:right="620" w:firstLine="0"/>
        <w:jc w:val="center"/>
        <w:rPr>
          <w:b/>
          <w:sz w:val="16"/>
        </w:rPr>
      </w:pPr>
      <w:r>
        <w:rPr/>
        <w:pict>
          <v:line style="position:absolute;mso-position-horizontal-relative:page;mso-position-vertical-relative:paragraph;z-index:8032" from="353.450012pt,10.700025pt" to="429.100012pt,10.700025pt" stroked="true" strokeweight="1pt" strokecolor="#231f20">
            <v:stroke dashstyle="solid"/>
            <w10:wrap type="none"/>
          </v:line>
        </w:pict>
      </w:r>
      <w:r>
        <w:rPr>
          <w:b/>
          <w:color w:val="231F20"/>
          <w:sz w:val="16"/>
        </w:rPr>
        <w:t>(b)</w:t>
      </w:r>
    </w:p>
    <w:p>
      <w:pPr>
        <w:pStyle w:val="BodyText"/>
        <w:spacing w:before="1"/>
        <w:rPr>
          <w:b/>
          <w:sz w:val="16"/>
        </w:rPr>
      </w:pPr>
      <w:r>
        <w:rPr/>
        <w:br w:type="column"/>
      </w:r>
      <w:r>
        <w:rPr>
          <w:b/>
          <w:sz w:val="16"/>
        </w:rPr>
      </w:r>
    </w:p>
    <w:p>
      <w:pPr>
        <w:spacing w:line="180" w:lineRule="exact" w:before="0"/>
        <w:ind w:left="160" w:right="257" w:firstLine="0"/>
        <w:jc w:val="center"/>
        <w:rPr>
          <w:b/>
          <w:sz w:val="16"/>
        </w:rPr>
      </w:pPr>
      <w:r>
        <w:rPr>
          <w:b/>
          <w:color w:val="231F20"/>
          <w:sz w:val="16"/>
        </w:rPr>
        <w:t>Number of Securities Remaining Available for</w:t>
      </w:r>
      <w:r>
        <w:rPr>
          <w:b/>
          <w:color w:val="231F20"/>
          <w:w w:val="100"/>
          <w:sz w:val="16"/>
        </w:rPr>
        <w:t> </w:t>
      </w:r>
      <w:r>
        <w:rPr>
          <w:b/>
          <w:color w:val="231F20"/>
          <w:sz w:val="16"/>
        </w:rPr>
        <w:t>Future Issuance Under Equity Compensation Plans (Excluding Securities Reflected</w:t>
      </w:r>
    </w:p>
    <w:p>
      <w:pPr>
        <w:spacing w:line="180" w:lineRule="exact" w:before="0"/>
        <w:ind w:left="496" w:right="595" w:firstLine="0"/>
        <w:jc w:val="center"/>
        <w:rPr>
          <w:b/>
          <w:sz w:val="16"/>
        </w:rPr>
      </w:pPr>
      <w:r>
        <w:rPr>
          <w:b/>
          <w:color w:val="231F20"/>
          <w:sz w:val="16"/>
        </w:rPr>
        <w:t>in Column (a)) (c)</w:t>
      </w:r>
    </w:p>
    <w:p>
      <w:pPr>
        <w:pStyle w:val="BodyText"/>
        <w:spacing w:before="1"/>
        <w:rPr>
          <w:b/>
          <w:sz w:val="2"/>
        </w:rPr>
      </w:pPr>
    </w:p>
    <w:p>
      <w:pPr>
        <w:pStyle w:val="BodyText"/>
        <w:spacing w:line="20" w:lineRule="exact"/>
        <w:ind w:left="130"/>
        <w:rPr>
          <w:sz w:val="2"/>
        </w:rPr>
      </w:pPr>
      <w:r>
        <w:rPr>
          <w:sz w:val="2"/>
        </w:rPr>
        <w:pict>
          <v:group style="width:86.9pt;height:1pt;mso-position-horizontal-relative:char;mso-position-vertical-relative:line" coordorigin="0,0" coordsize="1738,20">
            <v:line style="position:absolute" from="10,10" to="1728,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140"/>
          <w:cols w:num="4" w:equalWidth="0">
            <w:col w:w="3486" w:space="556"/>
            <w:col w:w="1609" w:space="58"/>
            <w:col w:w="1635" w:space="78"/>
            <w:col w:w="2098"/>
          </w:cols>
        </w:sectPr>
      </w:pPr>
    </w:p>
    <w:p>
      <w:pPr>
        <w:pStyle w:val="BodyText"/>
        <w:tabs>
          <w:tab w:pos="4648" w:val="left" w:leader="none"/>
          <w:tab w:pos="6811" w:val="left" w:leader="none"/>
          <w:tab w:pos="8279" w:val="left" w:leader="none"/>
        </w:tabs>
        <w:spacing w:before="10"/>
        <w:ind w:left="460"/>
      </w:pPr>
      <w:r>
        <w:rPr>
          <w:color w:val="231F20"/>
        </w:rPr>
        <w:t>Security Holders  . . . . . . . . . . . . . . . . . . . .</w:t>
      </w:r>
      <w:r>
        <w:rPr>
          <w:color w:val="231F20"/>
          <w:spacing w:val="21"/>
        </w:rPr>
        <w:t> </w:t>
      </w:r>
      <w:r>
        <w:rPr>
          <w:color w:val="231F20"/>
        </w:rPr>
        <w:t>. .</w:t>
        <w:tab/>
        <w:t>15,848,620(1)  </w:t>
      </w:r>
      <w:r>
        <w:rPr>
          <w:color w:val="231F20"/>
          <w:spacing w:val="16"/>
        </w:rPr>
        <w:t> </w:t>
      </w:r>
      <w:r>
        <w:rPr>
          <w:color w:val="231F20"/>
        </w:rPr>
        <w:t>$</w:t>
        <w:tab/>
        <w:t>13.73(2)</w:t>
        <w:tab/>
        <w:t>13,562,599(3)</w:t>
      </w:r>
    </w:p>
    <w:p>
      <w:pPr>
        <w:pStyle w:val="BodyText"/>
        <w:spacing w:before="10" w:after="21"/>
        <w:ind w:left="160"/>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1"/>
        <w:gridCol w:w="1359"/>
        <w:gridCol w:w="2139"/>
        <w:gridCol w:w="1342"/>
      </w:tblGrid>
      <w:tr>
        <w:trPr>
          <w:trHeight w:val="229" w:hRule="exact"/>
        </w:trPr>
        <w:tc>
          <w:tcPr>
            <w:tcW w:w="4281" w:type="dxa"/>
          </w:tcPr>
          <w:p>
            <w:pPr>
              <w:pStyle w:val="TableParagraph"/>
              <w:spacing w:line="219" w:lineRule="exact"/>
              <w:ind w:right="256"/>
              <w:rPr>
                <w:sz w:val="20"/>
              </w:rPr>
            </w:pPr>
            <w:r>
              <w:rPr>
                <w:color w:val="231F20"/>
                <w:sz w:val="20"/>
              </w:rPr>
              <w:t>Security Holders  . . . . . . . . . . . . . . . . . . . . . . </w:t>
            </w:r>
          </w:p>
        </w:tc>
        <w:tc>
          <w:tcPr>
            <w:tcW w:w="1359" w:type="dxa"/>
          </w:tcPr>
          <w:p>
            <w:pPr>
              <w:pStyle w:val="TableParagraph"/>
              <w:spacing w:line="219" w:lineRule="exact"/>
              <w:ind w:right="198"/>
              <w:rPr>
                <w:sz w:val="20"/>
              </w:rPr>
            </w:pPr>
            <w:r>
              <w:rPr>
                <w:color w:val="231F20"/>
                <w:sz w:val="20"/>
              </w:rPr>
              <w:t>6,086,748</w:t>
            </w:r>
          </w:p>
        </w:tc>
        <w:tc>
          <w:tcPr>
            <w:tcW w:w="2139" w:type="dxa"/>
          </w:tcPr>
          <w:p>
            <w:pPr>
              <w:pStyle w:val="TableParagraph"/>
              <w:tabs>
                <w:tab w:pos="1062" w:val="left" w:leader="none"/>
              </w:tabs>
              <w:spacing w:line="219" w:lineRule="exact"/>
              <w:ind w:left="200"/>
              <w:jc w:val="left"/>
              <w:rPr>
                <w:sz w:val="20"/>
              </w:rPr>
            </w:pPr>
            <w:r>
              <w:rPr>
                <w:color w:val="231F20"/>
                <w:sz w:val="20"/>
              </w:rPr>
              <w:t>$</w:t>
              <w:tab/>
              <w:t>13.41</w:t>
            </w:r>
          </w:p>
        </w:tc>
        <w:tc>
          <w:tcPr>
            <w:tcW w:w="1342" w:type="dxa"/>
          </w:tcPr>
          <w:p>
            <w:pPr>
              <w:pStyle w:val="TableParagraph"/>
              <w:spacing w:line="219" w:lineRule="exact"/>
              <w:ind w:right="48"/>
              <w:rPr>
                <w:sz w:val="20"/>
              </w:rPr>
            </w:pPr>
            <w:r>
              <w:rPr>
                <w:color w:val="231F20"/>
                <w:sz w:val="20"/>
              </w:rPr>
              <w:t>12,207,709</w:t>
            </w:r>
          </w:p>
        </w:tc>
      </w:tr>
      <w:tr>
        <w:trPr>
          <w:trHeight w:val="229" w:hRule="exact"/>
        </w:trPr>
        <w:tc>
          <w:tcPr>
            <w:tcW w:w="4281" w:type="dxa"/>
          </w:tcPr>
          <w:p>
            <w:pPr>
              <w:pStyle w:val="TableParagraph"/>
              <w:spacing w:line="229" w:lineRule="exact"/>
              <w:ind w:right="256"/>
              <w:rPr>
                <w:sz w:val="20"/>
              </w:rPr>
            </w:pPr>
            <w:r>
              <w:rPr>
                <w:color w:val="231F20"/>
                <w:sz w:val="20"/>
              </w:rPr>
              <w:t>Total   . . . . . . . . . . . . . . . . . . . . . . . . . . . . . . . . . . </w:t>
            </w:r>
          </w:p>
        </w:tc>
        <w:tc>
          <w:tcPr>
            <w:tcW w:w="1359" w:type="dxa"/>
          </w:tcPr>
          <w:p>
            <w:pPr>
              <w:pStyle w:val="TableParagraph"/>
              <w:spacing w:line="229" w:lineRule="exact"/>
              <w:ind w:right="198"/>
              <w:rPr>
                <w:sz w:val="20"/>
              </w:rPr>
            </w:pPr>
            <w:r>
              <w:rPr>
                <w:color w:val="231F20"/>
                <w:sz w:val="20"/>
              </w:rPr>
              <w:t>21,935,368</w:t>
            </w:r>
          </w:p>
        </w:tc>
        <w:tc>
          <w:tcPr>
            <w:tcW w:w="2139" w:type="dxa"/>
          </w:tcPr>
          <w:p>
            <w:pPr>
              <w:pStyle w:val="TableParagraph"/>
              <w:tabs>
                <w:tab w:pos="1062" w:val="left" w:leader="none"/>
              </w:tabs>
              <w:spacing w:line="229" w:lineRule="exact"/>
              <w:ind w:left="200"/>
              <w:jc w:val="left"/>
              <w:rPr>
                <w:sz w:val="20"/>
              </w:rPr>
            </w:pPr>
            <w:r>
              <w:rPr>
                <w:color w:val="231F20"/>
                <w:sz w:val="20"/>
              </w:rPr>
              <w:t>$</w:t>
              <w:tab/>
              <w:t>13.64(2)</w:t>
            </w:r>
          </w:p>
        </w:tc>
        <w:tc>
          <w:tcPr>
            <w:tcW w:w="1342" w:type="dxa"/>
          </w:tcPr>
          <w:p>
            <w:pPr>
              <w:pStyle w:val="TableParagraph"/>
              <w:spacing w:line="229" w:lineRule="exact"/>
              <w:ind w:right="48"/>
              <w:rPr>
                <w:sz w:val="20"/>
              </w:rPr>
            </w:pPr>
            <w:r>
              <w:rPr>
                <w:color w:val="231F20"/>
                <w:sz w:val="20"/>
              </w:rPr>
              <w:t>25,770,308</w:t>
            </w:r>
          </w:p>
        </w:tc>
      </w:tr>
    </w:tbl>
    <w:p>
      <w:pPr>
        <w:pStyle w:val="BodyText"/>
        <w:spacing w:before="7"/>
        <w:rPr>
          <w:sz w:val="17"/>
        </w:rPr>
      </w:pPr>
    </w:p>
    <w:p>
      <w:pPr>
        <w:pStyle w:val="BodyText"/>
        <w:tabs>
          <w:tab w:pos="1139" w:val="left" w:leader="none"/>
        </w:tabs>
        <w:ind w:left="650"/>
      </w:pPr>
      <w:r>
        <w:rPr>
          <w:color w:val="231F20"/>
        </w:rPr>
        <w:t>*</w:t>
        <w:tab/>
        <w:t>As adjusted for stock splits.</w:t>
      </w:r>
    </w:p>
    <w:p>
      <w:pPr>
        <w:pStyle w:val="BodyText"/>
        <w:spacing w:before="6"/>
        <w:rPr>
          <w:sz w:val="17"/>
        </w:rPr>
      </w:pPr>
    </w:p>
    <w:p>
      <w:pPr>
        <w:pStyle w:val="ListParagraph"/>
        <w:numPr>
          <w:ilvl w:val="1"/>
          <w:numId w:val="22"/>
        </w:numPr>
        <w:tabs>
          <w:tab w:pos="1139" w:val="left" w:leader="none"/>
          <w:tab w:pos="1140" w:val="left" w:leader="none"/>
        </w:tabs>
        <w:spacing w:line="249" w:lineRule="auto" w:before="1" w:after="0"/>
        <w:ind w:left="1140" w:right="250" w:hanging="490"/>
        <w:jc w:val="left"/>
        <w:rPr>
          <w:sz w:val="20"/>
        </w:rPr>
      </w:pPr>
      <w:r>
        <w:rPr>
          <w:color w:val="231F20"/>
          <w:sz w:val="20"/>
        </w:rPr>
        <w:t>Includes 12,972,980 shares of common stock issuable upon exercise of outstanding stock options and 2,875,640 restricted share units settleable in shares of the Company’s common</w:t>
      </w:r>
      <w:r>
        <w:rPr>
          <w:color w:val="231F20"/>
          <w:spacing w:val="8"/>
          <w:sz w:val="20"/>
        </w:rPr>
        <w:t> </w:t>
      </w:r>
      <w:r>
        <w:rPr>
          <w:color w:val="231F20"/>
          <w:sz w:val="20"/>
        </w:rPr>
        <w:t>stock.</w:t>
      </w:r>
    </w:p>
    <w:p>
      <w:pPr>
        <w:pStyle w:val="ListParagraph"/>
        <w:numPr>
          <w:ilvl w:val="1"/>
          <w:numId w:val="22"/>
        </w:numPr>
        <w:tabs>
          <w:tab w:pos="1139" w:val="left" w:leader="none"/>
          <w:tab w:pos="1140" w:val="left" w:leader="none"/>
        </w:tabs>
        <w:spacing w:line="249" w:lineRule="auto" w:before="1" w:after="0"/>
        <w:ind w:left="1140" w:right="26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2"/>
        </w:numPr>
        <w:tabs>
          <w:tab w:pos="1139" w:val="left" w:leader="none"/>
          <w:tab w:pos="1140" w:val="left" w:leader="none"/>
        </w:tabs>
        <w:spacing w:line="249" w:lineRule="auto" w:before="1" w:after="0"/>
        <w:ind w:left="1140" w:right="378" w:hanging="490"/>
        <w:jc w:val="left"/>
        <w:rPr>
          <w:sz w:val="20"/>
        </w:rPr>
      </w:pPr>
      <w:r>
        <w:rPr>
          <w:color w:val="231F20"/>
          <w:sz w:val="20"/>
        </w:rPr>
        <w:t>Of these shares, (i) 2,835,898 shares remained available for issuance under the Company’s tax- qualified employee stock purchase plan; and (ii) 10,726,701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784,749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2"/>
          <w:sz w:val="20"/>
        </w:rPr>
        <w:t> </w:t>
      </w:r>
      <w:r>
        <w:rPr>
          <w:color w:val="231F20"/>
          <w:sz w:val="20"/>
        </w:rPr>
        <w:t>(a).</w:t>
      </w:r>
    </w:p>
    <w:p>
      <w:pPr>
        <w:pStyle w:val="BodyText"/>
        <w:spacing w:line="249" w:lineRule="auto" w:before="194"/>
        <w:ind w:left="160" w:right="258" w:firstLine="490"/>
      </w:pPr>
      <w:r>
        <w:rPr>
          <w:color w:val="231F20"/>
        </w:rPr>
        <w:t>See Note 14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3"/>
        <w:rPr>
          <w:sz w:val="25"/>
        </w:rPr>
      </w:pPr>
    </w:p>
    <w:p>
      <w:pPr>
        <w:pStyle w:val="Heading4"/>
        <w:tabs>
          <w:tab w:pos="1239" w:val="left" w:leader="none"/>
        </w:tabs>
        <w:ind w:left="160"/>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105"/>
        <w:ind w:left="160" w:right="574" w:firstLine="490"/>
      </w:pPr>
      <w:r>
        <w:rPr>
          <w:color w:val="231F20"/>
        </w:rPr>
        <w:t>The information required by this Item 13 will be set forth under the heading “Certain Relationships and Related Transactions, and Director Independence” in the Proxy Statement for the Company’s 2013 Annual Meeting of Shareholders and is incorporated herein by reference.</w:t>
      </w:r>
    </w:p>
    <w:p>
      <w:pPr>
        <w:pStyle w:val="BodyText"/>
        <w:spacing w:before="3"/>
        <w:rPr>
          <w:sz w:val="25"/>
        </w:rPr>
      </w:pPr>
    </w:p>
    <w:p>
      <w:pPr>
        <w:pStyle w:val="Heading4"/>
        <w:tabs>
          <w:tab w:pos="1239" w:val="left" w:leader="none"/>
        </w:tabs>
        <w:ind w:left="160"/>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106"/>
        <w:ind w:left="160" w:right="447" w:firstLine="490"/>
      </w:pPr>
      <w:r>
        <w:rPr>
          <w:color w:val="231F20"/>
        </w:rPr>
        <w:t>The information required by this Item 14 will be set forth under the heading “Relationship with Independent Auditors” in the Proxy Statement for the Company’s 2013 Annual Meeting of Shareholders and is incorporated herein by reference.</w:t>
      </w:r>
    </w:p>
    <w:p>
      <w:pPr>
        <w:spacing w:after="0" w:line="249" w:lineRule="auto"/>
        <w:sectPr>
          <w:type w:val="continuous"/>
          <w:pgSz w:w="11880" w:h="15480"/>
          <w:pgMar w:top="1200" w:bottom="280" w:left="1220" w:right="1140"/>
        </w:sectPr>
      </w:pPr>
    </w:p>
    <w:p>
      <w:pPr>
        <w:pStyle w:val="Heading3"/>
        <w:spacing w:before="73"/>
        <w:ind w:left="83" w:right="64"/>
        <w:jc w:val="center"/>
      </w:pPr>
      <w:bookmarkStart w:name="_TOC_250002" w:id="46"/>
      <w:bookmarkStart w:name="PART IV" w:id="47"/>
      <w:r>
        <w:rPr>
          <w:b w:val="0"/>
        </w:rPr>
      </w:r>
      <w:bookmarkEnd w:id="46"/>
      <w:r>
        <w:rPr>
          <w:color w:val="231F20"/>
        </w:rPr>
        <w:t>PART IV</w:t>
      </w:r>
    </w:p>
    <w:p>
      <w:pPr>
        <w:pStyle w:val="BodyText"/>
        <w:spacing w:before="8"/>
        <w:rPr>
          <w:b/>
          <w:sz w:val="22"/>
        </w:rPr>
      </w:pPr>
    </w:p>
    <w:p>
      <w:pPr>
        <w:pStyle w:val="Heading4"/>
        <w:tabs>
          <w:tab w:pos="1179" w:val="left" w:leader="none"/>
        </w:tabs>
        <w:ind w:left="100"/>
        <w:rPr>
          <w:i/>
        </w:rPr>
      </w:pPr>
      <w:bookmarkStart w:name="_TOC_250001" w:id="48"/>
      <w:bookmarkStart w:name="Item 15. Exhibits and Financial Statemen" w:id="49"/>
      <w:r>
        <w:rPr>
          <w:b w:val="0"/>
          <w:i w:val="0"/>
        </w:rPr>
      </w:r>
      <w:r>
        <w:rPr>
          <w:i w:val="0"/>
          <w:color w:val="231F20"/>
        </w:rPr>
        <w:t>Item</w:t>
      </w:r>
      <w:r>
        <w:rPr>
          <w:i w:val="0"/>
          <w:color w:val="231F20"/>
          <w:spacing w:val="1"/>
        </w:rPr>
        <w:t> </w:t>
      </w:r>
      <w:r>
        <w:rPr>
          <w:i w:val="0"/>
          <w:color w:val="231F20"/>
        </w:rPr>
        <w:t>15.</w:t>
        <w:tab/>
      </w:r>
      <w:bookmarkEnd w:id="48"/>
      <w:r>
        <w:rPr>
          <w:i/>
          <w:color w:val="231F20"/>
        </w:rPr>
        <w:t>Exhibits and Financial Statement Schedules</w:t>
      </w:r>
    </w:p>
    <w:p>
      <w:pPr>
        <w:pStyle w:val="BodyText"/>
        <w:spacing w:before="2"/>
        <w:rPr>
          <w:b/>
          <w:i/>
          <w:sz w:val="17"/>
        </w:rPr>
      </w:pPr>
    </w:p>
    <w:p>
      <w:pPr>
        <w:spacing w:before="0"/>
        <w:ind w:left="590" w:right="0" w:firstLine="0"/>
        <w:jc w:val="left"/>
        <w:rPr>
          <w:i/>
          <w:sz w:val="20"/>
        </w:rPr>
      </w:pPr>
      <w:r>
        <w:rPr>
          <w:color w:val="231F20"/>
          <w:sz w:val="20"/>
        </w:rPr>
        <w:t>(a) 1. </w:t>
      </w:r>
      <w:r>
        <w:rPr>
          <w:i/>
          <w:color w:val="231F20"/>
          <w:sz w:val="20"/>
        </w:rPr>
        <w:t>Financial Statements:</w:t>
      </w:r>
    </w:p>
    <w:p>
      <w:pPr>
        <w:pStyle w:val="BodyText"/>
        <w:spacing w:before="2"/>
        <w:rPr>
          <w:i/>
          <w:sz w:val="17"/>
        </w:rPr>
      </w:pPr>
    </w:p>
    <w:p>
      <w:pPr>
        <w:pStyle w:val="BodyText"/>
        <w:spacing w:line="249" w:lineRule="auto"/>
        <w:ind w:left="590" w:right="113" w:firstLine="490"/>
      </w:pPr>
      <w:r>
        <w:rPr>
          <w:color w:val="231F20"/>
        </w:rPr>
        <w:t>The financial statements included in Item 8. Financial Statements and Supplementary Data above are filed as part of this annual report.</w:t>
      </w:r>
    </w:p>
    <w:p>
      <w:pPr>
        <w:pStyle w:val="ListParagraph"/>
        <w:numPr>
          <w:ilvl w:val="1"/>
          <w:numId w:val="13"/>
        </w:numPr>
        <w:tabs>
          <w:tab w:pos="790" w:val="left" w:leader="none"/>
        </w:tabs>
        <w:spacing w:line="240" w:lineRule="auto" w:before="189"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before="3"/>
        <w:rPr>
          <w:i/>
          <w:sz w:val="17"/>
        </w:rPr>
      </w:pPr>
    </w:p>
    <w:p>
      <w:pPr>
        <w:pStyle w:val="BodyText"/>
        <w:spacing w:line="249" w:lineRule="auto"/>
        <w:ind w:left="590" w:right="61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1"/>
          <w:numId w:val="13"/>
        </w:numPr>
        <w:tabs>
          <w:tab w:pos="790" w:val="left" w:leader="none"/>
        </w:tabs>
        <w:spacing w:line="240" w:lineRule="auto" w:before="190" w:after="0"/>
        <w:ind w:left="790" w:right="0" w:hanging="200"/>
        <w:jc w:val="left"/>
        <w:rPr>
          <w:sz w:val="20"/>
        </w:rPr>
      </w:pPr>
      <w:r>
        <w:rPr>
          <w:color w:val="231F20"/>
          <w:sz w:val="20"/>
        </w:rPr>
        <w:t>Exhibits:</w:t>
      </w:r>
    </w:p>
    <w:p>
      <w:pPr>
        <w:pStyle w:val="BodyText"/>
        <w:spacing w:before="3"/>
        <w:rPr>
          <w:sz w:val="28"/>
        </w:rPr>
      </w:pPr>
    </w:p>
    <w:p>
      <w:pPr>
        <w:pStyle w:val="ListParagraph"/>
        <w:numPr>
          <w:ilvl w:val="1"/>
          <w:numId w:val="23"/>
        </w:numPr>
        <w:tabs>
          <w:tab w:pos="849" w:val="left" w:leader="none"/>
          <w:tab w:pos="850" w:val="left" w:leader="none"/>
        </w:tabs>
        <w:spacing w:line="249" w:lineRule="auto" w:before="0" w:after="0"/>
        <w:ind w:left="850" w:right="276" w:hanging="7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 1-7259)).</w:t>
      </w:r>
    </w:p>
    <w:p>
      <w:pPr>
        <w:pStyle w:val="ListParagraph"/>
        <w:numPr>
          <w:ilvl w:val="1"/>
          <w:numId w:val="23"/>
        </w:numPr>
        <w:tabs>
          <w:tab w:pos="849" w:val="left" w:leader="none"/>
          <w:tab w:pos="850" w:val="left" w:leader="none"/>
        </w:tabs>
        <w:spacing w:line="249" w:lineRule="auto" w:before="127" w:after="0"/>
        <w:ind w:left="850" w:right="600" w:hanging="7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4"/>
        </w:numPr>
        <w:tabs>
          <w:tab w:pos="849" w:val="left" w:leader="none"/>
          <w:tab w:pos="850" w:val="left" w:leader="none"/>
        </w:tabs>
        <w:spacing w:line="249" w:lineRule="auto" w:before="127" w:after="0"/>
        <w:ind w:left="850" w:right="529" w:hanging="7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ListParagraph"/>
        <w:numPr>
          <w:ilvl w:val="1"/>
          <w:numId w:val="24"/>
        </w:numPr>
        <w:tabs>
          <w:tab w:pos="849" w:val="left" w:leader="none"/>
          <w:tab w:pos="850" w:val="left" w:leader="none"/>
        </w:tabs>
        <w:spacing w:line="240" w:lineRule="auto" w:before="127" w:after="0"/>
        <w:ind w:left="850" w:right="0" w:hanging="750"/>
        <w:jc w:val="left"/>
        <w:rPr>
          <w:sz w:val="20"/>
        </w:rPr>
      </w:pPr>
      <w:r>
        <w:rPr>
          <w:color w:val="231F20"/>
          <w:sz w:val="20"/>
        </w:rPr>
        <w:t>Indenture dated as of February 14, 2005, between the Company and The Bank of New York</w:t>
      </w:r>
    </w:p>
    <w:p>
      <w:pPr>
        <w:pStyle w:val="BodyText"/>
        <w:spacing w:line="249" w:lineRule="auto" w:before="10"/>
        <w:ind w:left="850" w:right="543"/>
      </w:pPr>
      <w:r>
        <w:rPr>
          <w:color w:val="231F20"/>
        </w:rPr>
        <w:t>Trust Company, N.A., Trustee (incorporated by reference to Exhibit 4.2 to the Company’s Current Report on Form 8-K dated February 14, 2005 (File No. 1-7259)).</w:t>
      </w:r>
    </w:p>
    <w:p>
      <w:pPr>
        <w:pStyle w:val="ListParagraph"/>
        <w:numPr>
          <w:ilvl w:val="1"/>
          <w:numId w:val="24"/>
        </w:numPr>
        <w:tabs>
          <w:tab w:pos="849" w:val="left" w:leader="none"/>
          <w:tab w:pos="850" w:val="left" w:leader="none"/>
        </w:tabs>
        <w:spacing w:line="249" w:lineRule="auto" w:before="127" w:after="0"/>
        <w:ind w:left="850" w:right="181" w:hanging="7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333-100861)).</w:t>
      </w:r>
    </w:p>
    <w:p>
      <w:pPr>
        <w:pStyle w:val="ListParagraph"/>
        <w:numPr>
          <w:ilvl w:val="1"/>
          <w:numId w:val="24"/>
        </w:numPr>
        <w:tabs>
          <w:tab w:pos="849" w:val="left" w:leader="none"/>
          <w:tab w:pos="850" w:val="left" w:leader="none"/>
        </w:tabs>
        <w:spacing w:line="240" w:lineRule="auto" w:before="127" w:after="0"/>
        <w:ind w:left="850" w:right="0" w:hanging="750"/>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9" w:lineRule="auto" w:before="10"/>
        <w:ind w:left="850" w:right="148"/>
      </w:pPr>
      <w:r>
        <w:rPr>
          <w:color w:val="231F20"/>
        </w:rPr>
        <w:t>N.A. (incorporated by reference to Exhibit 4.12 to the Company’s Annual Report on Form 10-K for the year ended December 31, 1996 (File No. 1-7259)).</w:t>
      </w:r>
    </w:p>
    <w:p>
      <w:pPr>
        <w:pStyle w:val="BodyText"/>
        <w:spacing w:line="249" w:lineRule="auto" w:before="127"/>
        <w:ind w:left="850" w:right="15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tabs>
          <w:tab w:pos="849" w:val="left" w:leader="none"/>
        </w:tabs>
        <w:spacing w:line="249" w:lineRule="auto" w:before="127"/>
        <w:ind w:left="850" w:right="158" w:hanging="750"/>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rPr>
        <w:t> </w:t>
      </w:r>
      <w:r>
        <w:rPr>
          <w:color w:val="231F20"/>
        </w:rPr>
        <w:t>ended</w:t>
      </w:r>
    </w:p>
    <w:p>
      <w:pPr>
        <w:pStyle w:val="BodyText"/>
        <w:spacing w:line="249" w:lineRule="auto" w:before="1"/>
        <w:ind w:left="850" w:right="326"/>
      </w:pPr>
      <w:r>
        <w:rPr>
          <w:color w:val="231F20"/>
        </w:rPr>
        <w:t>December 31, 1998 (File No. 1-7259)); Supplemental Agreements Nos. 8, 9, and 10 (incorporated by reference to Exhibit 10.1 to the Company’s Annual Report on Form 10-K for the year ended</w:t>
      </w:r>
    </w:p>
    <w:p>
      <w:pPr>
        <w:spacing w:after="0" w:line="249" w:lineRule="auto"/>
        <w:sectPr>
          <w:pgSz w:w="11880" w:h="15480"/>
          <w:pgMar w:header="0" w:footer="1253" w:top="1240" w:bottom="1440" w:left="1280" w:right="1300"/>
        </w:sectPr>
      </w:pPr>
    </w:p>
    <w:p>
      <w:pPr>
        <w:pStyle w:val="BodyText"/>
        <w:spacing w:line="249" w:lineRule="auto" w:before="73"/>
        <w:ind w:left="450" w:right="117"/>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w:t>
      </w:r>
      <w:r>
        <w:rPr>
          <w:color w:val="231F20"/>
          <w:spacing w:val="7"/>
        </w:rPr>
        <w:t> </w:t>
      </w:r>
      <w:r>
        <w:rPr>
          <w:color w:val="231F20"/>
        </w:rPr>
        <w:t>Exhibit</w:t>
      </w:r>
    </w:p>
    <w:p>
      <w:pPr>
        <w:pStyle w:val="ListParagraph"/>
        <w:numPr>
          <w:ilvl w:val="1"/>
          <w:numId w:val="25"/>
        </w:numPr>
        <w:tabs>
          <w:tab w:pos="850" w:val="left" w:leader="none"/>
        </w:tabs>
        <w:spacing w:line="249" w:lineRule="auto" w:before="1" w:after="0"/>
        <w:ind w:left="450" w:right="149" w:firstLine="0"/>
        <w:jc w:val="left"/>
        <w:rPr>
          <w:sz w:val="20"/>
        </w:rPr>
      </w:pPr>
      <w:r>
        <w:rPr>
          <w:color w:val="231F20"/>
          <w:sz w:val="20"/>
        </w:rPr>
        <w:t>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w:t>
      </w:r>
      <w:r>
        <w:rPr>
          <w:color w:val="231F20"/>
          <w:spacing w:val="5"/>
          <w:sz w:val="20"/>
        </w:rPr>
        <w:t> </w:t>
      </w:r>
      <w:r>
        <w:rPr>
          <w:color w:val="231F20"/>
          <w:sz w:val="20"/>
        </w:rPr>
        <w:t>ended</w:t>
      </w:r>
    </w:p>
    <w:p>
      <w:pPr>
        <w:pStyle w:val="BodyText"/>
        <w:spacing w:line="249" w:lineRule="auto" w:before="1"/>
        <w:ind w:left="450" w:right="177"/>
      </w:pPr>
      <w:r>
        <w:rPr>
          <w:color w:val="231F20"/>
        </w:rPr>
        <w:t>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w:t>
      </w:r>
    </w:p>
    <w:p>
      <w:pPr>
        <w:pStyle w:val="BodyText"/>
        <w:spacing w:line="249" w:lineRule="auto" w:before="1"/>
        <w:ind w:left="450" w:right="166"/>
      </w:pPr>
      <w:r>
        <w:rPr>
          <w:color w:val="231F20"/>
        </w:rPr>
        <w:t>December 31, 2007 (File No. 1-7259)); Supplemental Agreements Nos. 57, 58, and 59 (incorporated by reference to Exhibits 10.1, 10.2, and 10.3, respectively, to the Company’s Quarterly Report on</w:t>
      </w:r>
    </w:p>
    <w:p>
      <w:pPr>
        <w:pStyle w:val="BodyText"/>
        <w:spacing w:line="249" w:lineRule="auto" w:before="1"/>
        <w:ind w:left="450" w:right="127"/>
      </w:pPr>
      <w:r>
        <w:rPr>
          <w:color w:val="231F20"/>
        </w:rPr>
        <w:t>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w:t>
      </w:r>
      <w:r>
        <w:rPr>
          <w:color w:val="231F20"/>
          <w:spacing w:val="3"/>
        </w:rPr>
        <w:t> </w:t>
      </w:r>
      <w:r>
        <w:rPr>
          <w:color w:val="231F20"/>
        </w:rPr>
        <w:t>2010</w:t>
      </w:r>
    </w:p>
    <w:p>
      <w:pPr>
        <w:pStyle w:val="BodyText"/>
        <w:spacing w:line="249" w:lineRule="auto" w:before="1"/>
        <w:ind w:left="450" w:right="122"/>
      </w:pPr>
      <w:r>
        <w:rPr>
          <w:color w:val="231F20"/>
        </w:rPr>
        <w:t>(File No. 1-7259)); Supplemental Agreement No. 67 (incorporated by reference to Exhibit 10.1(a) to the Company’s Annual Report on Form 10-K for the year ended December 31, 2010 (File No. 1-7259)); Supplemental Agreement No. 68 (incorporated by reference to Exhibit 10.1(b) to the Company’s</w:t>
      </w:r>
    </w:p>
    <w:p>
      <w:pPr>
        <w:spacing w:after="0" w:line="249" w:lineRule="auto"/>
        <w:sectPr>
          <w:pgSz w:w="11880" w:h="15480"/>
          <w:pgMar w:header="0" w:footer="1253" w:top="1240" w:bottom="1440" w:left="1680" w:right="1260"/>
        </w:sectPr>
      </w:pPr>
    </w:p>
    <w:p>
      <w:pPr>
        <w:pStyle w:val="BodyText"/>
        <w:spacing w:line="249" w:lineRule="auto" w:before="73"/>
        <w:ind w:left="850" w:right="119"/>
      </w:pPr>
      <w:r>
        <w:rPr>
          <w:color w:val="231F20"/>
        </w:rPr>
        <w:t>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 No. 76 (incorporated by reference to Exhibit 10.1 to the Company’s Quarterly Report on Form 10-Q for the quarter ended June 30, 2012 (File No. 1-7259)); Supplemental Agreement No. 77 (incorporated by reference to Exhibit 10.2 to the Company’s Quarterly Report on Form 10-Q for the quarter</w:t>
      </w:r>
      <w:r>
        <w:rPr>
          <w:color w:val="231F20"/>
          <w:spacing w:val="5"/>
        </w:rPr>
        <w:t> </w:t>
      </w:r>
      <w:r>
        <w:rPr>
          <w:color w:val="231F20"/>
        </w:rPr>
        <w:t>ended</w:t>
      </w:r>
    </w:p>
    <w:p>
      <w:pPr>
        <w:pStyle w:val="BodyText"/>
        <w:spacing w:line="249" w:lineRule="auto" w:before="1"/>
        <w:ind w:left="850" w:right="168"/>
      </w:pPr>
      <w:r>
        <w:rPr>
          <w:color w:val="231F20"/>
        </w:rPr>
        <w:t>June 30, 2012 (File No. 1-7259)); Supplemental Agreement No. 78 (incorporated by reference to Exhibit 10.1 to the Company’s Quarterly Report on Form 10-Q for the quarter ended September 30, 2012 (File No. 1-7259)); Supplemental Agreement No. 79 (incorporated by reference to Exhibit 10.2 to the Company’s Quarterly Report on Form 10-Q for the quarter ended September 30, 2012</w:t>
      </w:r>
    </w:p>
    <w:p>
      <w:pPr>
        <w:pStyle w:val="BodyText"/>
        <w:spacing w:before="1"/>
        <w:ind w:left="850"/>
      </w:pPr>
      <w:r>
        <w:rPr>
          <w:color w:val="231F20"/>
        </w:rPr>
        <w:t>(File No. 1-7259)). (1)</w:t>
      </w:r>
    </w:p>
    <w:p>
      <w:pPr>
        <w:pStyle w:val="ListParagraph"/>
        <w:numPr>
          <w:ilvl w:val="1"/>
          <w:numId w:val="25"/>
        </w:numPr>
        <w:tabs>
          <w:tab w:pos="849" w:val="left" w:leader="none"/>
          <w:tab w:pos="850" w:val="left" w:leader="none"/>
        </w:tabs>
        <w:spacing w:line="249" w:lineRule="auto" w:before="159" w:after="0"/>
        <w:ind w:left="850" w:right="374" w:hanging="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50" w:after="0"/>
        <w:ind w:left="850" w:right="732" w:hanging="7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50" w:after="0"/>
        <w:ind w:left="850" w:right="113" w:hanging="7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ind w:left="850"/>
      </w:pPr>
      <w:r>
        <w:rPr>
          <w:color w:val="231F20"/>
        </w:rPr>
        <w:t>(File No. 1-7259)). (2)</w:t>
      </w:r>
    </w:p>
    <w:p>
      <w:pPr>
        <w:pStyle w:val="ListParagraph"/>
        <w:numPr>
          <w:ilvl w:val="1"/>
          <w:numId w:val="25"/>
        </w:numPr>
        <w:tabs>
          <w:tab w:pos="849" w:val="left" w:leader="none"/>
          <w:tab w:pos="850" w:val="left" w:leader="none"/>
        </w:tabs>
        <w:spacing w:line="240" w:lineRule="auto" w:before="159" w:after="0"/>
        <w:ind w:left="850" w:right="0" w:hanging="7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850" w:right="340"/>
      </w:pPr>
      <w:r>
        <w:rPr>
          <w:color w:val="231F20"/>
        </w:rPr>
        <w:t>Exhibit 10.13 to the Company’s Annual Report on Form 10-K for the year ended December 31, 2002 (File No. 1-7259)). (2)</w:t>
      </w:r>
    </w:p>
    <w:p>
      <w:pPr>
        <w:pStyle w:val="ListParagraph"/>
        <w:numPr>
          <w:ilvl w:val="1"/>
          <w:numId w:val="25"/>
        </w:numPr>
        <w:tabs>
          <w:tab w:pos="849" w:val="left" w:leader="none"/>
          <w:tab w:pos="850" w:val="left" w:leader="none"/>
        </w:tabs>
        <w:spacing w:line="249" w:lineRule="auto" w:before="150" w:after="0"/>
        <w:ind w:left="850" w:right="242" w:hanging="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5"/>
        </w:numPr>
        <w:tabs>
          <w:tab w:pos="850" w:val="left" w:leader="none"/>
        </w:tabs>
        <w:spacing w:line="249" w:lineRule="auto" w:before="150" w:after="0"/>
        <w:ind w:left="850" w:right="223" w:hanging="7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50" w:after="0"/>
        <w:ind w:left="850" w:right="213" w:hanging="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50" w:after="0"/>
        <w:ind w:left="850" w:right="466" w:hanging="7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spacing w:after="0" w:line="249" w:lineRule="auto"/>
        <w:jc w:val="left"/>
        <w:rPr>
          <w:sz w:val="20"/>
        </w:rPr>
        <w:sectPr>
          <w:pgSz w:w="11880" w:h="15480"/>
          <w:pgMar w:header="0" w:footer="1253" w:top="1240" w:bottom="1440" w:left="1280" w:right="1280"/>
        </w:sectPr>
      </w:pPr>
    </w:p>
    <w:p>
      <w:pPr>
        <w:pStyle w:val="ListParagraph"/>
        <w:numPr>
          <w:ilvl w:val="1"/>
          <w:numId w:val="25"/>
        </w:numPr>
        <w:tabs>
          <w:tab w:pos="849" w:val="left" w:leader="none"/>
          <w:tab w:pos="850" w:val="left" w:leader="none"/>
        </w:tabs>
        <w:spacing w:line="249" w:lineRule="auto" w:before="73" w:after="0"/>
        <w:ind w:left="850" w:right="221" w:hanging="7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ListParagraph"/>
        <w:numPr>
          <w:ilvl w:val="1"/>
          <w:numId w:val="25"/>
        </w:numPr>
        <w:tabs>
          <w:tab w:pos="849" w:val="left" w:leader="none"/>
          <w:tab w:pos="850" w:val="left" w:leader="none"/>
        </w:tabs>
        <w:spacing w:line="249" w:lineRule="auto" w:before="101" w:after="0"/>
        <w:ind w:left="850" w:right="577" w:hanging="7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spacing w:before="1"/>
        <w:ind w:left="850"/>
      </w:pPr>
      <w:r>
        <w:rPr>
          <w:color w:val="231F20"/>
        </w:rPr>
        <w:t>(File No. 333-53610)). (2)</w:t>
      </w:r>
    </w:p>
    <w:p>
      <w:pPr>
        <w:pStyle w:val="ListParagraph"/>
        <w:numPr>
          <w:ilvl w:val="1"/>
          <w:numId w:val="25"/>
        </w:numPr>
        <w:tabs>
          <w:tab w:pos="849" w:val="left" w:leader="none"/>
          <w:tab w:pos="850" w:val="left" w:leader="none"/>
        </w:tabs>
        <w:spacing w:line="240" w:lineRule="auto" w:before="109" w:after="0"/>
        <w:ind w:left="850" w:right="0" w:hanging="750"/>
        <w:jc w:val="left"/>
        <w:rPr>
          <w:sz w:val="20"/>
        </w:rPr>
      </w:pPr>
      <w:r>
        <w:rPr>
          <w:color w:val="231F20"/>
          <w:spacing w:val="-6"/>
          <w:sz w:val="20"/>
        </w:rPr>
        <w:t>Southwest</w:t>
      </w:r>
      <w:r>
        <w:rPr>
          <w:color w:val="231F20"/>
          <w:spacing w:val="-10"/>
          <w:sz w:val="20"/>
        </w:rPr>
        <w:t> </w:t>
      </w:r>
      <w:r>
        <w:rPr>
          <w:color w:val="231F20"/>
          <w:spacing w:val="-6"/>
          <w:sz w:val="20"/>
        </w:rPr>
        <w:t>Airlines</w:t>
      </w:r>
      <w:r>
        <w:rPr>
          <w:color w:val="231F20"/>
          <w:spacing w:val="-10"/>
          <w:sz w:val="20"/>
        </w:rPr>
        <w:t> </w:t>
      </w:r>
      <w:r>
        <w:rPr>
          <w:color w:val="231F20"/>
          <w:spacing w:val="-4"/>
          <w:sz w:val="20"/>
        </w:rPr>
        <w:t>Co.</w:t>
      </w:r>
      <w:r>
        <w:rPr>
          <w:color w:val="231F20"/>
          <w:spacing w:val="-10"/>
          <w:sz w:val="20"/>
        </w:rPr>
        <w:t> </w:t>
      </w:r>
      <w:r>
        <w:rPr>
          <w:color w:val="231F20"/>
          <w:spacing w:val="-5"/>
          <w:sz w:val="20"/>
        </w:rPr>
        <w:t>2002</w:t>
      </w:r>
      <w:r>
        <w:rPr>
          <w:color w:val="231F20"/>
          <w:spacing w:val="-10"/>
          <w:sz w:val="20"/>
        </w:rPr>
        <w:t> </w:t>
      </w:r>
      <w:r>
        <w:rPr>
          <w:color w:val="231F20"/>
          <w:spacing w:val="-5"/>
          <w:sz w:val="20"/>
        </w:rPr>
        <w:t>SWAPA</w:t>
      </w:r>
      <w:r>
        <w:rPr>
          <w:color w:val="231F20"/>
          <w:spacing w:val="-11"/>
          <w:sz w:val="20"/>
        </w:rPr>
        <w:t> </w:t>
      </w:r>
      <w:r>
        <w:rPr>
          <w:color w:val="231F20"/>
          <w:spacing w:val="-6"/>
          <w:sz w:val="20"/>
        </w:rPr>
        <w:t>Non-Qualified</w:t>
      </w:r>
      <w:r>
        <w:rPr>
          <w:color w:val="231F20"/>
          <w:spacing w:val="-10"/>
          <w:sz w:val="20"/>
        </w:rPr>
        <w:t> </w:t>
      </w:r>
      <w:r>
        <w:rPr>
          <w:color w:val="231F20"/>
          <w:spacing w:val="-5"/>
          <w:sz w:val="20"/>
        </w:rPr>
        <w:t>Stock</w:t>
      </w:r>
      <w:r>
        <w:rPr>
          <w:color w:val="231F20"/>
          <w:spacing w:val="-10"/>
          <w:sz w:val="20"/>
        </w:rPr>
        <w:t> </w:t>
      </w:r>
      <w:r>
        <w:rPr>
          <w:color w:val="231F20"/>
          <w:spacing w:val="-5"/>
          <w:sz w:val="20"/>
        </w:rPr>
        <w:t>Option</w:t>
      </w:r>
      <w:r>
        <w:rPr>
          <w:color w:val="231F20"/>
          <w:spacing w:val="-10"/>
          <w:sz w:val="20"/>
        </w:rPr>
        <w:t> </w:t>
      </w:r>
      <w:r>
        <w:rPr>
          <w:color w:val="231F20"/>
          <w:spacing w:val="-5"/>
          <w:sz w:val="20"/>
        </w:rPr>
        <w:t>Plan</w:t>
      </w:r>
      <w:r>
        <w:rPr>
          <w:color w:val="231F20"/>
          <w:spacing w:val="-10"/>
          <w:sz w:val="20"/>
        </w:rPr>
        <w:t> </w:t>
      </w:r>
      <w:r>
        <w:rPr>
          <w:color w:val="231F20"/>
          <w:spacing w:val="-6"/>
          <w:sz w:val="20"/>
        </w:rPr>
        <w:t>(incorporated</w:t>
      </w:r>
      <w:r>
        <w:rPr>
          <w:color w:val="231F20"/>
          <w:spacing w:val="-10"/>
          <w:sz w:val="20"/>
        </w:rPr>
        <w:t> </w:t>
      </w:r>
      <w:r>
        <w:rPr>
          <w:color w:val="231F20"/>
          <w:spacing w:val="-3"/>
          <w:sz w:val="20"/>
        </w:rPr>
        <w:t>by</w:t>
      </w:r>
      <w:r>
        <w:rPr>
          <w:color w:val="231F20"/>
          <w:spacing w:val="-10"/>
          <w:sz w:val="20"/>
        </w:rPr>
        <w:t> </w:t>
      </w:r>
      <w:r>
        <w:rPr>
          <w:color w:val="231F20"/>
          <w:spacing w:val="-6"/>
          <w:sz w:val="20"/>
        </w:rPr>
        <w:t>reference</w:t>
      </w:r>
      <w:r>
        <w:rPr>
          <w:color w:val="231F20"/>
          <w:spacing w:val="-10"/>
          <w:sz w:val="20"/>
        </w:rPr>
        <w:t> </w:t>
      </w:r>
      <w:r>
        <w:rPr>
          <w:color w:val="231F20"/>
          <w:spacing w:val="-3"/>
          <w:sz w:val="20"/>
        </w:rPr>
        <w:t>to</w:t>
      </w:r>
    </w:p>
    <w:p>
      <w:pPr>
        <w:pStyle w:val="BodyText"/>
        <w:spacing w:before="9"/>
        <w:ind w:left="850"/>
      </w:pPr>
      <w:r>
        <w:rPr>
          <w:color w:val="231F20"/>
          <w:spacing w:val="-6"/>
        </w:rPr>
        <w:t>Exhibit </w:t>
      </w:r>
      <w:r>
        <w:rPr>
          <w:color w:val="231F20"/>
          <w:spacing w:val="-4"/>
        </w:rPr>
        <w:t>4.1 </w:t>
      </w:r>
      <w:r>
        <w:rPr>
          <w:color w:val="231F20"/>
          <w:spacing w:val="-3"/>
        </w:rPr>
        <w:t>to </w:t>
      </w:r>
      <w:r>
        <w:rPr>
          <w:color w:val="231F20"/>
          <w:spacing w:val="-4"/>
        </w:rPr>
        <w:t>the </w:t>
      </w:r>
      <w:r>
        <w:rPr>
          <w:color w:val="231F20"/>
          <w:spacing w:val="-6"/>
        </w:rPr>
        <w:t>Company’s Registration Statement </w:t>
      </w:r>
      <w:r>
        <w:rPr>
          <w:color w:val="231F20"/>
          <w:spacing w:val="-3"/>
        </w:rPr>
        <w:t>on </w:t>
      </w:r>
      <w:r>
        <w:rPr>
          <w:color w:val="231F20"/>
          <w:spacing w:val="-5"/>
        </w:rPr>
        <w:t>Form </w:t>
      </w:r>
      <w:r>
        <w:rPr>
          <w:color w:val="231F20"/>
          <w:spacing w:val="-4"/>
        </w:rPr>
        <w:t>S-8 </w:t>
      </w:r>
      <w:r>
        <w:rPr>
          <w:color w:val="231F20"/>
          <w:spacing w:val="-5"/>
        </w:rPr>
        <w:t>filed </w:t>
      </w:r>
      <w:r>
        <w:rPr>
          <w:color w:val="231F20"/>
          <w:spacing w:val="-6"/>
        </w:rPr>
        <w:t>August </w:t>
      </w:r>
      <w:r>
        <w:rPr>
          <w:color w:val="231F20"/>
          <w:spacing w:val="-4"/>
        </w:rPr>
        <w:t>27, </w:t>
      </w:r>
      <w:r>
        <w:rPr>
          <w:color w:val="231F20"/>
          <w:spacing w:val="-5"/>
        </w:rPr>
        <w:t>2002 (File </w:t>
      </w:r>
      <w:r>
        <w:rPr>
          <w:color w:val="231F20"/>
          <w:spacing w:val="-4"/>
        </w:rPr>
        <w:t>No. </w:t>
      </w:r>
      <w:r>
        <w:rPr>
          <w:color w:val="231F20"/>
          <w:spacing w:val="-6"/>
        </w:rPr>
        <w:t>333-98761)).</w:t>
      </w:r>
    </w:p>
    <w:p>
      <w:pPr>
        <w:pStyle w:val="ListParagraph"/>
        <w:numPr>
          <w:ilvl w:val="1"/>
          <w:numId w:val="25"/>
        </w:numPr>
        <w:tabs>
          <w:tab w:pos="849" w:val="left" w:leader="none"/>
          <w:tab w:pos="850" w:val="left" w:leader="none"/>
        </w:tabs>
        <w:spacing w:line="249" w:lineRule="auto" w:before="109" w:after="0"/>
        <w:ind w:left="850" w:right="361" w:hanging="750"/>
        <w:jc w:val="left"/>
        <w:rPr>
          <w:sz w:val="20"/>
        </w:rPr>
      </w:pPr>
      <w:r>
        <w:rPr>
          <w:color w:val="231F20"/>
          <w:sz w:val="20"/>
        </w:rPr>
        <w:t>Southwest Airlines Co. 2002 Bonus SWAPA Non-Qualified Stock Option Plan (incorporated by reference to Exhibit 4.2 to the Company’s Registration Statement on Form S-8 filed August 27, 2002 (File No. 333-98761)).</w:t>
      </w:r>
    </w:p>
    <w:p>
      <w:pPr>
        <w:pStyle w:val="ListParagraph"/>
        <w:numPr>
          <w:ilvl w:val="1"/>
          <w:numId w:val="25"/>
        </w:numPr>
        <w:tabs>
          <w:tab w:pos="849" w:val="left" w:leader="none"/>
          <w:tab w:pos="850" w:val="left" w:leader="none"/>
        </w:tabs>
        <w:spacing w:line="249" w:lineRule="auto" w:before="100" w:after="0"/>
        <w:ind w:left="850" w:right="221" w:hanging="750"/>
        <w:jc w:val="left"/>
        <w:rPr>
          <w:sz w:val="20"/>
        </w:rPr>
      </w:pPr>
      <w:r>
        <w:rPr>
          <w:color w:val="231F20"/>
          <w:sz w:val="20"/>
        </w:rPr>
        <w:t>Southwest Airlines Co. 2002 SWAPIA Non-Qualified Stock Option Plan (incorporated by reference to Exhibit 4.1 to the Company’s Registration Statement on Form S-8 filed October 30,</w:t>
      </w:r>
      <w:r>
        <w:rPr>
          <w:color w:val="231F20"/>
          <w:spacing w:val="6"/>
          <w:sz w:val="20"/>
        </w:rPr>
        <w:t> </w:t>
      </w:r>
      <w:r>
        <w:rPr>
          <w:color w:val="231F20"/>
          <w:sz w:val="20"/>
        </w:rPr>
        <w:t>2002</w:t>
      </w:r>
    </w:p>
    <w:p>
      <w:pPr>
        <w:pStyle w:val="BodyText"/>
        <w:ind w:left="850"/>
      </w:pPr>
      <w:r>
        <w:rPr>
          <w:color w:val="231F20"/>
        </w:rPr>
        <w:t>(File No. 333-100862)).</w:t>
      </w:r>
    </w:p>
    <w:p>
      <w:pPr>
        <w:pStyle w:val="ListParagraph"/>
        <w:numPr>
          <w:ilvl w:val="1"/>
          <w:numId w:val="25"/>
        </w:numPr>
        <w:tabs>
          <w:tab w:pos="849" w:val="left" w:leader="none"/>
          <w:tab w:pos="850" w:val="left" w:leader="none"/>
        </w:tabs>
        <w:spacing w:line="249" w:lineRule="auto" w:before="109" w:after="0"/>
        <w:ind w:left="850" w:right="119" w:hanging="7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850"/>
      </w:pPr>
      <w:r>
        <w:rPr>
          <w:color w:val="231F20"/>
        </w:rPr>
        <w:t>(File No. 333-100862)).</w:t>
      </w:r>
    </w:p>
    <w:p>
      <w:pPr>
        <w:pStyle w:val="ListParagraph"/>
        <w:numPr>
          <w:ilvl w:val="1"/>
          <w:numId w:val="25"/>
        </w:numPr>
        <w:tabs>
          <w:tab w:pos="849" w:val="left" w:leader="none"/>
          <w:tab w:pos="850" w:val="left" w:leader="none"/>
        </w:tabs>
        <w:spacing w:line="249" w:lineRule="auto" w:before="110" w:after="0"/>
        <w:ind w:left="850" w:right="108" w:hanging="7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01" w:after="0"/>
        <w:ind w:left="850" w:right="119" w:hanging="7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 2003 (File No.</w:t>
      </w:r>
      <w:r>
        <w:rPr>
          <w:color w:val="231F20"/>
          <w:spacing w:val="5"/>
          <w:sz w:val="20"/>
        </w:rPr>
        <w:t> </w:t>
      </w:r>
      <w:r>
        <w:rPr>
          <w:color w:val="231F20"/>
          <w:sz w:val="20"/>
        </w:rPr>
        <w:t>333-104245)).</w:t>
      </w:r>
    </w:p>
    <w:p>
      <w:pPr>
        <w:pStyle w:val="ListParagraph"/>
        <w:numPr>
          <w:ilvl w:val="1"/>
          <w:numId w:val="25"/>
        </w:numPr>
        <w:tabs>
          <w:tab w:pos="849" w:val="left" w:leader="none"/>
          <w:tab w:pos="850" w:val="left" w:leader="none"/>
        </w:tabs>
        <w:spacing w:line="249" w:lineRule="auto" w:before="101" w:after="0"/>
        <w:ind w:left="850" w:right="503" w:hanging="7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288" w:hanging="750"/>
        <w:jc w:val="left"/>
        <w:rPr>
          <w:sz w:val="20"/>
        </w:rPr>
      </w:pPr>
      <w:r>
        <w:rPr>
          <w:color w:val="231F20"/>
          <w:sz w:val="20"/>
        </w:rPr>
        <w:t>Southwest Airlines Co. Amended and Restated 2007 Equity Incentive Plan (incorporated by reference to Exhibit 99 to the Company’s Registration Statement on Form S-8 (File No. 333-166980)).</w:t>
      </w:r>
      <w:r>
        <w:rPr>
          <w:color w:val="231F20"/>
          <w:spacing w:val="6"/>
          <w:sz w:val="20"/>
        </w:rPr>
        <w:t> </w:t>
      </w:r>
      <w:r>
        <w:rPr>
          <w:color w:val="231F20"/>
          <w:sz w:val="20"/>
        </w:rPr>
        <w:t>(2)</w:t>
      </w:r>
    </w:p>
    <w:p>
      <w:pPr>
        <w:pStyle w:val="ListParagraph"/>
        <w:numPr>
          <w:ilvl w:val="1"/>
          <w:numId w:val="25"/>
        </w:numPr>
        <w:tabs>
          <w:tab w:pos="850" w:val="left" w:leader="none"/>
        </w:tabs>
        <w:spacing w:line="249" w:lineRule="auto" w:before="101" w:after="0"/>
        <w:ind w:left="850" w:right="135" w:hanging="750"/>
        <w:jc w:val="both"/>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133" w:hanging="750"/>
        <w:jc w:val="left"/>
        <w:rPr>
          <w:sz w:val="20"/>
        </w:rPr>
      </w:pPr>
      <w:r>
        <w:rPr>
          <w:color w:val="231F20"/>
          <w:sz w:val="20"/>
        </w:rPr>
        <w:t>Southwest Airlines Co. Excess Benefit Plan (incorporated by reference to Exhibit 10.32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9" w:hanging="750"/>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9" w:hanging="750"/>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4" w:hanging="750"/>
        <w:jc w:val="left"/>
        <w:rPr>
          <w:sz w:val="20"/>
        </w:rPr>
      </w:pPr>
      <w:r>
        <w:rPr>
          <w:color w:val="231F20"/>
          <w:sz w:val="20"/>
        </w:rPr>
        <w:t>Amended and Restated Southwest Airlines Co. 2005 Excess Benefit Plan (as amended and restated effective for plan years beginning on and after January 1, 2009) (incorporated by reference to</w:t>
      </w:r>
      <w:r>
        <w:rPr>
          <w:color w:val="231F20"/>
          <w:spacing w:val="10"/>
          <w:sz w:val="20"/>
        </w:rPr>
        <w:t> </w:t>
      </w:r>
      <w:r>
        <w:rPr>
          <w:color w:val="231F20"/>
          <w:sz w:val="20"/>
        </w:rPr>
        <w:t>Exhibit</w:t>
      </w:r>
    </w:p>
    <w:p>
      <w:pPr>
        <w:pStyle w:val="BodyText"/>
        <w:spacing w:line="249" w:lineRule="auto" w:before="1"/>
        <w:ind w:left="850" w:right="979"/>
      </w:pPr>
      <w:r>
        <w:rPr>
          <w:color w:val="231F20"/>
        </w:rPr>
        <w:t>10.35 to the Company’s Annual Report on Form 10-K for the year ended December 31, 2008 (File No. 1-7259)). (2)</w:t>
      </w:r>
    </w:p>
    <w:p>
      <w:pPr>
        <w:spacing w:after="0" w:line="249" w:lineRule="auto"/>
        <w:sectPr>
          <w:pgSz w:w="11880" w:h="15480"/>
          <w:pgMar w:header="0" w:footer="1253" w:top="1360" w:bottom="1440" w:left="1280" w:right="1280"/>
        </w:sectPr>
      </w:pPr>
    </w:p>
    <w:p>
      <w:pPr>
        <w:pStyle w:val="ListParagraph"/>
        <w:numPr>
          <w:ilvl w:val="1"/>
          <w:numId w:val="25"/>
        </w:numPr>
        <w:tabs>
          <w:tab w:pos="1268" w:val="left" w:leader="none"/>
          <w:tab w:pos="1269" w:val="left" w:leader="none"/>
        </w:tabs>
        <w:spacing w:line="249" w:lineRule="auto" w:before="73" w:after="0"/>
        <w:ind w:left="1269" w:right="343" w:hanging="11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ListParagraph"/>
        <w:numPr>
          <w:ilvl w:val="1"/>
          <w:numId w:val="25"/>
        </w:numPr>
        <w:tabs>
          <w:tab w:pos="1268" w:val="left" w:leader="none"/>
          <w:tab w:pos="1269" w:val="left" w:leader="none"/>
        </w:tabs>
        <w:spacing w:line="249" w:lineRule="auto" w:before="121" w:after="0"/>
        <w:ind w:left="1269" w:right="104"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ListParagraph"/>
        <w:numPr>
          <w:ilvl w:val="1"/>
          <w:numId w:val="25"/>
        </w:numPr>
        <w:tabs>
          <w:tab w:pos="1268" w:val="left" w:leader="none"/>
          <w:tab w:pos="1269" w:val="left" w:leader="none"/>
        </w:tabs>
        <w:spacing w:line="249" w:lineRule="auto" w:before="121" w:after="0"/>
        <w:ind w:left="1269" w:right="123" w:hanging="11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 (File No. 1-7259)).</w:t>
      </w:r>
    </w:p>
    <w:p>
      <w:pPr>
        <w:pStyle w:val="ListParagraph"/>
        <w:numPr>
          <w:ilvl w:val="1"/>
          <w:numId w:val="25"/>
        </w:numPr>
        <w:tabs>
          <w:tab w:pos="1268" w:val="left" w:leader="none"/>
          <w:tab w:pos="1269" w:val="left" w:leader="none"/>
        </w:tabs>
        <w:spacing w:line="249" w:lineRule="auto" w:before="121" w:after="0"/>
        <w:ind w:left="1269" w:right="100" w:hanging="1149"/>
        <w:jc w:val="left"/>
        <w:rPr>
          <w:sz w:val="20"/>
        </w:rPr>
      </w:pPr>
      <w:r>
        <w:rPr>
          <w:color w:val="231F20"/>
          <w:sz w:val="20"/>
        </w:rPr>
        <w:t>Purchase Agreement No. PA-03729 and Aircraft General Terms Agreement, dated December 13, 2011, between The Boeing Company and the Company (incorporated by reference to Exhibit 10.28 to the Company’s Annual Report on Form 10-K for the year ended December 31, 2011</w:t>
      </w:r>
      <w:r>
        <w:rPr>
          <w:color w:val="231F20"/>
          <w:spacing w:val="1"/>
          <w:sz w:val="20"/>
        </w:rPr>
        <w:t> </w:t>
      </w:r>
      <w:r>
        <w:rPr>
          <w:color w:val="231F20"/>
          <w:sz w:val="20"/>
        </w:rPr>
        <w:t>(File</w:t>
      </w:r>
    </w:p>
    <w:p>
      <w:pPr>
        <w:pStyle w:val="BodyText"/>
        <w:spacing w:before="1"/>
        <w:ind w:left="1268"/>
      </w:pPr>
      <w:r>
        <w:rPr>
          <w:color w:val="231F20"/>
        </w:rPr>
        <w:t>No. 1-7259)). (1)</w:t>
      </w:r>
    </w:p>
    <w:p>
      <w:pPr>
        <w:pStyle w:val="ListParagraph"/>
        <w:numPr>
          <w:ilvl w:val="1"/>
          <w:numId w:val="25"/>
        </w:numPr>
        <w:tabs>
          <w:tab w:pos="1268" w:val="left" w:leader="none"/>
          <w:tab w:pos="1269" w:val="left" w:leader="none"/>
        </w:tabs>
        <w:spacing w:line="249" w:lineRule="auto" w:before="129" w:after="0"/>
        <w:ind w:left="1269" w:right="450" w:hanging="1149"/>
        <w:jc w:val="left"/>
        <w:rPr>
          <w:sz w:val="20"/>
        </w:rPr>
      </w:pPr>
      <w:r>
        <w:rPr>
          <w:color w:val="231F20"/>
          <w:sz w:val="20"/>
        </w:rPr>
        <w:t>Advisory and Non-Compete/Non-Solicitation Agreement, dated February 5, 2013, between the Company and Laura Wright.</w:t>
      </w:r>
      <w:r>
        <w:rPr>
          <w:color w:val="231F20"/>
          <w:spacing w:val="1"/>
          <w:sz w:val="20"/>
        </w:rPr>
        <w:t> </w:t>
      </w:r>
      <w:r>
        <w:rPr>
          <w:color w:val="231F20"/>
          <w:sz w:val="20"/>
        </w:rPr>
        <w:t>(2)</w:t>
      </w:r>
    </w:p>
    <w:p>
      <w:pPr>
        <w:pStyle w:val="ListParagraph"/>
        <w:numPr>
          <w:ilvl w:val="1"/>
          <w:numId w:val="25"/>
        </w:numPr>
        <w:tabs>
          <w:tab w:pos="1268" w:val="left" w:leader="none"/>
          <w:tab w:pos="1269" w:val="left" w:leader="none"/>
        </w:tabs>
        <w:spacing w:line="249" w:lineRule="auto" w:before="120" w:after="0"/>
        <w:ind w:left="1269" w:right="230" w:hanging="1149"/>
        <w:jc w:val="left"/>
        <w:rPr>
          <w:sz w:val="20"/>
        </w:rPr>
      </w:pPr>
      <w:r>
        <w:rPr>
          <w:color w:val="231F20"/>
          <w:sz w:val="20"/>
        </w:rPr>
        <w:t>Southwest Airlines Co. Senior Executive Short Term Incentive Plan (incorporated by reference to Exhibit 99.1 to the Company’s Current Report on Form 8-K dated January 30,</w:t>
      </w:r>
      <w:r>
        <w:rPr>
          <w:color w:val="231F20"/>
          <w:spacing w:val="3"/>
          <w:sz w:val="20"/>
        </w:rPr>
        <w:t> </w:t>
      </w:r>
      <w:r>
        <w:rPr>
          <w:color w:val="231F20"/>
          <w:sz w:val="20"/>
        </w:rPr>
        <w:t>2013</w:t>
      </w:r>
    </w:p>
    <w:p>
      <w:pPr>
        <w:pStyle w:val="BodyText"/>
        <w:ind w:left="1268"/>
      </w:pPr>
      <w:r>
        <w:rPr>
          <w:color w:val="231F20"/>
        </w:rPr>
        <w:t>(File No. 1-7259)). (2)</w:t>
      </w:r>
    </w:p>
    <w:p>
      <w:pPr>
        <w:pStyle w:val="BodyText"/>
        <w:tabs>
          <w:tab w:pos="1268" w:val="left" w:leader="none"/>
        </w:tabs>
        <w:spacing w:before="129"/>
        <w:ind w:left="119"/>
      </w:pPr>
      <w:r>
        <w:rPr>
          <w:color w:val="231F20"/>
        </w:rPr>
        <w:t>21</w:t>
        <w:tab/>
        <w:t>Subsidiaries of the</w:t>
      </w:r>
      <w:r>
        <w:rPr>
          <w:color w:val="231F20"/>
          <w:spacing w:val="2"/>
        </w:rPr>
        <w:t> </w:t>
      </w:r>
      <w:r>
        <w:rPr>
          <w:color w:val="231F20"/>
        </w:rPr>
        <w:t>Company.</w:t>
      </w:r>
    </w:p>
    <w:p>
      <w:pPr>
        <w:pStyle w:val="BodyText"/>
        <w:tabs>
          <w:tab w:pos="1268" w:val="left" w:leader="none"/>
        </w:tabs>
        <w:spacing w:before="129"/>
        <w:ind w:left="119"/>
      </w:pPr>
      <w:r>
        <w:rPr>
          <w:color w:val="231F20"/>
        </w:rPr>
        <w:t>23</w:t>
        <w:tab/>
        <w:t>Consent of Ernst &amp; Young LLP, Independent Registered Public Accounting Firm.</w:t>
      </w:r>
    </w:p>
    <w:p>
      <w:pPr>
        <w:pStyle w:val="ListParagraph"/>
        <w:numPr>
          <w:ilvl w:val="1"/>
          <w:numId w:val="26"/>
        </w:numPr>
        <w:tabs>
          <w:tab w:pos="1268" w:val="left" w:leader="none"/>
          <w:tab w:pos="1269" w:val="left" w:leader="none"/>
        </w:tabs>
        <w:spacing w:line="240" w:lineRule="auto" w:before="129"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6"/>
        </w:numPr>
        <w:tabs>
          <w:tab w:pos="1268" w:val="left" w:leader="none"/>
          <w:tab w:pos="1269" w:val="left" w:leader="none"/>
        </w:tabs>
        <w:spacing w:line="240" w:lineRule="auto" w:before="129"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6"/>
        </w:numPr>
        <w:tabs>
          <w:tab w:pos="1268" w:val="left" w:leader="none"/>
          <w:tab w:pos="1269" w:val="left" w:leader="none"/>
        </w:tabs>
        <w:spacing w:line="376" w:lineRule="auto" w:before="129"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3"/>
        <w:ind w:left="119"/>
      </w:pPr>
      <w:r>
        <w:rPr>
          <w:color w:val="231F20"/>
        </w:rPr>
        <w:t>101.SCH</w:t>
        <w:tab/>
        <w:t>XBRL Taxonomy Extension Schema</w:t>
      </w:r>
      <w:r>
        <w:rPr>
          <w:color w:val="231F20"/>
          <w:spacing w:val="-1"/>
        </w:rPr>
        <w:t> </w:t>
      </w:r>
      <w:r>
        <w:rPr>
          <w:color w:val="231F20"/>
        </w:rPr>
        <w:t>Document</w:t>
      </w:r>
    </w:p>
    <w:p>
      <w:pPr>
        <w:pStyle w:val="BodyText"/>
        <w:tabs>
          <w:tab w:pos="1268" w:val="left" w:leader="none"/>
        </w:tabs>
        <w:spacing w:line="376" w:lineRule="auto" w:before="129"/>
        <w:ind w:left="119"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3"/>
        <w:ind w:left="119"/>
      </w:pPr>
      <w:r>
        <w:rPr/>
        <w:pict>
          <v:line style="position:absolute;mso-position-horizontal-relative:page;mso-position-vertical-relative:paragraph;z-index:8056;mso-wrap-distance-left:0;mso-wrap-distance-right:0" from="69pt,17.235937pt" to="141pt,17.235937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7"/>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27"/>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7"/>
        </w:numPr>
        <w:tabs>
          <w:tab w:pos="609" w:val="left" w:leader="none"/>
          <w:tab w:pos="610" w:val="left" w:leader="none"/>
        </w:tabs>
        <w:spacing w:line="249" w:lineRule="auto" w:before="10" w:after="0"/>
        <w:ind w:left="610" w:right="15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1"/>
      </w:pPr>
    </w:p>
    <w:p>
      <w:pPr>
        <w:pStyle w:val="BodyText"/>
        <w:spacing w:line="249" w:lineRule="auto"/>
        <w:ind w:left="120" w:right="19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53" w:top="1360" w:bottom="1440" w:left="1260" w:right="1280"/>
        </w:sectPr>
      </w:pPr>
    </w:p>
    <w:p>
      <w:pPr>
        <w:pStyle w:val="Heading3"/>
        <w:spacing w:before="73"/>
        <w:ind w:left="2025" w:right="1943"/>
        <w:jc w:val="center"/>
      </w:pPr>
      <w:bookmarkStart w:name="_TOC_250000" w:id="50"/>
      <w:bookmarkStart w:name="Signatures" w:id="51"/>
      <w:r>
        <w:rPr>
          <w:b w:val="0"/>
        </w:rPr>
      </w:r>
      <w:bookmarkEnd w:id="50"/>
      <w:r>
        <w:rPr>
          <w:color w:val="231F20"/>
        </w:rPr>
        <w:t>SIGNATURES</w:t>
      </w:r>
    </w:p>
    <w:p>
      <w:pPr>
        <w:pStyle w:val="BodyText"/>
        <w:spacing w:before="8"/>
        <w:rPr>
          <w:b/>
          <w:sz w:val="21"/>
        </w:rPr>
      </w:pPr>
    </w:p>
    <w:p>
      <w:pPr>
        <w:pStyle w:val="BodyText"/>
        <w:spacing w:line="249" w:lineRule="auto"/>
        <w:ind w:left="120" w:right="196" w:firstLine="49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10"/>
      </w:pPr>
    </w:p>
    <w:p>
      <w:pPr>
        <w:pStyle w:val="BodyText"/>
        <w:spacing w:before="1"/>
        <w:ind w:left="4460"/>
      </w:pPr>
      <w:r>
        <w:rPr>
          <w:color w:val="231F20"/>
        </w:rPr>
        <w:t>SOUTHWEST AIRLINES CO.</w:t>
      </w:r>
    </w:p>
    <w:p>
      <w:pPr>
        <w:pStyle w:val="BodyText"/>
        <w:spacing w:before="8"/>
        <w:rPr>
          <w:sz w:val="21"/>
        </w:rPr>
      </w:pPr>
    </w:p>
    <w:p>
      <w:pPr>
        <w:pStyle w:val="BodyText"/>
        <w:tabs>
          <w:tab w:pos="4409" w:val="left" w:leader="none"/>
          <w:tab w:pos="6036" w:val="left" w:leader="none"/>
          <w:tab w:pos="6426" w:val="left" w:leader="none"/>
          <w:tab w:pos="9079" w:val="left" w:leader="none"/>
        </w:tabs>
        <w:ind w:left="20"/>
        <w:jc w:val="center"/>
      </w:pPr>
      <w:r>
        <w:rPr>
          <w:color w:val="231F20"/>
        </w:rPr>
        <w:t>February</w:t>
      </w:r>
      <w:r>
        <w:rPr>
          <w:color w:val="231F20"/>
          <w:spacing w:val="1"/>
        </w:rPr>
        <w:t> </w:t>
      </w:r>
      <w:r>
        <w:rPr>
          <w:color w:val="231F20"/>
        </w:rPr>
        <w:t>6, 2013</w:t>
        <w:tab/>
      </w:r>
      <w:r>
        <w:rPr>
          <w:color w:val="231F20"/>
          <w:position w:val="-5"/>
        </w:rPr>
        <w:t>By:</w:t>
      </w: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
        <w:ind w:left="0" w:right="1748" w:firstLine="0"/>
        <w:jc w:val="right"/>
        <w:rPr>
          <w:b/>
          <w:sz w:val="16"/>
        </w:rPr>
      </w:pPr>
      <w:r>
        <w:rPr>
          <w:b/>
          <w:color w:val="231F20"/>
          <w:sz w:val="16"/>
        </w:rPr>
        <w:t>Tammy Romo</w:t>
      </w:r>
    </w:p>
    <w:p>
      <w:pPr>
        <w:spacing w:line="261" w:lineRule="auto" w:before="15"/>
        <w:ind w:left="6010" w:right="1210" w:firstLine="0"/>
        <w:jc w:val="center"/>
        <w:rPr>
          <w:b/>
          <w:sz w:val="16"/>
        </w:rPr>
      </w:pPr>
      <w:r>
        <w:rPr>
          <w:b/>
          <w:color w:val="231F20"/>
          <w:sz w:val="16"/>
        </w:rPr>
        <w:t>Senior Vice President Finance &amp; Chief Financial Officer</w:t>
      </w:r>
    </w:p>
    <w:p>
      <w:pPr>
        <w:pStyle w:val="BodyText"/>
        <w:spacing w:before="9"/>
        <w:rPr>
          <w:b/>
          <w:sz w:val="15"/>
        </w:rPr>
      </w:pPr>
    </w:p>
    <w:p>
      <w:pPr>
        <w:pStyle w:val="BodyText"/>
        <w:spacing w:line="249" w:lineRule="auto" w:before="1"/>
        <w:ind w:left="120" w:right="141" w:firstLine="490"/>
      </w:pPr>
      <w:r>
        <w:rPr>
          <w:color w:val="231F20"/>
        </w:rPr>
        <w:t>Pursuant to the requirements of the Securities Exchange Act of 1934, this report has been signed below by the following persons on February 6, 2013, on behalf of the registrant and in the capacities indicated.</w:t>
      </w:r>
    </w:p>
    <w:p>
      <w:pPr>
        <w:tabs>
          <w:tab w:pos="4732" w:val="left" w:leader="none"/>
        </w:tabs>
        <w:spacing w:before="138"/>
        <w:ind w:left="0" w:right="92" w:firstLine="0"/>
        <w:jc w:val="center"/>
        <w:rPr>
          <w:b/>
          <w:sz w:val="16"/>
        </w:rPr>
      </w:pPr>
      <w:r>
        <w:rPr/>
        <w:pict>
          <v:line style="position:absolute;mso-position-horizontal-relative:page;mso-position-vertical-relative:paragraph;z-index:8080;mso-wrap-distance-left:0;mso-wrap-distance-right:0" from="69pt,17.868750pt" to="297pt,17.868750pt" stroked="true" strokeweight="1pt" strokecolor="#231f20">
            <v:stroke dashstyle="solid"/>
            <w10:wrap type="topAndBottom"/>
          </v:line>
        </w:pict>
      </w:r>
      <w:r>
        <w:rPr/>
        <w:pict>
          <v:line style="position:absolute;mso-position-horizontal-relative:page;mso-position-vertical-relative:paragraph;z-index:8104;mso-wrap-distance-left:0;mso-wrap-distance-right:0" from="309pt,17.868750pt" to="513pt,17.868750pt" stroked="true" strokeweight="1pt" strokecolor="#231f20">
            <v:stroke dashstyle="solid"/>
            <w10:wrap type="topAndBottom"/>
          </v:line>
        </w:pict>
      </w:r>
      <w:r>
        <w:rPr>
          <w:b/>
          <w:color w:val="231F20"/>
          <w:sz w:val="16"/>
        </w:rPr>
        <w:t>Signature</w:t>
        <w:tab/>
        <w:t>Title</w:t>
      </w:r>
    </w:p>
    <w:p>
      <w:pPr>
        <w:pStyle w:val="BodyText"/>
        <w:spacing w:before="2"/>
        <w:rPr>
          <w:b/>
          <w:sz w:val="15"/>
        </w:rPr>
      </w:pPr>
    </w:p>
    <w:p>
      <w:pPr>
        <w:spacing w:after="0"/>
        <w:rPr>
          <w:sz w:val="15"/>
        </w:rPr>
        <w:sectPr>
          <w:pgSz w:w="11880" w:h="15480"/>
          <w:pgMar w:header="0" w:footer="1253" w:top="1240" w:bottom="1440" w:left="1260" w:right="1340"/>
        </w:sectPr>
      </w:pPr>
    </w:p>
    <w:p>
      <w:pPr>
        <w:pStyle w:val="BodyText"/>
        <w:tabs>
          <w:tab w:pos="1253" w:val="left" w:leader="none"/>
          <w:tab w:pos="1643" w:val="left" w:leader="none"/>
          <w:tab w:pos="4679" w:val="left" w:leader="none"/>
        </w:tabs>
        <w:spacing w:before="89"/>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89"/>
        <w:ind w:left="320" w:right="330"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296" w:val="left" w:leader="none"/>
          <w:tab w:pos="1686" w:val="left" w:leader="none"/>
          <w:tab w:pos="4679" w:val="left" w:leader="none"/>
        </w:tabs>
        <w:spacing w:before="89"/>
        <w:ind w:left="120"/>
        <w:jc w:val="center"/>
      </w:pP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7"/>
        <w:ind w:left="119" w:right="0" w:firstLine="0"/>
        <w:jc w:val="center"/>
        <w:rPr>
          <w:b/>
          <w:sz w:val="16"/>
        </w:rPr>
      </w:pPr>
      <w:r>
        <w:rPr>
          <w:b/>
          <w:color w:val="231F20"/>
          <w:sz w:val="16"/>
        </w:rPr>
        <w:t>Tammy Romo</w:t>
      </w:r>
    </w:p>
    <w:p>
      <w:pPr>
        <w:pStyle w:val="BodyText"/>
        <w:spacing w:line="249" w:lineRule="auto" w:before="89"/>
        <w:ind w:left="320" w:right="418"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340"/>
          <w:cols w:num="2" w:equalWidth="0">
            <w:col w:w="4680" w:space="120"/>
            <w:col w:w="4480"/>
          </w:cols>
        </w:sectPr>
      </w:pPr>
    </w:p>
    <w:p>
      <w:pPr>
        <w:pStyle w:val="BodyText"/>
        <w:spacing w:before="2"/>
        <w:rPr>
          <w:sz w:val="13"/>
        </w:rPr>
      </w:pPr>
    </w:p>
    <w:p>
      <w:pPr>
        <w:spacing w:after="0"/>
        <w:rPr>
          <w:sz w:val="13"/>
        </w:rPr>
        <w:sectPr>
          <w:type w:val="continuous"/>
          <w:pgSz w:w="11880" w:h="15480"/>
          <w:pgMar w:top="1200" w:bottom="280" w:left="1260" w:right="1340"/>
        </w:sectPr>
      </w:pPr>
    </w:p>
    <w:p>
      <w:pPr>
        <w:pStyle w:val="BodyText"/>
        <w:tabs>
          <w:tab w:pos="1091" w:val="left" w:leader="none"/>
          <w:tab w:pos="1481" w:val="left" w:leader="none"/>
          <w:tab w:pos="4679" w:val="left" w:leader="none"/>
        </w:tabs>
        <w:spacing w:before="89"/>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9"/>
        <w:rPr>
          <w:sz w:val="14"/>
        </w:rPr>
      </w:pPr>
    </w:p>
    <w:p>
      <w:pPr>
        <w:spacing w:after="0"/>
        <w:rPr>
          <w:sz w:val="14"/>
        </w:rPr>
        <w:sectPr>
          <w:type w:val="continuous"/>
          <w:pgSz w:w="11880" w:h="15480"/>
          <w:pgMar w:top="1200" w:bottom="280" w:left="1260" w:right="1340"/>
        </w:sectPr>
      </w:pPr>
    </w:p>
    <w:p>
      <w:pPr>
        <w:pStyle w:val="BodyText"/>
        <w:tabs>
          <w:tab w:pos="969" w:val="left" w:leader="none"/>
          <w:tab w:pos="1359" w:val="left" w:leader="none"/>
          <w:tab w:pos="4679" w:val="left" w:leader="none"/>
        </w:tabs>
        <w:spacing w:before="89"/>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976" w:val="left" w:leader="none"/>
          <w:tab w:pos="1366" w:val="left" w:leader="none"/>
          <w:tab w:pos="4679" w:val="left" w:leader="none"/>
        </w:tabs>
        <w:spacing w:before="89"/>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1" w:space="119"/>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719" w:val="left" w:leader="none"/>
          <w:tab w:pos="1109" w:val="left" w:leader="none"/>
          <w:tab w:pos="4679" w:val="left" w:leader="none"/>
        </w:tabs>
        <w:spacing w:before="89"/>
        <w:ind w:left="120"/>
        <w:jc w:val="center"/>
      </w:pPr>
      <w:r>
        <w:rPr>
          <w:color w:val="231F20"/>
          <w:u w:val="single" w:color="231F20"/>
        </w:rPr>
        <w:t> </w:t>
        <w:tab/>
        <w:t>/s/</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164" w:val="left" w:leader="none"/>
          <w:tab w:pos="1554" w:val="left" w:leader="none"/>
          <w:tab w:pos="4679" w:val="left" w:leader="none"/>
        </w:tabs>
        <w:spacing w:before="90"/>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0"/>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14" w:val="left" w:leader="none"/>
          <w:tab w:pos="1404" w:val="left" w:leader="none"/>
          <w:tab w:pos="4679" w:val="left" w:leader="none"/>
        </w:tabs>
        <w:spacing w:before="89"/>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53" w:val="left" w:leader="none"/>
          <w:tab w:pos="1443" w:val="left" w:leader="none"/>
          <w:tab w:pos="4679" w:val="left" w:leader="none"/>
        </w:tabs>
        <w:spacing w:before="89"/>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08" w:val="left" w:leader="none"/>
          <w:tab w:pos="1398" w:val="left" w:leader="none"/>
          <w:tab w:pos="4679" w:val="left" w:leader="none"/>
        </w:tabs>
        <w:spacing w:before="90"/>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0"/>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837" w:val="left" w:leader="none"/>
          <w:tab w:pos="1227" w:val="left" w:leader="none"/>
          <w:tab w:pos="4679" w:val="left" w:leader="none"/>
        </w:tabs>
        <w:spacing w:before="89"/>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Heading1"/>
        <w:ind w:left="1311" w:right="1328"/>
      </w:pPr>
      <w:r>
        <w:rPr>
          <w:color w:val="231F20"/>
        </w:rPr>
        <w:t>BOARD OF DIRECTORS</w:t>
      </w:r>
    </w:p>
    <w:p>
      <w:pPr>
        <w:pStyle w:val="BodyText"/>
        <w:rPr>
          <w:rFonts w:ascii="Arial"/>
          <w:b/>
        </w:rPr>
      </w:pPr>
    </w:p>
    <w:p>
      <w:pPr>
        <w:spacing w:after="0"/>
        <w:rPr>
          <w:rFonts w:ascii="Arial"/>
        </w:rPr>
        <w:sectPr>
          <w:footerReference w:type="default" r:id="rId25"/>
          <w:pgSz w:w="11880" w:h="15480"/>
          <w:pgMar w:footer="0" w:header="0" w:top="660" w:bottom="280" w:left="1280" w:right="1260"/>
        </w:sectPr>
      </w:pPr>
    </w:p>
    <w:p>
      <w:pPr>
        <w:pStyle w:val="BodyText"/>
        <w:spacing w:before="8"/>
        <w:rPr>
          <w:rFonts w:ascii="Arial"/>
          <w:b/>
          <w:sz w:val="21"/>
        </w:rPr>
      </w:pPr>
    </w:p>
    <w:p>
      <w:pPr>
        <w:spacing w:before="1"/>
        <w:ind w:left="100" w:right="0" w:firstLine="0"/>
        <w:jc w:val="left"/>
        <w:rPr>
          <w:rFonts w:ascii="Arial"/>
          <w:b/>
          <w:sz w:val="18"/>
        </w:rPr>
      </w:pPr>
      <w:r>
        <w:rPr>
          <w:rFonts w:ascii="Arial"/>
          <w:b/>
          <w:color w:val="231F20"/>
          <w:sz w:val="18"/>
        </w:rPr>
        <w:t>DAVID W. BIEGLER</w:t>
      </w:r>
    </w:p>
    <w:p>
      <w:pPr>
        <w:spacing w:line="254" w:lineRule="auto" w:before="93"/>
        <w:ind w:left="100" w:right="627" w:firstLine="0"/>
        <w:jc w:val="both"/>
        <w:rPr>
          <w:rFonts w:ascii="Arial"/>
          <w:sz w:val="18"/>
        </w:rPr>
      </w:pPr>
      <w:r>
        <w:rPr>
          <w:rFonts w:ascii="Arial"/>
          <w:color w:val="231F20"/>
          <w:sz w:val="18"/>
        </w:rPr>
        <w:t>Chairman, President, and Chief Executive Officer Southcross Energy Partners GP, LLC (midstream natural gas company)</w:t>
      </w:r>
    </w:p>
    <w:p>
      <w:pPr>
        <w:spacing w:before="1"/>
        <w:ind w:left="100" w:right="0" w:firstLine="0"/>
        <w:jc w:val="left"/>
        <w:rPr>
          <w:rFonts w:ascii="Arial"/>
          <w:sz w:val="18"/>
        </w:rPr>
      </w:pPr>
      <w:r>
        <w:rPr>
          <w:rFonts w:ascii="Arial"/>
          <w:color w:val="231F20"/>
          <w:sz w:val="18"/>
        </w:rPr>
        <w:t>Retired Vice Chairman of TXU Corp.</w:t>
      </w:r>
    </w:p>
    <w:p>
      <w:pPr>
        <w:spacing w:line="254" w:lineRule="auto" w:before="13"/>
        <w:ind w:left="100" w:right="388" w:firstLine="0"/>
        <w:jc w:val="left"/>
        <w:rPr>
          <w:rFonts w:ascii="Arial"/>
          <w:i/>
          <w:sz w:val="18"/>
        </w:rPr>
      </w:pPr>
      <w:r>
        <w:rPr>
          <w:rFonts w:ascii="Arial"/>
          <w:i/>
          <w:color w:val="231F20"/>
          <w:sz w:val="18"/>
        </w:rPr>
        <w:t>Audit Committee, Compensation Committee (Chair), </w:t>
      </w:r>
      <w:r>
        <w:rPr>
          <w:rFonts w:ascii="Arial"/>
          <w:i/>
          <w:color w:val="231F20"/>
          <w:sz w:val="18"/>
        </w:rPr>
        <w:t>and Safety and Compliance Oversight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J. VERONICA BIGGINS</w:t>
      </w:r>
    </w:p>
    <w:p>
      <w:pPr>
        <w:spacing w:before="93"/>
        <w:ind w:left="100" w:right="0" w:firstLine="0"/>
        <w:jc w:val="left"/>
        <w:rPr>
          <w:rFonts w:ascii="Arial"/>
          <w:sz w:val="18"/>
        </w:rPr>
      </w:pPr>
      <w:r>
        <w:rPr>
          <w:rFonts w:ascii="Arial"/>
          <w:color w:val="231F20"/>
          <w:sz w:val="18"/>
        </w:rPr>
        <w:t>Managing Director</w:t>
      </w:r>
    </w:p>
    <w:p>
      <w:pPr>
        <w:spacing w:before="13"/>
        <w:ind w:left="100" w:right="0" w:firstLine="0"/>
        <w:jc w:val="left"/>
        <w:rPr>
          <w:rFonts w:ascii="Arial"/>
          <w:sz w:val="18"/>
        </w:rPr>
      </w:pPr>
      <w:r>
        <w:rPr>
          <w:rFonts w:ascii="Arial"/>
          <w:color w:val="231F20"/>
          <w:sz w:val="18"/>
        </w:rPr>
        <w:t>Diversified Search LLC (executive and board search</w:t>
      </w:r>
      <w:r>
        <w:rPr>
          <w:rFonts w:ascii="Arial"/>
          <w:color w:val="231F20"/>
          <w:spacing w:val="-8"/>
          <w:sz w:val="18"/>
        </w:rPr>
        <w:t> </w:t>
      </w:r>
      <w:r>
        <w:rPr>
          <w:rFonts w:ascii="Arial"/>
          <w:color w:val="231F20"/>
          <w:sz w:val="18"/>
        </w:rPr>
        <w:t>firm)</w:t>
      </w:r>
    </w:p>
    <w:p>
      <w:pPr>
        <w:spacing w:before="13"/>
        <w:ind w:left="100" w:right="0" w:firstLine="0"/>
        <w:jc w:val="left"/>
        <w:rPr>
          <w:rFonts w:ascii="Arial"/>
          <w:i/>
          <w:sz w:val="18"/>
        </w:rPr>
      </w:pPr>
      <w:r>
        <w:rPr>
          <w:rFonts w:ascii="Arial"/>
          <w:i/>
          <w:color w:val="231F20"/>
          <w:sz w:val="18"/>
        </w:rPr>
        <w:t>Compensation Committee</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DOUGLAS H. BROOKS</w:t>
      </w:r>
    </w:p>
    <w:p>
      <w:pPr>
        <w:spacing w:before="92"/>
        <w:ind w:left="100" w:right="0" w:firstLine="0"/>
        <w:jc w:val="left"/>
        <w:rPr>
          <w:rFonts w:ascii="Arial"/>
          <w:sz w:val="18"/>
        </w:rPr>
      </w:pPr>
      <w:r>
        <w:rPr>
          <w:rFonts w:ascii="Arial"/>
          <w:color w:val="231F20"/>
          <w:sz w:val="18"/>
        </w:rPr>
        <w:t>Chairman of the Board</w:t>
      </w:r>
    </w:p>
    <w:p>
      <w:pPr>
        <w:spacing w:line="254" w:lineRule="auto" w:before="12"/>
        <w:ind w:left="100" w:right="527" w:firstLine="0"/>
        <w:jc w:val="left"/>
        <w:rPr>
          <w:rFonts w:ascii="Arial"/>
          <w:sz w:val="18"/>
        </w:rPr>
      </w:pPr>
      <w:r>
        <w:rPr>
          <w:rFonts w:ascii="Arial"/>
          <w:color w:val="231F20"/>
          <w:sz w:val="18"/>
        </w:rPr>
        <w:t>Brinker International, Inc. (casual dining restaurant company)</w:t>
      </w:r>
    </w:p>
    <w:p>
      <w:pPr>
        <w:spacing w:before="0"/>
        <w:ind w:left="100" w:right="0" w:firstLine="0"/>
        <w:jc w:val="left"/>
        <w:rPr>
          <w:rFonts w:ascii="Arial"/>
          <w:i/>
          <w:sz w:val="18"/>
        </w:rPr>
      </w:pPr>
      <w:r>
        <w:rPr>
          <w:rFonts w:ascii="Arial"/>
          <w:i/>
          <w:color w:val="231F20"/>
          <w:sz w:val="18"/>
        </w:rPr>
        <w:t>Nominating and Corporate Governance Committee</w:t>
      </w:r>
    </w:p>
    <w:p>
      <w:pPr>
        <w:pStyle w:val="BodyText"/>
        <w:spacing w:before="10"/>
        <w:rPr>
          <w:rFonts w:ascii="Arial"/>
          <w:i/>
          <w:sz w:val="21"/>
        </w:rPr>
      </w:pPr>
    </w:p>
    <w:p>
      <w:pPr>
        <w:spacing w:before="1"/>
        <w:ind w:left="100" w:right="0" w:firstLine="0"/>
        <w:jc w:val="left"/>
        <w:rPr>
          <w:rFonts w:ascii="Arial"/>
          <w:b/>
          <w:sz w:val="18"/>
        </w:rPr>
      </w:pPr>
      <w:r>
        <w:rPr>
          <w:rFonts w:ascii="Arial"/>
          <w:b/>
          <w:color w:val="231F20"/>
          <w:sz w:val="18"/>
        </w:rPr>
        <w:t>WILLIAM H. CUNNINGHAM, PHD</w:t>
      </w:r>
    </w:p>
    <w:p>
      <w:pPr>
        <w:spacing w:before="13"/>
        <w:ind w:left="100" w:right="0" w:firstLine="0"/>
        <w:jc w:val="left"/>
        <w:rPr>
          <w:rFonts w:ascii="Arial"/>
          <w:b/>
          <w:sz w:val="18"/>
        </w:rPr>
      </w:pPr>
      <w:r>
        <w:rPr>
          <w:rFonts w:ascii="Arial"/>
          <w:b/>
          <w:color w:val="231F20"/>
          <w:sz w:val="18"/>
        </w:rPr>
        <w:t>(Presiding Director)</w:t>
      </w:r>
    </w:p>
    <w:p>
      <w:pPr>
        <w:spacing w:before="93"/>
        <w:ind w:left="100" w:right="0" w:firstLine="0"/>
        <w:jc w:val="left"/>
        <w:rPr>
          <w:rFonts w:ascii="Arial"/>
          <w:sz w:val="18"/>
        </w:rPr>
      </w:pPr>
      <w:r>
        <w:rPr>
          <w:rFonts w:ascii="Arial"/>
          <w:color w:val="231F20"/>
          <w:sz w:val="18"/>
        </w:rPr>
        <w:t>James L. Bayless Chair for Free Enterprise</w:t>
      </w:r>
    </w:p>
    <w:p>
      <w:pPr>
        <w:spacing w:line="254" w:lineRule="auto" w:before="13"/>
        <w:ind w:left="100" w:right="668" w:firstLine="0"/>
        <w:jc w:val="left"/>
        <w:rPr>
          <w:rFonts w:ascii="Arial"/>
          <w:sz w:val="18"/>
        </w:rPr>
      </w:pPr>
      <w:r>
        <w:rPr>
          <w:rFonts w:ascii="Arial"/>
          <w:color w:val="231F20"/>
          <w:sz w:val="18"/>
        </w:rPr>
        <w:t>The University of Texas at Austin Red McCombs School of Business</w:t>
      </w:r>
    </w:p>
    <w:p>
      <w:pPr>
        <w:spacing w:line="254" w:lineRule="auto" w:before="1"/>
        <w:ind w:left="100" w:right="268" w:firstLine="0"/>
        <w:jc w:val="left"/>
        <w:rPr>
          <w:rFonts w:ascii="Arial"/>
          <w:i/>
          <w:sz w:val="18"/>
        </w:rPr>
      </w:pPr>
      <w:r>
        <w:rPr>
          <w:rFonts w:ascii="Arial"/>
          <w:color w:val="231F20"/>
          <w:sz w:val="18"/>
        </w:rPr>
        <w:t>Former Chancellor of The University of Texas System </w:t>
      </w:r>
      <w:r>
        <w:rPr>
          <w:rFonts w:ascii="Arial"/>
          <w:i/>
          <w:color w:val="231F20"/>
          <w:sz w:val="18"/>
        </w:rPr>
        <w:t>Audit Committee, Nominating and Corporate </w:t>
      </w:r>
      <w:r>
        <w:rPr>
          <w:rFonts w:ascii="Arial"/>
          <w:i/>
          <w:color w:val="231F20"/>
          <w:sz w:val="18"/>
        </w:rPr>
        <w:t>Governance Committee (Chair), and Executive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JOHN G. DENISON</w:t>
      </w:r>
    </w:p>
    <w:p>
      <w:pPr>
        <w:spacing w:before="93"/>
        <w:ind w:left="100" w:right="0" w:firstLine="0"/>
        <w:jc w:val="left"/>
        <w:rPr>
          <w:rFonts w:ascii="Arial"/>
          <w:sz w:val="18"/>
        </w:rPr>
      </w:pPr>
      <w:r>
        <w:rPr>
          <w:rFonts w:ascii="Arial"/>
          <w:color w:val="231F20"/>
          <w:sz w:val="18"/>
        </w:rPr>
        <w:t>Former Chairman of the Board</w:t>
      </w:r>
    </w:p>
    <w:p>
      <w:pPr>
        <w:spacing w:line="254" w:lineRule="auto" w:before="13"/>
        <w:ind w:left="100" w:right="698" w:firstLine="0"/>
        <w:jc w:val="left"/>
        <w:rPr>
          <w:rFonts w:ascii="Arial"/>
          <w:sz w:val="18"/>
        </w:rPr>
      </w:pPr>
      <w:r>
        <w:rPr>
          <w:rFonts w:ascii="Arial"/>
          <w:color w:val="231F20"/>
          <w:sz w:val="18"/>
        </w:rPr>
        <w:t>Global Aero Logistics Inc. (diversified passenger airline)</w:t>
      </w:r>
    </w:p>
    <w:p>
      <w:pPr>
        <w:spacing w:line="254" w:lineRule="auto" w:before="1"/>
        <w:ind w:left="100" w:right="438" w:firstLine="0"/>
        <w:jc w:val="left"/>
        <w:rPr>
          <w:rFonts w:ascii="Arial"/>
          <w:i/>
          <w:sz w:val="18"/>
        </w:rPr>
      </w:pPr>
      <w:r>
        <w:rPr>
          <w:rFonts w:ascii="Arial"/>
          <w:i/>
          <w:color w:val="231F20"/>
          <w:sz w:val="18"/>
        </w:rPr>
        <w:t>Audit Committee, Safety and Compliance Oversight </w:t>
      </w:r>
      <w:r>
        <w:rPr>
          <w:rFonts w:ascii="Arial"/>
          <w:i/>
          <w:color w:val="231F20"/>
          <w:sz w:val="18"/>
        </w:rPr>
        <w:t>Committee (Chair), and Executive Committee</w:t>
      </w:r>
    </w:p>
    <w:p>
      <w:pPr>
        <w:pStyle w:val="BodyText"/>
        <w:spacing w:before="8"/>
        <w:rPr>
          <w:rFonts w:ascii="Arial"/>
          <w:i/>
          <w:sz w:val="21"/>
        </w:rPr>
      </w:pPr>
      <w:r>
        <w:rPr/>
        <w:br w:type="column"/>
      </w:r>
      <w:r>
        <w:rPr>
          <w:rFonts w:ascii="Arial"/>
          <w:i/>
          <w:sz w:val="21"/>
        </w:rPr>
      </w:r>
    </w:p>
    <w:p>
      <w:pPr>
        <w:spacing w:before="1"/>
        <w:ind w:left="100" w:right="0" w:firstLine="0"/>
        <w:jc w:val="left"/>
        <w:rPr>
          <w:rFonts w:ascii="Arial"/>
          <w:b/>
          <w:sz w:val="18"/>
        </w:rPr>
      </w:pPr>
      <w:r>
        <w:rPr>
          <w:rFonts w:ascii="Arial"/>
          <w:b/>
          <w:color w:val="231F20"/>
          <w:sz w:val="18"/>
        </w:rPr>
        <w:t>GARY C. KELLY</w:t>
      </w:r>
    </w:p>
    <w:p>
      <w:pPr>
        <w:spacing w:line="254" w:lineRule="auto" w:before="93"/>
        <w:ind w:left="100" w:right="137" w:firstLine="0"/>
        <w:jc w:val="left"/>
        <w:rPr>
          <w:rFonts w:ascii="Arial"/>
          <w:sz w:val="18"/>
        </w:rPr>
      </w:pPr>
      <w:r>
        <w:rPr>
          <w:rFonts w:ascii="Arial"/>
          <w:color w:val="231F20"/>
          <w:sz w:val="18"/>
        </w:rPr>
        <w:t>Chairman of the Board, President, and Chief Executive Officer Southwest Airlines Co.</w:t>
      </w:r>
    </w:p>
    <w:p>
      <w:pPr>
        <w:spacing w:before="1"/>
        <w:ind w:left="100" w:right="0" w:firstLine="0"/>
        <w:jc w:val="left"/>
        <w:rPr>
          <w:rFonts w:ascii="Arial"/>
          <w:i/>
          <w:sz w:val="18"/>
        </w:rPr>
      </w:pPr>
      <w:r>
        <w:rPr>
          <w:rFonts w:ascii="Arial"/>
          <w:i/>
          <w:color w:val="231F20"/>
          <w:sz w:val="18"/>
        </w:rPr>
        <w:t>Executive Committee (Chair)</w:t>
      </w:r>
    </w:p>
    <w:p>
      <w:pPr>
        <w:pStyle w:val="BodyText"/>
        <w:rPr>
          <w:rFonts w:ascii="Arial"/>
          <w:i/>
          <w:sz w:val="22"/>
        </w:rPr>
      </w:pPr>
    </w:p>
    <w:p>
      <w:pPr>
        <w:spacing w:before="0"/>
        <w:ind w:left="100" w:right="0" w:firstLine="0"/>
        <w:jc w:val="left"/>
        <w:rPr>
          <w:rFonts w:ascii="Arial"/>
          <w:b/>
          <w:sz w:val="18"/>
        </w:rPr>
      </w:pPr>
      <w:r>
        <w:rPr>
          <w:rFonts w:ascii="Arial"/>
          <w:b/>
          <w:color w:val="231F20"/>
          <w:sz w:val="18"/>
        </w:rPr>
        <w:t>NANCY B. LOEFFLER</w:t>
      </w:r>
    </w:p>
    <w:p>
      <w:pPr>
        <w:spacing w:line="254" w:lineRule="auto" w:before="93"/>
        <w:ind w:left="100" w:right="288" w:firstLine="0"/>
        <w:jc w:val="left"/>
        <w:rPr>
          <w:rFonts w:ascii="Arial"/>
          <w:sz w:val="18"/>
        </w:rPr>
      </w:pPr>
      <w:r>
        <w:rPr>
          <w:rFonts w:ascii="Arial"/>
          <w:color w:val="231F20"/>
          <w:sz w:val="18"/>
        </w:rPr>
        <w:t>Consultant for Frost Bank and member of Frost Bank Advisory Board</w:t>
      </w:r>
    </w:p>
    <w:p>
      <w:pPr>
        <w:spacing w:before="1"/>
        <w:ind w:left="100" w:right="0" w:firstLine="0"/>
        <w:jc w:val="left"/>
        <w:rPr>
          <w:rFonts w:ascii="Arial"/>
          <w:sz w:val="18"/>
        </w:rPr>
      </w:pPr>
      <w:r>
        <w:rPr>
          <w:rFonts w:ascii="Arial"/>
          <w:color w:val="231F20"/>
          <w:sz w:val="18"/>
        </w:rPr>
        <w:t>Long-time advocate of volunteerism</w:t>
      </w:r>
    </w:p>
    <w:p>
      <w:pPr>
        <w:spacing w:before="13"/>
        <w:ind w:left="100" w:right="0" w:firstLine="0"/>
        <w:jc w:val="left"/>
        <w:rPr>
          <w:rFonts w:ascii="Arial"/>
          <w:i/>
          <w:sz w:val="18"/>
        </w:rPr>
      </w:pPr>
      <w:r>
        <w:rPr>
          <w:rFonts w:ascii="Arial"/>
          <w:i/>
          <w:color w:val="231F20"/>
          <w:sz w:val="18"/>
        </w:rPr>
        <w:t>Compensation Committee</w:t>
      </w:r>
    </w:p>
    <w:p>
      <w:pPr>
        <w:pStyle w:val="BodyText"/>
        <w:rPr>
          <w:rFonts w:ascii="Arial"/>
          <w:i/>
          <w:sz w:val="22"/>
        </w:rPr>
      </w:pPr>
    </w:p>
    <w:p>
      <w:pPr>
        <w:spacing w:before="0"/>
        <w:ind w:left="100" w:right="0" w:firstLine="0"/>
        <w:jc w:val="left"/>
        <w:rPr>
          <w:rFonts w:ascii="Arial"/>
          <w:b/>
          <w:sz w:val="18"/>
        </w:rPr>
      </w:pPr>
      <w:r>
        <w:rPr>
          <w:rFonts w:ascii="Arial"/>
          <w:b/>
          <w:color w:val="231F20"/>
          <w:sz w:val="18"/>
        </w:rPr>
        <w:t>JOHN T. MONTFORD</w:t>
      </w:r>
    </w:p>
    <w:p>
      <w:pPr>
        <w:spacing w:line="254" w:lineRule="auto" w:before="93"/>
        <w:ind w:left="100" w:right="1518" w:firstLine="0"/>
        <w:jc w:val="left"/>
        <w:rPr>
          <w:rFonts w:ascii="Arial"/>
          <w:sz w:val="18"/>
        </w:rPr>
      </w:pPr>
      <w:r>
        <w:rPr>
          <w:rFonts w:ascii="Arial"/>
          <w:color w:val="231F20"/>
          <w:sz w:val="18"/>
        </w:rPr>
        <w:t>President and Chief Executive Officer JTM Consulting, LLC</w:t>
      </w:r>
    </w:p>
    <w:p>
      <w:pPr>
        <w:spacing w:line="254" w:lineRule="auto" w:before="1"/>
        <w:ind w:left="100" w:right="97" w:firstLine="0"/>
        <w:jc w:val="left"/>
        <w:rPr>
          <w:rFonts w:ascii="Arial"/>
          <w:i/>
          <w:sz w:val="18"/>
        </w:rPr>
      </w:pPr>
      <w:r>
        <w:rPr>
          <w:rFonts w:ascii="Arial"/>
          <w:i/>
          <w:color w:val="231F20"/>
          <w:sz w:val="18"/>
        </w:rPr>
        <w:t>Audit Committee (Chair), Compensation Committee, </w:t>
      </w:r>
      <w:r>
        <w:rPr>
          <w:rFonts w:ascii="Arial"/>
          <w:i/>
          <w:color w:val="231F20"/>
          <w:sz w:val="18"/>
        </w:rPr>
        <w:t>and Nominating and Corporate Governance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THOMAS M. NEALON</w:t>
      </w:r>
    </w:p>
    <w:p>
      <w:pPr>
        <w:spacing w:before="93"/>
        <w:ind w:left="100" w:right="0" w:firstLine="0"/>
        <w:jc w:val="left"/>
        <w:rPr>
          <w:rFonts w:ascii="Arial"/>
          <w:sz w:val="18"/>
        </w:rPr>
      </w:pPr>
      <w:r>
        <w:rPr>
          <w:rFonts w:ascii="Arial"/>
          <w:color w:val="231F20"/>
          <w:sz w:val="18"/>
        </w:rPr>
        <w:t>Former Group Executive Vice President</w:t>
      </w:r>
    </w:p>
    <w:p>
      <w:pPr>
        <w:spacing w:line="254" w:lineRule="auto" w:before="13"/>
        <w:ind w:left="100" w:right="97" w:firstLine="0"/>
        <w:jc w:val="left"/>
        <w:rPr>
          <w:rFonts w:ascii="Arial"/>
          <w:i/>
          <w:sz w:val="18"/>
        </w:rPr>
      </w:pPr>
      <w:r>
        <w:rPr>
          <w:rFonts w:ascii="Arial"/>
          <w:color w:val="231F20"/>
          <w:sz w:val="18"/>
        </w:rPr>
        <w:t>J.C. Penney Company, Inc. (retail company) </w:t>
      </w:r>
      <w:r>
        <w:rPr>
          <w:rFonts w:ascii="Arial"/>
          <w:i/>
          <w:color w:val="231F20"/>
          <w:sz w:val="18"/>
        </w:rPr>
        <w:t>Nominating and Corporate Governance Committee and </w:t>
      </w:r>
      <w:r>
        <w:rPr>
          <w:rFonts w:ascii="Arial"/>
          <w:i/>
          <w:color w:val="231F20"/>
          <w:sz w:val="18"/>
        </w:rPr>
        <w:t>Safety and Compliance Oversight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DANIEL D. VILLANUEVA</w:t>
      </w:r>
    </w:p>
    <w:p>
      <w:pPr>
        <w:spacing w:before="93"/>
        <w:ind w:left="100" w:right="0" w:firstLine="0"/>
        <w:jc w:val="left"/>
        <w:rPr>
          <w:rFonts w:ascii="Arial"/>
          <w:sz w:val="18"/>
        </w:rPr>
      </w:pPr>
      <w:r>
        <w:rPr>
          <w:rFonts w:ascii="Arial"/>
          <w:color w:val="231F20"/>
          <w:sz w:val="18"/>
        </w:rPr>
        <w:t>Partner</w:t>
      </w:r>
    </w:p>
    <w:p>
      <w:pPr>
        <w:spacing w:line="254" w:lineRule="auto" w:before="13"/>
        <w:ind w:left="100" w:right="177" w:firstLine="0"/>
        <w:jc w:val="left"/>
        <w:rPr>
          <w:rFonts w:ascii="Arial"/>
          <w:i/>
          <w:sz w:val="18"/>
        </w:rPr>
      </w:pPr>
      <w:r>
        <w:rPr>
          <w:rFonts w:ascii="Arial"/>
          <w:color w:val="231F20"/>
          <w:sz w:val="18"/>
        </w:rPr>
        <w:t>Rustic Canyon/Fontis Partners, LP (private equity</w:t>
      </w:r>
      <w:r>
        <w:rPr>
          <w:rFonts w:ascii="Arial"/>
          <w:color w:val="231F20"/>
          <w:spacing w:val="-7"/>
          <w:sz w:val="18"/>
        </w:rPr>
        <w:t> </w:t>
      </w:r>
      <w:r>
        <w:rPr>
          <w:rFonts w:ascii="Arial"/>
          <w:color w:val="231F20"/>
          <w:sz w:val="18"/>
        </w:rPr>
        <w:t>firm) President of The Villanueva Companies </w:t>
      </w:r>
      <w:r>
        <w:rPr>
          <w:rFonts w:ascii="Arial"/>
          <w:i/>
          <w:color w:val="231F20"/>
          <w:sz w:val="18"/>
        </w:rPr>
        <w:t>Compensation Committee and Safety and Compliance </w:t>
      </w:r>
      <w:r>
        <w:rPr>
          <w:rFonts w:ascii="Arial"/>
          <w:i/>
          <w:color w:val="231F20"/>
          <w:sz w:val="18"/>
        </w:rPr>
        <w:t>Oversight</w:t>
      </w:r>
      <w:r>
        <w:rPr>
          <w:rFonts w:ascii="Arial"/>
          <w:i/>
          <w:color w:val="231F20"/>
          <w:spacing w:val="-2"/>
          <w:sz w:val="18"/>
        </w:rPr>
        <w:t> </w:t>
      </w:r>
      <w:r>
        <w:rPr>
          <w:rFonts w:ascii="Arial"/>
          <w:i/>
          <w:color w:val="231F20"/>
          <w:sz w:val="18"/>
        </w:rPr>
        <w:t>Committee</w:t>
      </w:r>
    </w:p>
    <w:p>
      <w:pPr>
        <w:pStyle w:val="BodyText"/>
        <w:spacing w:before="10"/>
        <w:rPr>
          <w:rFonts w:ascii="Arial"/>
          <w:i/>
        </w:rPr>
      </w:pPr>
    </w:p>
    <w:p>
      <w:pPr>
        <w:spacing w:before="1"/>
        <w:ind w:left="100" w:right="0" w:firstLine="0"/>
        <w:jc w:val="left"/>
        <w:rPr>
          <w:rFonts w:ascii="Arial"/>
          <w:b/>
          <w:i/>
          <w:sz w:val="18"/>
        </w:rPr>
      </w:pPr>
      <w:r>
        <w:rPr>
          <w:rFonts w:ascii="Arial"/>
          <w:b/>
          <w:i/>
          <w:color w:val="231F20"/>
          <w:sz w:val="18"/>
        </w:rPr>
        <w:t>HONORARY DESIGNATIONS</w:t>
      </w:r>
    </w:p>
    <w:p>
      <w:pPr>
        <w:spacing w:before="93"/>
        <w:ind w:left="100" w:right="0" w:firstLine="0"/>
        <w:jc w:val="left"/>
        <w:rPr>
          <w:rFonts w:ascii="Arial"/>
          <w:b/>
          <w:sz w:val="18"/>
        </w:rPr>
      </w:pPr>
      <w:r>
        <w:rPr>
          <w:rFonts w:ascii="Arial"/>
          <w:b/>
          <w:color w:val="231F20"/>
          <w:sz w:val="18"/>
        </w:rPr>
        <w:t>HERBERT D. KELLEHER</w:t>
      </w:r>
    </w:p>
    <w:p>
      <w:pPr>
        <w:spacing w:line="254" w:lineRule="auto" w:before="13"/>
        <w:ind w:left="100" w:right="2169" w:firstLine="0"/>
        <w:jc w:val="left"/>
        <w:rPr>
          <w:rFonts w:ascii="Arial"/>
          <w:sz w:val="18"/>
        </w:rPr>
      </w:pPr>
      <w:r>
        <w:rPr>
          <w:rFonts w:ascii="Arial"/>
          <w:color w:val="231F20"/>
          <w:sz w:val="18"/>
        </w:rPr>
        <w:t>Chairman Emeritus Southwest Airlines Co.</w:t>
      </w:r>
    </w:p>
    <w:p>
      <w:pPr>
        <w:spacing w:before="81"/>
        <w:ind w:left="100" w:right="0" w:firstLine="0"/>
        <w:jc w:val="left"/>
        <w:rPr>
          <w:rFonts w:ascii="Arial"/>
          <w:b/>
          <w:sz w:val="18"/>
        </w:rPr>
      </w:pPr>
      <w:r>
        <w:rPr>
          <w:rFonts w:ascii="Arial"/>
          <w:b/>
          <w:color w:val="231F20"/>
          <w:sz w:val="18"/>
        </w:rPr>
        <w:t>COLLEEN C. BARRETT</w:t>
      </w:r>
    </w:p>
    <w:p>
      <w:pPr>
        <w:spacing w:line="254" w:lineRule="auto" w:before="13"/>
        <w:ind w:left="100" w:right="2699" w:firstLine="0"/>
        <w:jc w:val="left"/>
        <w:rPr>
          <w:rFonts w:ascii="Arial"/>
          <w:sz w:val="18"/>
        </w:rPr>
      </w:pPr>
      <w:r>
        <w:rPr>
          <w:rFonts w:ascii="Arial"/>
          <w:color w:val="231F20"/>
          <w:sz w:val="18"/>
        </w:rPr>
        <w:t>President Emeritus Southwest Airlines Co.</w:t>
      </w:r>
    </w:p>
    <w:p>
      <w:pPr>
        <w:spacing w:after="0" w:line="254" w:lineRule="auto"/>
        <w:jc w:val="left"/>
        <w:rPr>
          <w:rFonts w:ascii="Arial"/>
          <w:sz w:val="18"/>
        </w:rPr>
        <w:sectPr>
          <w:type w:val="continuous"/>
          <w:pgSz w:w="11880" w:h="15480"/>
          <w:pgMar w:top="1200" w:bottom="280" w:left="1280" w:right="1260"/>
          <w:cols w:num="2" w:equalWidth="0">
            <w:col w:w="4670" w:space="40"/>
            <w:col w:w="4630"/>
          </w:cols>
        </w:sectPr>
      </w:pPr>
    </w:p>
    <w:p>
      <w:pPr>
        <w:pStyle w:val="Heading1"/>
        <w:ind w:left="3013"/>
        <w:jc w:val="left"/>
      </w:pPr>
      <w:r>
        <w:rPr>
          <w:color w:val="231F20"/>
        </w:rPr>
        <w:t>CORPORATE INFORMATION</w:t>
      </w:r>
    </w:p>
    <w:p>
      <w:pPr>
        <w:pStyle w:val="BodyText"/>
        <w:spacing w:before="2"/>
        <w:rPr>
          <w:rFonts w:ascii="Arial"/>
          <w:b/>
          <w:sz w:val="19"/>
        </w:rPr>
      </w:pPr>
    </w:p>
    <w:p>
      <w:pPr>
        <w:spacing w:after="0"/>
        <w:rPr>
          <w:rFonts w:ascii="Arial"/>
          <w:sz w:val="19"/>
        </w:rPr>
        <w:sectPr>
          <w:footerReference w:type="default" r:id="rId26"/>
          <w:pgSz w:w="11880" w:h="15480"/>
          <w:pgMar w:footer="0" w:header="0" w:top="1200" w:bottom="280" w:left="1280" w:right="1260"/>
        </w:sectPr>
      </w:pPr>
    </w:p>
    <w:p>
      <w:pPr>
        <w:spacing w:line="203" w:lineRule="exact" w:before="101"/>
        <w:ind w:left="100" w:right="0" w:firstLine="0"/>
        <w:jc w:val="left"/>
        <w:rPr>
          <w:rFonts w:ascii="Arial"/>
          <w:b/>
          <w:sz w:val="18"/>
        </w:rPr>
      </w:pPr>
      <w:r>
        <w:rPr>
          <w:rFonts w:ascii="Arial"/>
          <w:b/>
          <w:color w:val="231F20"/>
          <w:sz w:val="18"/>
        </w:rPr>
        <w:t>SOUTHWEST AIRLINES CO. GENERAL OFFICES</w:t>
      </w:r>
    </w:p>
    <w:p>
      <w:pPr>
        <w:spacing w:line="200" w:lineRule="exact" w:before="0"/>
        <w:ind w:left="100" w:right="0" w:firstLine="0"/>
        <w:jc w:val="left"/>
        <w:rPr>
          <w:rFonts w:ascii="Arial"/>
          <w:sz w:val="18"/>
        </w:rPr>
      </w:pPr>
      <w:r>
        <w:rPr>
          <w:rFonts w:ascii="Arial"/>
          <w:color w:val="231F20"/>
          <w:sz w:val="18"/>
        </w:rPr>
        <w:t>P.O. Box 36611</w:t>
      </w:r>
    </w:p>
    <w:p>
      <w:pPr>
        <w:spacing w:line="200" w:lineRule="exact" w:before="5"/>
        <w:ind w:left="100" w:right="2400" w:firstLine="0"/>
        <w:jc w:val="left"/>
        <w:rPr>
          <w:rFonts w:ascii="Arial"/>
          <w:sz w:val="18"/>
        </w:rPr>
      </w:pPr>
      <w:r>
        <w:rPr>
          <w:rFonts w:ascii="Arial"/>
          <w:color w:val="231F20"/>
          <w:sz w:val="18"/>
        </w:rPr>
        <w:t>2702 Love Field Drive Dallas, TX 75235</w:t>
      </w:r>
    </w:p>
    <w:p>
      <w:pPr>
        <w:spacing w:line="198" w:lineRule="exact" w:before="0"/>
        <w:ind w:left="100" w:right="0" w:firstLine="0"/>
        <w:jc w:val="left"/>
        <w:rPr>
          <w:rFonts w:ascii="Arial"/>
          <w:sz w:val="18"/>
        </w:rPr>
      </w:pPr>
      <w:r>
        <w:rPr>
          <w:rFonts w:ascii="Arial"/>
          <w:color w:val="231F20"/>
          <w:sz w:val="18"/>
        </w:rPr>
        <w:t>Telephone: 214-792-4000</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FINANCIAL INFORMATION</w:t>
      </w:r>
    </w:p>
    <w:p>
      <w:pPr>
        <w:spacing w:line="200" w:lineRule="exact" w:before="5"/>
        <w:ind w:left="100" w:right="7"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9"/>
        <w:rPr>
          <w:rFonts w:ascii="Arial"/>
        </w:rPr>
      </w:pPr>
    </w:p>
    <w:p>
      <w:pPr>
        <w:spacing w:line="200" w:lineRule="exact" w:before="1"/>
        <w:ind w:left="100" w:right="1870" w:firstLine="0"/>
        <w:jc w:val="left"/>
        <w:rPr>
          <w:rFonts w:ascii="Arial"/>
          <w:sz w:val="18"/>
        </w:rPr>
      </w:pPr>
      <w:r>
        <w:rPr>
          <w:rFonts w:ascii="Arial"/>
          <w:color w:val="231F20"/>
          <w:sz w:val="18"/>
        </w:rPr>
        <w:t>Southwest Airlines Co. Investor Relations, HDQ-6IR</w:t>
      </w:r>
    </w:p>
    <w:p>
      <w:pPr>
        <w:spacing w:line="195" w:lineRule="exact" w:before="0"/>
        <w:ind w:left="100" w:right="0" w:firstLine="0"/>
        <w:jc w:val="left"/>
        <w:rPr>
          <w:rFonts w:ascii="Arial"/>
          <w:sz w:val="18"/>
        </w:rPr>
      </w:pPr>
      <w:r>
        <w:rPr>
          <w:rFonts w:ascii="Arial"/>
          <w:color w:val="231F20"/>
          <w:sz w:val="18"/>
        </w:rPr>
        <w:t>P.O. Box 36611</w:t>
      </w:r>
    </w:p>
    <w:p>
      <w:pPr>
        <w:spacing w:line="200" w:lineRule="exact" w:before="5"/>
        <w:ind w:left="100" w:right="2400" w:firstLine="0"/>
        <w:jc w:val="left"/>
        <w:rPr>
          <w:rFonts w:ascii="Arial"/>
          <w:sz w:val="18"/>
        </w:rPr>
      </w:pPr>
      <w:r>
        <w:rPr>
          <w:rFonts w:ascii="Arial"/>
          <w:color w:val="231F20"/>
          <w:sz w:val="18"/>
        </w:rPr>
        <w:t>2702 Love Field Drive Dallas, Texas 75235</w:t>
      </w:r>
    </w:p>
    <w:p>
      <w:pPr>
        <w:spacing w:line="198" w:lineRule="exact" w:before="0"/>
        <w:ind w:left="100" w:right="0" w:firstLine="0"/>
        <w:jc w:val="left"/>
        <w:rPr>
          <w:rFonts w:ascii="Arial"/>
          <w:sz w:val="18"/>
        </w:rPr>
      </w:pPr>
      <w:r>
        <w:rPr>
          <w:rFonts w:ascii="Arial"/>
          <w:color w:val="231F20"/>
          <w:sz w:val="18"/>
        </w:rPr>
        <w:t>Telephone: 214-792-4908</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ANNUAL MEETING</w:t>
      </w:r>
    </w:p>
    <w:p>
      <w:pPr>
        <w:spacing w:line="200" w:lineRule="exact" w:before="5"/>
        <w:ind w:left="100" w:right="128" w:firstLine="0"/>
        <w:jc w:val="left"/>
        <w:rPr>
          <w:rFonts w:ascii="Arial"/>
          <w:sz w:val="18"/>
        </w:rPr>
      </w:pPr>
      <w:r>
        <w:rPr>
          <w:rFonts w:ascii="Arial"/>
          <w:color w:val="231F20"/>
          <w:sz w:val="18"/>
        </w:rPr>
        <w:t>The Annual Meeting of Shareholders of Southwest Airlines Co. will be held at 10:00 a.m. on May 15, 2013, at the Omni Dallas Hotel located at 555 S. Lamar St., Dallas, Texas 75202.</w:t>
      </w:r>
    </w:p>
    <w:p>
      <w:pPr>
        <w:spacing w:line="203" w:lineRule="exact" w:before="101"/>
        <w:ind w:left="100" w:right="0" w:firstLine="0"/>
        <w:jc w:val="left"/>
        <w:rPr>
          <w:rFonts w:ascii="Arial"/>
          <w:b/>
          <w:sz w:val="18"/>
        </w:rPr>
      </w:pPr>
      <w:r>
        <w:rPr/>
        <w:br w:type="column"/>
      </w:r>
      <w:r>
        <w:rPr>
          <w:rFonts w:ascii="Arial"/>
          <w:b/>
          <w:color w:val="231F20"/>
          <w:sz w:val="18"/>
        </w:rPr>
        <w:t>STOCK EXCHANGE LISTING</w:t>
      </w:r>
    </w:p>
    <w:p>
      <w:pPr>
        <w:spacing w:line="203" w:lineRule="exact" w:before="0"/>
        <w:ind w:left="100" w:right="0" w:firstLine="0"/>
        <w:jc w:val="left"/>
        <w:rPr>
          <w:rFonts w:ascii="Arial"/>
          <w:sz w:val="18"/>
        </w:rPr>
      </w:pPr>
      <w:r>
        <w:rPr>
          <w:rFonts w:ascii="Arial"/>
          <w:color w:val="231F20"/>
          <w:sz w:val="18"/>
        </w:rPr>
        <w:t>New York Stock Exchange Ticker Symbol: LUV</w:t>
      </w:r>
    </w:p>
    <w:p>
      <w:pPr>
        <w:pStyle w:val="BodyText"/>
        <w:spacing w:before="2"/>
        <w:rPr>
          <w:rFonts w:ascii="Arial"/>
        </w:rPr>
      </w:pPr>
    </w:p>
    <w:p>
      <w:pPr>
        <w:spacing w:line="203" w:lineRule="exact" w:before="1"/>
        <w:ind w:left="100" w:right="0" w:firstLine="0"/>
        <w:jc w:val="left"/>
        <w:rPr>
          <w:rFonts w:ascii="Arial"/>
          <w:b/>
          <w:sz w:val="18"/>
        </w:rPr>
      </w:pPr>
      <w:r>
        <w:rPr>
          <w:rFonts w:ascii="Arial"/>
          <w:b/>
          <w:color w:val="231F20"/>
          <w:sz w:val="18"/>
        </w:rPr>
        <w:t>TRANSFER AGENT AND REGISTRAR</w:t>
      </w:r>
    </w:p>
    <w:p>
      <w:pPr>
        <w:spacing w:line="200" w:lineRule="exact" w:before="5"/>
        <w:ind w:left="100" w:right="388" w:firstLine="0"/>
        <w:jc w:val="left"/>
        <w:rPr>
          <w:rFonts w:ascii="Arial"/>
          <w:sz w:val="18"/>
        </w:rPr>
      </w:pPr>
      <w:r>
        <w:rPr>
          <w:rFonts w:ascii="Arial"/>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spacing w:before="9"/>
        <w:rPr>
          <w:rFonts w:ascii="Arial"/>
        </w:rPr>
      </w:pPr>
    </w:p>
    <w:p>
      <w:pPr>
        <w:spacing w:line="200" w:lineRule="exact" w:before="0"/>
        <w:ind w:left="479" w:right="1117" w:firstLine="0"/>
        <w:jc w:val="left"/>
        <w:rPr>
          <w:rFonts w:ascii="Arial"/>
          <w:sz w:val="18"/>
        </w:rPr>
      </w:pPr>
      <w:r>
        <w:rPr>
          <w:rFonts w:ascii="Arial"/>
          <w:color w:val="231F20"/>
          <w:sz w:val="18"/>
        </w:rPr>
        <w:t>Wells Fargo Shareowner Services 1110 Centre Pointe Curve, Suite 101 Mendota Heights, MN 55120-4100 866-877-6206</w:t>
      </w:r>
    </w:p>
    <w:p>
      <w:pPr>
        <w:spacing w:line="195" w:lineRule="exact" w:before="0"/>
        <w:ind w:left="479" w:right="0" w:firstLine="0"/>
        <w:jc w:val="left"/>
        <w:rPr>
          <w:rFonts w:ascii="Arial"/>
          <w:sz w:val="18"/>
        </w:rPr>
      </w:pPr>
      <w:r>
        <w:rPr>
          <w:rFonts w:ascii="Arial"/>
          <w:color w:val="231F20"/>
          <w:sz w:val="18"/>
        </w:rPr>
        <w:t>651-450-4064</w:t>
      </w:r>
    </w:p>
    <w:p>
      <w:pPr>
        <w:spacing w:line="203" w:lineRule="exact" w:before="0"/>
        <w:ind w:left="479" w:right="0" w:firstLine="0"/>
        <w:jc w:val="left"/>
        <w:rPr>
          <w:rFonts w:ascii="Arial"/>
          <w:i/>
          <w:sz w:val="18"/>
        </w:rPr>
      </w:pPr>
      <w:hyperlink r:id="rId27">
        <w:r>
          <w:rPr>
            <w:rFonts w:ascii="Arial"/>
            <w:i/>
            <w:color w:val="231F20"/>
            <w:sz w:val="18"/>
          </w:rPr>
          <w:t>www.shareowneronline.com</w:t>
        </w:r>
      </w:hyperlink>
    </w:p>
    <w:p>
      <w:pPr>
        <w:pStyle w:val="BodyText"/>
        <w:spacing w:before="11"/>
        <w:rPr>
          <w:rFonts w:ascii="Arial"/>
          <w:i/>
        </w:rPr>
      </w:pPr>
    </w:p>
    <w:p>
      <w:pPr>
        <w:spacing w:line="200" w:lineRule="exact" w:before="0"/>
        <w:ind w:left="100" w:right="1189" w:firstLine="0"/>
        <w:jc w:val="left"/>
        <w:rPr>
          <w:rFonts w:ascii="Arial"/>
          <w:b/>
          <w:sz w:val="18"/>
        </w:rPr>
      </w:pPr>
      <w:r>
        <w:rPr>
          <w:rFonts w:ascii="Arial"/>
          <w:b/>
          <w:color w:val="231F20"/>
          <w:sz w:val="18"/>
        </w:rPr>
        <w:t>INDEPENDENT REGISTERED PUBLIC ACCOUNTING FIRM</w:t>
      </w:r>
    </w:p>
    <w:p>
      <w:pPr>
        <w:spacing w:line="200" w:lineRule="exact" w:before="0"/>
        <w:ind w:left="100" w:right="2889" w:firstLine="0"/>
        <w:jc w:val="left"/>
        <w:rPr>
          <w:rFonts w:ascii="Arial"/>
          <w:sz w:val="18"/>
        </w:rPr>
      </w:pPr>
      <w:r>
        <w:rPr>
          <w:rFonts w:ascii="Arial"/>
          <w:color w:val="231F20"/>
          <w:sz w:val="18"/>
        </w:rPr>
        <w:t>Ernst &amp; Young LLP Dallas, Texas</w:t>
      </w:r>
    </w:p>
    <w:p>
      <w:pPr>
        <w:spacing w:after="0" w:line="200" w:lineRule="exact"/>
        <w:jc w:val="left"/>
        <w:rPr>
          <w:rFonts w:ascii="Arial"/>
          <w:sz w:val="18"/>
        </w:rPr>
        <w:sectPr>
          <w:type w:val="continuous"/>
          <w:pgSz w:w="11880" w:h="15480"/>
          <w:pgMar w:top="1200" w:bottom="280" w:left="1280" w:right="1260"/>
          <w:cols w:num="2" w:equalWidth="0">
            <w:col w:w="4271" w:space="529"/>
            <w:col w:w="4540"/>
          </w:cols>
        </w:sectPr>
      </w:pPr>
    </w:p>
    <w:p>
      <w:pPr>
        <w:spacing w:before="11"/>
        <w:ind w:left="1311" w:right="1328" w:firstLine="0"/>
        <w:jc w:val="center"/>
        <w:rPr>
          <w:rFonts w:ascii="Arial"/>
          <w:b/>
          <w:sz w:val="18"/>
        </w:rPr>
      </w:pPr>
      <w:r>
        <w:rPr>
          <w:rFonts w:ascii="Arial"/>
          <w:b/>
          <w:color w:val="231F20"/>
          <w:sz w:val="18"/>
        </w:rPr>
        <w:t>2012 SOUTHWEST AIRLINES ONE REPORT</w:t>
      </w:r>
    </w:p>
    <w:p>
      <w:pPr>
        <w:spacing w:line="180" w:lineRule="exact" w:before="82"/>
        <w:ind w:left="100" w:right="237"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fourth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2012 Southwest Airlines One Report at </w:t>
      </w:r>
      <w:r>
        <w:rPr>
          <w:i/>
          <w:color w:val="231F20"/>
          <w:sz w:val="18"/>
        </w:rPr>
        <w:t>southwest.com/citizenship </w:t>
      </w:r>
      <w:r>
        <w:rPr>
          <w:color w:val="231F20"/>
          <w:sz w:val="18"/>
        </w:rPr>
        <w:t>or </w:t>
      </w:r>
      <w:hyperlink r:id="rId28">
        <w:r>
          <w:rPr>
            <w:i/>
            <w:color w:val="231F20"/>
            <w:sz w:val="18"/>
          </w:rPr>
          <w:t>http://southwest.investorroom.com/.</w:t>
        </w:r>
      </w:hyperlink>
    </w:p>
    <w:p>
      <w:pPr>
        <w:pStyle w:val="BodyText"/>
        <w:rPr>
          <w:i/>
          <w:sz w:val="16"/>
        </w:rPr>
      </w:pPr>
    </w:p>
    <w:p>
      <w:pPr>
        <w:spacing w:before="0"/>
        <w:ind w:left="1311" w:right="1328" w:firstLine="0"/>
        <w:jc w:val="center"/>
        <w:rPr>
          <w:rFonts w:ascii="Arial"/>
          <w:b/>
          <w:sz w:val="18"/>
        </w:rPr>
      </w:pPr>
      <w:r>
        <w:rPr>
          <w:rFonts w:ascii="Arial"/>
          <w:b/>
          <w:color w:val="231F20"/>
          <w:sz w:val="18"/>
        </w:rPr>
        <w:t>CAUTIONARY STATEMENT REGARDING FORWARD-LOOKING STATEMENTS</w:t>
      </w:r>
    </w:p>
    <w:p>
      <w:pPr>
        <w:spacing w:line="180" w:lineRule="exact" w:before="167"/>
        <w:ind w:left="100" w:right="153"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strategic plan and initiatives and its related financial and operational plans, goals, and expectations; (ii) the Company’s plans and expectations related to its integration of AirTran, including anticipated integration timeframes and expected financial results associated with the acquisition; (iii) the Company’s network plans, including its network optimization opportunities, and its related financial and operational expectations; (iv) the Company’s fleet plans, including its fleet modernization plans, and related financial and operational goals and expectations; and (v) the Company’s expectations with respect to its competitive position.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w:t>
      </w:r>
      <w:r>
        <w:rPr>
          <w:color w:val="231F20"/>
          <w:spacing w:val="-2"/>
          <w:sz w:val="18"/>
        </w:rPr>
        <w:t> </w:t>
      </w:r>
      <w:r>
        <w:rPr>
          <w:color w:val="231F20"/>
          <w:sz w:val="18"/>
        </w:rPr>
        <w:t>others,</w:t>
      </w:r>
    </w:p>
    <w:p>
      <w:pPr>
        <w:pStyle w:val="ListParagraph"/>
        <w:numPr>
          <w:ilvl w:val="0"/>
          <w:numId w:val="28"/>
        </w:numPr>
        <w:tabs>
          <w:tab w:pos="316" w:val="left" w:leader="none"/>
        </w:tabs>
        <w:spacing w:line="169" w:lineRule="exact" w:before="0" w:after="0"/>
        <w:ind w:left="100" w:right="0" w:firstLine="0"/>
        <w:jc w:val="left"/>
        <w:rPr>
          <w:sz w:val="18"/>
        </w:rPr>
      </w:pPr>
      <w:r>
        <w:rPr>
          <w:color w:val="231F20"/>
          <w:sz w:val="18"/>
        </w:rPr>
        <w:t>the impact of economic conditions and fuel prices on the Company’s overall business decisions, plans, and</w:t>
      </w:r>
      <w:r>
        <w:rPr>
          <w:color w:val="231F20"/>
          <w:spacing w:val="-1"/>
          <w:sz w:val="18"/>
        </w:rPr>
        <w:t> </w:t>
      </w:r>
      <w:r>
        <w:rPr>
          <w:color w:val="231F20"/>
          <w:sz w:val="18"/>
        </w:rPr>
        <w:t>strategies;</w:t>
      </w:r>
    </w:p>
    <w:p>
      <w:pPr>
        <w:pStyle w:val="ListParagraph"/>
        <w:numPr>
          <w:ilvl w:val="0"/>
          <w:numId w:val="28"/>
        </w:numPr>
        <w:tabs>
          <w:tab w:pos="366" w:val="left" w:leader="none"/>
        </w:tabs>
        <w:spacing w:line="180" w:lineRule="exact" w:before="11" w:after="0"/>
        <w:ind w:left="100" w:right="119" w:firstLine="0"/>
        <w:jc w:val="left"/>
        <w:rPr>
          <w:sz w:val="18"/>
        </w:rPr>
      </w:pPr>
      <w:r>
        <w:rPr/>
        <w:pict>
          <v:group style="position:absolute;margin-left:397.579987pt;margin-top:87.9534pt;width:127.5pt;height:58.35pt;mso-position-horizontal-relative:page;mso-position-vertical-relative:paragraph;z-index:8128;mso-wrap-distance-left:0;mso-wrap-distance-right:0" coordorigin="7952,1759" coordsize="2550,1167">
            <v:shape style="position:absolute;left:7961;top:1768;width:2532;height:1149" coordorigin="7961,1768" coordsize="2532,1149" path="m8047,1768l10405,1768,10439,1775,10466,1793,10485,1821,10492,1854,10492,2831,10485,2864,10466,2891,10439,2910,10405,2917,8047,2917,8013,2910,7986,2891,7967,2864,7961,2831,7961,1854,7967,1821,7986,1793,8013,1775,8047,1768xe" filled="false" stroked="true" strokeweight=".859pt" strokecolor="#231f20">
              <v:path arrowok="t"/>
              <v:stroke dashstyle="solid"/>
            </v:shape>
            <v:shape style="position:absolute;left:8199;top:2749;width:76;height:55" coordorigin="8199,2749" coordsize="76,55" path="m8209,2749l8199,2749,8216,2804,8226,2804,8229,2792,8221,2792,8218,2780,8209,2749xm8245,2762l8237,2762,8239,2771,8248,2804,8257,2804,8261,2791,8253,2791,8250,2780,8245,2762xm8242,2749l8233,2749,8224,2781,8222,2788,8221,2792,8229,2792,8237,2762,8245,2762,8242,2749xm8275,2749l8266,2749,8256,2781,8253,2791,8261,2791,8275,2749xe" filled="true" fillcolor="#231f20" stroked="false">
              <v:path arrowok="t"/>
              <v:fill type="solid"/>
            </v:shape>
            <v:shape style="position:absolute;left:8278;top:2749;width:76;height:55" coordorigin="8278,2749" coordsize="76,55" path="m8287,2749l8278,2749,8295,2804,8304,2804,8307,2792,8299,2792,8296,2780,8287,2749xm8324,2762l8316,2762,8318,2771,8326,2804,8336,2804,8340,2791,8331,2791,8329,2780,8324,2762xm8321,2749l8311,2749,8302,2781,8301,2788,8299,2792,8307,2792,8316,2762,8324,2762,8321,2749xm8353,2749l8344,2749,8334,2781,8331,2791,8340,2791,8353,2749xe" filled="true" fillcolor="#231f20" stroked="false">
              <v:path arrowok="t"/>
              <v:fill type="solid"/>
            </v:shape>
            <v:shape style="position:absolute;left:8356;top:2749;width:76;height:55" coordorigin="8356,2749" coordsize="76,55" path="m8366,2749l8356,2749,8373,2804,8383,2804,8386,2792,8378,2792,8375,2780,8366,2749xm8402,2762l8394,2762,8396,2771,8405,2804,8414,2804,8418,2791,8410,2791,8402,2762xm8399,2749l8389,2749,8381,2781,8379,2788,8378,2792,8378,2792,8386,2792,8394,2762,8402,2762,8399,2749xm8432,2749l8423,2749,8410,2791,8418,2791,8432,2749xe" filled="true" fillcolor="#231f20" stroked="false">
              <v:path arrowok="t"/>
              <v:fill type="solid"/>
            </v:shape>
            <v:line style="position:absolute" from="8434,2798" to="8444,2798" stroked="true" strokeweight=".522430pt" strokecolor="#231f20">
              <v:stroke dashstyle="solid"/>
            </v:line>
            <v:shape style="position:absolute;left:8452;top:2727;width:32;height:77" coordorigin="8452,2727" coordsize="32,77" path="m8478,2727l8471,2727,8468,2728,8463,2731,8462,2733,8460,2737,8460,2738,8460,2749,8452,2749,8452,2756,8460,2756,8460,2804,8469,2804,8469,2756,8480,2756,8480,2749,8469,2749,8469,2740,8470,2738,8472,2736,8474,2735,8483,2735,8484,2728,8481,2727,8478,2727xm8483,2735l8474,2735,8481,2735,8482,2736,8483,2735xe" filled="true" fillcolor="#231f20" stroked="false">
              <v:path arrowok="t"/>
              <v:fill type="solid"/>
            </v:shape>
            <v:shape style="position:absolute;left:8485;top:2748;width:46;height:58" coordorigin="8485,2748" coordsize="46,58" path="m8494,2786l8485,2787,8486,2793,8488,2797,8492,2800,8496,2803,8501,2805,8512,2805,8516,2804,8520,2802,8523,2801,8526,2799,8527,2797,8504,2797,8501,2796,8498,2794,8496,2792,8494,2790,8494,2786xm8511,2748l8504,2748,8501,2748,8498,2749,8496,2749,8494,2750,8493,2751,8491,2753,8489,2754,8488,2757,8487,2759,8487,2760,8486,2767,8487,2768,8490,2773,8492,2775,8494,2776,8497,2777,8502,2779,8508,2780,8513,2782,8517,2783,8518,2783,8520,2785,8521,2786,8521,2791,8520,2793,8515,2796,8512,2797,8527,2797,8529,2793,8530,2791,8530,2784,8529,2782,8528,2779,8526,2777,8524,2776,8522,2775,8519,2774,8515,2772,8508,2770,8504,2769,8501,2768,8498,2767,8497,2767,8496,2765,8495,2763,8495,2760,8496,2759,8500,2756,8503,2755,8525,2755,8523,2752,8521,2751,8518,2749,8514,2748,8511,2748xm8525,2755l8511,2755,8513,2756,8517,2759,8519,2761,8519,2764,8528,2763,8527,2759,8526,2757,8525,2755xe" filled="true" fillcolor="#231f20" stroked="false">
              <v:path arrowok="t"/>
              <v:fill type="solid"/>
            </v:shape>
            <v:shape style="position:absolute;left:8538;top:2748;width:48;height:58" coordorigin="8538,2748" coordsize="48,58" path="m8569,2748l8558,2748,8554,2749,8550,2751,8546,2753,8543,2757,8539,2765,8538,2770,8538,2785,8540,2793,8549,2802,8555,2805,8569,2805,8574,2803,8580,2797,8558,2797,8554,2795,8552,2792,8549,2789,8547,2784,8547,2769,8549,2764,8552,2760,8555,2757,8558,2755,8581,2755,8581,2755,8577,2752,8573,2749,8569,2748xm8576,2784l8576,2788,8574,2792,8572,2794,8569,2796,8566,2797,8580,2797,8582,2796,8584,2791,8585,2785,8576,2784xm8581,2755l8566,2755,8569,2756,8573,2760,8574,2763,8575,2766,8584,2765,8583,2759,8581,2755xe" filled="true" fillcolor="#231f20" stroked="false">
              <v:path arrowok="t"/>
              <v:fill type="solid"/>
            </v:shape>
            <v:line style="position:absolute" from="8595,2798" to="8606,2798" stroked="true" strokeweight=".522430pt" strokecolor="#231f20">
              <v:stroke dashstyle="solid"/>
            </v:line>
            <v:shape style="position:absolute;left:8614;top:2748;width:52;height:58" coordorigin="8614,2748" coordsize="52,58" path="m8648,2748l8633,2748,8628,2750,8617,2759,8614,2766,8614,2785,8617,2792,8621,2797,8626,2802,8632,2805,8645,2805,8649,2804,8653,2801,8657,2799,8659,2797,8635,2797,8632,2795,8628,2792,8625,2788,8624,2783,8624,2769,8625,2764,8632,2757,8635,2755,8659,2755,8654,2750,8648,2748xm8659,2755l8645,2755,8648,2757,8652,2760,8655,2764,8656,2769,8656,2783,8655,2788,8655,2788,8649,2795,8645,2797,8659,2797,8660,2796,8665,2788,8666,2783,8666,2767,8663,2760,8659,2755xe" filled="true" fillcolor="#231f20" stroked="false">
              <v:path arrowok="t"/>
              <v:fill type="solid"/>
            </v:shape>
            <v:shape style="position:absolute;left:8676;top:2748;width:30;height:56" coordorigin="8676,2748" coordsize="30,56" path="m8685,2749l8676,2749,8676,2804,8686,2804,8686,2771,8686,2767,8688,2762,8689,2760,8691,2759,8692,2758,8694,2757,8703,2757,8704,2757,8685,2757,8685,2749xm8703,2757l8698,2757,8701,2758,8703,2759,8703,2757xm8700,2748l8694,2748,8692,2748,8689,2751,8687,2753,8685,2757,8704,2757,8706,2751,8703,2749,8700,2748xe" filled="true" fillcolor="#231f20" stroked="false">
              <v:path arrowok="t"/>
              <v:fill type="solid"/>
            </v:shape>
            <v:shape style="position:absolute;left:8707;top:2748;width:49;height:79" coordorigin="8707,2748" coordsize="49,79" path="m8709,2808l8709,2814,8711,2818,8719,2824,8724,2826,8736,2826,8741,2825,8744,2823,8748,2821,8751,2818,8727,2818,8724,2817,8721,2816,8720,2814,8719,2812,8718,2809,8709,2808xm8755,2796l8746,2796,8746,2804,8746,2806,8745,2808,8745,2811,8743,2814,8738,2817,8735,2818,8751,2818,8751,2818,8754,2811,8755,2805,8755,2796xm8737,2748l8726,2748,8722,2749,8715,2754,8712,2757,8710,2761,8708,2766,8707,2771,8707,2783,8709,2790,8717,2801,8723,2804,8737,2804,8742,2801,8746,2796,8755,2796,8755,2796,8727,2796,8724,2794,8721,2791,8718,2788,8717,2783,8717,2769,8718,2764,8721,2760,8724,2757,8727,2755,8746,2755,8743,2750,8737,2748xm8746,2755l8736,2755,8739,2757,8745,2764,8747,2769,8747,2783,8745,2788,8740,2794,8736,2796,8755,2796,8755,2756,8747,2756,8746,2755xm8755,2749l8747,2749,8747,2756,8755,2756,8755,2749xe" filled="true" fillcolor="#231f20" stroked="false">
              <v:path arrowok="t"/>
              <v:fill type="solid"/>
            </v:shape>
            <v:shape style="position:absolute;left:8074;top:1850;width:688;height:598" coordorigin="8074,1850" coordsize="688,598" path="m8450,2339l8401,2339,8401,2437,8414,2448,8552,2448,8563,2436,8563,2399,8451,2399,8450,2339xm8539,2286l8524,2286,8514,2298,8514,2399,8563,2399,8563,2343,8701,2343,8723,2329,8734,2314,8638,2314,8609,2309,8585,2300,8563,2290,8539,2286xm8100,2230l8092,2232,8084,2237,8075,2246,8074,2262,8084,2272,8196,2383,8204,2391,8215,2395,8226,2388,8238,2381,8240,2368,8240,2368,8253,2318,8201,2318,8173,2290,8119,2237,8110,2231,8100,2230xm8701,2343l8563,2343,8583,2353,8603,2359,8622,2362,8637,2363,8684,2354,8701,2343xm8440,2286l8422,2286,8337,2297,8326,2298,8317,2309,8317,2335,8328,2346,8348,2346,8347,2345,8401,2339,8450,2339,8450,2297,8440,2286xm8482,1850l8424,1861,8375,1894,8334,1943,8299,2006,8270,2078,8244,2157,8222,2238,8201,2318,8253,2318,8281,2205,8321,2084,8358,2000,8394,1946,8426,1916,8456,1902,8482,1899,8592,1899,8568,1876,8525,1856,8482,1850xm8592,1899l8482,1899,8518,1906,8551,1925,8575,1958,8585,2004,8632,2020,8662,2058,8668,2107,8643,2155,8674,2173,8695,2194,8708,2216,8712,2242,8707,2268,8691,2291,8668,2308,8638,2314,8734,2314,8751,2290,8761,2240,8753,2197,8736,2166,8718,2147,8710,2141,8719,2083,8704,2030,8672,1989,8629,1963,8604,1911,8592,1899xe" filled="true" fillcolor="#231f20" stroked="false">
              <v:path arrowok="t"/>
              <v:fill type="solid"/>
            </v:shape>
            <v:shape style="position:absolute;left:8074;top:1850;width:688;height:598" coordorigin="8074,1850" coordsize="688,598" path="m8450,2339l8401,2339,8401,2437,8414,2448,8552,2448,8563,2436,8563,2399,8451,2399,8450,2339xm8539,2286l8524,2286,8514,2298,8514,2399,8563,2399,8563,2343,8701,2343,8723,2329,8734,2314,8638,2314,8609,2309,8585,2300,8563,2290,8539,2286xm8100,2230l8092,2232,8084,2237,8075,2246,8074,2262,8084,2272,8196,2383,8204,2391,8215,2395,8226,2388,8238,2381,8240,2368,8240,2368,8253,2318,8201,2318,8173,2290,8119,2237,8110,2231,8100,2230xm8701,2343l8563,2343,8583,2353,8603,2359,8622,2362,8637,2363,8684,2354,8701,2343xm8440,2286l8422,2286,8337,2297,8326,2298,8317,2309,8317,2335,8328,2346,8348,2346,8347,2345,8401,2339,8450,2339,8450,2297,8440,2286xm8482,1850l8424,1861,8375,1894,8334,1943,8299,2006,8270,2078,8244,2157,8222,2238,8201,2318,8253,2318,8281,2205,8321,2084,8358,2000,8394,1946,8426,1916,8456,1902,8482,1899,8592,1899,8568,1876,8525,1856,8482,1850xm8592,1899l8482,1899,8518,1906,8551,1925,8575,1958,8585,2004,8632,2020,8662,2058,8668,2107,8643,2155,8674,2173,8695,2194,8708,2216,8712,2242,8707,2268,8691,2291,8668,2308,8638,2314,8734,2314,8751,2290,8761,2240,8753,2197,8736,2166,8718,2147,8710,2141,8719,2083,8704,2030,8672,1989,8629,1963,8604,1911,8592,1899xe" filled="true" fillcolor="#231f20" stroked="false">
              <v:path arrowok="t"/>
              <v:fill type="solid"/>
            </v:shape>
            <v:shape style="position:absolute;left:8199;top:2506;width:556;height:171" type="#_x0000_t75" stroked="false">
              <v:imagedata r:id="rId29" o:title=""/>
            </v:shape>
            <v:shape style="position:absolute;left:8680;top:1861;width:84;height:83" coordorigin="8680,1861" coordsize="84,83" path="m8733,1861l8711,1861,8701,1865,8693,1873,8684,1881,8680,1891,8680,1914,8684,1923,8695,1934,8701,1940,8711,1944,8734,1944,8743,1940,8746,1937,8712,1937,8704,1933,8691,1920,8687,1912,8687,1893,8691,1885,8704,1871,8712,1868,8746,1868,8743,1865,8733,1861xm8746,1868l8732,1868,8740,1871,8753,1885,8757,1893,8757,1912,8753,1920,8746,1927,8740,1934,8732,1937,8746,1937,8760,1923,8764,1914,8764,1891,8760,1881,8759,1881,8746,1868xm8724,1881l8704,1881,8704,1925,8711,1925,8711,1906,8729,1906,8728,1906,8726,1905,8726,1905,8730,1905,8733,1903,8735,1901,8736,1900,8711,1900,8711,1887,8737,1887,8734,1884,8732,1882,8730,1882,8727,1881,8724,1881xm8729,1906l8718,1906,8720,1907,8722,1908,8723,1909,8727,1915,8733,1925,8741,1925,8732,1910,8729,1906xm8737,1887l8724,1887,8727,1887,8728,1888,8730,1890,8730,1891,8731,1896,8730,1897,8728,1898,8727,1899,8724,1900,8736,1900,8737,1898,8738,1896,8738,1890,8738,1888,8737,1887xe" filled="true" fillcolor="#231f20" stroked="false">
              <v:path arrowok="t"/>
              <v:fill type="solid"/>
            </v:shape>
            <v:shape style="position:absolute;left:8711;top:1887;width:20;height:14" coordorigin="8711,1887" coordsize="20,14" path="m8711,1900l8720,1900,8724,1900,8727,1899,8728,1898,8730,1897,8731,1895,8731,1893,8731,1891,8730,1890,8728,1888,8727,1887,8724,1887,8719,1887,8711,1887,8711,1900xe" filled="false" stroked="true" strokeweight=".22pt" strokecolor="#231f20">
              <v:path arrowok="t"/>
              <v:stroke dashstyle="solid"/>
            </v:shape>
            <v:shape style="position:absolute;left:8704;top:1881;width:38;height:45" coordorigin="8704,1881" coordsize="38,45" path="m8741,1925l8733,1925,8727,1915,8723,1909,8722,1908,8720,1907,8718,1906,8715,1906,8711,1906,8711,1925,8704,1925,8704,1881,8719,1881,8724,1881,8727,1881,8730,1882,8732,1882,8734,1884,8736,1886,8738,1888,8738,1890,8738,1893,8738,1896,8737,1898,8735,1901,8733,1903,8730,1905,8726,1905,8728,1906,8732,1910,8736,1917,8741,1925xe" filled="false" stroked="true" strokeweight=".22pt" strokecolor="#231f20">
              <v:path arrowok="t"/>
              <v:stroke dashstyle="solid"/>
            </v:shape>
            <v:shape style="position:absolute;left:8687;top:1868;width:70;height:70" coordorigin="8687,1868" coordsize="70,70" path="m8722,1937l8732,1937,8740,1934,8746,1927,8753,1920,8757,1912,8757,1902,8757,1893,8753,1885,8747,1878,8740,1871,8732,1868,8722,1868,8712,1868,8687,1902,8687,1912,8691,1920,8697,1927,8704,1933,8712,1937,8722,1937xe" filled="false" stroked="true" strokeweight=".22pt" strokecolor="#231f20">
              <v:path arrowok="t"/>
              <v:stroke dashstyle="solid"/>
            </v:shape>
            <v:shape style="position:absolute;left:8680;top:1861;width:84;height:83" coordorigin="8680,1861" coordsize="84,83" path="m8722,1861l8733,1861,8743,1865,8751,1873,8760,1881,8764,1891,8764,1902,8764,1914,8760,1923,8751,1932,8743,1940,8734,1944,8722,1944,8711,1944,8701,1940,8693,1932,8684,1923,8680,1914,8680,1902,8680,1891,8684,1881,8693,1873,8701,1865,8711,1861,8722,1861xe" filled="false" stroked="true" strokeweight=".22pt" strokecolor="#231f20">
              <v:path arrowok="t"/>
              <v:stroke dashstyle="solid"/>
            </v:shape>
            <v:shape style="position:absolute;left:9510;top:1981;width:139;height:146" type="#_x0000_t75" stroked="false">
              <v:imagedata r:id="rId30" o:title=""/>
            </v:shape>
            <v:shape style="position:absolute;left:9682;top:1968;width:179;height:172" type="#_x0000_t75" stroked="false">
              <v:imagedata r:id="rId31" o:title=""/>
            </v:shape>
            <v:shape style="position:absolute;left:9303;top:2249;width:406;height:138" type="#_x0000_t75" stroked="false">
              <v:imagedata r:id="rId32" o:title=""/>
            </v:shape>
            <v:shape style="position:absolute;left:9754;top:2247;width:303;height:113" type="#_x0000_t75" stroked="false">
              <v:imagedata r:id="rId33" o:title=""/>
            </v:shape>
            <v:shape style="position:absolute;left:8989;top:2394;width:1384;height:147" type="#_x0000_t75" stroked="false">
              <v:imagedata r:id="rId34" o:title=""/>
            </v:shape>
            <v:shape style="position:absolute;left:9007;top:2658;width:464;height:150" type="#_x0000_t75" stroked="false">
              <v:imagedata r:id="rId35" o:title=""/>
            </v:shape>
            <v:shape style="position:absolute;left:9537;top:2658;width:130;height:150" type="#_x0000_t75" stroked="false">
              <v:imagedata r:id="rId36" o:title=""/>
            </v:shape>
            <v:shape style="position:absolute;left:9699;top:2663;width:52;height:139" coordorigin="9699,2663" coordsize="52,139" path="m9750,2694l9733,2694,9733,2802,9750,2802,9750,2694xm9750,2663l9739,2663,9733,2673,9724,2682,9713,2691,9699,2698,9699,2714,9714,2709,9725,2702,9733,2694,9750,2694,9750,2663xe" filled="true" fillcolor="#231f20" stroked="false">
              <v:path arrowok="t"/>
              <v:fill type="solid"/>
            </v:shape>
            <v:shape style="position:absolute;left:9699;top:2663;width:52;height:139" coordorigin="9699,2663" coordsize="52,139" path="m9750,2802l9733,2802,9733,2694,9725,2702,9714,2709,9699,2714,9699,2698,9713,2691,9724,2682,9733,2673,9739,2663,9750,2663,9750,2802xe" filled="false" stroked="true" strokeweight=".377pt" strokecolor="#231f20">
              <v:path arrowok="t"/>
              <v:stroke dashstyle="solid"/>
            </v:shape>
            <v:shape style="position:absolute;left:9802;top:2663;width:91;height:142" coordorigin="9802,2663" coordsize="91,142" path="m9847,2663l9832,2663,9821,2669,9813,2681,9808,2691,9805,2703,9803,2717,9802,2734,9805,2765,9813,2787,9827,2800,9847,2804,9862,2804,9873,2798,9878,2790,9847,2790,9841,2790,9836,2788,9827,2781,9824,2775,9820,2759,9819,2748,9819,2734,9820,2720,9821,2708,9823,2698,9826,2691,9831,2682,9838,2677,9877,2677,9867,2668,9847,2663xm9877,2677l9853,2677,9858,2679,9862,2683,9866,2687,9869,2693,9874,2709,9875,2720,9875,2734,9874,2748,9873,2760,9871,2770,9868,2777,9863,2786,9856,2790,9878,2790,9880,2787,9886,2777,9889,2765,9891,2751,9892,2734,9889,2703,9881,2681,9877,2677xe" filled="true" fillcolor="#231f20" stroked="false">
              <v:path arrowok="t"/>
              <v:fill type="solid"/>
            </v:shape>
            <v:shape style="position:absolute;left:9819;top:2677;width:56;height:114" coordorigin="9819,2677" coordsize="56,114" path="m9847,2790l9856,2790,9863,2786,9875,2734,9875,2720,9874,2709,9872,2701,9869,2693,9866,2687,9862,2683,9858,2679,9853,2677,9847,2677,9838,2677,9819,2734,9819,2748,9820,2759,9822,2767,9824,2775,9827,2781,9832,2784,9836,2788,9841,2790,9847,2790xe" filled="false" stroked="true" strokeweight=".377pt" strokecolor="#231f20">
              <v:path arrowok="t"/>
              <v:stroke dashstyle="solid"/>
            </v:shape>
            <v:shape style="position:absolute;left:9802;top:2663;width:91;height:142" coordorigin="9802,2663" coordsize="91,142" path="m9847,2663l9867,2668,9881,2681,9889,2703,9892,2734,9891,2751,9862,2804,9847,2804,9827,2800,9813,2787,9805,2765,9802,2734,9803,2717,9832,2663,9847,2663xe" filled="false" stroked="true" strokeweight=".377pt" strokecolor="#231f20">
              <v:path arrowok="t"/>
              <v:stroke dashstyle="solid"/>
            </v:shape>
            <v:shape style="position:absolute;left:9930;top:2663;width:52;height:139" coordorigin="9930,2663" coordsize="52,139" path="m9981,2694l9964,2694,9964,2802,9981,2802,9981,2694xm9981,2663l9970,2663,9963,2673,9954,2682,9943,2691,9930,2698,9930,2714,9944,2709,9955,2702,9964,2694,9981,2694,9981,2663xe" filled="true" fillcolor="#231f20" stroked="false">
              <v:path arrowok="t"/>
              <v:fill type="solid"/>
            </v:shape>
            <v:shape style="position:absolute;left:9930;top:2663;width:52;height:139" coordorigin="9930,2663" coordsize="52,139" path="m9981,2802l9964,2802,9964,2694,9955,2702,9944,2709,9930,2714,9930,2698,9943,2691,9954,2682,9963,2673,9970,2663,9981,2663,9981,2802xe" filled="false" stroked="true" strokeweight=".377pt" strokecolor="#231f20">
              <v:path arrowok="t"/>
              <v:stroke dashstyle="solid"/>
            </v:shape>
            <v:shape style="position:absolute;left:10028;top:2659;width:329;height:149" type="#_x0000_t75" stroked="false">
              <v:imagedata r:id="rId37" o:title=""/>
            </v:shape>
            <w10:wrap type="topAndBottom"/>
          </v:group>
        </w:pict>
      </w:r>
      <w:r>
        <w:rPr>
          <w:color w:val="231F20"/>
          <w:sz w:val="18"/>
        </w:rPr>
        <w:t>the Company’s ability to timely and effectively prioritize its strategic initiatives and related expenditures; (iii) the Company’s ability to timely and effectively implement, transition, and maintain the necessary information technology systems and infrastructure to support its operations and initiatives; (iv) the Company’s ability to successfully integrate AirTran and realize the expected synergies and other benefits from the acquisition; (v) the Company’s dependence on third parties with respect to certain of its initiatives; (vi) actions of competitors, including without limitation pricing, scheduling, and capacity decisions, and consolidation and alliance activities; (vii) the impact of governmental regulations on the Company’s operations; and (viii) other factors, as described in the Company’s filings with the Securities and Exchange Commission, including the detailed factors discussed under the heading “Risk Factors” in the Company’s Annual Report on Form 10-K for the fiscal year ended December 31, 2012.</w:t>
      </w:r>
    </w:p>
    <w:sectPr>
      <w:type w:val="continuous"/>
      <w:pgSz w:w="11880" w:h="15480"/>
      <w:pgMar w:top="1200" w:bottom="2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5pt;margin-top:700.34198pt;width:15pt;height:14.05pt;mso-position-horizontal-relative:page;mso-position-vertical-relative:page;z-index:-35759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57568"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89.5pt;margin-top:700.34198pt;width:15pt;height:14.05pt;mso-position-horizontal-relative:page;mso-position-vertical-relative:page;z-index:-35754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5752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57496"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5747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00" w:hanging="366"/>
      </w:pPr>
      <w:rPr>
        <w:rFonts w:hint="default"/>
      </w:rPr>
    </w:lvl>
    <w:lvl w:ilvl="2">
      <w:start w:val="0"/>
      <w:numFmt w:val="bullet"/>
      <w:lvlText w:val="•"/>
      <w:lvlJc w:val="left"/>
      <w:pPr>
        <w:ind w:left="2720" w:hanging="366"/>
      </w:pPr>
      <w:rPr>
        <w:rFonts w:hint="default"/>
      </w:rPr>
    </w:lvl>
    <w:lvl w:ilvl="3">
      <w:start w:val="0"/>
      <w:numFmt w:val="bullet"/>
      <w:lvlText w:val="•"/>
      <w:lvlJc w:val="left"/>
      <w:pPr>
        <w:ind w:left="3540" w:hanging="366"/>
      </w:pPr>
      <w:rPr>
        <w:rFonts w:hint="default"/>
      </w:rPr>
    </w:lvl>
    <w:lvl w:ilvl="4">
      <w:start w:val="0"/>
      <w:numFmt w:val="bullet"/>
      <w:lvlText w:val="•"/>
      <w:lvlJc w:val="left"/>
      <w:pPr>
        <w:ind w:left="4360" w:hanging="366"/>
      </w:pPr>
      <w:rPr>
        <w:rFonts w:hint="default"/>
      </w:rPr>
    </w:lvl>
    <w:lvl w:ilvl="5">
      <w:start w:val="0"/>
      <w:numFmt w:val="bullet"/>
      <w:lvlText w:val="•"/>
      <w:lvlJc w:val="left"/>
      <w:pPr>
        <w:ind w:left="5180" w:hanging="366"/>
      </w:pPr>
      <w:rPr>
        <w:rFonts w:hint="default"/>
      </w:rPr>
    </w:lvl>
    <w:lvl w:ilvl="6">
      <w:start w:val="0"/>
      <w:numFmt w:val="bullet"/>
      <w:lvlText w:val="•"/>
      <w:lvlJc w:val="left"/>
      <w:pPr>
        <w:ind w:left="6000" w:hanging="366"/>
      </w:pPr>
      <w:rPr>
        <w:rFonts w:hint="default"/>
      </w:rPr>
    </w:lvl>
    <w:lvl w:ilvl="7">
      <w:start w:val="0"/>
      <w:numFmt w:val="bullet"/>
      <w:lvlText w:val="•"/>
      <w:lvlJc w:val="left"/>
      <w:pPr>
        <w:ind w:left="6820" w:hanging="366"/>
      </w:pPr>
      <w:rPr>
        <w:rFonts w:hint="default"/>
      </w:rPr>
    </w:lvl>
    <w:lvl w:ilvl="8">
      <w:start w:val="0"/>
      <w:numFmt w:val="bullet"/>
      <w:lvlText w:val="•"/>
      <w:lvlJc w:val="left"/>
      <w:pPr>
        <w:ind w:left="7640" w:hanging="366"/>
      </w:pPr>
      <w:rPr>
        <w:rFonts w:hint="default"/>
      </w:rPr>
    </w:lvl>
  </w:abstractNum>
  <w:abstractNum w:abstractNumId="27">
    <w:multiLevelType w:val="hybridMultilevel"/>
    <w:lvl w:ilvl="0">
      <w:start w:val="1"/>
      <w:numFmt w:val="lowerRoman"/>
      <w:lvlText w:val="(%1)"/>
      <w:lvlJc w:val="left"/>
      <w:pPr>
        <w:ind w:left="100" w:hanging="215"/>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024" w:hanging="215"/>
      </w:pPr>
      <w:rPr>
        <w:rFonts w:hint="default"/>
      </w:rPr>
    </w:lvl>
    <w:lvl w:ilvl="2">
      <w:start w:val="0"/>
      <w:numFmt w:val="bullet"/>
      <w:lvlText w:val="•"/>
      <w:lvlJc w:val="left"/>
      <w:pPr>
        <w:ind w:left="1948" w:hanging="215"/>
      </w:pPr>
      <w:rPr>
        <w:rFonts w:hint="default"/>
      </w:rPr>
    </w:lvl>
    <w:lvl w:ilvl="3">
      <w:start w:val="0"/>
      <w:numFmt w:val="bullet"/>
      <w:lvlText w:val="•"/>
      <w:lvlJc w:val="left"/>
      <w:pPr>
        <w:ind w:left="2872" w:hanging="215"/>
      </w:pPr>
      <w:rPr>
        <w:rFonts w:hint="default"/>
      </w:rPr>
    </w:lvl>
    <w:lvl w:ilvl="4">
      <w:start w:val="0"/>
      <w:numFmt w:val="bullet"/>
      <w:lvlText w:val="•"/>
      <w:lvlJc w:val="left"/>
      <w:pPr>
        <w:ind w:left="3796" w:hanging="215"/>
      </w:pPr>
      <w:rPr>
        <w:rFonts w:hint="default"/>
      </w:rPr>
    </w:lvl>
    <w:lvl w:ilvl="5">
      <w:start w:val="0"/>
      <w:numFmt w:val="bullet"/>
      <w:lvlText w:val="•"/>
      <w:lvlJc w:val="left"/>
      <w:pPr>
        <w:ind w:left="4720" w:hanging="215"/>
      </w:pPr>
      <w:rPr>
        <w:rFonts w:hint="default"/>
      </w:rPr>
    </w:lvl>
    <w:lvl w:ilvl="6">
      <w:start w:val="0"/>
      <w:numFmt w:val="bullet"/>
      <w:lvlText w:val="•"/>
      <w:lvlJc w:val="left"/>
      <w:pPr>
        <w:ind w:left="5644" w:hanging="215"/>
      </w:pPr>
      <w:rPr>
        <w:rFonts w:hint="default"/>
      </w:rPr>
    </w:lvl>
    <w:lvl w:ilvl="7">
      <w:start w:val="0"/>
      <w:numFmt w:val="bullet"/>
      <w:lvlText w:val="•"/>
      <w:lvlJc w:val="left"/>
      <w:pPr>
        <w:ind w:left="6568" w:hanging="215"/>
      </w:pPr>
      <w:rPr>
        <w:rFonts w:hint="default"/>
      </w:rPr>
    </w:lvl>
    <w:lvl w:ilvl="8">
      <w:start w:val="0"/>
      <w:numFmt w:val="bullet"/>
      <w:lvlText w:val="•"/>
      <w:lvlJc w:val="left"/>
      <w:pPr>
        <w:ind w:left="7492" w:hanging="215"/>
      </w:pPr>
      <w:rPr>
        <w:rFonts w:hint="default"/>
      </w:rPr>
    </w:lvl>
  </w:abstractNum>
  <w:abstractNum w:abstractNumId="26">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5">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4">
    <w:multiLevelType w:val="hybridMultilevel"/>
    <w:lvl w:ilvl="0">
      <w:start w:val="10"/>
      <w:numFmt w:val="decimal"/>
      <w:lvlText w:val="%1"/>
      <w:lvlJc w:val="left"/>
      <w:pPr>
        <w:ind w:left="450" w:hanging="400"/>
        <w:jc w:val="left"/>
      </w:pPr>
      <w:rPr>
        <w:rFonts w:hint="default"/>
      </w:rPr>
    </w:lvl>
    <w:lvl w:ilvl="1">
      <w:start w:val="1"/>
      <w:numFmt w:val="decimal"/>
      <w:lvlText w:val="%1.%2"/>
      <w:lvlJc w:val="left"/>
      <w:pPr>
        <w:ind w:left="4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156" w:hanging="400"/>
      </w:pPr>
      <w:rPr>
        <w:rFonts w:hint="default"/>
      </w:rPr>
    </w:lvl>
    <w:lvl w:ilvl="3">
      <w:start w:val="0"/>
      <w:numFmt w:val="bullet"/>
      <w:lvlText w:val="•"/>
      <w:lvlJc w:val="left"/>
      <w:pPr>
        <w:ind w:left="3004" w:hanging="400"/>
      </w:pPr>
      <w:rPr>
        <w:rFonts w:hint="default"/>
      </w:rPr>
    </w:lvl>
    <w:lvl w:ilvl="4">
      <w:start w:val="0"/>
      <w:numFmt w:val="bullet"/>
      <w:lvlText w:val="•"/>
      <w:lvlJc w:val="left"/>
      <w:pPr>
        <w:ind w:left="3852" w:hanging="400"/>
      </w:pPr>
      <w:rPr>
        <w:rFonts w:hint="default"/>
      </w:rPr>
    </w:lvl>
    <w:lvl w:ilvl="5">
      <w:start w:val="0"/>
      <w:numFmt w:val="bullet"/>
      <w:lvlText w:val="•"/>
      <w:lvlJc w:val="left"/>
      <w:pPr>
        <w:ind w:left="4700" w:hanging="400"/>
      </w:pPr>
      <w:rPr>
        <w:rFonts w:hint="default"/>
      </w:rPr>
    </w:lvl>
    <w:lvl w:ilvl="6">
      <w:start w:val="0"/>
      <w:numFmt w:val="bullet"/>
      <w:lvlText w:val="•"/>
      <w:lvlJc w:val="left"/>
      <w:pPr>
        <w:ind w:left="5548" w:hanging="400"/>
      </w:pPr>
      <w:rPr>
        <w:rFonts w:hint="default"/>
      </w:rPr>
    </w:lvl>
    <w:lvl w:ilvl="7">
      <w:start w:val="0"/>
      <w:numFmt w:val="bullet"/>
      <w:lvlText w:val="•"/>
      <w:lvlJc w:val="left"/>
      <w:pPr>
        <w:ind w:left="6396" w:hanging="400"/>
      </w:pPr>
      <w:rPr>
        <w:rFonts w:hint="default"/>
      </w:rPr>
    </w:lvl>
    <w:lvl w:ilvl="8">
      <w:start w:val="0"/>
      <w:numFmt w:val="bullet"/>
      <w:lvlText w:val="•"/>
      <w:lvlJc w:val="left"/>
      <w:pPr>
        <w:ind w:left="7244" w:hanging="400"/>
      </w:pPr>
      <w:rPr>
        <w:rFonts w:hint="default"/>
      </w:rPr>
    </w:lvl>
  </w:abstractNum>
  <w:abstractNum w:abstractNumId="23">
    <w:multiLevelType w:val="hybridMultilevel"/>
    <w:lvl w:ilvl="0">
      <w:start w:val="4"/>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8" w:hanging="750"/>
      </w:pPr>
      <w:rPr>
        <w:rFonts w:hint="default"/>
      </w:rPr>
    </w:lvl>
    <w:lvl w:ilvl="3">
      <w:start w:val="0"/>
      <w:numFmt w:val="bullet"/>
      <w:lvlText w:val="•"/>
      <w:lvlJc w:val="left"/>
      <w:pPr>
        <w:ind w:left="3392" w:hanging="750"/>
      </w:pPr>
      <w:rPr>
        <w:rFonts w:hint="default"/>
      </w:rPr>
    </w:lvl>
    <w:lvl w:ilvl="4">
      <w:start w:val="0"/>
      <w:numFmt w:val="bullet"/>
      <w:lvlText w:val="•"/>
      <w:lvlJc w:val="left"/>
      <w:pPr>
        <w:ind w:left="4236" w:hanging="750"/>
      </w:pPr>
      <w:rPr>
        <w:rFonts w:hint="default"/>
      </w:rPr>
    </w:lvl>
    <w:lvl w:ilvl="5">
      <w:start w:val="0"/>
      <w:numFmt w:val="bullet"/>
      <w:lvlText w:val="•"/>
      <w:lvlJc w:val="left"/>
      <w:pPr>
        <w:ind w:left="5080" w:hanging="750"/>
      </w:pPr>
      <w:rPr>
        <w:rFonts w:hint="default"/>
      </w:rPr>
    </w:lvl>
    <w:lvl w:ilvl="6">
      <w:start w:val="0"/>
      <w:numFmt w:val="bullet"/>
      <w:lvlText w:val="•"/>
      <w:lvlJc w:val="left"/>
      <w:pPr>
        <w:ind w:left="5924" w:hanging="750"/>
      </w:pPr>
      <w:rPr>
        <w:rFonts w:hint="default"/>
      </w:rPr>
    </w:lvl>
    <w:lvl w:ilvl="7">
      <w:start w:val="0"/>
      <w:numFmt w:val="bullet"/>
      <w:lvlText w:val="•"/>
      <w:lvlJc w:val="left"/>
      <w:pPr>
        <w:ind w:left="6768" w:hanging="750"/>
      </w:pPr>
      <w:rPr>
        <w:rFonts w:hint="default"/>
      </w:rPr>
    </w:lvl>
    <w:lvl w:ilvl="8">
      <w:start w:val="0"/>
      <w:numFmt w:val="bullet"/>
      <w:lvlText w:val="•"/>
      <w:lvlJc w:val="left"/>
      <w:pPr>
        <w:ind w:left="7612" w:hanging="750"/>
      </w:pPr>
      <w:rPr>
        <w:rFonts w:hint="default"/>
      </w:rPr>
    </w:lvl>
  </w:abstractNum>
  <w:abstractNum w:abstractNumId="22">
    <w:multiLevelType w:val="hybridMultilevel"/>
    <w:lvl w:ilvl="0">
      <w:start w:val="3"/>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8" w:hanging="750"/>
      </w:pPr>
      <w:rPr>
        <w:rFonts w:hint="default"/>
      </w:rPr>
    </w:lvl>
    <w:lvl w:ilvl="3">
      <w:start w:val="0"/>
      <w:numFmt w:val="bullet"/>
      <w:lvlText w:val="•"/>
      <w:lvlJc w:val="left"/>
      <w:pPr>
        <w:ind w:left="3392" w:hanging="750"/>
      </w:pPr>
      <w:rPr>
        <w:rFonts w:hint="default"/>
      </w:rPr>
    </w:lvl>
    <w:lvl w:ilvl="4">
      <w:start w:val="0"/>
      <w:numFmt w:val="bullet"/>
      <w:lvlText w:val="•"/>
      <w:lvlJc w:val="left"/>
      <w:pPr>
        <w:ind w:left="4236" w:hanging="750"/>
      </w:pPr>
      <w:rPr>
        <w:rFonts w:hint="default"/>
      </w:rPr>
    </w:lvl>
    <w:lvl w:ilvl="5">
      <w:start w:val="0"/>
      <w:numFmt w:val="bullet"/>
      <w:lvlText w:val="•"/>
      <w:lvlJc w:val="left"/>
      <w:pPr>
        <w:ind w:left="5080" w:hanging="750"/>
      </w:pPr>
      <w:rPr>
        <w:rFonts w:hint="default"/>
      </w:rPr>
    </w:lvl>
    <w:lvl w:ilvl="6">
      <w:start w:val="0"/>
      <w:numFmt w:val="bullet"/>
      <w:lvlText w:val="•"/>
      <w:lvlJc w:val="left"/>
      <w:pPr>
        <w:ind w:left="5924" w:hanging="750"/>
      </w:pPr>
      <w:rPr>
        <w:rFonts w:hint="default"/>
      </w:rPr>
    </w:lvl>
    <w:lvl w:ilvl="7">
      <w:start w:val="0"/>
      <w:numFmt w:val="bullet"/>
      <w:lvlText w:val="•"/>
      <w:lvlJc w:val="left"/>
      <w:pPr>
        <w:ind w:left="6768" w:hanging="750"/>
      </w:pPr>
      <w:rPr>
        <w:rFonts w:hint="default"/>
      </w:rPr>
    </w:lvl>
    <w:lvl w:ilvl="8">
      <w:start w:val="0"/>
      <w:numFmt w:val="bullet"/>
      <w:lvlText w:val="•"/>
      <w:lvlJc w:val="left"/>
      <w:pPr>
        <w:ind w:left="7612" w:hanging="750"/>
      </w:pPr>
      <w:rPr>
        <w:rFonts w:hint="default"/>
      </w:rPr>
    </w:lvl>
  </w:abstractNum>
  <w:abstractNum w:abstractNumId="21">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4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51" w:hanging="490"/>
      </w:pPr>
      <w:rPr>
        <w:rFonts w:hint="default"/>
      </w:rPr>
    </w:lvl>
    <w:lvl w:ilvl="3">
      <w:start w:val="0"/>
      <w:numFmt w:val="bullet"/>
      <w:lvlText w:val="•"/>
      <w:lvlJc w:val="left"/>
      <w:pPr>
        <w:ind w:left="2962" w:hanging="490"/>
      </w:pPr>
      <w:rPr>
        <w:rFonts w:hint="default"/>
      </w:rPr>
    </w:lvl>
    <w:lvl w:ilvl="4">
      <w:start w:val="0"/>
      <w:numFmt w:val="bullet"/>
      <w:lvlText w:val="•"/>
      <w:lvlJc w:val="left"/>
      <w:pPr>
        <w:ind w:left="3873" w:hanging="490"/>
      </w:pPr>
      <w:rPr>
        <w:rFonts w:hint="default"/>
      </w:rPr>
    </w:lvl>
    <w:lvl w:ilvl="5">
      <w:start w:val="0"/>
      <w:numFmt w:val="bullet"/>
      <w:lvlText w:val="•"/>
      <w:lvlJc w:val="left"/>
      <w:pPr>
        <w:ind w:left="4784" w:hanging="490"/>
      </w:pPr>
      <w:rPr>
        <w:rFonts w:hint="default"/>
      </w:rPr>
    </w:lvl>
    <w:lvl w:ilvl="6">
      <w:start w:val="0"/>
      <w:numFmt w:val="bullet"/>
      <w:lvlText w:val="•"/>
      <w:lvlJc w:val="left"/>
      <w:pPr>
        <w:ind w:left="5695" w:hanging="490"/>
      </w:pPr>
      <w:rPr>
        <w:rFonts w:hint="default"/>
      </w:rPr>
    </w:lvl>
    <w:lvl w:ilvl="7">
      <w:start w:val="0"/>
      <w:numFmt w:val="bullet"/>
      <w:lvlText w:val="•"/>
      <w:lvlJc w:val="left"/>
      <w:pPr>
        <w:ind w:left="6606" w:hanging="490"/>
      </w:pPr>
      <w:rPr>
        <w:rFonts w:hint="default"/>
      </w:rPr>
    </w:lvl>
    <w:lvl w:ilvl="8">
      <w:start w:val="0"/>
      <w:numFmt w:val="bullet"/>
      <w:lvlText w:val="•"/>
      <w:lvlJc w:val="left"/>
      <w:pPr>
        <w:ind w:left="7517" w:hanging="490"/>
      </w:pPr>
      <w:rPr>
        <w:rFonts w:hint="default"/>
      </w:rPr>
    </w:lvl>
  </w:abstractNum>
  <w:abstractNum w:abstractNumId="20">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0" w:hanging="400"/>
      </w:pPr>
      <w:rPr>
        <w:rFonts w:hint="default"/>
      </w:rPr>
    </w:lvl>
    <w:lvl w:ilvl="2">
      <w:start w:val="0"/>
      <w:numFmt w:val="bullet"/>
      <w:lvlText w:val="•"/>
      <w:lvlJc w:val="left"/>
      <w:pPr>
        <w:ind w:left="2320" w:hanging="400"/>
      </w:pPr>
      <w:rPr>
        <w:rFonts w:hint="default"/>
      </w:rPr>
    </w:lvl>
    <w:lvl w:ilvl="3">
      <w:start w:val="0"/>
      <w:numFmt w:val="bullet"/>
      <w:lvlText w:val="•"/>
      <w:lvlJc w:val="left"/>
      <w:pPr>
        <w:ind w:left="3200" w:hanging="400"/>
      </w:pPr>
      <w:rPr>
        <w:rFonts w:hint="default"/>
      </w:rPr>
    </w:lvl>
    <w:lvl w:ilvl="4">
      <w:start w:val="0"/>
      <w:numFmt w:val="bullet"/>
      <w:lvlText w:val="•"/>
      <w:lvlJc w:val="left"/>
      <w:pPr>
        <w:ind w:left="4080" w:hanging="400"/>
      </w:pPr>
      <w:rPr>
        <w:rFonts w:hint="default"/>
      </w:rPr>
    </w:lvl>
    <w:lvl w:ilvl="5">
      <w:start w:val="0"/>
      <w:numFmt w:val="bullet"/>
      <w:lvlText w:val="•"/>
      <w:lvlJc w:val="left"/>
      <w:pPr>
        <w:ind w:left="4960" w:hanging="400"/>
      </w:pPr>
      <w:rPr>
        <w:rFonts w:hint="default"/>
      </w:rPr>
    </w:lvl>
    <w:lvl w:ilvl="6">
      <w:start w:val="0"/>
      <w:numFmt w:val="bullet"/>
      <w:lvlText w:val="•"/>
      <w:lvlJc w:val="left"/>
      <w:pPr>
        <w:ind w:left="5840" w:hanging="400"/>
      </w:pPr>
      <w:rPr>
        <w:rFonts w:hint="default"/>
      </w:rPr>
    </w:lvl>
    <w:lvl w:ilvl="7">
      <w:start w:val="0"/>
      <w:numFmt w:val="bullet"/>
      <w:lvlText w:val="•"/>
      <w:lvlJc w:val="left"/>
      <w:pPr>
        <w:ind w:left="6720" w:hanging="400"/>
      </w:pPr>
      <w:rPr>
        <w:rFonts w:hint="default"/>
      </w:rPr>
    </w:lvl>
    <w:lvl w:ilvl="8">
      <w:start w:val="0"/>
      <w:numFmt w:val="bullet"/>
      <w:lvlText w:val="•"/>
      <w:lvlJc w:val="left"/>
      <w:pPr>
        <w:ind w:left="7600" w:hanging="400"/>
      </w:pPr>
      <w:rPr>
        <w:rFonts w:hint="default"/>
      </w:rPr>
    </w:lvl>
  </w:abstractNum>
  <w:abstractNum w:abstractNumId="19">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70" w:hanging="400"/>
      </w:pPr>
      <w:rPr>
        <w:rFonts w:hint="default"/>
      </w:rPr>
    </w:lvl>
    <w:lvl w:ilvl="2">
      <w:start w:val="0"/>
      <w:numFmt w:val="bullet"/>
      <w:lvlText w:val="•"/>
      <w:lvlJc w:val="left"/>
      <w:pPr>
        <w:ind w:left="2380" w:hanging="400"/>
      </w:pPr>
      <w:rPr>
        <w:rFonts w:hint="default"/>
      </w:rPr>
    </w:lvl>
    <w:lvl w:ilvl="3">
      <w:start w:val="0"/>
      <w:numFmt w:val="bullet"/>
      <w:lvlText w:val="•"/>
      <w:lvlJc w:val="left"/>
      <w:pPr>
        <w:ind w:left="3290" w:hanging="400"/>
      </w:pPr>
      <w:rPr>
        <w:rFonts w:hint="default"/>
      </w:rPr>
    </w:lvl>
    <w:lvl w:ilvl="4">
      <w:start w:val="0"/>
      <w:numFmt w:val="bullet"/>
      <w:lvlText w:val="•"/>
      <w:lvlJc w:val="left"/>
      <w:pPr>
        <w:ind w:left="4200" w:hanging="400"/>
      </w:pPr>
      <w:rPr>
        <w:rFonts w:hint="default"/>
      </w:rPr>
    </w:lvl>
    <w:lvl w:ilvl="5">
      <w:start w:val="0"/>
      <w:numFmt w:val="bullet"/>
      <w:lvlText w:val="•"/>
      <w:lvlJc w:val="left"/>
      <w:pPr>
        <w:ind w:left="5110" w:hanging="400"/>
      </w:pPr>
      <w:rPr>
        <w:rFonts w:hint="default"/>
      </w:rPr>
    </w:lvl>
    <w:lvl w:ilvl="6">
      <w:start w:val="0"/>
      <w:numFmt w:val="bullet"/>
      <w:lvlText w:val="•"/>
      <w:lvlJc w:val="left"/>
      <w:pPr>
        <w:ind w:left="6020" w:hanging="400"/>
      </w:pPr>
      <w:rPr>
        <w:rFonts w:hint="default"/>
      </w:rPr>
    </w:lvl>
    <w:lvl w:ilvl="7">
      <w:start w:val="0"/>
      <w:numFmt w:val="bullet"/>
      <w:lvlText w:val="•"/>
      <w:lvlJc w:val="left"/>
      <w:pPr>
        <w:ind w:left="6930" w:hanging="400"/>
      </w:pPr>
      <w:rPr>
        <w:rFonts w:hint="default"/>
      </w:rPr>
    </w:lvl>
    <w:lvl w:ilvl="8">
      <w:start w:val="0"/>
      <w:numFmt w:val="bullet"/>
      <w:lvlText w:val="•"/>
      <w:lvlJc w:val="left"/>
      <w:pPr>
        <w:ind w:left="7840" w:hanging="400"/>
      </w:pPr>
      <w:rPr>
        <w:rFonts w:hint="default"/>
      </w:rPr>
    </w:lvl>
  </w:abstractNum>
  <w:abstractNum w:abstractNumId="18">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8" w:hanging="320"/>
      </w:pPr>
      <w:rPr>
        <w:rFonts w:hint="default"/>
      </w:rPr>
    </w:lvl>
    <w:lvl w:ilvl="2">
      <w:start w:val="0"/>
      <w:numFmt w:val="bullet"/>
      <w:lvlText w:val="•"/>
      <w:lvlJc w:val="left"/>
      <w:pPr>
        <w:ind w:left="2276" w:hanging="320"/>
      </w:pPr>
      <w:rPr>
        <w:rFonts w:hint="default"/>
      </w:rPr>
    </w:lvl>
    <w:lvl w:ilvl="3">
      <w:start w:val="0"/>
      <w:numFmt w:val="bullet"/>
      <w:lvlText w:val="•"/>
      <w:lvlJc w:val="left"/>
      <w:pPr>
        <w:ind w:left="3174" w:hanging="320"/>
      </w:pPr>
      <w:rPr>
        <w:rFonts w:hint="default"/>
      </w:rPr>
    </w:lvl>
    <w:lvl w:ilvl="4">
      <w:start w:val="0"/>
      <w:numFmt w:val="bullet"/>
      <w:lvlText w:val="•"/>
      <w:lvlJc w:val="left"/>
      <w:pPr>
        <w:ind w:left="4072" w:hanging="320"/>
      </w:pPr>
      <w:rPr>
        <w:rFonts w:hint="default"/>
      </w:rPr>
    </w:lvl>
    <w:lvl w:ilvl="5">
      <w:start w:val="0"/>
      <w:numFmt w:val="bullet"/>
      <w:lvlText w:val="•"/>
      <w:lvlJc w:val="left"/>
      <w:pPr>
        <w:ind w:left="4970" w:hanging="320"/>
      </w:pPr>
      <w:rPr>
        <w:rFonts w:hint="default"/>
      </w:rPr>
    </w:lvl>
    <w:lvl w:ilvl="6">
      <w:start w:val="0"/>
      <w:numFmt w:val="bullet"/>
      <w:lvlText w:val="•"/>
      <w:lvlJc w:val="left"/>
      <w:pPr>
        <w:ind w:left="5868" w:hanging="320"/>
      </w:pPr>
      <w:rPr>
        <w:rFonts w:hint="default"/>
      </w:rPr>
    </w:lvl>
    <w:lvl w:ilvl="7">
      <w:start w:val="0"/>
      <w:numFmt w:val="bullet"/>
      <w:lvlText w:val="•"/>
      <w:lvlJc w:val="left"/>
      <w:pPr>
        <w:ind w:left="6766" w:hanging="320"/>
      </w:pPr>
      <w:rPr>
        <w:rFonts w:hint="default"/>
      </w:rPr>
    </w:lvl>
    <w:lvl w:ilvl="8">
      <w:start w:val="0"/>
      <w:numFmt w:val="bullet"/>
      <w:lvlText w:val="•"/>
      <w:lvlJc w:val="left"/>
      <w:pPr>
        <w:ind w:left="7664" w:hanging="320"/>
      </w:pPr>
      <w:rPr>
        <w:rFonts w:hint="default"/>
      </w:rPr>
    </w:lvl>
  </w:abstractNum>
  <w:abstractNum w:abstractNumId="15">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2" w:hanging="320"/>
      </w:pPr>
      <w:rPr>
        <w:rFonts w:hint="default"/>
      </w:rPr>
    </w:lvl>
    <w:lvl w:ilvl="2">
      <w:start w:val="0"/>
      <w:numFmt w:val="bullet"/>
      <w:lvlText w:val="•"/>
      <w:lvlJc w:val="left"/>
      <w:pPr>
        <w:ind w:left="2264" w:hanging="320"/>
      </w:pPr>
      <w:rPr>
        <w:rFonts w:hint="default"/>
      </w:rPr>
    </w:lvl>
    <w:lvl w:ilvl="3">
      <w:start w:val="0"/>
      <w:numFmt w:val="bullet"/>
      <w:lvlText w:val="•"/>
      <w:lvlJc w:val="left"/>
      <w:pPr>
        <w:ind w:left="3156" w:hanging="320"/>
      </w:pPr>
      <w:rPr>
        <w:rFonts w:hint="default"/>
      </w:rPr>
    </w:lvl>
    <w:lvl w:ilvl="4">
      <w:start w:val="0"/>
      <w:numFmt w:val="bullet"/>
      <w:lvlText w:val="•"/>
      <w:lvlJc w:val="left"/>
      <w:pPr>
        <w:ind w:left="4048" w:hanging="320"/>
      </w:pPr>
      <w:rPr>
        <w:rFonts w:hint="default"/>
      </w:rPr>
    </w:lvl>
    <w:lvl w:ilvl="5">
      <w:start w:val="0"/>
      <w:numFmt w:val="bullet"/>
      <w:lvlText w:val="•"/>
      <w:lvlJc w:val="left"/>
      <w:pPr>
        <w:ind w:left="4940" w:hanging="320"/>
      </w:pPr>
      <w:rPr>
        <w:rFonts w:hint="default"/>
      </w:rPr>
    </w:lvl>
    <w:lvl w:ilvl="6">
      <w:start w:val="0"/>
      <w:numFmt w:val="bullet"/>
      <w:lvlText w:val="•"/>
      <w:lvlJc w:val="left"/>
      <w:pPr>
        <w:ind w:left="5832" w:hanging="320"/>
      </w:pPr>
      <w:rPr>
        <w:rFonts w:hint="default"/>
      </w:rPr>
    </w:lvl>
    <w:lvl w:ilvl="7">
      <w:start w:val="0"/>
      <w:numFmt w:val="bullet"/>
      <w:lvlText w:val="•"/>
      <w:lvlJc w:val="left"/>
      <w:pPr>
        <w:ind w:left="6724" w:hanging="320"/>
      </w:pPr>
      <w:rPr>
        <w:rFonts w:hint="default"/>
      </w:rPr>
    </w:lvl>
    <w:lvl w:ilvl="8">
      <w:start w:val="0"/>
      <w:numFmt w:val="bullet"/>
      <w:lvlText w:val="•"/>
      <w:lvlJc w:val="left"/>
      <w:pPr>
        <w:ind w:left="7616" w:hanging="320"/>
      </w:pPr>
      <w:rPr>
        <w:rFonts w:hint="default"/>
      </w:rPr>
    </w:lvl>
  </w:abstractNum>
  <w:abstractNum w:abstractNumId="14">
    <w:multiLevelType w:val="hybridMultilevel"/>
    <w:lvl w:ilvl="0">
      <w:start w:val="1"/>
      <w:numFmt w:val="lowerLetter"/>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98" w:hanging="400"/>
      </w:pPr>
      <w:rPr>
        <w:rFonts w:hint="default"/>
      </w:rPr>
    </w:lvl>
    <w:lvl w:ilvl="2">
      <w:start w:val="0"/>
      <w:numFmt w:val="bullet"/>
      <w:lvlText w:val="•"/>
      <w:lvlJc w:val="left"/>
      <w:pPr>
        <w:ind w:left="2296" w:hanging="400"/>
      </w:pPr>
      <w:rPr>
        <w:rFonts w:hint="default"/>
      </w:rPr>
    </w:lvl>
    <w:lvl w:ilvl="3">
      <w:start w:val="0"/>
      <w:numFmt w:val="bullet"/>
      <w:lvlText w:val="•"/>
      <w:lvlJc w:val="left"/>
      <w:pPr>
        <w:ind w:left="3194" w:hanging="400"/>
      </w:pPr>
      <w:rPr>
        <w:rFonts w:hint="default"/>
      </w:rPr>
    </w:lvl>
    <w:lvl w:ilvl="4">
      <w:start w:val="0"/>
      <w:numFmt w:val="bullet"/>
      <w:lvlText w:val="•"/>
      <w:lvlJc w:val="left"/>
      <w:pPr>
        <w:ind w:left="4092" w:hanging="400"/>
      </w:pPr>
      <w:rPr>
        <w:rFonts w:hint="default"/>
      </w:rPr>
    </w:lvl>
    <w:lvl w:ilvl="5">
      <w:start w:val="0"/>
      <w:numFmt w:val="bullet"/>
      <w:lvlText w:val="•"/>
      <w:lvlJc w:val="left"/>
      <w:pPr>
        <w:ind w:left="499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86" w:hanging="400"/>
      </w:pPr>
      <w:rPr>
        <w:rFonts w:hint="default"/>
      </w:rPr>
    </w:lvl>
    <w:lvl w:ilvl="8">
      <w:start w:val="0"/>
      <w:numFmt w:val="bullet"/>
      <w:lvlText w:val="•"/>
      <w:lvlJc w:val="left"/>
      <w:pPr>
        <w:ind w:left="7684" w:hanging="400"/>
      </w:pPr>
      <w:rPr>
        <w:rFonts w:hint="default"/>
      </w:rPr>
    </w:lvl>
  </w:abstractNum>
  <w:abstractNum w:abstractNumId="13">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2">
    <w:multiLevelType w:val="hybridMultilevel"/>
    <w:lvl w:ilvl="0">
      <w:start w:val="8"/>
      <w:numFmt w:val="decimal"/>
      <w:lvlText w:val="%1."/>
      <w:lvlJc w:val="left"/>
      <w:pPr>
        <w:ind w:left="360" w:hanging="200"/>
        <w:jc w:val="right"/>
      </w:pPr>
      <w:rPr>
        <w:rFonts w:hint="default" w:ascii="Times New Roman" w:hAnsi="Times New Roman" w:eastAsia="Times New Roman" w:cs="Times New Roman"/>
        <w:b/>
        <w:bCs/>
        <w:color w:val="231F20"/>
        <w:w w:val="99"/>
        <w:sz w:val="20"/>
        <w:szCs w:val="20"/>
      </w:rPr>
    </w:lvl>
    <w:lvl w:ilvl="1">
      <w:start w:val="2"/>
      <w:numFmt w:val="decimal"/>
      <w:lvlText w:val="%2."/>
      <w:lvlJc w:val="left"/>
      <w:pPr>
        <w:ind w:left="790" w:hanging="2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744" w:hanging="200"/>
      </w:pPr>
      <w:rPr>
        <w:rFonts w:hint="default"/>
      </w:rPr>
    </w:lvl>
    <w:lvl w:ilvl="3">
      <w:start w:val="0"/>
      <w:numFmt w:val="bullet"/>
      <w:lvlText w:val="•"/>
      <w:lvlJc w:val="left"/>
      <w:pPr>
        <w:ind w:left="2688" w:hanging="200"/>
      </w:pPr>
      <w:rPr>
        <w:rFonts w:hint="default"/>
      </w:rPr>
    </w:lvl>
    <w:lvl w:ilvl="4">
      <w:start w:val="0"/>
      <w:numFmt w:val="bullet"/>
      <w:lvlText w:val="•"/>
      <w:lvlJc w:val="left"/>
      <w:pPr>
        <w:ind w:left="3633" w:hanging="200"/>
      </w:pPr>
      <w:rPr>
        <w:rFonts w:hint="default"/>
      </w:rPr>
    </w:lvl>
    <w:lvl w:ilvl="5">
      <w:start w:val="0"/>
      <w:numFmt w:val="bullet"/>
      <w:lvlText w:val="•"/>
      <w:lvlJc w:val="left"/>
      <w:pPr>
        <w:ind w:left="4577" w:hanging="200"/>
      </w:pPr>
      <w:rPr>
        <w:rFonts w:hint="default"/>
      </w:rPr>
    </w:lvl>
    <w:lvl w:ilvl="6">
      <w:start w:val="0"/>
      <w:numFmt w:val="bullet"/>
      <w:lvlText w:val="•"/>
      <w:lvlJc w:val="left"/>
      <w:pPr>
        <w:ind w:left="5522" w:hanging="200"/>
      </w:pPr>
      <w:rPr>
        <w:rFonts w:hint="default"/>
      </w:rPr>
    </w:lvl>
    <w:lvl w:ilvl="7">
      <w:start w:val="0"/>
      <w:numFmt w:val="bullet"/>
      <w:lvlText w:val="•"/>
      <w:lvlJc w:val="left"/>
      <w:pPr>
        <w:ind w:left="6466" w:hanging="200"/>
      </w:pPr>
      <w:rPr>
        <w:rFonts w:hint="default"/>
      </w:rPr>
    </w:lvl>
    <w:lvl w:ilvl="8">
      <w:start w:val="0"/>
      <w:numFmt w:val="bullet"/>
      <w:lvlText w:val="•"/>
      <w:lvlJc w:val="left"/>
      <w:pPr>
        <w:ind w:left="7411" w:hanging="200"/>
      </w:pPr>
      <w:rPr>
        <w:rFonts w:hint="default"/>
      </w:rPr>
    </w:lvl>
  </w:abstractNum>
  <w:abstractNum w:abstractNumId="11">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0">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spacing w:val="-2"/>
        <w:w w:val="99"/>
        <w:sz w:val="20"/>
        <w:szCs w:val="20"/>
      </w:rPr>
    </w:lvl>
    <w:lvl w:ilvl="1">
      <w:start w:val="0"/>
      <w:numFmt w:val="bullet"/>
      <w:lvlText w:val="•"/>
      <w:lvlJc w:val="left"/>
      <w:pPr>
        <w:ind w:left="1202" w:hanging="200"/>
      </w:pPr>
      <w:rPr>
        <w:rFonts w:hint="default"/>
      </w:rPr>
    </w:lvl>
    <w:lvl w:ilvl="2">
      <w:start w:val="0"/>
      <w:numFmt w:val="bullet"/>
      <w:lvlText w:val="•"/>
      <w:lvlJc w:val="left"/>
      <w:pPr>
        <w:ind w:left="2104" w:hanging="200"/>
      </w:pPr>
      <w:rPr>
        <w:rFonts w:hint="default"/>
      </w:rPr>
    </w:lvl>
    <w:lvl w:ilvl="3">
      <w:start w:val="0"/>
      <w:numFmt w:val="bullet"/>
      <w:lvlText w:val="•"/>
      <w:lvlJc w:val="left"/>
      <w:pPr>
        <w:ind w:left="3006" w:hanging="200"/>
      </w:pPr>
      <w:rPr>
        <w:rFonts w:hint="default"/>
      </w:rPr>
    </w:lvl>
    <w:lvl w:ilvl="4">
      <w:start w:val="0"/>
      <w:numFmt w:val="bullet"/>
      <w:lvlText w:val="•"/>
      <w:lvlJc w:val="left"/>
      <w:pPr>
        <w:ind w:left="3908" w:hanging="200"/>
      </w:pPr>
      <w:rPr>
        <w:rFonts w:hint="default"/>
      </w:rPr>
    </w:lvl>
    <w:lvl w:ilvl="5">
      <w:start w:val="0"/>
      <w:numFmt w:val="bullet"/>
      <w:lvlText w:val="•"/>
      <w:lvlJc w:val="left"/>
      <w:pPr>
        <w:ind w:left="4810" w:hanging="200"/>
      </w:pPr>
      <w:rPr>
        <w:rFonts w:hint="default"/>
      </w:rPr>
    </w:lvl>
    <w:lvl w:ilvl="6">
      <w:start w:val="0"/>
      <w:numFmt w:val="bullet"/>
      <w:lvlText w:val="•"/>
      <w:lvlJc w:val="left"/>
      <w:pPr>
        <w:ind w:left="5712" w:hanging="200"/>
      </w:pPr>
      <w:rPr>
        <w:rFonts w:hint="default"/>
      </w:rPr>
    </w:lvl>
    <w:lvl w:ilvl="7">
      <w:start w:val="0"/>
      <w:numFmt w:val="bullet"/>
      <w:lvlText w:val="•"/>
      <w:lvlJc w:val="left"/>
      <w:pPr>
        <w:ind w:left="6614" w:hanging="200"/>
      </w:pPr>
      <w:rPr>
        <w:rFonts w:hint="default"/>
      </w:rPr>
    </w:lvl>
    <w:lvl w:ilvl="8">
      <w:start w:val="0"/>
      <w:numFmt w:val="bullet"/>
      <w:lvlText w:val="•"/>
      <w:lvlJc w:val="left"/>
      <w:pPr>
        <w:ind w:left="7516" w:hanging="200"/>
      </w:pPr>
      <w:rPr>
        <w:rFonts w:hint="default"/>
      </w:rPr>
    </w:lvl>
  </w:abstractNum>
  <w:abstractNum w:abstractNumId="9">
    <w:multiLevelType w:val="hybridMultilevel"/>
    <w:lvl w:ilvl="0">
      <w:start w:val="1"/>
      <w:numFmt w:val="decimal"/>
      <w:lvlText w:val="(%1)"/>
      <w:lvlJc w:val="left"/>
      <w:pPr>
        <w:ind w:left="520" w:hanging="360"/>
        <w:jc w:val="left"/>
      </w:pPr>
      <w:rPr>
        <w:rFonts w:hint="default" w:ascii="Times New Roman" w:hAnsi="Times New Roman" w:eastAsia="Times New Roman" w:cs="Times New Roman"/>
        <w:color w:val="231F20"/>
        <w:spacing w:val="-1"/>
        <w:w w:val="99"/>
        <w:sz w:val="18"/>
        <w:szCs w:val="18"/>
      </w:rPr>
    </w:lvl>
    <w:lvl w:ilvl="1">
      <w:start w:val="0"/>
      <w:numFmt w:val="bullet"/>
      <w:lvlText w:val="•"/>
      <w:lvlJc w:val="left"/>
      <w:pPr>
        <w:ind w:left="141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64" w:hanging="360"/>
      </w:pPr>
      <w:rPr>
        <w:rFonts w:hint="default"/>
      </w:rPr>
    </w:lvl>
    <w:lvl w:ilvl="8">
      <w:start w:val="0"/>
      <w:numFmt w:val="bullet"/>
      <w:lvlText w:val="•"/>
      <w:lvlJc w:val="left"/>
      <w:pPr>
        <w:ind w:left="7656" w:hanging="360"/>
      </w:pPr>
      <w:rPr>
        <w:rFonts w:hint="default"/>
      </w:rPr>
    </w:lvl>
  </w:abstractNum>
  <w:abstractNum w:abstractNumId="8">
    <w:multiLevelType w:val="hybridMultilevel"/>
    <w:lvl w:ilvl="0">
      <w:start w:val="1"/>
      <w:numFmt w:val="decimal"/>
      <w:lvlText w:val="(%1)"/>
      <w:lvlJc w:val="left"/>
      <w:pPr>
        <w:ind w:left="480" w:hanging="360"/>
        <w:jc w:val="left"/>
      </w:pPr>
      <w:rPr>
        <w:rFonts w:hint="default" w:ascii="Times New Roman" w:hAnsi="Times New Roman" w:eastAsia="Times New Roman" w:cs="Times New Roman"/>
        <w:color w:val="231F20"/>
        <w:spacing w:val="-1"/>
        <w:w w:val="99"/>
        <w:sz w:val="18"/>
        <w:szCs w:val="18"/>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2256" w:hanging="320"/>
      </w:pPr>
      <w:rPr>
        <w:rFonts w:hint="default"/>
      </w:rPr>
    </w:lvl>
    <w:lvl w:ilvl="3">
      <w:start w:val="0"/>
      <w:numFmt w:val="bullet"/>
      <w:lvlText w:val="•"/>
      <w:lvlJc w:val="left"/>
      <w:pPr>
        <w:ind w:left="3144" w:hanging="320"/>
      </w:pPr>
      <w:rPr>
        <w:rFonts w:hint="default"/>
      </w:rPr>
    </w:lvl>
    <w:lvl w:ilvl="4">
      <w:start w:val="0"/>
      <w:numFmt w:val="bullet"/>
      <w:lvlText w:val="•"/>
      <w:lvlJc w:val="left"/>
      <w:pPr>
        <w:ind w:left="4032" w:hanging="320"/>
      </w:pPr>
      <w:rPr>
        <w:rFonts w:hint="default"/>
      </w:rPr>
    </w:lvl>
    <w:lvl w:ilvl="5">
      <w:start w:val="0"/>
      <w:numFmt w:val="bullet"/>
      <w:lvlText w:val="•"/>
      <w:lvlJc w:val="left"/>
      <w:pPr>
        <w:ind w:left="4920" w:hanging="320"/>
      </w:pPr>
      <w:rPr>
        <w:rFonts w:hint="default"/>
      </w:rPr>
    </w:lvl>
    <w:lvl w:ilvl="6">
      <w:start w:val="0"/>
      <w:numFmt w:val="bullet"/>
      <w:lvlText w:val="•"/>
      <w:lvlJc w:val="left"/>
      <w:pPr>
        <w:ind w:left="5808" w:hanging="320"/>
      </w:pPr>
      <w:rPr>
        <w:rFonts w:hint="default"/>
      </w:rPr>
    </w:lvl>
    <w:lvl w:ilvl="7">
      <w:start w:val="0"/>
      <w:numFmt w:val="bullet"/>
      <w:lvlText w:val="•"/>
      <w:lvlJc w:val="left"/>
      <w:pPr>
        <w:ind w:left="6696" w:hanging="320"/>
      </w:pPr>
      <w:rPr>
        <w:rFonts w:hint="default"/>
      </w:rPr>
    </w:lvl>
    <w:lvl w:ilvl="8">
      <w:start w:val="0"/>
      <w:numFmt w:val="bullet"/>
      <w:lvlText w:val="•"/>
      <w:lvlJc w:val="left"/>
      <w:pPr>
        <w:ind w:left="7584" w:hanging="320"/>
      </w:pPr>
      <w:rPr>
        <w:rFonts w:hint="default"/>
      </w:rPr>
    </w:lvl>
  </w:abstractNum>
  <w:abstractNum w:abstractNumId="7">
    <w:multiLevelType w:val="hybridMultilevel"/>
    <w:lvl w:ilvl="0">
      <w:start w:val="1"/>
      <w:numFmt w:val="decimal"/>
      <w:lvlText w:val="(%1)"/>
      <w:lvlJc w:val="left"/>
      <w:pPr>
        <w:ind w:left="480" w:hanging="320"/>
        <w:jc w:val="left"/>
      </w:pPr>
      <w:rPr>
        <w:rFonts w:hint="default" w:ascii="Times New Roman" w:hAnsi="Times New Roman" w:eastAsia="Times New Roman" w:cs="Times New Roman"/>
        <w:color w:val="231F20"/>
        <w:spacing w:val="-2"/>
        <w:w w:val="99"/>
        <w:sz w:val="16"/>
        <w:szCs w:val="16"/>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6">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520" w:hanging="400"/>
        <w:jc w:val="left"/>
      </w:pPr>
      <w:rPr>
        <w:rFonts w:hint="default" w:ascii="Times New Roman" w:hAnsi="Times New Roman" w:eastAsia="Times New Roman" w:cs="Times New Roman"/>
        <w:color w:val="231F20"/>
        <w:spacing w:val="-24"/>
        <w:w w:val="99"/>
        <w:sz w:val="20"/>
        <w:szCs w:val="20"/>
      </w:rPr>
    </w:lvl>
    <w:lvl w:ilvl="2">
      <w:start w:val="0"/>
      <w:numFmt w:val="bullet"/>
      <w:lvlText w:val="•"/>
      <w:lvlJc w:val="left"/>
      <w:pPr>
        <w:ind w:left="1537" w:hanging="400"/>
      </w:pPr>
      <w:rPr>
        <w:rFonts w:hint="default"/>
      </w:rPr>
    </w:lvl>
    <w:lvl w:ilvl="3">
      <w:start w:val="0"/>
      <w:numFmt w:val="bullet"/>
      <w:lvlText w:val="•"/>
      <w:lvlJc w:val="left"/>
      <w:pPr>
        <w:ind w:left="2515" w:hanging="400"/>
      </w:pPr>
      <w:rPr>
        <w:rFonts w:hint="default"/>
      </w:rPr>
    </w:lvl>
    <w:lvl w:ilvl="4">
      <w:start w:val="0"/>
      <w:numFmt w:val="bullet"/>
      <w:lvlText w:val="•"/>
      <w:lvlJc w:val="left"/>
      <w:pPr>
        <w:ind w:left="3493" w:hanging="400"/>
      </w:pPr>
      <w:rPr>
        <w:rFonts w:hint="default"/>
      </w:rPr>
    </w:lvl>
    <w:lvl w:ilvl="5">
      <w:start w:val="0"/>
      <w:numFmt w:val="bullet"/>
      <w:lvlText w:val="•"/>
      <w:lvlJc w:val="left"/>
      <w:pPr>
        <w:ind w:left="4471" w:hanging="400"/>
      </w:pPr>
      <w:rPr>
        <w:rFonts w:hint="default"/>
      </w:rPr>
    </w:lvl>
    <w:lvl w:ilvl="6">
      <w:start w:val="0"/>
      <w:numFmt w:val="bullet"/>
      <w:lvlText w:val="•"/>
      <w:lvlJc w:val="left"/>
      <w:pPr>
        <w:ind w:left="5448" w:hanging="400"/>
      </w:pPr>
      <w:rPr>
        <w:rFonts w:hint="default"/>
      </w:rPr>
    </w:lvl>
    <w:lvl w:ilvl="7">
      <w:start w:val="0"/>
      <w:numFmt w:val="bullet"/>
      <w:lvlText w:val="•"/>
      <w:lvlJc w:val="left"/>
      <w:pPr>
        <w:ind w:left="6426" w:hanging="400"/>
      </w:pPr>
      <w:rPr>
        <w:rFonts w:hint="default"/>
      </w:rPr>
    </w:lvl>
    <w:lvl w:ilvl="8">
      <w:start w:val="0"/>
      <w:numFmt w:val="bullet"/>
      <w:lvlText w:val="•"/>
      <w:lvlJc w:val="left"/>
      <w:pPr>
        <w:ind w:left="7404" w:hanging="400"/>
      </w:pPr>
      <w:rPr>
        <w:rFonts w:hint="default"/>
      </w:rPr>
    </w:lvl>
  </w:abstractNum>
  <w:abstractNum w:abstractNumId="5">
    <w:multiLevelType w:val="hybridMultilevel"/>
    <w:lvl w:ilvl="0">
      <w:start w:val="2"/>
      <w:numFmt w:val="lowerRoman"/>
      <w:lvlText w:val="(%1)"/>
      <w:lvlJc w:val="left"/>
      <w:pPr>
        <w:ind w:left="100" w:hanging="286"/>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3">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2" w:hanging="240"/>
      </w:pPr>
      <w:rPr>
        <w:rFonts w:hint="default"/>
      </w:rPr>
    </w:lvl>
    <w:lvl w:ilvl="2">
      <w:start w:val="0"/>
      <w:numFmt w:val="bullet"/>
      <w:lvlText w:val="•"/>
      <w:lvlJc w:val="left"/>
      <w:pPr>
        <w:ind w:left="1964" w:hanging="240"/>
      </w:pPr>
      <w:rPr>
        <w:rFonts w:hint="default"/>
      </w:rPr>
    </w:lvl>
    <w:lvl w:ilvl="3">
      <w:start w:val="0"/>
      <w:numFmt w:val="bullet"/>
      <w:lvlText w:val="•"/>
      <w:lvlJc w:val="left"/>
      <w:pPr>
        <w:ind w:left="2886" w:hanging="240"/>
      </w:pPr>
      <w:rPr>
        <w:rFonts w:hint="default"/>
      </w:rPr>
    </w:lvl>
    <w:lvl w:ilvl="4">
      <w:start w:val="0"/>
      <w:numFmt w:val="bullet"/>
      <w:lvlText w:val="•"/>
      <w:lvlJc w:val="left"/>
      <w:pPr>
        <w:ind w:left="3808" w:hanging="240"/>
      </w:pPr>
      <w:rPr>
        <w:rFonts w:hint="default"/>
      </w:rPr>
    </w:lvl>
    <w:lvl w:ilvl="5">
      <w:start w:val="0"/>
      <w:numFmt w:val="bullet"/>
      <w:lvlText w:val="•"/>
      <w:lvlJc w:val="left"/>
      <w:pPr>
        <w:ind w:left="4730" w:hanging="240"/>
      </w:pPr>
      <w:rPr>
        <w:rFonts w:hint="default"/>
      </w:rPr>
    </w:lvl>
    <w:lvl w:ilvl="6">
      <w:start w:val="0"/>
      <w:numFmt w:val="bullet"/>
      <w:lvlText w:val="•"/>
      <w:lvlJc w:val="left"/>
      <w:pPr>
        <w:ind w:left="5652" w:hanging="240"/>
      </w:pPr>
      <w:rPr>
        <w:rFonts w:hint="default"/>
      </w:rPr>
    </w:lvl>
    <w:lvl w:ilvl="7">
      <w:start w:val="0"/>
      <w:numFmt w:val="bullet"/>
      <w:lvlText w:val="•"/>
      <w:lvlJc w:val="left"/>
      <w:pPr>
        <w:ind w:left="6574" w:hanging="240"/>
      </w:pPr>
      <w:rPr>
        <w:rFonts w:hint="default"/>
      </w:rPr>
    </w:lvl>
    <w:lvl w:ilvl="8">
      <w:start w:val="0"/>
      <w:numFmt w:val="bullet"/>
      <w:lvlText w:val="•"/>
      <w:lvlJc w:val="left"/>
      <w:pPr>
        <w:ind w:left="7496" w:hanging="240"/>
      </w:pPr>
      <w:rPr>
        <w:rFonts w:hint="default"/>
      </w:rPr>
    </w:lvl>
  </w:abstractNum>
  <w:abstractNum w:abstractNumId="2">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2" w:hanging="240"/>
      </w:pPr>
      <w:rPr>
        <w:rFonts w:hint="default"/>
      </w:rPr>
    </w:lvl>
    <w:lvl w:ilvl="2">
      <w:start w:val="0"/>
      <w:numFmt w:val="bullet"/>
      <w:lvlText w:val="•"/>
      <w:lvlJc w:val="left"/>
      <w:pPr>
        <w:ind w:left="1964" w:hanging="240"/>
      </w:pPr>
      <w:rPr>
        <w:rFonts w:hint="default"/>
      </w:rPr>
    </w:lvl>
    <w:lvl w:ilvl="3">
      <w:start w:val="0"/>
      <w:numFmt w:val="bullet"/>
      <w:lvlText w:val="•"/>
      <w:lvlJc w:val="left"/>
      <w:pPr>
        <w:ind w:left="2886" w:hanging="240"/>
      </w:pPr>
      <w:rPr>
        <w:rFonts w:hint="default"/>
      </w:rPr>
    </w:lvl>
    <w:lvl w:ilvl="4">
      <w:start w:val="0"/>
      <w:numFmt w:val="bullet"/>
      <w:lvlText w:val="•"/>
      <w:lvlJc w:val="left"/>
      <w:pPr>
        <w:ind w:left="3808" w:hanging="240"/>
      </w:pPr>
      <w:rPr>
        <w:rFonts w:hint="default"/>
      </w:rPr>
    </w:lvl>
    <w:lvl w:ilvl="5">
      <w:start w:val="0"/>
      <w:numFmt w:val="bullet"/>
      <w:lvlText w:val="•"/>
      <w:lvlJc w:val="left"/>
      <w:pPr>
        <w:ind w:left="4730" w:hanging="240"/>
      </w:pPr>
      <w:rPr>
        <w:rFonts w:hint="default"/>
      </w:rPr>
    </w:lvl>
    <w:lvl w:ilvl="6">
      <w:start w:val="0"/>
      <w:numFmt w:val="bullet"/>
      <w:lvlText w:val="•"/>
      <w:lvlJc w:val="left"/>
      <w:pPr>
        <w:ind w:left="5652" w:hanging="240"/>
      </w:pPr>
      <w:rPr>
        <w:rFonts w:hint="default"/>
      </w:rPr>
    </w:lvl>
    <w:lvl w:ilvl="7">
      <w:start w:val="0"/>
      <w:numFmt w:val="bullet"/>
      <w:lvlText w:val="•"/>
      <w:lvlJc w:val="left"/>
      <w:pPr>
        <w:ind w:left="6574" w:hanging="240"/>
      </w:pPr>
      <w:rPr>
        <w:rFonts w:hint="default"/>
      </w:rPr>
    </w:lvl>
    <w:lvl w:ilvl="8">
      <w:start w:val="0"/>
      <w:numFmt w:val="bullet"/>
      <w:lvlText w:val="•"/>
      <w:lvlJc w:val="left"/>
      <w:pPr>
        <w:ind w:left="7496" w:hanging="240"/>
      </w:pPr>
      <w:rPr>
        <w:rFonts w:hint="default"/>
      </w:rPr>
    </w:lvl>
  </w:abstractNum>
  <w:abstractNum w:abstractNumId="1">
    <w:multiLevelType w:val="hybridMultilevel"/>
    <w:lvl w:ilvl="0">
      <w:start w:val="2"/>
      <w:numFmt w:val="lowerRoman"/>
      <w:lvlText w:val="(%1)"/>
      <w:lvlJc w:val="left"/>
      <w:pPr>
        <w:ind w:left="1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0">
    <w:multiLevelType w:val="hybridMultilevel"/>
    <w:lvl w:ilvl="0">
      <w:start w:val="0"/>
      <w:numFmt w:val="bullet"/>
      <w:lvlText w:val="*"/>
      <w:lvlJc w:val="left"/>
      <w:pPr>
        <w:ind w:left="560" w:hanging="400"/>
      </w:pPr>
      <w:rPr>
        <w:rFonts w:hint="default" w:ascii="Times New Roman" w:hAnsi="Times New Roman" w:eastAsia="Times New Roman" w:cs="Times New Roman"/>
        <w:color w:val="231F20"/>
        <w:w w:val="99"/>
        <w:sz w:val="20"/>
        <w:szCs w:val="20"/>
      </w:rPr>
    </w:lvl>
    <w:lvl w:ilvl="1">
      <w:start w:val="0"/>
      <w:numFmt w:val="bullet"/>
      <w:lvlText w:val="•"/>
      <w:lvlJc w:val="left"/>
      <w:pPr>
        <w:ind w:left="113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2055" w:hanging="366"/>
      </w:pPr>
      <w:rPr>
        <w:rFonts w:hint="default"/>
      </w:rPr>
    </w:lvl>
    <w:lvl w:ilvl="3">
      <w:start w:val="0"/>
      <w:numFmt w:val="bullet"/>
      <w:lvlText w:val="•"/>
      <w:lvlJc w:val="left"/>
      <w:pPr>
        <w:ind w:left="2971" w:hanging="366"/>
      </w:pPr>
      <w:rPr>
        <w:rFonts w:hint="default"/>
      </w:rPr>
    </w:lvl>
    <w:lvl w:ilvl="4">
      <w:start w:val="0"/>
      <w:numFmt w:val="bullet"/>
      <w:lvlText w:val="•"/>
      <w:lvlJc w:val="left"/>
      <w:pPr>
        <w:ind w:left="3886" w:hanging="366"/>
      </w:pPr>
      <w:rPr>
        <w:rFonts w:hint="default"/>
      </w:rPr>
    </w:lvl>
    <w:lvl w:ilvl="5">
      <w:start w:val="0"/>
      <w:numFmt w:val="bullet"/>
      <w:lvlText w:val="•"/>
      <w:lvlJc w:val="left"/>
      <w:pPr>
        <w:ind w:left="4802" w:hanging="366"/>
      </w:pPr>
      <w:rPr>
        <w:rFonts w:hint="default"/>
      </w:rPr>
    </w:lvl>
    <w:lvl w:ilvl="6">
      <w:start w:val="0"/>
      <w:numFmt w:val="bullet"/>
      <w:lvlText w:val="•"/>
      <w:lvlJc w:val="left"/>
      <w:pPr>
        <w:ind w:left="5717" w:hanging="366"/>
      </w:pPr>
      <w:rPr>
        <w:rFonts w:hint="default"/>
      </w:rPr>
    </w:lvl>
    <w:lvl w:ilvl="7">
      <w:start w:val="0"/>
      <w:numFmt w:val="bullet"/>
      <w:lvlText w:val="•"/>
      <w:lvlJc w:val="left"/>
      <w:pPr>
        <w:ind w:left="6633" w:hanging="366"/>
      </w:pPr>
      <w:rPr>
        <w:rFonts w:hint="default"/>
      </w:rPr>
    </w:lvl>
    <w:lvl w:ilvl="8">
      <w:start w:val="0"/>
      <w:numFmt w:val="bullet"/>
      <w:lvlText w:val="•"/>
      <w:lvlJc w:val="left"/>
      <w:pPr>
        <w:ind w:left="7548" w:hanging="366"/>
      </w:pPr>
      <w:rPr>
        <w:rFonts w:hint="default"/>
      </w:rPr>
    </w:lvl>
  </w:abstractNum>
  <w:num w:numId="5">
    <w:abstractNumId w:val="4"/>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50"/>
      <w:ind w:left="100"/>
    </w:pPr>
    <w:rPr>
      <w:rFonts w:ascii="Times New Roman" w:hAnsi="Times New Roman" w:eastAsia="Times New Roman" w:cs="Times New Roman"/>
      <w:sz w:val="20"/>
      <w:szCs w:val="20"/>
    </w:rPr>
  </w:style>
  <w:style w:styleId="TOC2" w:type="paragraph">
    <w:name w:val="TOC 2"/>
    <w:basedOn w:val="Normal"/>
    <w:uiPriority w:val="1"/>
    <w:qFormat/>
    <w:pPr>
      <w:spacing w:before="50"/>
      <w:ind w:left="1012"/>
    </w:pPr>
    <w:rPr>
      <w:rFonts w:ascii="Times New Roman" w:hAnsi="Times New Roman" w:eastAsia="Times New Roman" w:cs="Times New Roman"/>
      <w:sz w:val="20"/>
      <w:szCs w:val="20"/>
    </w:rPr>
  </w:style>
  <w:style w:styleId="TOC3" w:type="paragraph">
    <w:name w:val="TOC 3"/>
    <w:basedOn w:val="Normal"/>
    <w:uiPriority w:val="1"/>
    <w:qFormat/>
    <w:pPr>
      <w:spacing w:before="130"/>
      <w:ind w:left="1311" w:right="921"/>
      <w:jc w:val="center"/>
    </w:pPr>
    <w:rPr>
      <w:rFonts w:ascii="Times New Roman" w:hAnsi="Times New Roman" w:eastAsia="Times New Roman" w:cs="Times New Roman"/>
      <w:b/>
      <w:bCs/>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100"/>
      <w:jc w:val="center"/>
      <w:outlineLvl w:val="1"/>
    </w:pPr>
    <w:rPr>
      <w:rFonts w:ascii="Arial" w:hAnsi="Arial" w:eastAsia="Arial" w:cs="Arial"/>
      <w:b/>
      <w:bCs/>
      <w:sz w:val="24"/>
      <w:szCs w:val="24"/>
    </w:rPr>
  </w:style>
  <w:style w:styleId="Heading2" w:type="paragraph">
    <w:name w:val="Heading 2"/>
    <w:basedOn w:val="Normal"/>
    <w:uiPriority w:val="1"/>
    <w:qFormat/>
    <w:pPr>
      <w:spacing w:before="7"/>
      <w:ind w:left="40"/>
      <w:outlineLvl w:val="2"/>
    </w:pPr>
    <w:rPr>
      <w:rFonts w:ascii="Times New Roman" w:hAnsi="Times New Roman" w:eastAsia="Times New Roman" w:cs="Times New Roman"/>
      <w:sz w:val="22"/>
      <w:szCs w:val="22"/>
    </w:rPr>
  </w:style>
  <w:style w:styleId="Heading3" w:type="paragraph">
    <w:name w:val="Heading 3"/>
    <w:basedOn w:val="Normal"/>
    <w:uiPriority w:val="1"/>
    <w:qFormat/>
    <w:pPr>
      <w:ind w:left="100"/>
      <w:outlineLvl w:val="3"/>
    </w:pPr>
    <w:rPr>
      <w:rFonts w:ascii="Times New Roman" w:hAnsi="Times New Roman" w:eastAsia="Times New Roman" w:cs="Times New Roman"/>
      <w:b/>
      <w:bCs/>
      <w:sz w:val="20"/>
      <w:szCs w:val="20"/>
    </w:rPr>
  </w:style>
  <w:style w:styleId="Heading4" w:type="paragraph">
    <w:name w:val="Heading 4"/>
    <w:basedOn w:val="Normal"/>
    <w:uiPriority w:val="1"/>
    <w:qFormat/>
    <w:pPr>
      <w:ind w:left="350"/>
      <w:outlineLvl w:val="4"/>
    </w:pPr>
    <w:rPr>
      <w:rFonts w:ascii="Times New Roman" w:hAnsi="Times New Roman" w:eastAsia="Times New Roman" w:cs="Times New Roman"/>
      <w:b/>
      <w:bCs/>
      <w:i/>
      <w:sz w:val="20"/>
      <w:szCs w:val="20"/>
    </w:rPr>
  </w:style>
  <w:style w:styleId="ListParagraph" w:type="paragraph">
    <w:name w:val="List Paragraph"/>
    <w:basedOn w:val="Normal"/>
    <w:uiPriority w:val="1"/>
    <w:qFormat/>
    <w:pPr>
      <w:spacing w:before="181"/>
      <w:ind w:left="1078" w:hanging="366"/>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7.xml"/><Relationship Id="rId39" Type="http://schemas.openxmlformats.org/officeDocument/2006/relationships/customXml" Target="../customXml/item1.xml"/><Relationship Id="rId21" Type="http://schemas.openxmlformats.org/officeDocument/2006/relationships/footer" Target="footer2.xml"/><Relationship Id="rId34" Type="http://schemas.openxmlformats.org/officeDocument/2006/relationships/image" Target="media/image20.png"/><Relationship Id="rId7"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5.png"/><Relationship Id="rId41"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oter" Target="footer5.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hyperlink" Target="http://southwest.investorroom.com/" TargetMode="Externa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yperlink" Target="http://www.shareowneronline.com/" TargetMode="External"/><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www.southwest.com/" TargetMode="External"/><Relationship Id="rId3" Type="http://schemas.openxmlformats.org/officeDocument/2006/relationships/theme" Target="theme/theme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6.xml"/><Relationship Id="rId33" Type="http://schemas.openxmlformats.org/officeDocument/2006/relationships/image" Target="media/image19.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8A764-266B-43E9-BF5D-17DB1EA668B7}"/>
</file>

<file path=customXml/itemProps2.xml><?xml version="1.0" encoding="utf-8"?>
<ds:datastoreItem xmlns:ds="http://schemas.openxmlformats.org/officeDocument/2006/customXml" ds:itemID="{D6B24E3F-C38A-4D91-A987-4B356FC82C28}"/>
</file>

<file path=customXml/itemProps3.xml><?xml version="1.0" encoding="utf-8"?>
<ds:datastoreItem xmlns:ds="http://schemas.openxmlformats.org/officeDocument/2006/customXml" ds:itemID="{2A6ED8D2-6964-497B-A3D3-0F7F6BED727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2018-01-03T22:49:42Z</dcterms:created>
  <dcterms:modified xsi:type="dcterms:W3CDTF">2018-01-03T22:49:42Z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